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0824D1">
        <w:rPr>
          <w:shd w:val="clear" w:color="auto" w:fill="FFFFFF"/>
          <w:lang w:val="en-US"/>
        </w:rPr>
        <w:t>fourth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</w:t>
      </w:r>
      <w:r w:rsidR="003738E2">
        <w:rPr>
          <w:shd w:val="clear" w:color="auto" w:fill="FFFFFF"/>
          <w:lang w:val="en-US"/>
        </w:rPr>
        <w:t>1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8C7DAA" w:rsidP="00075C06">
      <w:pPr>
        <w:pStyle w:val="LID"/>
        <w:spacing w:after="0"/>
        <w:ind w:right="-155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B87E5D2" wp14:editId="4788750B">
                <wp:simplePos x="0" y="0"/>
                <wp:positionH relativeFrom="margin">
                  <wp:posOffset>0</wp:posOffset>
                </wp:positionH>
                <wp:positionV relativeFrom="paragraph">
                  <wp:posOffset>194945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Index value: 12.1%&#10;Increase in prices of residential premises compared to the 4th quarter of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DAA" w:rsidRPr="003A407C" w:rsidRDefault="008C7DAA" w:rsidP="008C7DA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A407C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3A407C">
                              <w:rPr>
                                <w:rStyle w:val="WartowskanikaZnak"/>
                                <w:lang w:val="en-US"/>
                              </w:rPr>
                              <w:t>12</w:t>
                            </w:r>
                            <w:r w:rsidR="00FB1E9B" w:rsidRPr="003A407C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Pr="003A407C">
                              <w:rPr>
                                <w:rStyle w:val="WartowskanikaZnak"/>
                                <w:lang w:val="en-US"/>
                              </w:rPr>
                              <w:t>1</w:t>
                            </w:r>
                            <w:r w:rsidR="00907A14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:rsidR="008C7DAA" w:rsidRPr="003A407C" w:rsidRDefault="00FB1E9B" w:rsidP="00FB1E9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A407C">
                              <w:rPr>
                                <w:lang w:val="en-US"/>
                              </w:rPr>
                              <w:t>Increase in prices of residential premises compared to the 4th quarter of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87E5D2" id="Pole tekstowe 2" o:spid="_x0000_s1026" alt="Index value: 12.1%&#10;Increase in prices of residential premises compared to the 4th quarter of 2020" style="position:absolute;margin-left:0;margin-top:15.35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" fillcolor="#001d77" stroked="f">
                <v:stroke joinstyle="miter"/>
                <v:textbox>
                  <w:txbxContent>
                    <w:p w:rsidR="008C7DAA" w:rsidRPr="003A407C" w:rsidRDefault="008C7DAA" w:rsidP="008C7DA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A407C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3A407C">
                        <w:rPr>
                          <w:rStyle w:val="WartowskanikaZnak"/>
                          <w:lang w:val="en-US"/>
                        </w:rPr>
                        <w:t>12</w:t>
                      </w:r>
                      <w:r w:rsidR="00FB1E9B" w:rsidRPr="003A407C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Pr="003A407C">
                        <w:rPr>
                          <w:rStyle w:val="WartowskanikaZnak"/>
                          <w:lang w:val="en-US"/>
                        </w:rPr>
                        <w:t>1</w:t>
                      </w:r>
                      <w:r w:rsidR="00907A14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:rsidR="008C7DAA" w:rsidRPr="003A407C" w:rsidRDefault="00FB1E9B" w:rsidP="00FB1E9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 w:rsidRPr="003A407C">
                        <w:rPr>
                          <w:lang w:val="en-US"/>
                        </w:rPr>
                        <w:t>Increase in prices of residential premises compared to the 4th quarter of 2020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>in the</w:t>
      </w:r>
      <w:r w:rsidR="000824D1">
        <w:rPr>
          <w:lang w:val="en-US"/>
        </w:rPr>
        <w:t xml:space="preserve"> fourth</w:t>
      </w:r>
      <w:r w:rsidR="0073406E">
        <w:rPr>
          <w:lang w:val="en-US"/>
        </w:rPr>
        <w:t xml:space="preserve"> quarter of </w:t>
      </w:r>
      <w:r w:rsidR="001F327E">
        <w:rPr>
          <w:lang w:val="en-US"/>
        </w:rPr>
        <w:t>202</w:t>
      </w:r>
      <w:r w:rsidR="003738E2">
        <w:rPr>
          <w:lang w:val="en-US"/>
        </w:rPr>
        <w:t>1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3738E2" w:rsidRPr="003738E2">
        <w:rPr>
          <w:lang w:val="en-US"/>
        </w:rPr>
        <w:t xml:space="preserve"> </w:t>
      </w:r>
      <w:r w:rsidR="000824D1">
        <w:rPr>
          <w:lang w:val="en-US"/>
        </w:rPr>
        <w:t>third</w:t>
      </w:r>
      <w:r w:rsidR="003738E2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</w:t>
      </w:r>
      <w:r w:rsidR="00D25590">
        <w:rPr>
          <w:lang w:val="en-US"/>
        </w:rPr>
        <w:t>1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</w:t>
      </w:r>
      <w:r w:rsidR="000824D1">
        <w:rPr>
          <w:lang w:val="en-US"/>
        </w:rPr>
        <w:t>3.9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0824D1">
        <w:rPr>
          <w:lang w:val="en-US"/>
        </w:rPr>
        <w:t>4.2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</w:t>
      </w:r>
      <w:r w:rsidR="00157425">
        <w:rPr>
          <w:lang w:val="en-US"/>
        </w:rPr>
        <w:t>secondary</w:t>
      </w:r>
      <w:r w:rsidR="001F327E">
        <w:rPr>
          <w:lang w:val="en-US"/>
        </w:rPr>
        <w:t xml:space="preserve"> market - by </w:t>
      </w:r>
      <w:r w:rsidR="000824D1">
        <w:rPr>
          <w:lang w:val="en-US"/>
        </w:rPr>
        <w:t>3.7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3738E2">
        <w:rPr>
          <w:lang w:val="en-US"/>
        </w:rPr>
        <w:t>20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0824D1">
        <w:rPr>
          <w:lang w:val="en-US"/>
        </w:rPr>
        <w:t>12.1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0F2982">
        <w:rPr>
          <w:lang w:val="en-US"/>
        </w:rPr>
        <w:t>11.9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57425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0824D1">
        <w:rPr>
          <w:lang w:val="en-US"/>
        </w:rPr>
        <w:t>12.2</w:t>
      </w:r>
      <w:r w:rsidR="00F140E4" w:rsidRPr="00F53E18">
        <w:rPr>
          <w:lang w:val="en-US"/>
        </w:rPr>
        <w:t>%).</w:t>
      </w:r>
    </w:p>
    <w:p w:rsidR="00075C06" w:rsidRDefault="00075C06" w:rsidP="003A407C">
      <w:pPr>
        <w:pStyle w:val="Nagwek1"/>
        <w:spacing w:before="120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Pr="00FB1E9B" w:rsidRDefault="00117B13" w:rsidP="00BD5E55">
      <w:pPr>
        <w:pStyle w:val="Nagwek1"/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</w:pPr>
      <w:r w:rsidRPr="00FB1E9B">
        <w:rPr>
          <w:rFonts w:ascii="Fira Sans" w:hAnsi="Fira Sans"/>
          <w:b/>
          <w:color w:val="auto"/>
          <w:szCs w:val="19"/>
          <w:lang w:val="en-US"/>
        </w:rPr>
        <w:t>Table</w:t>
      </w:r>
      <w:r w:rsidR="007068CE" w:rsidRPr="00FB1E9B">
        <w:rPr>
          <w:rFonts w:ascii="Fira Sans" w:hAnsi="Fira Sans"/>
          <w:b/>
          <w:color w:val="auto"/>
          <w:szCs w:val="19"/>
          <w:lang w:val="en-US"/>
        </w:rPr>
        <w:t xml:space="preserve"> 1. </w:t>
      </w:r>
      <w:r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 xml:space="preserve">Price indices of residential premises </w:t>
      </w:r>
      <w:r w:rsidR="0073406E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>in the</w:t>
      </w:r>
      <w:r w:rsidR="005039C5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 xml:space="preserve"> </w:t>
      </w:r>
      <w:r w:rsidR="00CF3ADE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>thir</w:t>
      </w:r>
      <w:r w:rsidR="00D25590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>d</w:t>
      </w:r>
      <w:r w:rsidR="0073406E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 xml:space="preserve"> quarter </w:t>
      </w:r>
      <w:r w:rsidR="00AB397C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>of</w:t>
      </w:r>
      <w:r w:rsidR="003A3455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 xml:space="preserve"> </w:t>
      </w:r>
      <w:r w:rsidR="003738E2" w:rsidRPr="00FB1E9B">
        <w:rPr>
          <w:rFonts w:ascii="Fira Sans" w:hAnsi="Fira Sans"/>
          <w:b/>
          <w:color w:val="auto"/>
          <w:spacing w:val="-2"/>
          <w:szCs w:val="19"/>
          <w:shd w:val="clear" w:color="auto" w:fill="FFFFFF"/>
          <w:lang w:val="en-US"/>
        </w:rPr>
        <w:t>2021</w:t>
      </w:r>
      <w:bookmarkStart w:id="0" w:name="_GoBack"/>
      <w:bookmarkEnd w:id="0"/>
    </w:p>
    <w:tbl>
      <w:tblPr>
        <w:tblStyle w:val="Siatkatabelijasna11"/>
        <w:tblW w:w="7851" w:type="dxa"/>
        <w:jc w:val="center"/>
        <w:tblBorders>
          <w:top w:val="single" w:sz="8" w:space="0" w:color="212492"/>
          <w:left w:val="none" w:sz="0" w:space="0" w:color="auto"/>
          <w:bottom w:val="single" w:sz="8" w:space="0" w:color="001D77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Price indices of residential premises in the third quarter of 2021"/>
      </w:tblPr>
      <w:tblGrid>
        <w:gridCol w:w="2419"/>
        <w:gridCol w:w="1810"/>
        <w:gridCol w:w="1811"/>
        <w:gridCol w:w="1811"/>
      </w:tblGrid>
      <w:tr w:rsidR="001F327E" w:rsidRPr="007D15EA" w:rsidTr="00B100C5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FB1E9B" w:rsidRDefault="00547FBF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Cs w:val="19"/>
                <w:lang w:val="en-GB" w:eastAsia="pl-PL"/>
              </w:rPr>
            </w:pPr>
            <w:r w:rsidRPr="00FB1E9B">
              <w:rPr>
                <w:rFonts w:eastAsia="Times New Roman" w:cs="Arial"/>
                <w:bCs/>
                <w:color w:val="000000"/>
                <w:szCs w:val="19"/>
                <w:lang w:val="en-GB"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FB1E9B" w:rsidRDefault="00F1327C" w:rsidP="000824D1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  <w:lang w:val="en-GB"/>
              </w:rPr>
            </w:pPr>
            <w:r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>Q</w:t>
            </w:r>
            <w:r w:rsidR="000824D1"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>4</w:t>
            </w:r>
            <w:r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 xml:space="preserve"> </w:t>
            </w:r>
            <w:r w:rsidR="001F327E"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>202</w:t>
            </w:r>
            <w:r w:rsidR="003738E2"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>1</w:t>
            </w:r>
          </w:p>
        </w:tc>
      </w:tr>
      <w:tr w:rsidR="001F327E" w:rsidRPr="007D15EA" w:rsidTr="00B100C5">
        <w:trPr>
          <w:trHeight w:val="389"/>
          <w:jc w:val="center"/>
        </w:trPr>
        <w:tc>
          <w:tcPr>
            <w:tcW w:w="2419" w:type="dxa"/>
            <w:vMerge/>
            <w:vAlign w:val="center"/>
          </w:tcPr>
          <w:p w:rsidR="001F327E" w:rsidRPr="00FB1E9B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Cs w:val="19"/>
                <w:lang w:val="en-GB" w:eastAsia="pl-PL"/>
              </w:rPr>
            </w:pPr>
          </w:p>
        </w:tc>
        <w:tc>
          <w:tcPr>
            <w:tcW w:w="1810" w:type="dxa"/>
            <w:vAlign w:val="center"/>
          </w:tcPr>
          <w:p w:rsidR="001F327E" w:rsidRPr="00FB1E9B" w:rsidRDefault="00F1327C" w:rsidP="000824D1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Cs w:val="19"/>
                <w:lang w:val="en-GB"/>
              </w:rPr>
            </w:pPr>
            <w:r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Q</w:t>
            </w:r>
            <w:r w:rsidR="000824D1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3</w:t>
            </w:r>
            <w:r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 xml:space="preserve"> </w:t>
            </w:r>
            <w:r w:rsidR="001F327E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20</w:t>
            </w:r>
            <w:r w:rsidR="00157425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2</w:t>
            </w:r>
            <w:r w:rsidR="00D25590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1</w:t>
            </w:r>
            <w:r w:rsidR="001F327E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=100</w:t>
            </w:r>
          </w:p>
        </w:tc>
        <w:tc>
          <w:tcPr>
            <w:tcW w:w="1811" w:type="dxa"/>
            <w:vAlign w:val="center"/>
          </w:tcPr>
          <w:p w:rsidR="001F327E" w:rsidRPr="00FB1E9B" w:rsidRDefault="00F1327C" w:rsidP="000824D1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Cs w:val="19"/>
                <w:lang w:val="en-GB"/>
              </w:rPr>
            </w:pPr>
            <w:r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Q</w:t>
            </w:r>
            <w:r w:rsidR="000824D1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4</w:t>
            </w:r>
            <w:r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 xml:space="preserve"> </w:t>
            </w:r>
            <w:r w:rsidR="001F327E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20</w:t>
            </w:r>
            <w:r w:rsidR="003738E2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20</w:t>
            </w:r>
            <w:r w:rsidR="001F327E"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=100</w:t>
            </w:r>
          </w:p>
        </w:tc>
        <w:tc>
          <w:tcPr>
            <w:tcW w:w="1811" w:type="dxa"/>
            <w:vAlign w:val="center"/>
          </w:tcPr>
          <w:p w:rsidR="001F327E" w:rsidRPr="00FB1E9B" w:rsidRDefault="001F327E" w:rsidP="00F1327C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Cs w:val="19"/>
              </w:rPr>
            </w:pPr>
            <w:r w:rsidRPr="00FB1E9B">
              <w:rPr>
                <w:rFonts w:eastAsia="Fira Sans Light" w:cs="Times New Roman"/>
                <w:color w:val="000000"/>
                <w:szCs w:val="19"/>
              </w:rPr>
              <w:t>2015=100</w:t>
            </w:r>
          </w:p>
        </w:tc>
      </w:tr>
      <w:tr w:rsidR="000824D1" w:rsidRPr="007D15EA" w:rsidTr="00B100C5">
        <w:trPr>
          <w:trHeight w:val="56"/>
          <w:jc w:val="center"/>
        </w:trPr>
        <w:tc>
          <w:tcPr>
            <w:tcW w:w="2419" w:type="dxa"/>
            <w:vAlign w:val="center"/>
          </w:tcPr>
          <w:p w:rsidR="000824D1" w:rsidRPr="00FB1E9B" w:rsidRDefault="00547FBF" w:rsidP="000824D1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Cs w:val="19"/>
                <w:lang w:val="en-GB"/>
              </w:rPr>
            </w:pPr>
            <w:r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>Total</w:t>
            </w:r>
          </w:p>
        </w:tc>
        <w:tc>
          <w:tcPr>
            <w:tcW w:w="1810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103.9</w:t>
            </w:r>
          </w:p>
        </w:tc>
        <w:tc>
          <w:tcPr>
            <w:tcW w:w="1811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112.1</w:t>
            </w:r>
          </w:p>
        </w:tc>
        <w:tc>
          <w:tcPr>
            <w:tcW w:w="1811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155.2</w:t>
            </w:r>
          </w:p>
        </w:tc>
      </w:tr>
      <w:tr w:rsidR="000824D1" w:rsidRPr="007D15EA" w:rsidTr="00B100C5">
        <w:trPr>
          <w:trHeight w:val="56"/>
          <w:jc w:val="center"/>
        </w:trPr>
        <w:tc>
          <w:tcPr>
            <w:tcW w:w="2419" w:type="dxa"/>
            <w:vAlign w:val="center"/>
          </w:tcPr>
          <w:p w:rsidR="000824D1" w:rsidRPr="00FB1E9B" w:rsidRDefault="000824D1" w:rsidP="000824D1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Cs w:val="19"/>
                <w:lang w:val="en-GB"/>
              </w:rPr>
            </w:pPr>
            <w:r w:rsidRPr="00FB1E9B">
              <w:rPr>
                <w:rFonts w:eastAsia="Times New Roman" w:cs="Times New Roman"/>
                <w:color w:val="000000"/>
                <w:szCs w:val="19"/>
                <w:lang w:val="en-GB"/>
              </w:rPr>
              <w:t>Primary market</w:t>
            </w:r>
          </w:p>
        </w:tc>
        <w:tc>
          <w:tcPr>
            <w:tcW w:w="1810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104.2</w:t>
            </w:r>
          </w:p>
        </w:tc>
        <w:tc>
          <w:tcPr>
            <w:tcW w:w="1811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</w:t>
            </w:r>
            <w:r w:rsidR="00174091" w:rsidRPr="00FB1E9B">
              <w:rPr>
                <w:szCs w:val="19"/>
              </w:rPr>
              <w:t>11.9</w:t>
            </w:r>
          </w:p>
        </w:tc>
        <w:tc>
          <w:tcPr>
            <w:tcW w:w="1811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143.0</w:t>
            </w:r>
          </w:p>
        </w:tc>
      </w:tr>
      <w:tr w:rsidR="000824D1" w:rsidRPr="007D15EA" w:rsidTr="00B100C5">
        <w:trPr>
          <w:trHeight w:val="56"/>
          <w:jc w:val="center"/>
        </w:trPr>
        <w:tc>
          <w:tcPr>
            <w:tcW w:w="2419" w:type="dxa"/>
            <w:vAlign w:val="center"/>
          </w:tcPr>
          <w:p w:rsidR="000824D1" w:rsidRPr="00FB1E9B" w:rsidRDefault="000824D1" w:rsidP="000824D1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Cs w:val="19"/>
                <w:lang w:val="en-GB"/>
              </w:rPr>
            </w:pPr>
            <w:r w:rsidRPr="00FB1E9B">
              <w:rPr>
                <w:rFonts w:eastAsia="Fira Sans Light" w:cs="Times New Roman"/>
                <w:color w:val="000000"/>
                <w:szCs w:val="19"/>
                <w:lang w:val="en-GB"/>
              </w:rPr>
              <w:t>Secondary market</w:t>
            </w:r>
          </w:p>
        </w:tc>
        <w:tc>
          <w:tcPr>
            <w:tcW w:w="1810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103.7</w:t>
            </w:r>
          </w:p>
        </w:tc>
        <w:tc>
          <w:tcPr>
            <w:tcW w:w="1811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112.2</w:t>
            </w:r>
          </w:p>
        </w:tc>
        <w:tc>
          <w:tcPr>
            <w:tcW w:w="1811" w:type="dxa"/>
            <w:shd w:val="clear" w:color="auto" w:fill="auto"/>
          </w:tcPr>
          <w:p w:rsidR="000824D1" w:rsidRPr="00FB1E9B" w:rsidRDefault="000824D1" w:rsidP="00FB1E9B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B1E9B">
              <w:rPr>
                <w:szCs w:val="19"/>
              </w:rPr>
              <w:t>165.8</w:t>
            </w:r>
          </w:p>
        </w:tc>
      </w:tr>
    </w:tbl>
    <w:p w:rsidR="00877C40" w:rsidRPr="00547FBF" w:rsidRDefault="00553BB8" w:rsidP="001F327E">
      <w:pPr>
        <w:spacing w:before="240" w:after="0"/>
        <w:ind w:right="-155"/>
        <w:rPr>
          <w:rFonts w:ascii="Fira Sans SemiBold" w:hAnsi="Fira Sans SemiBold"/>
          <w:b/>
          <w:sz w:val="18"/>
          <w:lang w:val="en-US"/>
        </w:rPr>
      </w:pPr>
      <w:r w:rsidRPr="00547FBF">
        <w:rPr>
          <w:rFonts w:ascii="Fira Sans SemiBold" w:hAnsi="Fira Sans SemiBold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 descr="When compiling price indices of residential premises in 2021, the secondary market is assigned a weight of 52.0% and the primary market – 48.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</w:t>
                            </w:r>
                            <w:r w:rsidR="003738E2">
                              <w:rPr>
                                <w:lang w:val="en-US"/>
                              </w:rPr>
                              <w:t>1</w:t>
                            </w:r>
                            <w:r w:rsidR="001F327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weight of </w:t>
                            </w:r>
                            <w:r w:rsidR="003738E2">
                              <w:rPr>
                                <w:lang w:val="en-US"/>
                              </w:rPr>
                              <w:t>52.0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mary market – </w:t>
                            </w:r>
                            <w:r w:rsidR="003738E2">
                              <w:rPr>
                                <w:lang w:val="en-US"/>
                              </w:rPr>
                              <w:t>48.0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When compiling price indices of residential premises in 2021, the secondary market is assigned a weight of 52.0% and the primary market – 48.0%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</w:t>
                      </w:r>
                      <w:r w:rsidR="003738E2">
                        <w:rPr>
                          <w:lang w:val="en-US"/>
                        </w:rPr>
                        <w:t>1</w:t>
                      </w:r>
                      <w:r w:rsidR="001F327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 xml:space="preserve">weight of </w:t>
                      </w:r>
                      <w:r w:rsidR="003738E2">
                        <w:rPr>
                          <w:lang w:val="en-US"/>
                        </w:rPr>
                        <w:t>52.0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 xml:space="preserve">mary market – </w:t>
                      </w:r>
                      <w:r w:rsidR="003738E2">
                        <w:rPr>
                          <w:lang w:val="en-US"/>
                        </w:rPr>
                        <w:t>48.0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547FBF">
        <w:rPr>
          <w:rFonts w:ascii="Fira Sans SemiBold" w:hAnsi="Fira Sans SemiBold"/>
          <w:b/>
          <w:sz w:val="18"/>
          <w:lang w:val="en-US"/>
        </w:rPr>
        <w:t>Chart</w:t>
      </w:r>
      <w:r w:rsidR="00C44EB3" w:rsidRPr="00547FBF">
        <w:rPr>
          <w:rFonts w:ascii="Fira Sans SemiBold" w:hAnsi="Fira Sans SemiBold"/>
          <w:b/>
          <w:sz w:val="18"/>
          <w:lang w:val="en-US"/>
        </w:rPr>
        <w:t xml:space="preserve"> 1. </w:t>
      </w:r>
      <w:r w:rsidR="00B12F6E" w:rsidRPr="00547FBF">
        <w:rPr>
          <w:rFonts w:ascii="Fira Sans SemiBold" w:hAnsi="Fira Sans SemiBold"/>
          <w:b/>
          <w:sz w:val="18"/>
          <w:lang w:val="en-US"/>
        </w:rPr>
        <w:t>Weight</w:t>
      </w:r>
      <w:r w:rsidR="00AB397C" w:rsidRPr="00547FBF">
        <w:rPr>
          <w:rFonts w:ascii="Fira Sans SemiBold" w:hAnsi="Fira Sans SemiBold"/>
          <w:b/>
          <w:sz w:val="18"/>
          <w:lang w:val="en-US"/>
        </w:rPr>
        <w:t>ing</w:t>
      </w:r>
      <w:r w:rsidR="00B12F6E" w:rsidRPr="00547FBF">
        <w:rPr>
          <w:rFonts w:ascii="Fira Sans SemiBold" w:hAnsi="Fira Sans SemiBold"/>
          <w:b/>
          <w:sz w:val="18"/>
          <w:lang w:val="en-US"/>
        </w:rPr>
        <w:t xml:space="preserve"> system used </w:t>
      </w:r>
      <w:r w:rsidR="00AB397C" w:rsidRPr="00547FBF">
        <w:rPr>
          <w:rFonts w:ascii="Fira Sans SemiBold" w:hAnsi="Fira Sans SemiBold"/>
          <w:b/>
          <w:sz w:val="18"/>
          <w:lang w:val="en-US"/>
        </w:rPr>
        <w:t>in the compilations of</w:t>
      </w:r>
      <w:r w:rsidR="006C50D6" w:rsidRPr="00547FBF">
        <w:rPr>
          <w:rFonts w:ascii="Fira Sans SemiBold" w:hAnsi="Fira Sans SemiBold"/>
          <w:b/>
          <w:sz w:val="18"/>
          <w:lang w:val="en-US"/>
        </w:rPr>
        <w:t xml:space="preserve"> </w:t>
      </w:r>
      <w:r w:rsidR="00B12F6E" w:rsidRPr="00547FBF">
        <w:rPr>
          <w:rFonts w:ascii="Fira Sans SemiBold" w:hAnsi="Fira Sans SemiBold"/>
          <w:b/>
          <w:sz w:val="18"/>
          <w:lang w:val="en-US"/>
        </w:rPr>
        <w:t>price ind</w:t>
      </w:r>
      <w:r w:rsidR="00877C40" w:rsidRPr="00547FBF">
        <w:rPr>
          <w:rFonts w:ascii="Fira Sans SemiBold" w:hAnsi="Fira Sans SemiBold"/>
          <w:b/>
          <w:sz w:val="18"/>
          <w:lang w:val="en-US"/>
        </w:rPr>
        <w:t>ices of residential premises</w:t>
      </w:r>
      <w:r w:rsidR="00B0058F" w:rsidRPr="00547FBF">
        <w:rPr>
          <w:rFonts w:ascii="Fira Sans SemiBold" w:hAnsi="Fira Sans SemiBold"/>
          <w:b/>
          <w:sz w:val="18"/>
          <w:lang w:val="en-US"/>
        </w:rPr>
        <w:t xml:space="preserve"> </w:t>
      </w:r>
      <w:r w:rsidR="00877C40" w:rsidRPr="00547FBF">
        <w:rPr>
          <w:rFonts w:ascii="Fira Sans SemiBold" w:hAnsi="Fira Sans SemiBold"/>
          <w:b/>
          <w:sz w:val="18"/>
          <w:lang w:val="en-US"/>
        </w:rPr>
        <w:t xml:space="preserve">in </w:t>
      </w:r>
      <w:r w:rsidR="001F327E" w:rsidRPr="00547FBF">
        <w:rPr>
          <w:rFonts w:ascii="Fira Sans SemiBold" w:hAnsi="Fira Sans SemiBold"/>
          <w:b/>
          <w:sz w:val="18"/>
          <w:lang w:val="en-US"/>
        </w:rPr>
        <w:t>202</w:t>
      </w:r>
      <w:r w:rsidR="00FA4E24" w:rsidRPr="00547FBF">
        <w:rPr>
          <w:rFonts w:ascii="Fira Sans SemiBold" w:hAnsi="Fira Sans SemiBold"/>
          <w:b/>
          <w:sz w:val="18"/>
          <w:lang w:val="en-US"/>
        </w:rPr>
        <w:t>1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72391</wp:posOffset>
            </wp:positionV>
            <wp:extent cx="5075555" cy="914400"/>
            <wp:effectExtent l="0" t="0" r="0" b="0"/>
            <wp:wrapNone/>
            <wp:docPr id="8" name="Wykres 8" descr="Weighting system used in the compilations of price indices of residential premises in 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Pr="003A407C" w:rsidRDefault="00D309C3" w:rsidP="003A407C">
      <w:pPr>
        <w:spacing w:before="0" w:after="0"/>
        <w:rPr>
          <w:b/>
          <w:sz w:val="14"/>
          <w:szCs w:val="14"/>
          <w:lang w:val="en-US"/>
        </w:rPr>
      </w:pPr>
    </w:p>
    <w:p w:rsidR="006E095C" w:rsidRPr="00547FBF" w:rsidRDefault="00C04936" w:rsidP="001D3639">
      <w:pPr>
        <w:rPr>
          <w:rFonts w:ascii="Fira Sans SemiBold" w:hAnsi="Fira Sans SemiBold"/>
          <w:b/>
          <w:sz w:val="18"/>
          <w:lang w:val="en-US"/>
        </w:rPr>
      </w:pPr>
      <w:r w:rsidRPr="00547FBF">
        <w:rPr>
          <w:rFonts w:ascii="Fira Sans SemiBold" w:hAnsi="Fira Sans SemiBold"/>
          <w:b/>
          <w:sz w:val="18"/>
          <w:lang w:val="en-US"/>
        </w:rPr>
        <w:t>Chart</w:t>
      </w:r>
      <w:r w:rsidR="00AA6B32" w:rsidRPr="00547FBF">
        <w:rPr>
          <w:rFonts w:ascii="Fira Sans SemiBold" w:hAnsi="Fira Sans SemiBold"/>
          <w:b/>
          <w:sz w:val="18"/>
          <w:lang w:val="en-US"/>
        </w:rPr>
        <w:t xml:space="preserve"> 2</w:t>
      </w:r>
      <w:r w:rsidR="00D24CF3" w:rsidRPr="00547FBF">
        <w:rPr>
          <w:rFonts w:ascii="Fira Sans SemiBold" w:hAnsi="Fira Sans SemiBold"/>
          <w:b/>
          <w:sz w:val="18"/>
          <w:lang w:val="en-US"/>
        </w:rPr>
        <w:t xml:space="preserve">. </w:t>
      </w:r>
      <w:r w:rsidR="00B14CB7" w:rsidRPr="00547FBF">
        <w:rPr>
          <w:rFonts w:ascii="Fira Sans SemiBold" w:hAnsi="Fira Sans SemiBold"/>
          <w:b/>
          <w:sz w:val="18"/>
          <w:lang w:val="en-US"/>
        </w:rPr>
        <w:t>Quarterly c</w:t>
      </w:r>
      <w:r w:rsidR="001D3639" w:rsidRPr="00547FBF">
        <w:rPr>
          <w:rFonts w:ascii="Fira Sans SemiBold" w:hAnsi="Fira Sans SemiBold"/>
          <w:b/>
          <w:sz w:val="18"/>
          <w:lang w:val="en-US"/>
        </w:rPr>
        <w:t>hanges in p</w:t>
      </w:r>
      <w:r w:rsidRPr="00547FBF">
        <w:rPr>
          <w:rFonts w:ascii="Fira Sans SemiBold" w:hAnsi="Fira Sans SemiBold"/>
          <w:b/>
          <w:sz w:val="18"/>
          <w:lang w:val="en-US"/>
        </w:rPr>
        <w:t xml:space="preserve">rices of residential premises compared </w:t>
      </w:r>
      <w:r w:rsidR="001D3639" w:rsidRPr="00547FBF">
        <w:rPr>
          <w:rFonts w:ascii="Fira Sans SemiBold" w:hAnsi="Fira Sans SemiBold"/>
          <w:b/>
          <w:sz w:val="18"/>
          <w:lang w:val="en-US"/>
        </w:rPr>
        <w:t>to</w:t>
      </w:r>
      <w:r w:rsidRPr="00547FBF">
        <w:rPr>
          <w:rFonts w:ascii="Fira Sans SemiBold" w:hAnsi="Fira Sans SemiBold"/>
          <w:b/>
          <w:sz w:val="18"/>
          <w:lang w:val="en-US"/>
        </w:rPr>
        <w:t xml:space="preserve"> the previous quarter</w:t>
      </w:r>
    </w:p>
    <w:p w:rsidR="0087115A" w:rsidRPr="000F2982" w:rsidRDefault="003A407C" w:rsidP="00ED1246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134D4B46" wp14:editId="32D117B4">
            <wp:extent cx="5122545" cy="2807970"/>
            <wp:effectExtent l="0" t="0" r="1905" b="0"/>
            <wp:docPr id="1" name="Wykres 1" descr="Quarterly changes in prices of residential premises compared to the previous quarter in years 2011-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E095C" w:rsidRPr="00547FBF" w:rsidRDefault="005F2681" w:rsidP="00B14CB7">
      <w:pPr>
        <w:spacing w:before="240" w:after="0" w:line="259" w:lineRule="auto"/>
        <w:ind w:left="709" w:hanging="709"/>
        <w:rPr>
          <w:rFonts w:ascii="Fira Sans SemiBold" w:hAnsi="Fira Sans SemiBold"/>
          <w:b/>
          <w:sz w:val="18"/>
          <w:lang w:val="en-US"/>
        </w:rPr>
      </w:pPr>
      <w:r w:rsidRPr="00547FBF">
        <w:rPr>
          <w:rFonts w:ascii="Fira Sans SemiBold" w:hAnsi="Fira Sans SemiBold"/>
          <w:b/>
          <w:sz w:val="18"/>
          <w:lang w:val="en-US"/>
        </w:rPr>
        <w:lastRenderedPageBreak/>
        <w:t>Chart</w:t>
      </w:r>
      <w:r w:rsidR="006E095C" w:rsidRPr="00547FBF">
        <w:rPr>
          <w:rFonts w:ascii="Fira Sans SemiBold" w:hAnsi="Fira Sans SemiBold"/>
          <w:b/>
          <w:sz w:val="18"/>
          <w:lang w:val="en-US"/>
        </w:rPr>
        <w:t xml:space="preserve"> 3. </w:t>
      </w:r>
      <w:r w:rsidR="00B14CB7" w:rsidRPr="00547FBF">
        <w:rPr>
          <w:rFonts w:ascii="Fira Sans SemiBold" w:hAnsi="Fira Sans SemiBold"/>
          <w:b/>
          <w:sz w:val="18"/>
          <w:lang w:val="en-US"/>
        </w:rPr>
        <w:t xml:space="preserve">Quarterly </w:t>
      </w:r>
      <w:r w:rsidR="00841D17" w:rsidRPr="00547FBF">
        <w:rPr>
          <w:rFonts w:ascii="Fira Sans SemiBold" w:hAnsi="Fira Sans SemiBold"/>
          <w:b/>
          <w:sz w:val="18"/>
          <w:lang w:val="en-US"/>
        </w:rPr>
        <w:t>c</w:t>
      </w:r>
      <w:r w:rsidR="0057227D" w:rsidRPr="00547FBF">
        <w:rPr>
          <w:rFonts w:ascii="Fira Sans SemiBold" w:hAnsi="Fira Sans SemiBold"/>
          <w:b/>
          <w:sz w:val="18"/>
          <w:lang w:val="en-US"/>
        </w:rPr>
        <w:t>hanges in p</w:t>
      </w:r>
      <w:r w:rsidR="00EC646D" w:rsidRPr="00547FBF">
        <w:rPr>
          <w:rFonts w:ascii="Fira Sans SemiBold" w:hAnsi="Fira Sans SemiBold"/>
          <w:b/>
          <w:sz w:val="18"/>
          <w:lang w:val="en-US"/>
        </w:rPr>
        <w:t xml:space="preserve">rices of residential premises </w:t>
      </w:r>
      <w:r w:rsidR="0057227D" w:rsidRPr="00547FBF">
        <w:rPr>
          <w:rFonts w:ascii="Fira Sans SemiBold" w:hAnsi="Fira Sans SemiBold"/>
          <w:b/>
          <w:sz w:val="18"/>
          <w:lang w:val="en-US"/>
        </w:rPr>
        <w:t>c</w:t>
      </w:r>
      <w:r w:rsidR="00C93808" w:rsidRPr="00547FBF">
        <w:rPr>
          <w:rFonts w:ascii="Fira Sans SemiBold" w:hAnsi="Fira Sans SemiBold"/>
          <w:b/>
          <w:sz w:val="18"/>
          <w:lang w:val="en-US"/>
        </w:rPr>
        <w:t xml:space="preserve">ompared </w:t>
      </w:r>
      <w:r w:rsidR="0057227D" w:rsidRPr="00547FBF">
        <w:rPr>
          <w:rFonts w:ascii="Fira Sans SemiBold" w:hAnsi="Fira Sans SemiBold"/>
          <w:b/>
          <w:sz w:val="18"/>
          <w:lang w:val="en-US"/>
        </w:rPr>
        <w:t>to</w:t>
      </w:r>
      <w:r w:rsidR="00C93808" w:rsidRPr="00547FBF">
        <w:rPr>
          <w:rFonts w:ascii="Fira Sans SemiBold" w:hAnsi="Fira Sans SemiBold"/>
          <w:b/>
          <w:sz w:val="18"/>
          <w:lang w:val="en-US"/>
        </w:rPr>
        <w:t xml:space="preserve"> the c</w:t>
      </w:r>
      <w:r w:rsidR="002D72B8" w:rsidRPr="00547FBF">
        <w:rPr>
          <w:rFonts w:ascii="Fira Sans SemiBold" w:hAnsi="Fira Sans SemiBold"/>
          <w:b/>
          <w:sz w:val="18"/>
          <w:lang w:val="en-US"/>
        </w:rPr>
        <w:t xml:space="preserve">orresponding </w:t>
      </w:r>
      <w:r w:rsidR="00B14CB7" w:rsidRPr="00547FBF">
        <w:rPr>
          <w:rFonts w:ascii="Fira Sans SemiBold" w:hAnsi="Fira Sans SemiBold"/>
          <w:b/>
          <w:sz w:val="18"/>
          <w:lang w:val="en-US"/>
        </w:rPr>
        <w:br/>
      </w:r>
      <w:r w:rsidR="002D72B8" w:rsidRPr="00547FBF">
        <w:rPr>
          <w:rFonts w:ascii="Fira Sans SemiBold" w:hAnsi="Fira Sans SemiBold"/>
          <w:b/>
          <w:sz w:val="18"/>
          <w:lang w:val="en-US"/>
        </w:rPr>
        <w:t>quarter of</w:t>
      </w:r>
      <w:r w:rsidR="00B14CB7" w:rsidRPr="00547FBF">
        <w:rPr>
          <w:rFonts w:ascii="Fira Sans SemiBold" w:hAnsi="Fira Sans SemiBold"/>
          <w:b/>
          <w:sz w:val="18"/>
          <w:lang w:val="en-US"/>
        </w:rPr>
        <w:t xml:space="preserve"> </w:t>
      </w:r>
      <w:r w:rsidR="00C93808" w:rsidRPr="00547FBF">
        <w:rPr>
          <w:rFonts w:ascii="Fira Sans SemiBold" w:hAnsi="Fira Sans SemiBold"/>
          <w:b/>
          <w:sz w:val="18"/>
          <w:lang w:val="en-US"/>
        </w:rPr>
        <w:t>the previous year</w:t>
      </w:r>
    </w:p>
    <w:p w:rsidR="000C0AC8" w:rsidRPr="00C93808" w:rsidRDefault="003A407C" w:rsidP="00CF3ADE">
      <w:pPr>
        <w:spacing w:before="240" w:after="0" w:line="259" w:lineRule="auto"/>
        <w:ind w:left="709" w:hanging="567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1D933E83" wp14:editId="043AD0BF">
            <wp:extent cx="5122545" cy="3352800"/>
            <wp:effectExtent l="0" t="0" r="1905" b="0"/>
            <wp:docPr id="14" name="Wykres 14" descr="Quarterly changes in prices of residential premises compared to the corresponding  quarter of the previous year in years 2011-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Pr="00547FBF" w:rsidRDefault="00553BB8" w:rsidP="0087115A">
      <w:pPr>
        <w:spacing w:before="0" w:after="160" w:line="259" w:lineRule="auto"/>
        <w:rPr>
          <w:rFonts w:ascii="Fira Sans SemiBold" w:hAnsi="Fira Sans SemiBold"/>
          <w:b/>
          <w:sz w:val="18"/>
          <w:lang w:val="en-US"/>
        </w:rPr>
      </w:pPr>
      <w:r w:rsidRPr="00547FBF">
        <w:rPr>
          <w:rFonts w:ascii="Fira Sans SemiBold" w:hAnsi="Fira Sans SemiBold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 descr="Prices of residential premises in the second quarter of 2021 were by 55.2% higher compared to the average price for 2015 (of which on the primary &#10;market – by 43.0% and on the secondary market – by 65.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A621D3">
                              <w:rPr>
                                <w:lang w:val="en-US"/>
                              </w:rPr>
                              <w:t>second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</w:t>
                            </w:r>
                            <w:r w:rsidR="00FA4E24">
                              <w:rPr>
                                <w:lang w:val="en-US"/>
                              </w:rPr>
                              <w:t xml:space="preserve">1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0824D1">
                              <w:rPr>
                                <w:lang w:val="en-US"/>
                              </w:rPr>
                              <w:t>55.2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0824D1">
                              <w:rPr>
                                <w:lang w:val="en-US"/>
                              </w:rPr>
                              <w:t>43.0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0824D1">
                              <w:rPr>
                                <w:lang w:val="en-US"/>
                              </w:rPr>
                              <w:t>65.8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Prices of residential premises in the second quarter of 2021 were by 55.2% higher compared to the average price for 2015 (of which on the primary &#10;market – by 43.0% and on the secondary market – by 65.8%)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A621D3">
                        <w:rPr>
                          <w:lang w:val="en-US"/>
                        </w:rPr>
                        <w:t>second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</w:t>
                      </w:r>
                      <w:r w:rsidR="00FA4E24">
                        <w:rPr>
                          <w:lang w:val="en-US"/>
                        </w:rPr>
                        <w:t xml:space="preserve">1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0824D1">
                        <w:rPr>
                          <w:lang w:val="en-US"/>
                        </w:rPr>
                        <w:t>55.2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0824D1">
                        <w:rPr>
                          <w:lang w:val="en-US"/>
                        </w:rPr>
                        <w:t>43.0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0824D1">
                        <w:rPr>
                          <w:lang w:val="en-US"/>
                        </w:rPr>
                        <w:t>65.8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547FBF">
        <w:rPr>
          <w:rFonts w:ascii="Fira Sans SemiBold" w:hAnsi="Fira Sans SemiBold"/>
          <w:b/>
          <w:sz w:val="18"/>
          <w:lang w:val="en-US"/>
        </w:rPr>
        <w:t>Chart</w:t>
      </w:r>
      <w:r w:rsidR="0087115A" w:rsidRPr="00547FBF">
        <w:rPr>
          <w:rFonts w:ascii="Fira Sans SemiBold" w:hAnsi="Fira Sans SemiBold"/>
          <w:b/>
          <w:sz w:val="18"/>
          <w:lang w:val="en-US"/>
        </w:rPr>
        <w:t xml:space="preserve"> 4. </w:t>
      </w:r>
      <w:r w:rsidR="00505EF2" w:rsidRPr="00547FBF">
        <w:rPr>
          <w:rFonts w:ascii="Fira Sans SemiBold" w:hAnsi="Fira Sans SemiBold"/>
          <w:b/>
          <w:sz w:val="18"/>
          <w:lang w:val="en-US"/>
        </w:rPr>
        <w:t>Quarterly c</w:t>
      </w:r>
      <w:r w:rsidR="0057227D" w:rsidRPr="00547FBF">
        <w:rPr>
          <w:rFonts w:ascii="Fira Sans SemiBold" w:hAnsi="Fira Sans SemiBold"/>
          <w:b/>
          <w:sz w:val="18"/>
          <w:lang w:val="en-US"/>
        </w:rPr>
        <w:t>hanges in p</w:t>
      </w:r>
      <w:r w:rsidR="00BE22CE" w:rsidRPr="00547FBF">
        <w:rPr>
          <w:rFonts w:ascii="Fira Sans SemiBold" w:hAnsi="Fira Sans SemiBold"/>
          <w:b/>
          <w:sz w:val="18"/>
          <w:lang w:val="en-US"/>
        </w:rPr>
        <w:t xml:space="preserve">rices of residential premises compared </w:t>
      </w:r>
      <w:r w:rsidR="0057227D" w:rsidRPr="00547FBF">
        <w:rPr>
          <w:rFonts w:ascii="Fira Sans SemiBold" w:hAnsi="Fira Sans SemiBold"/>
          <w:b/>
          <w:sz w:val="18"/>
          <w:lang w:val="en-US"/>
        </w:rPr>
        <w:t>to</w:t>
      </w:r>
      <w:r w:rsidR="00BE22CE" w:rsidRPr="00547FBF">
        <w:rPr>
          <w:rFonts w:ascii="Fira Sans SemiBold" w:hAnsi="Fira Sans SemiBold"/>
          <w:b/>
          <w:sz w:val="18"/>
          <w:lang w:val="en-US"/>
        </w:rPr>
        <w:t xml:space="preserve"> 2015</w:t>
      </w:r>
    </w:p>
    <w:p w:rsidR="00B30C2B" w:rsidRPr="00BE22CE" w:rsidRDefault="003A407C" w:rsidP="00CF3ADE">
      <w:pPr>
        <w:spacing w:before="0" w:after="160" w:line="259" w:lineRule="auto"/>
        <w:ind w:firstLine="142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6383280A" wp14:editId="57A28824">
            <wp:extent cx="5122545" cy="4200525"/>
            <wp:effectExtent l="0" t="0" r="1905" b="0"/>
            <wp:docPr id="17" name="Wykres 17" descr="Quarterly changes in prices of residential premises compared to 2015 in years 2011-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52F0" w:rsidRPr="003A407C" w:rsidRDefault="00553BB8" w:rsidP="005A45AB">
      <w:pPr>
        <w:spacing w:before="0" w:after="160" w:line="259" w:lineRule="auto"/>
        <w:rPr>
          <w:b/>
          <w:szCs w:val="19"/>
          <w:lang w:val="en-US"/>
        </w:rPr>
      </w:pPr>
      <w:r w:rsidRPr="003A407C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739775</wp:posOffset>
                </wp:positionV>
                <wp:extent cx="1743075" cy="1819275"/>
                <wp:effectExtent l="0" t="0" r="0" b="0"/>
                <wp:wrapTight wrapText="bothSides">
                  <wp:wrapPolygon edited="0">
                    <wp:start x="708" y="0"/>
                    <wp:lineTo x="708" y="21261"/>
                    <wp:lineTo x="20774" y="21261"/>
                    <wp:lineTo x="20774" y="0"/>
                    <wp:lineTo x="708" y="0"/>
                  </wp:wrapPolygon>
                </wp:wrapTight>
                <wp:docPr id="11" name="Pole tekstowe 6" descr="In the 4th quarter of 2021, compared to the 4th quarter of 2020, the highest increase in prices of residential &#10;premises was recorded &#10;in the Warminsko-Mazurskie Voivodship (by 15.2%), but the lowest growth was in the Lubuskie Voivodship (by 7.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73C" w:rsidRPr="00C9473C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0824D1">
                              <w:rPr>
                                <w:lang w:val="en-US"/>
                              </w:rPr>
                              <w:t>4th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</w:t>
                            </w:r>
                            <w:r w:rsidR="00C9473C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, compared to </w:t>
                            </w:r>
                            <w:r w:rsidR="00950DB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0824D1">
                              <w:rPr>
                                <w:lang w:val="en-US"/>
                              </w:rPr>
                              <w:t>4th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</w:t>
                            </w:r>
                            <w:r w:rsidR="00CF3ADE">
                              <w:rPr>
                                <w:lang w:val="en-US"/>
                              </w:rPr>
                              <w:br/>
                            </w:r>
                            <w:r w:rsidR="0057227D">
                              <w:rPr>
                                <w:lang w:val="en-US"/>
                              </w:rPr>
                              <w:t xml:space="preserve">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</w:t>
                            </w:r>
                            <w:r w:rsidR="000F2982">
                              <w:rPr>
                                <w:lang w:val="en-US"/>
                              </w:rPr>
                              <w:br/>
                            </w:r>
                            <w:r w:rsidR="00D41C51">
                              <w:rPr>
                                <w:lang w:val="en-US"/>
                              </w:rPr>
                              <w:t xml:space="preserve">in the </w:t>
                            </w:r>
                            <w:proofErr w:type="spellStart"/>
                            <w:r w:rsidR="000824D1">
                              <w:rPr>
                                <w:lang w:val="en-US"/>
                              </w:rPr>
                              <w:t>Warminsko-Mazurskie</w:t>
                            </w:r>
                            <w:proofErr w:type="spellEnd"/>
                            <w:r w:rsidR="00A621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0824D1">
                              <w:rPr>
                                <w:lang w:val="en-US"/>
                              </w:rPr>
                              <w:t>15.2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 w:rsidR="00CF3ADE">
                              <w:rPr>
                                <w:lang w:val="en-US"/>
                              </w:rPr>
                              <w:t>lowest growth</w:t>
                            </w:r>
                            <w:r w:rsidR="00A621D3">
                              <w:rPr>
                                <w:lang w:val="en-US"/>
                              </w:rPr>
                              <w:t xml:space="preserve"> was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3ADE">
                              <w:rPr>
                                <w:lang w:val="en-US"/>
                              </w:rPr>
                              <w:br/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proofErr w:type="spellStart"/>
                            <w:r w:rsidR="000824D1">
                              <w:rPr>
                                <w:lang w:val="en-US"/>
                              </w:rPr>
                              <w:t>Lubu</w:t>
                            </w:r>
                            <w:r w:rsidR="00A621D3">
                              <w:rPr>
                                <w:lang w:val="en-US"/>
                              </w:rPr>
                              <w:t>skie</w:t>
                            </w:r>
                            <w:proofErr w:type="spellEnd"/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C9473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621D3">
                              <w:rPr>
                                <w:lang w:val="en-US"/>
                              </w:rPr>
                              <w:t xml:space="preserve">(by </w:t>
                            </w:r>
                            <w:r w:rsidR="000824D1">
                              <w:rPr>
                                <w:lang w:val="en-US"/>
                              </w:rPr>
                              <w:t>7.6</w:t>
                            </w:r>
                            <w:r w:rsidR="00A621D3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alt="In the 4th quarter of 2021, compared to the 4th quarter of 2020, the highest increase in prices of residential &#10;premises was recorded &#10;in the Warminsko-Mazurskie Voivodship (by 15.2%), but the lowest growth was in the Lubuskie Voivodship (by 7.6%)" style="position:absolute;margin-left:413.25pt;margin-top:58.25pt;width:137.25pt;height:143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" filled="f" stroked="f">
                <v:textbox>
                  <w:txbxContent>
                    <w:p w:rsidR="00C9473C" w:rsidRPr="00C9473C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0824D1">
                        <w:rPr>
                          <w:lang w:val="en-US"/>
                        </w:rPr>
                        <w:t>4th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</w:t>
                      </w:r>
                      <w:r w:rsidR="00C9473C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, compared to </w:t>
                      </w:r>
                      <w:r w:rsidR="00950DBD">
                        <w:rPr>
                          <w:lang w:val="en-US"/>
                        </w:rPr>
                        <w:t xml:space="preserve">the </w:t>
                      </w:r>
                      <w:r w:rsidR="000824D1">
                        <w:rPr>
                          <w:lang w:val="en-US"/>
                        </w:rPr>
                        <w:t>4th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</w:t>
                      </w:r>
                      <w:r w:rsidR="00CF3ADE">
                        <w:rPr>
                          <w:lang w:val="en-US"/>
                        </w:rPr>
                        <w:br/>
                      </w:r>
                      <w:r w:rsidR="0057227D">
                        <w:rPr>
                          <w:lang w:val="en-US"/>
                        </w:rPr>
                        <w:t xml:space="preserve">premises </w:t>
                      </w:r>
                      <w:r w:rsidR="00D41C51">
                        <w:rPr>
                          <w:lang w:val="en-US"/>
                        </w:rPr>
                        <w:t xml:space="preserve">was recorded </w:t>
                      </w:r>
                      <w:r w:rsidR="000F2982">
                        <w:rPr>
                          <w:lang w:val="en-US"/>
                        </w:rPr>
                        <w:br/>
                      </w:r>
                      <w:r w:rsidR="00D41C51">
                        <w:rPr>
                          <w:lang w:val="en-US"/>
                        </w:rPr>
                        <w:t xml:space="preserve">in the </w:t>
                      </w:r>
                      <w:proofErr w:type="spellStart"/>
                      <w:r w:rsidR="000824D1">
                        <w:rPr>
                          <w:lang w:val="en-US"/>
                        </w:rPr>
                        <w:t>Warminsko-Mazurskie</w:t>
                      </w:r>
                      <w:proofErr w:type="spellEnd"/>
                      <w:r w:rsidR="00A621D3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 w:rsidR="000824D1">
                        <w:rPr>
                          <w:lang w:val="en-US"/>
                        </w:rPr>
                        <w:t>15.2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 w:rsidR="00CF3ADE">
                        <w:rPr>
                          <w:lang w:val="en-US"/>
                        </w:rPr>
                        <w:t>lowest growth</w:t>
                      </w:r>
                      <w:r w:rsidR="00A621D3">
                        <w:rPr>
                          <w:lang w:val="en-US"/>
                        </w:rPr>
                        <w:t xml:space="preserve"> was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CF3ADE">
                        <w:rPr>
                          <w:lang w:val="en-US"/>
                        </w:rPr>
                        <w:br/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proofErr w:type="spellStart"/>
                      <w:r w:rsidR="000824D1">
                        <w:rPr>
                          <w:lang w:val="en-US"/>
                        </w:rPr>
                        <w:t>Lubu</w:t>
                      </w:r>
                      <w:r w:rsidR="00A621D3">
                        <w:rPr>
                          <w:lang w:val="en-US"/>
                        </w:rPr>
                        <w:t>skie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C9473C">
                        <w:rPr>
                          <w:lang w:val="en-US"/>
                        </w:rPr>
                        <w:t xml:space="preserve"> </w:t>
                      </w:r>
                      <w:r w:rsidR="00A621D3">
                        <w:rPr>
                          <w:lang w:val="en-US"/>
                        </w:rPr>
                        <w:t xml:space="preserve">(by </w:t>
                      </w:r>
                      <w:r w:rsidR="000824D1">
                        <w:rPr>
                          <w:lang w:val="en-US"/>
                        </w:rPr>
                        <w:t>7.6</w:t>
                      </w:r>
                      <w:r w:rsidR="00A621D3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3A407C">
        <w:rPr>
          <w:b/>
          <w:szCs w:val="19"/>
          <w:lang w:val="en-US"/>
        </w:rPr>
        <w:t>Table</w:t>
      </w:r>
      <w:r w:rsidR="009E181A" w:rsidRPr="003A407C">
        <w:rPr>
          <w:b/>
          <w:szCs w:val="19"/>
          <w:lang w:val="en-US"/>
        </w:rPr>
        <w:t xml:space="preserve"> 2. </w:t>
      </w:r>
      <w:r w:rsidR="00730963" w:rsidRPr="003A407C">
        <w:rPr>
          <w:b/>
          <w:spacing w:val="-2"/>
          <w:szCs w:val="19"/>
          <w:shd w:val="clear" w:color="auto" w:fill="FFFFFF"/>
          <w:lang w:val="en-US"/>
        </w:rPr>
        <w:t>Price indices of residential premises b</w:t>
      </w:r>
      <w:r w:rsidR="006C50D6" w:rsidRPr="003A407C">
        <w:rPr>
          <w:b/>
          <w:spacing w:val="-2"/>
          <w:szCs w:val="19"/>
          <w:shd w:val="clear" w:color="auto" w:fill="FFFFFF"/>
          <w:lang w:val="en-US"/>
        </w:rPr>
        <w:t xml:space="preserve">y voivodships </w:t>
      </w:r>
      <w:r w:rsidR="0073406E" w:rsidRPr="003A407C">
        <w:rPr>
          <w:b/>
          <w:spacing w:val="-2"/>
          <w:szCs w:val="19"/>
          <w:shd w:val="clear" w:color="auto" w:fill="FFFFFF"/>
          <w:lang w:val="en-US"/>
        </w:rPr>
        <w:t xml:space="preserve">in the </w:t>
      </w:r>
      <w:r w:rsidR="000824D1" w:rsidRPr="003A407C">
        <w:rPr>
          <w:b/>
          <w:spacing w:val="-2"/>
          <w:szCs w:val="19"/>
          <w:shd w:val="clear" w:color="auto" w:fill="FFFFFF"/>
          <w:lang w:val="en-US"/>
        </w:rPr>
        <w:t>fourth</w:t>
      </w:r>
      <w:r w:rsidR="003738E2" w:rsidRPr="003A407C">
        <w:rPr>
          <w:b/>
          <w:spacing w:val="-2"/>
          <w:szCs w:val="19"/>
          <w:shd w:val="clear" w:color="auto" w:fill="FFFFFF"/>
          <w:lang w:val="en-US"/>
        </w:rPr>
        <w:t xml:space="preserve"> </w:t>
      </w:r>
      <w:r w:rsidR="0073406E" w:rsidRPr="003A407C">
        <w:rPr>
          <w:b/>
          <w:spacing w:val="-2"/>
          <w:szCs w:val="19"/>
          <w:shd w:val="clear" w:color="auto" w:fill="FFFFFF"/>
          <w:lang w:val="en-US"/>
        </w:rPr>
        <w:t xml:space="preserve">quarter </w:t>
      </w:r>
      <w:r w:rsidR="00841D17" w:rsidRPr="003A407C">
        <w:rPr>
          <w:b/>
          <w:spacing w:val="-2"/>
          <w:szCs w:val="19"/>
          <w:shd w:val="clear" w:color="auto" w:fill="FFFFFF"/>
          <w:lang w:val="en-US"/>
        </w:rPr>
        <w:t>of</w:t>
      </w:r>
      <w:r w:rsidR="00730963" w:rsidRPr="003A407C">
        <w:rPr>
          <w:b/>
          <w:spacing w:val="-2"/>
          <w:szCs w:val="19"/>
          <w:shd w:val="clear" w:color="auto" w:fill="FFFFFF"/>
          <w:lang w:val="en-US"/>
        </w:rPr>
        <w:t xml:space="preserve"> </w:t>
      </w:r>
      <w:r w:rsidR="001F327E" w:rsidRPr="003A407C">
        <w:rPr>
          <w:b/>
          <w:spacing w:val="-2"/>
          <w:szCs w:val="19"/>
          <w:shd w:val="clear" w:color="auto" w:fill="FFFFFF"/>
          <w:lang w:val="en-US"/>
        </w:rPr>
        <w:t>202</w:t>
      </w:r>
      <w:r w:rsidR="003738E2" w:rsidRPr="003A407C">
        <w:rPr>
          <w:b/>
          <w:spacing w:val="-2"/>
          <w:szCs w:val="19"/>
          <w:shd w:val="clear" w:color="auto" w:fill="FFFFFF"/>
          <w:lang w:val="en-US"/>
        </w:rPr>
        <w:t>1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Price indices of residential premises by voivodships in the fourth quarter of 2021"/>
      </w:tblPr>
      <w:tblGrid>
        <w:gridCol w:w="3494"/>
        <w:gridCol w:w="2278"/>
        <w:gridCol w:w="2278"/>
        <w:gridCol w:w="18"/>
      </w:tblGrid>
      <w:tr w:rsidR="00F95B4F" w:rsidRPr="003A407C" w:rsidTr="003A407C">
        <w:trPr>
          <w:trHeight w:val="57"/>
        </w:trPr>
        <w:tc>
          <w:tcPr>
            <w:tcW w:w="3494" w:type="dxa"/>
            <w:vMerge w:val="restart"/>
            <w:tcBorders>
              <w:top w:val="single" w:sz="8" w:space="0" w:color="001D77"/>
              <w:bottom w:val="single" w:sz="4" w:space="0" w:color="212492"/>
            </w:tcBorders>
            <w:vAlign w:val="center"/>
          </w:tcPr>
          <w:p w:rsidR="00F95B4F" w:rsidRPr="003A407C" w:rsidRDefault="003A407C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val="en-GB" w:eastAsia="pl-PL"/>
              </w:rPr>
            </w:pPr>
            <w:r w:rsidRPr="003A407C">
              <w:rPr>
                <w:rFonts w:eastAsia="Times New Roman" w:cs="Arial"/>
                <w:bCs/>
                <w:color w:val="000000" w:themeColor="text1"/>
                <w:szCs w:val="19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tcBorders>
              <w:top w:val="single" w:sz="8" w:space="0" w:color="001D77"/>
              <w:bottom w:val="single" w:sz="4" w:space="0" w:color="212492"/>
            </w:tcBorders>
            <w:vAlign w:val="center"/>
          </w:tcPr>
          <w:p w:rsidR="00F95B4F" w:rsidRPr="003A407C" w:rsidRDefault="00F1327C" w:rsidP="000824D1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>Q</w:t>
            </w:r>
            <w:r w:rsidR="000824D1"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>4</w:t>
            </w:r>
            <w:r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 xml:space="preserve"> </w:t>
            </w:r>
            <w:r w:rsidR="001F327E"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>202</w:t>
            </w:r>
            <w:r w:rsidR="003738E2"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>1</w:t>
            </w:r>
          </w:p>
        </w:tc>
      </w:tr>
      <w:tr w:rsidR="00F95B4F" w:rsidRPr="003A407C" w:rsidTr="003A407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top w:val="single" w:sz="4" w:space="0" w:color="212492"/>
              <w:bottom w:val="single" w:sz="8" w:space="0" w:color="001D77"/>
            </w:tcBorders>
            <w:vAlign w:val="center"/>
          </w:tcPr>
          <w:p w:rsidR="00F95B4F" w:rsidRPr="003A407C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val="en-GB" w:eastAsia="pl-PL"/>
              </w:rPr>
            </w:pPr>
          </w:p>
        </w:tc>
        <w:tc>
          <w:tcPr>
            <w:tcW w:w="2278" w:type="dxa"/>
            <w:tcBorders>
              <w:top w:val="single" w:sz="4" w:space="0" w:color="212492"/>
              <w:bottom w:val="single" w:sz="8" w:space="0" w:color="001D77"/>
            </w:tcBorders>
            <w:vAlign w:val="center"/>
          </w:tcPr>
          <w:p w:rsidR="009C3C87" w:rsidRPr="003A407C" w:rsidRDefault="00F1327C" w:rsidP="000824D1">
            <w:pPr>
              <w:spacing w:line="240" w:lineRule="auto"/>
              <w:jc w:val="center"/>
              <w:rPr>
                <w:color w:val="000000" w:themeColor="text1"/>
                <w:szCs w:val="19"/>
                <w:lang w:val="en-GB"/>
              </w:rPr>
            </w:pPr>
            <w:r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>Q</w:t>
            </w:r>
            <w:r w:rsidR="000824D1" w:rsidRPr="003A407C">
              <w:rPr>
                <w:color w:val="000000" w:themeColor="text1"/>
                <w:szCs w:val="19"/>
                <w:lang w:val="en-GB"/>
              </w:rPr>
              <w:t>3</w:t>
            </w:r>
            <w:r w:rsidRPr="003A407C">
              <w:rPr>
                <w:color w:val="000000" w:themeColor="text1"/>
                <w:szCs w:val="19"/>
                <w:lang w:val="en-GB"/>
              </w:rPr>
              <w:t xml:space="preserve"> </w:t>
            </w:r>
            <w:r w:rsidR="00841D17" w:rsidRPr="003A407C">
              <w:rPr>
                <w:color w:val="000000" w:themeColor="text1"/>
                <w:szCs w:val="19"/>
                <w:lang w:val="en-GB"/>
              </w:rPr>
              <w:t>202</w:t>
            </w:r>
            <w:r w:rsidR="00D25590" w:rsidRPr="003A407C">
              <w:rPr>
                <w:color w:val="000000" w:themeColor="text1"/>
                <w:szCs w:val="19"/>
                <w:lang w:val="en-GB"/>
              </w:rPr>
              <w:t>1</w:t>
            </w:r>
            <w:r w:rsidR="009C3C87" w:rsidRPr="003A407C">
              <w:rPr>
                <w:color w:val="000000" w:themeColor="text1"/>
                <w:szCs w:val="19"/>
                <w:lang w:val="en-GB"/>
              </w:rPr>
              <w:t>=100</w:t>
            </w:r>
          </w:p>
        </w:tc>
        <w:tc>
          <w:tcPr>
            <w:tcW w:w="2278" w:type="dxa"/>
            <w:tcBorders>
              <w:top w:val="single" w:sz="4" w:space="0" w:color="212492"/>
              <w:bottom w:val="single" w:sz="8" w:space="0" w:color="001D77"/>
            </w:tcBorders>
            <w:vAlign w:val="center"/>
          </w:tcPr>
          <w:p w:rsidR="009C3C87" w:rsidRPr="003A407C" w:rsidRDefault="00F1327C" w:rsidP="000824D1">
            <w:pPr>
              <w:spacing w:line="240" w:lineRule="auto"/>
              <w:jc w:val="center"/>
              <w:rPr>
                <w:color w:val="000000" w:themeColor="text1"/>
                <w:szCs w:val="19"/>
                <w:lang w:val="en-GB"/>
              </w:rPr>
            </w:pPr>
            <w:r w:rsidRPr="003A407C">
              <w:rPr>
                <w:rFonts w:eastAsiaTheme="majorEastAsia" w:cstheme="majorBidi"/>
                <w:bCs/>
                <w:color w:val="000000" w:themeColor="text1"/>
                <w:szCs w:val="19"/>
                <w:lang w:val="en-GB"/>
              </w:rPr>
              <w:t>Q</w:t>
            </w:r>
            <w:r w:rsidR="000824D1" w:rsidRPr="003A407C">
              <w:rPr>
                <w:color w:val="000000" w:themeColor="text1"/>
                <w:szCs w:val="19"/>
                <w:lang w:val="en-GB"/>
              </w:rPr>
              <w:t>4</w:t>
            </w:r>
            <w:r w:rsidRPr="003A407C">
              <w:rPr>
                <w:color w:val="000000" w:themeColor="text1"/>
                <w:szCs w:val="19"/>
                <w:lang w:val="en-GB"/>
              </w:rPr>
              <w:t xml:space="preserve"> </w:t>
            </w:r>
            <w:r w:rsidR="001F327E" w:rsidRPr="003A407C">
              <w:rPr>
                <w:color w:val="000000" w:themeColor="text1"/>
                <w:szCs w:val="19"/>
                <w:lang w:val="en-GB"/>
              </w:rPr>
              <w:t>20</w:t>
            </w:r>
            <w:r w:rsidR="003738E2" w:rsidRPr="003A407C">
              <w:rPr>
                <w:color w:val="000000" w:themeColor="text1"/>
                <w:szCs w:val="19"/>
                <w:lang w:val="en-GB"/>
              </w:rPr>
              <w:t>20</w:t>
            </w:r>
            <w:r w:rsidR="009C3C87" w:rsidRPr="003A407C">
              <w:rPr>
                <w:color w:val="000000" w:themeColor="text1"/>
                <w:szCs w:val="19"/>
                <w:lang w:val="en-GB"/>
              </w:rPr>
              <w:t>=100</w:t>
            </w:r>
          </w:p>
        </w:tc>
      </w:tr>
      <w:tr w:rsidR="000824D1" w:rsidRPr="003A407C" w:rsidTr="003A407C">
        <w:trPr>
          <w:trHeight w:val="57"/>
        </w:trPr>
        <w:tc>
          <w:tcPr>
            <w:tcW w:w="3494" w:type="dxa"/>
            <w:tcBorders>
              <w:top w:val="single" w:sz="8" w:space="0" w:color="212492"/>
              <w:bottom w:val="single" w:sz="4" w:space="0" w:color="212492"/>
            </w:tcBorders>
            <w:vAlign w:val="center"/>
          </w:tcPr>
          <w:p w:rsidR="000824D1" w:rsidRPr="003A407C" w:rsidRDefault="000824D1" w:rsidP="003A407C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3A407C">
              <w:rPr>
                <w:rFonts w:eastAsiaTheme="majorEastAsia" w:cstheme="majorBidi"/>
                <w:color w:val="000000" w:themeColor="text1"/>
                <w:szCs w:val="19"/>
              </w:rPr>
              <w:t>P</w:t>
            </w:r>
            <w:r w:rsidR="003A407C" w:rsidRPr="003A407C">
              <w:rPr>
                <w:rFonts w:eastAsiaTheme="majorEastAsia" w:cstheme="majorBidi"/>
                <w:color w:val="000000" w:themeColor="text1"/>
                <w:szCs w:val="19"/>
              </w:rPr>
              <w:t>oland</w:t>
            </w:r>
          </w:p>
        </w:tc>
        <w:tc>
          <w:tcPr>
            <w:tcW w:w="2278" w:type="dxa"/>
            <w:tcBorders>
              <w:top w:val="single" w:sz="8" w:space="0" w:color="212492"/>
              <w:bottom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103.9</w:t>
            </w:r>
          </w:p>
        </w:tc>
        <w:tc>
          <w:tcPr>
            <w:tcW w:w="2296" w:type="dxa"/>
            <w:gridSpan w:val="2"/>
            <w:tcBorders>
              <w:top w:val="single" w:sz="8" w:space="0" w:color="212492"/>
              <w:bottom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112.1</w:t>
            </w:r>
          </w:p>
        </w:tc>
      </w:tr>
      <w:tr w:rsidR="000824D1" w:rsidRPr="003A407C" w:rsidTr="003A407C">
        <w:trPr>
          <w:trHeight w:val="57"/>
        </w:trPr>
        <w:tc>
          <w:tcPr>
            <w:tcW w:w="3494" w:type="dxa"/>
            <w:tcBorders>
              <w:top w:val="single" w:sz="4" w:space="0" w:color="212492"/>
            </w:tcBorders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  <w:tcBorders>
              <w:top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103.8</w:t>
            </w:r>
          </w:p>
        </w:tc>
        <w:tc>
          <w:tcPr>
            <w:tcW w:w="2296" w:type="dxa"/>
            <w:gridSpan w:val="2"/>
            <w:tcBorders>
              <w:top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111.9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102.7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107.7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102.6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107.8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103.9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107.6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102.2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112.4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103.9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113.9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104.7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112.8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102.9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108.9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100.2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109.0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101.0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109.0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104.8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112.8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102.8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114.0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101.8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111.2</w:t>
            </w:r>
          </w:p>
        </w:tc>
      </w:tr>
      <w:tr w:rsidR="000824D1" w:rsidRPr="003A407C" w:rsidTr="00416F7B">
        <w:trPr>
          <w:trHeight w:val="57"/>
        </w:trPr>
        <w:tc>
          <w:tcPr>
            <w:tcW w:w="3494" w:type="dxa"/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104.9</w:t>
            </w:r>
          </w:p>
        </w:tc>
        <w:tc>
          <w:tcPr>
            <w:tcW w:w="2296" w:type="dxa"/>
            <w:gridSpan w:val="2"/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115.2</w:t>
            </w:r>
          </w:p>
        </w:tc>
      </w:tr>
      <w:tr w:rsidR="000824D1" w:rsidRPr="003A407C" w:rsidTr="00B100C5">
        <w:trPr>
          <w:trHeight w:val="57"/>
        </w:trPr>
        <w:tc>
          <w:tcPr>
            <w:tcW w:w="3494" w:type="dxa"/>
            <w:tcBorders>
              <w:bottom w:val="single" w:sz="4" w:space="0" w:color="212492"/>
            </w:tcBorders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  <w:tcBorders>
              <w:bottom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104.7</w:t>
            </w:r>
          </w:p>
        </w:tc>
        <w:tc>
          <w:tcPr>
            <w:tcW w:w="2296" w:type="dxa"/>
            <w:gridSpan w:val="2"/>
            <w:tcBorders>
              <w:bottom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110.5</w:t>
            </w:r>
          </w:p>
        </w:tc>
      </w:tr>
      <w:tr w:rsidR="000824D1" w:rsidRPr="003A407C" w:rsidTr="00B100C5">
        <w:trPr>
          <w:trHeight w:val="57"/>
        </w:trPr>
        <w:tc>
          <w:tcPr>
            <w:tcW w:w="34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824D1" w:rsidRPr="003A407C" w:rsidRDefault="000824D1" w:rsidP="000824D1">
            <w:pPr>
              <w:spacing w:before="0" w:after="0" w:line="240" w:lineRule="auto"/>
              <w:rPr>
                <w:szCs w:val="19"/>
              </w:rPr>
            </w:pPr>
            <w:r w:rsidRPr="003A407C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  <w:tcBorders>
              <w:top w:val="single" w:sz="4" w:space="0" w:color="212492"/>
              <w:bottom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104.8</w:t>
            </w:r>
          </w:p>
        </w:tc>
        <w:tc>
          <w:tcPr>
            <w:tcW w:w="2296" w:type="dxa"/>
            <w:gridSpan w:val="2"/>
            <w:tcBorders>
              <w:top w:val="single" w:sz="4" w:space="0" w:color="212492"/>
              <w:bottom w:val="single" w:sz="4" w:space="0" w:color="212492"/>
            </w:tcBorders>
          </w:tcPr>
          <w:p w:rsidR="000824D1" w:rsidRPr="003A407C" w:rsidRDefault="000824D1" w:rsidP="003A407C">
            <w:pPr>
              <w:jc w:val="right"/>
              <w:rPr>
                <w:szCs w:val="19"/>
              </w:rPr>
            </w:pPr>
            <w:r w:rsidRPr="003A407C">
              <w:rPr>
                <w:szCs w:val="19"/>
              </w:rPr>
              <w:t>113.1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2B0BCB" w:rsidRPr="0073406E" w:rsidRDefault="002B0BCB" w:rsidP="002B0BCB">
      <w:pPr>
        <w:rPr>
          <w:sz w:val="18"/>
          <w:lang w:val="en-US"/>
        </w:rPr>
        <w:sectPr w:rsidR="002B0BCB" w:rsidRPr="0073406E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provide information: “Source of data: Statistics Poland”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and in case of publishing calculations made on data published by Statistics Poland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include the following disclaimer: “Own study based on </w:t>
      </w:r>
      <w:r>
        <w:rPr>
          <w:rFonts w:cs="Arial"/>
          <w:color w:val="000000" w:themeColor="text1"/>
          <w:sz w:val="20"/>
          <w:lang w:val="en-US"/>
        </w:rPr>
        <w:t>figures from Statistics Poland”.</w:t>
      </w:r>
    </w:p>
    <w:p w:rsidR="000470AA" w:rsidRPr="0073406E" w:rsidRDefault="000470AA" w:rsidP="000470AA">
      <w:pPr>
        <w:rPr>
          <w:sz w:val="18"/>
          <w:lang w:val="en-US"/>
        </w:rPr>
      </w:pPr>
    </w:p>
    <w:tbl>
      <w:tblPr>
        <w:tblStyle w:val="Tabela-Siatka"/>
        <w:tblW w:w="6557" w:type="pct"/>
        <w:tblInd w:w="-5" w:type="dxa"/>
        <w:tblLook w:val="04A0" w:firstRow="1" w:lastRow="0" w:firstColumn="1" w:lastColumn="0" w:noHBand="0" w:noVBand="1"/>
      </w:tblPr>
      <w:tblGrid>
        <w:gridCol w:w="4490"/>
        <w:gridCol w:w="6089"/>
      </w:tblGrid>
      <w:tr w:rsidR="005053C2" w:rsidTr="00547FBF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8843E2" w:rsidRDefault="005053C2" w:rsidP="005053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:rsidR="005053C2" w:rsidRPr="008843E2" w:rsidRDefault="005053C2" w:rsidP="005053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5053C2" w:rsidRPr="00DE2400" w:rsidRDefault="005053C2" w:rsidP="005053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Pr="00A16C0D">
              <w:rPr>
                <w:b/>
                <w:lang w:val="fi-FI"/>
              </w:rPr>
              <w:t>Ewa Adach - Stankiewicz</w:t>
            </w:r>
          </w:p>
          <w:p w:rsidR="005053C2" w:rsidRPr="00AB24E4" w:rsidRDefault="005053C2" w:rsidP="005053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8843E2" w:rsidRDefault="005053C2" w:rsidP="005053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:rsidR="005053C2" w:rsidRPr="004A1D19" w:rsidRDefault="005053C2" w:rsidP="005053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5053C2" w:rsidRPr="004A1D19" w:rsidRDefault="005053C2" w:rsidP="005053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5053C2" w:rsidRDefault="005053C2" w:rsidP="005053C2">
            <w:pPr>
              <w:rPr>
                <w:sz w:val="18"/>
              </w:rPr>
            </w:pPr>
          </w:p>
        </w:tc>
      </w:tr>
      <w:tr w:rsidR="005053C2" w:rsidRPr="00F326CA" w:rsidTr="005053C2">
        <w:tc>
          <w:tcPr>
            <w:tcW w:w="21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3C2" w:rsidRPr="008843E2" w:rsidRDefault="005053C2" w:rsidP="005053C2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:rsidR="005053C2" w:rsidRPr="008843E2" w:rsidRDefault="005053C2" w:rsidP="005053C2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:rsidR="005053C2" w:rsidRPr="00F05FC7" w:rsidRDefault="005053C2" w:rsidP="005053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3C2" w:rsidRPr="008843E2" w:rsidRDefault="005053C2" w:rsidP="005053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62B6C6B1" wp14:editId="18F15A6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5053C2" w:rsidTr="005053C2">
        <w:tc>
          <w:tcPr>
            <w:tcW w:w="21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053C2" w:rsidRDefault="005053C2" w:rsidP="005053C2">
            <w:pPr>
              <w:rPr>
                <w:sz w:val="18"/>
                <w:lang w:val="en-US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3C2" w:rsidRPr="00B62AC7" w:rsidRDefault="005053C2" w:rsidP="005053C2">
            <w:pPr>
              <w:ind w:left="652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6720" behindDoc="0" locked="0" layoutInCell="1" allowOverlap="1" wp14:anchorId="37F35136" wp14:editId="0C7F43A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5053C2" w:rsidTr="0077421A">
        <w:tc>
          <w:tcPr>
            <w:tcW w:w="21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053C2" w:rsidRDefault="005053C2" w:rsidP="005053C2">
            <w:pPr>
              <w:rPr>
                <w:sz w:val="18"/>
                <w:lang w:val="en-US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B62AC7" w:rsidRDefault="005053C2" w:rsidP="005053C2">
            <w:pPr>
              <w:ind w:left="652"/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3A6502E1" wp14:editId="502C534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053C2" w:rsidTr="0077421A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C91687" w:rsidRDefault="005053C2" w:rsidP="005053C2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3D5F42" w:rsidRDefault="005053C2" w:rsidP="005053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10C69A61" wp14:editId="2E1D358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5053C2" w:rsidTr="0077421A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C91687" w:rsidRDefault="005053C2" w:rsidP="005053C2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3D5F42" w:rsidRDefault="005053C2" w:rsidP="005053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A339FA0" wp14:editId="397FA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0" name="Obraz 10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053C2" w:rsidTr="0077421A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C91687" w:rsidRDefault="005053C2" w:rsidP="005053C2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5053C2" w:rsidRPr="003D5F42" w:rsidRDefault="005053C2" w:rsidP="005053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7CD1F36B" wp14:editId="1D743D1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7FBF" w:rsidTr="00547FBF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FBF" w:rsidRDefault="00547FBF" w:rsidP="00E76D26">
            <w:pPr>
              <w:rPr>
                <w:sz w:val="18"/>
                <w:lang w:val="en-US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3648" behindDoc="0" locked="0" layoutInCell="1" allowOverlap="1" wp14:anchorId="46548713" wp14:editId="33CEBFD7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359410</wp:posOffset>
                      </wp:positionV>
                      <wp:extent cx="6559550" cy="4443095"/>
                      <wp:effectExtent l="0" t="0" r="12700" b="14605"/>
                      <wp:wrapSquare wrapText="bothSides"/>
                      <wp:docPr id="27" name="Pole tekstowe 2" descr="Link to the publication: Price indices of residential premises by voivodshi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4443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FBF" w:rsidRDefault="00547FBF" w:rsidP="00547FB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547FBF" w:rsidRPr="00C2775E" w:rsidRDefault="00547FBF" w:rsidP="00547FB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C2775E">
                                    <w:rPr>
                                      <w:b/>
                                      <w:lang w:val="en-US"/>
                                    </w:rPr>
                                    <w:t>Related information</w:t>
                                  </w:r>
                                </w:p>
                                <w:p w:rsidR="00547FBF" w:rsidRPr="00BF2C03" w:rsidRDefault="00BF2C03" w:rsidP="00547FB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instrText xml:space="preserve"> HYPERLINK "https://stat.gov.pl/en/latest-statistical-news/communications-and-announcements/8,2021,category.html" \o "Link to release: Price indices of residential premises by voivodships" 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="00547FBF" w:rsidRPr="005053C2"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t>Price indices of residential premises by voivodship</w:t>
                                  </w:r>
                                  <w:r w:rsidR="00547FBF" w:rsidRPr="00BF2C03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</w:p>
                                <w:p w:rsidR="00547FBF" w:rsidRPr="00BF2C03" w:rsidRDefault="00BF2C03" w:rsidP="00547FB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instrText xml:space="preserve"> HYPERLINK "https://stat.gov.pl/en/latest-statistical-news/communications-and-announcements/list-of-communiques-and-announcements/price-of-one-square-meter-of-usable-floor-space-of-a-residential-building-in-the-fourth-quarter-of-2021,270,33.html" \o "Link to release: Price of one square meter of usable floor space of a residential building" 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="00547FBF" w:rsidRPr="005053C2"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t>Price of one square meter of usable floor space of a residential building</w:t>
                                  </w:r>
                                </w:p>
                                <w:p w:rsidR="00547FBF" w:rsidRPr="00950DBD" w:rsidRDefault="00BF2C03" w:rsidP="00547FBF">
                                  <w:pPr>
                                    <w:rPr>
                                      <w:rStyle w:val="Hipercze"/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 w:rsidR="00547FBF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lang w:val="en-US"/>
                                    </w:rPr>
                                    <w:instrText>HYPERLINK "https://stat.gov.pl/en/topics/municipal-infrastructure/municipal-infrastructure/real-estate-sales-in-2020,2,13.html" \o "Link to the publication: Real estate sales in 2020"</w:instrText>
                                  </w:r>
                                  <w:r w:rsidR="00547FBF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lang w:val="en-US"/>
                                    </w:rPr>
                                    <w:fldChar w:fldCharType="separate"/>
                                  </w:r>
                                  <w:r w:rsidR="00547FBF" w:rsidRPr="00950DBD">
                                    <w:rPr>
                                      <w:rStyle w:val="Hipercze"/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sales in 20</w:t>
                                  </w:r>
                                  <w:r w:rsidR="00547FBF">
                                    <w:rPr>
                                      <w:rStyle w:val="Hipercze"/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t>20</w:t>
                                  </w:r>
                                </w:p>
                                <w:p w:rsidR="00547FBF" w:rsidRPr="00EF53D1" w:rsidRDefault="00547FBF" w:rsidP="00547FBF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:rsidR="00547FBF" w:rsidRPr="004802D4" w:rsidRDefault="00547FBF" w:rsidP="00547FBF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Data available in databases</w:t>
                                  </w:r>
                                </w:p>
                                <w:p w:rsidR="00547FBF" w:rsidRPr="005053C2" w:rsidRDefault="00BF2C03" w:rsidP="00547FBF">
                                  <w:pPr>
                                    <w:rPr>
                                      <w:rStyle w:val="Hipercze"/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053C2">
                                    <w:rPr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 w:rsidRPr="005053C2">
                                    <w:rPr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instrText xml:space="preserve"> HYPERLINK "http://swaid.stat.gov.pl/EN/SitePagesDBW/Ceny.aspx" \o "Link to the Knowledge Databases (DBW) Prices" </w:instrText>
                                  </w:r>
                                  <w:r w:rsidRPr="005053C2">
                                    <w:rPr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="00547FBF" w:rsidRPr="005053C2">
                                    <w:rPr>
                                      <w:rStyle w:val="Hipercze"/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t>Knowledge Databases (DBW) Prices</w:t>
                                  </w:r>
                                </w:p>
                                <w:p w:rsidR="00547FBF" w:rsidRPr="005053C2" w:rsidRDefault="00BF2C03" w:rsidP="00547FBF">
                                  <w:pPr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Cs w:val="24"/>
                                      <w:lang w:val="en-US"/>
                                    </w:rPr>
                                  </w:pPr>
                                  <w:r w:rsidRPr="005053C2">
                                    <w:rPr>
                                      <w:rFonts w:cs="Fira Sans"/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 w:rsidRPr="005053C2"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  <w:fldChar w:fldCharType="begin"/>
                                  </w:r>
                                  <w:r w:rsidRPr="005053C2"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  <w:instrText xml:space="preserve"> HYPERLINK "https://bdl.stat.gov.pl/BDL/dane/podgrup/temat" \o "Link to the Local Data Bank – Real Estate Market" </w:instrText>
                                  </w:r>
                                  <w:r w:rsidRPr="005053C2"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  <w:fldChar w:fldCharType="separate"/>
                                  </w:r>
                                  <w:r w:rsidR="00547FBF" w:rsidRPr="005053C2"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Cs w:val="24"/>
                                      <w:lang w:val="en-US"/>
                                    </w:rPr>
                                    <w:t>Local Data Bank – Real Estate Market</w:t>
                                  </w:r>
                                </w:p>
                                <w:p w:rsidR="00547FBF" w:rsidRPr="0026348E" w:rsidRDefault="00BF2C03" w:rsidP="00547FBF">
                                  <w:pPr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</w:pPr>
                                  <w:r w:rsidRPr="005053C2"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:rsidR="00547FBF" w:rsidRPr="004802D4" w:rsidRDefault="00547FBF" w:rsidP="00547FBF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rms used in official statistics</w:t>
                                  </w:r>
                                </w:p>
                                <w:p w:rsidR="00547FBF" w:rsidRPr="00CF3ADE" w:rsidRDefault="00B100C5" w:rsidP="00547FBF">
                                  <w:pPr>
                                    <w:rPr>
                                      <w:color w:val="001D77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25" w:history="1">
                                    <w:r w:rsidR="00547FBF" w:rsidRPr="00CF3ADE">
                                      <w:rPr>
                                        <w:rStyle w:val="Hipercze"/>
                                        <w:rFonts w:cstheme="minorBidi"/>
                                        <w:color w:val="001D77"/>
                                        <w:sz w:val="18"/>
                                        <w:szCs w:val="18"/>
                                        <w:lang w:val="en-US"/>
                                      </w:rPr>
                                      <w:t>Real estate turnover</w:t>
                                    </w:r>
                                  </w:hyperlink>
                                </w:p>
                                <w:p w:rsidR="00547FBF" w:rsidRPr="00B62AC7" w:rsidRDefault="00B100C5" w:rsidP="00547FB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6" w:history="1">
                                    <w:r w:rsidR="00547FBF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  <w:lang w:val="en-US"/>
                                      </w:rPr>
                                      <w:t>Real estate Price Register</w:t>
                                    </w:r>
                                  </w:hyperlink>
                                </w:p>
                                <w:p w:rsidR="00547FBF" w:rsidRPr="00B62AC7" w:rsidRDefault="00B100C5" w:rsidP="00547FBF">
                                  <w:pPr>
                                    <w:spacing w:line="240" w:lineRule="auto"/>
                                    <w:rPr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u w:val="single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7" w:history="1">
                                    <w:r w:rsidR="00547FBF" w:rsidRPr="00B62AC7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  <w:lang w:val="en-US"/>
                                      </w:rPr>
                                      <w:t>Premises</w:t>
                                    </w:r>
                                  </w:hyperlink>
                                </w:p>
                                <w:p w:rsidR="00547FBF" w:rsidRPr="00B129EC" w:rsidRDefault="00B100C5" w:rsidP="00547FBF">
                                  <w:pPr>
                                    <w:spacing w:line="240" w:lineRule="auto"/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8" w:history="1">
                                    <w:r w:rsidR="00547FBF" w:rsidRPr="00627594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  <w:lang w:val="en-US"/>
                                      </w:rPr>
                                      <w:t>Price indices of residential premises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48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alt="Link to the publication: Price indices of residential premises by voivodships" style="position:absolute;margin-left:-.25pt;margin-top:28.3pt;width:516.5pt;height:349.8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" fillcolor="#f2f2f2 [3052]" strokecolor="white [3212]">
                      <v:textbox>
                        <w:txbxContent>
                          <w:p w:rsidR="00547FBF" w:rsidRDefault="00547FBF" w:rsidP="00547FBF">
                            <w:pPr>
                              <w:rPr>
                                <w:b/>
                              </w:rPr>
                            </w:pPr>
                          </w:p>
                          <w:p w:rsidR="00547FBF" w:rsidRPr="00C2775E" w:rsidRDefault="00547FBF" w:rsidP="00547F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547FBF" w:rsidRPr="00BF2C03" w:rsidRDefault="00BF2C03" w:rsidP="00547F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"https://stat.gov.pl/en/latest-statistical-news/communications-and-announcements/8,2021,category.html" \o "Link to release: Price indices of residential premises by voivodships" </w:instrTex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547FBF" w:rsidRPr="005053C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 indices of residential premises by voivodship</w:t>
                            </w:r>
                            <w:r w:rsidR="00547FBF" w:rsidRPr="00BF2C03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</w:p>
                          <w:p w:rsidR="00547FBF" w:rsidRPr="00BF2C03" w:rsidRDefault="00BF2C03" w:rsidP="00547F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"https://stat.gov.pl/en/latest-statistical-news/communications-and-announcements/list-of-communiques-and-announcements/price-of-one-square-meter-of-usable-floor-space-of-a-residential-building-in-the-fourth-quarter-of-2021,270,33.html" \o "Link to release: Price of one square meter of usable floor space of a residential building" </w:instrTex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547FBF" w:rsidRPr="005053C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 of one square meter of usable floor space of a residential building</w:t>
                            </w:r>
                          </w:p>
                          <w:p w:rsidR="00547FBF" w:rsidRPr="00950DBD" w:rsidRDefault="00BF2C03" w:rsidP="00547FBF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="00547FB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"https://stat.gov.pl/en/topics/municipal-infrastructure/municipal-infrastructure/real-estate-sales-in-2020,2,13.html" \o "Link to the publication: Real estate sales in 2020"</w:instrText>
                            </w:r>
                            <w:r w:rsidR="00547FB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547FBF"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</w:t>
                            </w:r>
                            <w:r w:rsidR="00547FBF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</w:p>
                          <w:p w:rsidR="00547FBF" w:rsidRPr="00EF53D1" w:rsidRDefault="00547FBF" w:rsidP="00547F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547FBF" w:rsidRPr="004802D4" w:rsidRDefault="00547FBF" w:rsidP="00547F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547FBF" w:rsidRPr="005053C2" w:rsidRDefault="00BF2C03" w:rsidP="00547FBF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053C2"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5053C2"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"http://swaid.stat.gov.pl/EN/SitePagesDBW/Ceny.aspx" \o "Link to the Knowledge Databases (DBW) Prices" </w:instrText>
                            </w:r>
                            <w:r w:rsidRPr="005053C2"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547FBF" w:rsidRPr="005053C2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(DBW) Prices</w:t>
                            </w:r>
                          </w:p>
                          <w:p w:rsidR="00547FBF" w:rsidRPr="005053C2" w:rsidRDefault="00BF2C03" w:rsidP="00547F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5053C2"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5053C2">
                              <w:rPr>
                                <w:color w:val="001D77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 w:rsidRPr="005053C2">
                              <w:rPr>
                                <w:color w:val="001D77"/>
                                <w:szCs w:val="24"/>
                                <w:lang w:val="en-US"/>
                              </w:rPr>
                              <w:instrText xml:space="preserve"> HYPERLINK "https://bdl.stat.gov.pl/BDL/dane/podgrup/temat" \o "Link to the Local Data Bank – Real Estate Market" </w:instrText>
                            </w:r>
                            <w:r w:rsidRPr="005053C2">
                              <w:rPr>
                                <w:color w:val="001D77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 w:rsidR="00547FBF" w:rsidRPr="005053C2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  <w:lang w:val="en-US"/>
                              </w:rPr>
                              <w:t>Local Data Bank – Real Estate Market</w:t>
                            </w:r>
                          </w:p>
                          <w:p w:rsidR="00547FBF" w:rsidRPr="0026348E" w:rsidRDefault="00BF2C03" w:rsidP="00547FBF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5053C2">
                              <w:rPr>
                                <w:color w:val="001D77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  <w:p w:rsidR="00547FBF" w:rsidRPr="004802D4" w:rsidRDefault="00547FBF" w:rsidP="00547F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547FBF" w:rsidRPr="00CF3ADE" w:rsidRDefault="005053C2" w:rsidP="00547FBF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547FBF" w:rsidRPr="00CF3ADE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547FBF" w:rsidRPr="00B62AC7" w:rsidRDefault="005053C2" w:rsidP="00547F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547FB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Real estate Price Register</w:t>
                              </w:r>
                            </w:hyperlink>
                          </w:p>
                          <w:p w:rsidR="00547FBF" w:rsidRPr="00B62AC7" w:rsidRDefault="005053C2" w:rsidP="00547FBF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547FBF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547FBF" w:rsidRPr="00B129EC" w:rsidRDefault="005053C2" w:rsidP="00547FBF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547FBF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D261A2" w:rsidRPr="00B62AC7" w:rsidRDefault="00D261A2" w:rsidP="00E76D26">
      <w:pPr>
        <w:rPr>
          <w:sz w:val="18"/>
          <w:lang w:val="en-US"/>
        </w:rPr>
      </w:pPr>
    </w:p>
    <w:sectPr w:rsidR="00D261A2" w:rsidRPr="00B62AC7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86" w:rsidRDefault="00C44F86" w:rsidP="000662E2">
      <w:pPr>
        <w:spacing w:after="0" w:line="240" w:lineRule="auto"/>
      </w:pPr>
      <w:r>
        <w:separator/>
      </w:r>
    </w:p>
  </w:endnote>
  <w:end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00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00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00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86" w:rsidRDefault="00C44F86" w:rsidP="000662E2">
      <w:pPr>
        <w:spacing w:after="0" w:line="240" w:lineRule="auto"/>
      </w:pPr>
      <w:r>
        <w:separator/>
      </w:r>
    </w:p>
  </w:footnote>
  <w:foot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4D06F" wp14:editId="273D212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E1721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B0BCB" w:rsidRDefault="002B0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 wp14:anchorId="6F2D54B7" wp14:editId="3917ED3D">
          <wp:extent cx="2080803" cy="719653"/>
          <wp:effectExtent l="0" t="0" r="0" b="0"/>
          <wp:docPr id="2" name="Obraz 2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F50145" wp14:editId="033E922E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 descr="Date of dissemination of News Release: 05.04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0BCB" w:rsidRPr="00D3193A" w:rsidRDefault="004F37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5.</w:t>
                          </w:r>
                          <w:r w:rsidR="00CF3AD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24D1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B0BCB"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CF3AD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F5014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dissemination of News Release: 05.04.2022" style="position:absolute;margin-left:411pt;margin-top:61.6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" filled="f" stroked="f">
              <v:textbox>
                <w:txbxContent>
                  <w:p w:rsidR="002B0BCB" w:rsidRPr="00D3193A" w:rsidRDefault="004F37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3193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5.</w:t>
                    </w:r>
                    <w:r w:rsidR="00CF3AD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24D1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B0BCB" w:rsidRPr="00D3193A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CF3AD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AA796" wp14:editId="067BD3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 Text: 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0BCB" w:rsidRPr="003C6C8D" w:rsidRDefault="002B0B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7AA796" id="Schemat blokowy: opóźnienie 6" o:spid="_x0000_s1032" alt=" Text: NEWS RELEASES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B0BCB" w:rsidRPr="003C6C8D" w:rsidRDefault="002B0B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933B1" wp14:editId="5FC0ED6F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ECADBB" id="Prostokąt 10" o:spid="_x0000_s1026" style="position:absolute;margin-left:411.1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5pt;height:122.2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5E2"/>
    <w:rsid w:val="00074DD8"/>
    <w:rsid w:val="00075C06"/>
    <w:rsid w:val="000806F7"/>
    <w:rsid w:val="000824D1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2982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57425"/>
    <w:rsid w:val="00162325"/>
    <w:rsid w:val="00171C8A"/>
    <w:rsid w:val="00174091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13463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0BCB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1305A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738E2"/>
    <w:rsid w:val="003843DB"/>
    <w:rsid w:val="00393761"/>
    <w:rsid w:val="00395FE6"/>
    <w:rsid w:val="00397D18"/>
    <w:rsid w:val="003A1B36"/>
    <w:rsid w:val="003A3455"/>
    <w:rsid w:val="003A407C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E5C34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376E"/>
    <w:rsid w:val="004F407F"/>
    <w:rsid w:val="004F5944"/>
    <w:rsid w:val="004F63FC"/>
    <w:rsid w:val="005039C5"/>
    <w:rsid w:val="005053C2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2A9E"/>
    <w:rsid w:val="00544C28"/>
    <w:rsid w:val="00547FBF"/>
    <w:rsid w:val="00550D92"/>
    <w:rsid w:val="005520D8"/>
    <w:rsid w:val="00553BB8"/>
    <w:rsid w:val="00556CF1"/>
    <w:rsid w:val="00563A09"/>
    <w:rsid w:val="0057058B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55B0"/>
    <w:rsid w:val="008A6DEF"/>
    <w:rsid w:val="008B15C2"/>
    <w:rsid w:val="008B6C72"/>
    <w:rsid w:val="008C0C29"/>
    <w:rsid w:val="008C2F01"/>
    <w:rsid w:val="008C3AD3"/>
    <w:rsid w:val="008C7DAA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A14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979C9"/>
    <w:rsid w:val="009A6EA0"/>
    <w:rsid w:val="009B46C8"/>
    <w:rsid w:val="009B6319"/>
    <w:rsid w:val="009C1335"/>
    <w:rsid w:val="009C1AB2"/>
    <w:rsid w:val="009C3C87"/>
    <w:rsid w:val="009C7251"/>
    <w:rsid w:val="009D1AAD"/>
    <w:rsid w:val="009D7487"/>
    <w:rsid w:val="009D7EA7"/>
    <w:rsid w:val="009E09D9"/>
    <w:rsid w:val="009E181A"/>
    <w:rsid w:val="009E2E91"/>
    <w:rsid w:val="009E325B"/>
    <w:rsid w:val="009E4AB2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21D3"/>
    <w:rsid w:val="00A65754"/>
    <w:rsid w:val="00A665AD"/>
    <w:rsid w:val="00A676B2"/>
    <w:rsid w:val="00A72BED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C7D9B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AF1149"/>
    <w:rsid w:val="00B0058F"/>
    <w:rsid w:val="00B03365"/>
    <w:rsid w:val="00B0437F"/>
    <w:rsid w:val="00B05AE7"/>
    <w:rsid w:val="00B0739B"/>
    <w:rsid w:val="00B100C5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31F9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2C03"/>
    <w:rsid w:val="00BF5920"/>
    <w:rsid w:val="00C009DC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473C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ADE"/>
    <w:rsid w:val="00CF3D9C"/>
    <w:rsid w:val="00CF4099"/>
    <w:rsid w:val="00CF5256"/>
    <w:rsid w:val="00D00796"/>
    <w:rsid w:val="00D11B38"/>
    <w:rsid w:val="00D156B6"/>
    <w:rsid w:val="00D23DF2"/>
    <w:rsid w:val="00D24CF3"/>
    <w:rsid w:val="00D25590"/>
    <w:rsid w:val="00D261A2"/>
    <w:rsid w:val="00D309C3"/>
    <w:rsid w:val="00D30B17"/>
    <w:rsid w:val="00D3193A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437A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327C"/>
    <w:rsid w:val="00F140E4"/>
    <w:rsid w:val="00F26BC7"/>
    <w:rsid w:val="00F27C8F"/>
    <w:rsid w:val="00F31DFD"/>
    <w:rsid w:val="00F326CA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7213D"/>
    <w:rsid w:val="00F725D5"/>
    <w:rsid w:val="00F802BE"/>
    <w:rsid w:val="00F80E93"/>
    <w:rsid w:val="00F83BF4"/>
    <w:rsid w:val="00F86024"/>
    <w:rsid w:val="00F8611A"/>
    <w:rsid w:val="00F94B6A"/>
    <w:rsid w:val="00F95B4F"/>
    <w:rsid w:val="00FA4E24"/>
    <w:rsid w:val="00FA5128"/>
    <w:rsid w:val="00FA6812"/>
    <w:rsid w:val="00FB1E9B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8C7DA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8C7DA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8C7DA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8C7DAA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8C7DAA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8C7DAA"/>
    <w:rPr>
      <w:rFonts w:ascii="Fira Sans" w:hAnsi="Fira Sans"/>
      <w:color w:val="FFFFFF" w:themeColor="background1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4491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hyperlink" Target="https://stat.gov.pl/en/metainformation/glossary/terms-used-in-official-statistics/966,term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96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9.png"/><Relationship Id="rId32" Type="http://schemas.openxmlformats.org/officeDocument/2006/relationships/hyperlink" Target="https://stat.gov.pl/en/metainformation/glossary/terms-used-in-official-statistics/4103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stat.gov.pl/en/metainformation/glossary/terms-used-in-official-statistics/4103,term.html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198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/glossary/terms-used-in-official-statistics/1984,term.html" TargetMode="External"/><Relationship Id="rId30" Type="http://schemas.openxmlformats.org/officeDocument/2006/relationships/hyperlink" Target="https://stat.gov.pl/en/metainformation/glossary/terms-used-in-official-statistics/4491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4_kw_2021\Wykresy_do_info_syg_4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gus09\hu\W8_Nieruchomo&#347;ci\9_Informacje_sygnalne\Wska&#378;niki_cen_lokali_mieszkalnych\2021\4_kw_2021\Wykresy_do_info_syg_4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4_kw_2021\Wykresy_do_info_syg_4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48.0%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023-4CE7-A326-77EED1B2F8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23-4CE7-A326-77EED1B2F815}"/>
            </c:ext>
          </c:extLst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52.0%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023-4CE7-A326-77EED1B2F8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023-4CE7-A326-77EED1B2F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84282368"/>
        <c:axId val="-1484285088"/>
      </c:barChart>
      <c:catAx>
        <c:axId val="-14842823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484285088"/>
        <c:crosses val="autoZero"/>
        <c:auto val="1"/>
        <c:lblAlgn val="ctr"/>
        <c:lblOffset val="100"/>
        <c:noMultiLvlLbl val="0"/>
      </c:catAx>
      <c:valAx>
        <c:axId val="-148428508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48428236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178053830227748"/>
          <c:h val="0.6992937922419753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wykres_2_ang!$B$9:$AV$9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  <c:pt idx="41" formatCode="0.0">
                  <c:v>3.1</c:v>
                </c:pt>
                <c:pt idx="42" formatCode="0.0">
                  <c:v>2.6</c:v>
                </c:pt>
                <c:pt idx="43" formatCode="0.0">
                  <c:v>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8C5-4007-AC42-49814D4B92F5}"/>
            </c:ext>
          </c:extLst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wykres_2_ang!$B$10:$AV$10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  <c:pt idx="41" formatCode="0.0">
                  <c:v>2.5</c:v>
                </c:pt>
                <c:pt idx="42" formatCode="0.0">
                  <c:v>2.8</c:v>
                </c:pt>
                <c:pt idx="43" formatCode="0.0">
                  <c:v>4.2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8C5-4007-AC42-49814D4B92F5}"/>
            </c:ext>
          </c:extLst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7AC9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wykres_2_ang!$B$11:$AV$11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  <c:pt idx="41" formatCode="0.0">
                  <c:v>3.6</c:v>
                </c:pt>
                <c:pt idx="42" formatCode="0.0">
                  <c:v>2.5</c:v>
                </c:pt>
                <c:pt idx="43" formatCode="0.0">
                  <c:v>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8C5-4007-AC42-49814D4B9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276928"/>
        <c:axId val="-1484274752"/>
      </c:lineChart>
      <c:catAx>
        <c:axId val="-148427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74752"/>
        <c:crosses val="autoZero"/>
        <c:auto val="0"/>
        <c:lblAlgn val="ctr"/>
        <c:lblOffset val="100"/>
        <c:noMultiLvlLbl val="0"/>
      </c:catAx>
      <c:valAx>
        <c:axId val="-1484274752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769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431255362324798E-2"/>
          <c:y val="0.93695196032507266"/>
          <c:w val="0.84169978008977964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7512004342233423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  <c:pt idx="41" formatCode="0.0">
                  <c:v>8.3000000000000007</c:v>
                </c:pt>
                <c:pt idx="42" formatCode="0.0">
                  <c:v>8.9</c:v>
                </c:pt>
                <c:pt idx="43" formatCode="0.0">
                  <c:v>12.1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C27-42C7-9799-89B90341160A}"/>
            </c:ext>
          </c:extLst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  <c:pt idx="41" formatCode="0.0">
                  <c:v>8.6</c:v>
                </c:pt>
                <c:pt idx="42" formatCode="0.0">
                  <c:v>9.4</c:v>
                </c:pt>
                <c:pt idx="43" formatCode="0.0">
                  <c:v>11.9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C27-42C7-9799-89B90341160A}"/>
            </c:ext>
          </c:extLst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7AC9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  <c:pt idx="41" formatCode="0.0">
                  <c:v>8.3000000000000007</c:v>
                </c:pt>
                <c:pt idx="42" formatCode="0.0">
                  <c:v>8.6999999999999993</c:v>
                </c:pt>
                <c:pt idx="43" formatCode="0.0">
                  <c:v>12.2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C27-42C7-9799-89B903411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270944"/>
        <c:axId val="-1484272576"/>
      </c:lineChart>
      <c:catAx>
        <c:axId val="-148427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72576"/>
        <c:crosses val="autoZero"/>
        <c:auto val="0"/>
        <c:lblAlgn val="ctr"/>
        <c:lblOffset val="100"/>
        <c:noMultiLvlLbl val="0"/>
      </c:catAx>
      <c:valAx>
        <c:axId val="-1484272576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7094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275280807290396E-2"/>
          <c:y val="7.0254957507082161E-2"/>
          <c:w val="0.92709117882003877"/>
          <c:h val="0.69551664398890634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wykres_4_ang!$B$9:$AW$9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 formatCode="General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  <c:pt idx="41">
                  <c:v>45.5</c:v>
                </c:pt>
                <c:pt idx="42">
                  <c:v>49.3</c:v>
                </c:pt>
                <c:pt idx="43">
                  <c:v>55.2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966-49B8-9EE1-4335FAA257D8}"/>
            </c:ext>
          </c:extLst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wykres_4_ang!$B$10:$AW$10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 formatCode="General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  <c:pt idx="41">
                  <c:v>33.5</c:v>
                </c:pt>
                <c:pt idx="42">
                  <c:v>37.200000000000003</c:v>
                </c:pt>
                <c:pt idx="43">
                  <c:v>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966-49B8-9EE1-4335FAA257D8}"/>
            </c:ext>
          </c:extLst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7AC9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wykres_4_ang!$B$11:$AW$11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 formatCode="General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  <c:pt idx="41">
                  <c:v>56.1</c:v>
                </c:pt>
                <c:pt idx="42">
                  <c:v>59.9</c:v>
                </c:pt>
                <c:pt idx="43">
                  <c:v>65.8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966-49B8-9EE1-4335FAA25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272032"/>
        <c:axId val="-1484286176"/>
      </c:lineChart>
      <c:catAx>
        <c:axId val="-148427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86176"/>
        <c:crossesAt val="0"/>
        <c:auto val="0"/>
        <c:lblAlgn val="ctr"/>
        <c:lblOffset val="100"/>
        <c:noMultiLvlLbl val="0"/>
      </c:catAx>
      <c:valAx>
        <c:axId val="-1484286176"/>
        <c:scaling>
          <c:orientation val="minMax"/>
          <c:max val="7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7203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9120164327285"/>
          <c:y val="0.9331748120720037"/>
          <c:w val="0.56617596713454299"/>
          <c:h val="4.4162298409582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8C029B3F-2CC4-4A59-AF0D-A90575FA337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6C241-0D71-4345-BBAB-C14B7816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residential premises in the fourth quarter of 2021</dc:title>
  <dc:subject>Price indices of residential premises</dc:subject>
  <dc:creator>Statistics Poland</dc:creator>
  <cp:lastPrinted>2020-07-02T07:04:00Z</cp:lastPrinted>
  <dcterms:created xsi:type="dcterms:W3CDTF">2022-04-05T08:00:00Z</dcterms:created>
  <dcterms:modified xsi:type="dcterms:W3CDTF">2022-04-05T09:05:00Z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