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81B6" w14:textId="77777777" w:rsidR="0016640E" w:rsidRPr="00FC1FA6" w:rsidRDefault="0016640E" w:rsidP="00D9099C">
      <w:pPr>
        <w:pStyle w:val="Tytuinfomacjisygnalnej"/>
        <w:spacing w:after="360"/>
        <w:rPr>
          <w:lang w:val="en-US"/>
        </w:rPr>
      </w:pPr>
      <w:r w:rsidRPr="00FC1FA6">
        <w:rPr>
          <w:lang w:val="en-US"/>
        </w:rPr>
        <w:t>Average paid employment</w:t>
      </w:r>
      <w:r w:rsidR="00490C15" w:rsidRPr="00FC1FA6">
        <w:rPr>
          <w:rStyle w:val="Odwoanieprzypisudolnego"/>
          <w:lang w:val="en-US"/>
        </w:rPr>
        <w:footnoteReference w:id="1"/>
      </w:r>
      <w:r w:rsidRPr="00FC1FA6">
        <w:rPr>
          <w:lang w:val="en-US"/>
        </w:rPr>
        <w:t xml:space="preserve"> and average gross wages and salaries in the enterprise sector in </w:t>
      </w:r>
      <w:r w:rsidR="00153D3C" w:rsidRPr="00FC1FA6">
        <w:rPr>
          <w:lang w:val="en-US"/>
        </w:rPr>
        <w:t>November</w:t>
      </w:r>
      <w:r w:rsidRPr="00FC1FA6">
        <w:rPr>
          <w:lang w:val="en-US"/>
        </w:rPr>
        <w:t xml:space="preserve"> 2022</w:t>
      </w:r>
    </w:p>
    <w:p w14:paraId="5FCAC43C" w14:textId="77777777" w:rsidR="00803B4C" w:rsidRPr="00073FC6" w:rsidRDefault="00000000" w:rsidP="00803B4C">
      <w:pPr>
        <w:pStyle w:val="LID"/>
        <w:rPr>
          <w:lang w:val="en-GB"/>
        </w:rPr>
      </w:pPr>
      <w:r>
        <w:rPr>
          <w:color w:val="001D77"/>
        </w:rPr>
        <w:pict w14:anchorId="164B7488">
          <v:roundrect id="Pole tekstowe 2" o:spid="_x0000_s2064" alt="Increase by 2.3% year to year average paid employment in the enterprise sector" style="position:absolute;margin-left:.05pt;margin-top:5.45pt;width:173.55pt;height:91.1pt;z-index:251759616;visibility:visible;mso-wrap-distance-top:3.6pt;mso-wrap-distance-bottom:3.6pt;mso-position-horizontal-relative:margin;mso-width-relative:margin;mso-height-relative:margin" arcsize="10923f" fillcolor="#001d77" stroked="f">
            <v:stroke joinstyle="miter"/>
            <v:textbox style="mso-next-textbox:#Pole tekstowe 2">
              <w:txbxContent>
                <w:p w14:paraId="29DB5E2C" w14:textId="77777777" w:rsidR="001E06C6" w:rsidRPr="00043EEC" w:rsidRDefault="001E06C6" w:rsidP="0016640E">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043EEC">
                    <w:rPr>
                      <w:rFonts w:ascii="Fira Sans SemiBold" w:hAnsi="Fira Sans SemiBold"/>
                      <w:color w:val="FFFFFF" w:themeColor="background1"/>
                      <w:sz w:val="60"/>
                      <w:szCs w:val="60"/>
                      <w:lang w:val="en-US"/>
                    </w:rPr>
                    <w:t xml:space="preserve"> </w:t>
                  </w:r>
                  <w:r w:rsidRPr="00043EEC">
                    <w:rPr>
                      <w:rStyle w:val="WartowskanikaZnak"/>
                      <w:lang w:val="en-US"/>
                    </w:rPr>
                    <w:t>2.</w:t>
                  </w:r>
                  <w:r w:rsidR="00153D3C">
                    <w:rPr>
                      <w:rStyle w:val="WartowskanikaZnak"/>
                      <w:lang w:val="en-US"/>
                    </w:rPr>
                    <w:t>3</w:t>
                  </w:r>
                  <w:r w:rsidRPr="00043EEC">
                    <w:rPr>
                      <w:rStyle w:val="WartowskanikaZnak"/>
                      <w:lang w:val="en-US"/>
                    </w:rPr>
                    <w:t>%</w:t>
                  </w:r>
                </w:p>
                <w:p w14:paraId="5FB88012" w14:textId="77777777" w:rsidR="001E06C6" w:rsidRPr="003D7E43" w:rsidRDefault="001E06C6" w:rsidP="0016640E">
                  <w:pPr>
                    <w:spacing w:after="0" w:line="240" w:lineRule="auto"/>
                    <w:rPr>
                      <w:color w:val="FFFFFF"/>
                      <w:sz w:val="20"/>
                      <w:szCs w:val="20"/>
                      <w:lang w:val="en-US"/>
                    </w:rPr>
                  </w:pPr>
                  <w:r w:rsidRPr="003D7E43">
                    <w:rPr>
                      <w:sz w:val="20"/>
                      <w:szCs w:val="20"/>
                      <w:lang w:val="en-US"/>
                    </w:rPr>
                    <w:t xml:space="preserve">Increase y/y average paid </w:t>
                  </w:r>
                  <w:r>
                    <w:rPr>
                      <w:sz w:val="20"/>
                      <w:szCs w:val="20"/>
                      <w:lang w:val="en-US"/>
                    </w:rPr>
                    <w:t>e</w:t>
                  </w:r>
                  <w:r w:rsidRPr="003D7E43">
                    <w:rPr>
                      <w:sz w:val="20"/>
                      <w:szCs w:val="20"/>
                      <w:lang w:val="en-US"/>
                    </w:rPr>
                    <w:t xml:space="preserve">mployment in the enterprise </w:t>
                  </w:r>
                  <w:r>
                    <w:rPr>
                      <w:sz w:val="20"/>
                      <w:szCs w:val="20"/>
                      <w:lang w:val="en-US"/>
                    </w:rPr>
                    <w:t>sector</w:t>
                  </w:r>
                </w:p>
                <w:p w14:paraId="44161452" w14:textId="77777777" w:rsidR="001E06C6" w:rsidRPr="003D7E43" w:rsidRDefault="001E06C6" w:rsidP="0016640E">
                  <w:pPr>
                    <w:pStyle w:val="Opiswskanika"/>
                    <w:rPr>
                      <w:sz w:val="18"/>
                      <w:szCs w:val="20"/>
                      <w:lang w:val="en-US"/>
                    </w:rPr>
                  </w:pPr>
                </w:p>
              </w:txbxContent>
            </v:textbox>
            <w10:wrap type="square" anchorx="margin"/>
          </v:roundrect>
        </w:pict>
      </w:r>
      <w:r w:rsidR="0016640E" w:rsidRPr="00073FC6">
        <w:rPr>
          <w:color w:val="001D77"/>
          <w:lang w:val="en-US"/>
        </w:rPr>
        <w:t xml:space="preserve"> </w:t>
      </w:r>
      <w:r w:rsidR="0016640E" w:rsidRPr="00073FC6">
        <w:rPr>
          <w:color w:val="001D77"/>
          <w:lang w:val="en-US"/>
        </w:rPr>
        <w:br/>
      </w:r>
      <w:r w:rsidR="0047679F" w:rsidRPr="00073FC6">
        <w:rPr>
          <w:lang w:val="en-GB"/>
        </w:rPr>
        <w:t>In November 2022, average paid employment in the enterprise sector compared to November 2021 was higher by 2.3% y/y and amounted to 6507.5 thousand full-time equivalents. In comparison to the previous month average paid employment increased minimally (by 0.1%).</w:t>
      </w:r>
    </w:p>
    <w:p w14:paraId="00D72214" w14:textId="77777777" w:rsidR="00B10921" w:rsidRPr="00073FC6" w:rsidRDefault="00B10921" w:rsidP="00B10921">
      <w:pPr>
        <w:pStyle w:val="Lead"/>
        <w:spacing w:before="240"/>
        <w:rPr>
          <w:lang w:val="en-GB"/>
        </w:rPr>
      </w:pPr>
    </w:p>
    <w:p w14:paraId="5842F92F" w14:textId="77777777" w:rsidR="0016640E" w:rsidRPr="00073FC6" w:rsidRDefault="00000000" w:rsidP="00B10921">
      <w:pPr>
        <w:pStyle w:val="Lead"/>
        <w:spacing w:before="240"/>
        <w:rPr>
          <w:rFonts w:eastAsia="Times New Roman" w:cs="Times New Roman"/>
          <w:bCs/>
          <w:noProof w:val="0"/>
          <w:lang w:val="en-US"/>
        </w:rPr>
      </w:pPr>
      <w:r>
        <w:rPr>
          <w:color w:val="001D77"/>
        </w:rPr>
        <w:pict w14:anchorId="67C23CED">
          <v:roundrect id="_x0000_s2065" alt="Increase by 13.9% year to year average mothly gross wages and salaries in the enterprise sector" style="position:absolute;margin-left:.05pt;margin-top:2.85pt;width:173.55pt;height:91pt;z-index:251760640;visibility:visible;mso-wrap-distance-top:3.6pt;mso-wrap-distance-bottom:3.6pt;mso-position-horizontal-relative:margin;mso-width-relative:margin;mso-height-relative:margin" arcsize="10923f" fillcolor="#001d77" stroked="f">
            <v:stroke joinstyle="miter"/>
            <v:textbox style="mso-next-textbox:#_x0000_s2065">
              <w:txbxContent>
                <w:p w14:paraId="5CCEBA71" w14:textId="77777777" w:rsidR="001E06C6" w:rsidRPr="00043EEC" w:rsidRDefault="001E06C6" w:rsidP="0016640E">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043EEC">
                    <w:rPr>
                      <w:rFonts w:ascii="Fira Sans SemiBold" w:hAnsi="Fira Sans SemiBold"/>
                      <w:color w:val="FFFFFF" w:themeColor="background1"/>
                      <w:sz w:val="60"/>
                      <w:szCs w:val="60"/>
                      <w:lang w:val="en-US"/>
                    </w:rPr>
                    <w:t xml:space="preserve"> </w:t>
                  </w:r>
                  <w:r>
                    <w:rPr>
                      <w:rStyle w:val="WartowskanikaZnak"/>
                      <w:lang w:val="en-US"/>
                    </w:rPr>
                    <w:t>1</w:t>
                  </w:r>
                  <w:r w:rsidR="00A95948">
                    <w:rPr>
                      <w:rStyle w:val="WartowskanikaZnak"/>
                      <w:lang w:val="en-US"/>
                    </w:rPr>
                    <w:t>3</w:t>
                  </w:r>
                  <w:r w:rsidR="00A90EAC">
                    <w:rPr>
                      <w:rStyle w:val="WartowskanikaZnak"/>
                      <w:lang w:val="en-US"/>
                    </w:rPr>
                    <w:t>.</w:t>
                  </w:r>
                  <w:r w:rsidR="00153D3C">
                    <w:rPr>
                      <w:rStyle w:val="WartowskanikaZnak"/>
                      <w:lang w:val="en-US"/>
                    </w:rPr>
                    <w:t>9</w:t>
                  </w:r>
                  <w:r w:rsidRPr="00043EEC">
                    <w:rPr>
                      <w:rStyle w:val="WartowskanikaZnak"/>
                      <w:lang w:val="en-US"/>
                    </w:rPr>
                    <w:t>%</w:t>
                  </w:r>
                </w:p>
                <w:p w14:paraId="01D376FE" w14:textId="77777777" w:rsidR="001E06C6" w:rsidRPr="003D7E43" w:rsidRDefault="001E06C6" w:rsidP="0016640E">
                  <w:pPr>
                    <w:spacing w:after="0" w:line="240" w:lineRule="auto"/>
                    <w:rPr>
                      <w:color w:val="FFFFFF"/>
                      <w:sz w:val="20"/>
                      <w:szCs w:val="20"/>
                      <w:lang w:val="en-US"/>
                    </w:rPr>
                  </w:pPr>
                  <w:r w:rsidRPr="003D7E43">
                    <w:rPr>
                      <w:sz w:val="20"/>
                      <w:szCs w:val="20"/>
                      <w:lang w:val="en-US"/>
                    </w:rPr>
                    <w:t>Increase y/y average</w:t>
                  </w:r>
                  <w:r w:rsidR="00E539C4">
                    <w:rPr>
                      <w:sz w:val="20"/>
                      <w:szCs w:val="20"/>
                      <w:lang w:val="en-US"/>
                    </w:rPr>
                    <w:t xml:space="preserve"> </w:t>
                  </w:r>
                  <w:r w:rsidRPr="003D7E43">
                    <w:rPr>
                      <w:sz w:val="20"/>
                      <w:szCs w:val="20"/>
                      <w:lang w:val="en-US"/>
                    </w:rPr>
                    <w:t>gross w</w:t>
                  </w:r>
                  <w:r>
                    <w:rPr>
                      <w:sz w:val="20"/>
                      <w:szCs w:val="20"/>
                      <w:lang w:val="en-US"/>
                    </w:rPr>
                    <w:t>ages and salaries in the enterprise sector</w:t>
                  </w:r>
                </w:p>
              </w:txbxContent>
            </v:textbox>
            <w10:wrap type="square" anchorx="margin"/>
          </v:roundrect>
        </w:pict>
      </w:r>
      <w:r w:rsidR="0047679F" w:rsidRPr="00073FC6">
        <w:rPr>
          <w:lang w:val="en-GB"/>
        </w:rPr>
        <w:t>Average gross wages and salaries in the enterprise sector in November 2022 compared to November 2021 were higher by 13.9% y/y and amounted to 6857.96 PLN. In regard to October 2022 average gross wages</w:t>
      </w:r>
      <w:r w:rsidR="00495C23" w:rsidRPr="00073FC6">
        <w:rPr>
          <w:lang w:val="en-GB"/>
        </w:rPr>
        <w:t xml:space="preserve"> and salaries</w:t>
      </w:r>
      <w:r w:rsidR="0047679F" w:rsidRPr="00073FC6">
        <w:rPr>
          <w:lang w:val="en-GB"/>
        </w:rPr>
        <w:t xml:space="preserve"> increased by 2.5%.</w:t>
      </w:r>
    </w:p>
    <w:p w14:paraId="1C5E6874" w14:textId="77777777" w:rsidR="00F10486" w:rsidRPr="00073FC6" w:rsidRDefault="00F10486" w:rsidP="00495C23">
      <w:pPr>
        <w:pStyle w:val="Nagwek1"/>
        <w:spacing w:before="240"/>
        <w:rPr>
          <w:rFonts w:ascii="Fira Sans" w:hAnsi="Fira Sans"/>
          <w:b/>
          <w:szCs w:val="19"/>
          <w:lang w:val="en-US"/>
        </w:rPr>
      </w:pPr>
    </w:p>
    <w:p w14:paraId="6CD9EA0D" w14:textId="77777777" w:rsidR="0016640E" w:rsidRPr="00073FC6" w:rsidRDefault="00000000" w:rsidP="009166F3">
      <w:pPr>
        <w:pStyle w:val="Nagwek1"/>
        <w:spacing w:before="120"/>
        <w:rPr>
          <w:rFonts w:ascii="Fira Sans" w:hAnsi="Fira Sans"/>
          <w:b/>
          <w:szCs w:val="19"/>
          <w:lang w:val="en-US"/>
        </w:rPr>
      </w:pPr>
      <w:r>
        <w:rPr>
          <w:rFonts w:ascii="Fira Sans" w:eastAsia="Fira Sans Light" w:hAnsi="Fira Sans"/>
          <w:noProof/>
          <w:lang w:val="en-GB" w:eastAsia="en-GB"/>
        </w:rPr>
        <w:pict w14:anchorId="21A840CB">
          <v:shapetype id="_x0000_t202" coordsize="21600,21600" o:spt="202" path="m,l,21600r21600,l21600,xe">
            <v:stroke joinstyle="miter"/>
            <v:path gradientshapeok="t" o:connecttype="rect"/>
          </v:shapetype>
          <v:shape id="_x0000_s2072" type="#_x0000_t202" style="position:absolute;margin-left:414pt;margin-top:4.4pt;width:136.1pt;height:106.35pt;z-index:-25154662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" filled="f" stroked="f">
            <v:textbox>
              <w:txbxContent>
                <w:p w14:paraId="1C225AE5" w14:textId="77777777" w:rsidR="001E06C6" w:rsidRPr="00475D61" w:rsidRDefault="001E06C6" w:rsidP="00597C8F">
                  <w:pPr>
                    <w:pStyle w:val="NormalnyWeb"/>
                    <w:spacing w:before="120" w:beforeAutospacing="0" w:after="0" w:afterAutospacing="0" w:line="240" w:lineRule="exact"/>
                    <w:rPr>
                      <w:rFonts w:ascii="Fira Sans" w:eastAsia="Times New Roman" w:hAnsi="Fira Sans"/>
                      <w:bCs/>
                      <w:color w:val="001D77"/>
                      <w:sz w:val="18"/>
                      <w:szCs w:val="18"/>
                      <w:lang w:val="en-US"/>
                    </w:rPr>
                  </w:pPr>
                  <w:r w:rsidRPr="00C129E0">
                    <w:rPr>
                      <w:rFonts w:ascii="Fira Sans" w:eastAsia="Times New Roman" w:hAnsi="Fira Sans"/>
                      <w:b/>
                      <w:bCs/>
                      <w:color w:val="001D77"/>
                      <w:sz w:val="18"/>
                      <w:szCs w:val="18"/>
                      <w:lang w:val="en-US"/>
                    </w:rPr>
                    <w:t>The enterprise sector</w:t>
                  </w:r>
                  <w:r w:rsidRPr="00CD7713">
                    <w:rPr>
                      <w:rFonts w:ascii="Fira Sans" w:eastAsia="Times New Roman" w:hAnsi="Fira Sans"/>
                      <w:bCs/>
                      <w:color w:val="001D77"/>
                      <w:sz w:val="18"/>
                      <w:szCs w:val="18"/>
                      <w:lang w:val="en-US"/>
                    </w:rPr>
                    <w:t xml:space="preserve"> is part of the national e</w:t>
                  </w:r>
                  <w:r>
                    <w:rPr>
                      <w:rFonts w:ascii="Fira Sans" w:eastAsia="Times New Roman" w:hAnsi="Fira Sans"/>
                      <w:bCs/>
                      <w:color w:val="001D77"/>
                      <w:sz w:val="18"/>
                      <w:szCs w:val="18"/>
                      <w:lang w:val="en-US"/>
                    </w:rPr>
                    <w:t>conomy</w:t>
                  </w:r>
                  <w:r w:rsidRPr="00CD7713">
                    <w:rPr>
                      <w:rFonts w:ascii="Fira Sans" w:eastAsia="Times New Roman" w:hAnsi="Fira Sans"/>
                      <w:bCs/>
                      <w:color w:val="001D77"/>
                      <w:sz w:val="18"/>
                      <w:szCs w:val="18"/>
                      <w:lang w:val="en-US"/>
                    </w:rPr>
                    <w:t xml:space="preserve">, which means that the data </w:t>
                  </w:r>
                  <w:r>
                    <w:rPr>
                      <w:rFonts w:ascii="Fira Sans" w:eastAsia="Times New Roman" w:hAnsi="Fira Sans"/>
                      <w:bCs/>
                      <w:color w:val="001D77"/>
                      <w:sz w:val="18"/>
                      <w:szCs w:val="18"/>
                      <w:lang w:val="en-US"/>
                    </w:rPr>
                    <w:t>refers to</w:t>
                  </w:r>
                  <w:r w:rsidRPr="00CD7713">
                    <w:rPr>
                      <w:rFonts w:ascii="Fira Sans" w:eastAsia="Times New Roman" w:hAnsi="Fira Sans"/>
                      <w:bCs/>
                      <w:color w:val="001D77"/>
                      <w:sz w:val="18"/>
                      <w:szCs w:val="18"/>
                      <w:lang w:val="en-US"/>
                    </w:rPr>
                    <w:t xml:space="preserve"> selected entities conducting economic activity</w:t>
                  </w:r>
                  <w:r>
                    <w:rPr>
                      <w:rFonts w:ascii="Fira Sans" w:eastAsia="Times New Roman" w:hAnsi="Fira Sans"/>
                      <w:bCs/>
                      <w:color w:val="001D77"/>
                      <w:sz w:val="18"/>
                      <w:szCs w:val="18"/>
                      <w:lang w:val="en-US"/>
                    </w:rPr>
                    <w:t xml:space="preserve"> </w:t>
                  </w:r>
                </w:p>
              </w:txbxContent>
            </v:textbox>
            <w10:wrap type="tight"/>
          </v:shape>
        </w:pict>
      </w:r>
      <w:r w:rsidR="00597C8F" w:rsidRPr="00073FC6">
        <w:rPr>
          <w:rFonts w:ascii="Fira Sans" w:hAnsi="Fira Sans"/>
          <w:b/>
          <w:szCs w:val="19"/>
          <w:lang w:val="en-US"/>
        </w:rPr>
        <w:t>Labour market in the enterprise sector</w:t>
      </w:r>
    </w:p>
    <w:p w14:paraId="7EF4F299" w14:textId="77777777" w:rsidR="00597C8F" w:rsidRPr="00073FC6" w:rsidRDefault="00597C8F" w:rsidP="00597C8F">
      <w:pPr>
        <w:autoSpaceDE w:val="0"/>
        <w:autoSpaceDN w:val="0"/>
        <w:adjustRightInd w:val="0"/>
        <w:spacing w:line="288" w:lineRule="auto"/>
        <w:rPr>
          <w:rFonts w:eastAsia="Calibri"/>
          <w:shd w:val="clear" w:color="auto" w:fill="FFFFFF"/>
          <w:lang w:val="en-GB"/>
        </w:rPr>
      </w:pPr>
      <w:r w:rsidRPr="00073FC6">
        <w:rPr>
          <w:rFonts w:eastAsia="Calibri"/>
          <w:shd w:val="clear" w:color="auto" w:fill="FFFFFF"/>
          <w:lang w:val="en-GB"/>
        </w:rPr>
        <w:t xml:space="preserve">Data regarding the enterprise sector concerns units conducting </w:t>
      </w:r>
      <w:r w:rsidRPr="00073FC6">
        <w:rPr>
          <w:rFonts w:eastAsia="Calibri"/>
          <w:b/>
          <w:shd w:val="clear" w:color="auto" w:fill="FFFFFF"/>
          <w:lang w:val="en-GB"/>
        </w:rPr>
        <w:t>economic activity classified into selected</w:t>
      </w:r>
      <w:r w:rsidRPr="00073FC6">
        <w:rPr>
          <w:rStyle w:val="Odwoanieprzypisudolnego"/>
          <w:rFonts w:eastAsia="Calibri"/>
          <w:b/>
          <w:shd w:val="clear" w:color="auto" w:fill="FFFFFF"/>
          <w:lang w:val="en-GB"/>
        </w:rPr>
        <w:footnoteReference w:id="2"/>
      </w:r>
      <w:r w:rsidRPr="00073FC6">
        <w:rPr>
          <w:rFonts w:eastAsia="Calibri"/>
          <w:b/>
          <w:shd w:val="clear" w:color="auto" w:fill="FFFFFF"/>
          <w:lang w:val="en-GB"/>
        </w:rPr>
        <w:t xml:space="preserve"> kinds of activity by NACE Rev.2 </w:t>
      </w:r>
      <w:r w:rsidR="00DD4279" w:rsidRPr="00073FC6">
        <w:rPr>
          <w:rFonts w:eastAsia="Calibri"/>
          <w:b/>
          <w:shd w:val="clear" w:color="auto" w:fill="FFFFFF"/>
          <w:lang w:val="en-GB"/>
        </w:rPr>
        <w:t xml:space="preserve">with </w:t>
      </w:r>
      <w:r w:rsidR="00853698" w:rsidRPr="00073FC6">
        <w:rPr>
          <w:rFonts w:eastAsia="Calibri"/>
          <w:b/>
          <w:shd w:val="clear" w:color="auto" w:fill="FFFFFF"/>
          <w:lang w:val="en-GB"/>
        </w:rPr>
        <w:t xml:space="preserve">2 with </w:t>
      </w:r>
      <w:r w:rsidR="00853698" w:rsidRPr="00073FC6">
        <w:rPr>
          <w:rStyle w:val="tlid-translation"/>
          <w:b/>
          <w:lang w:val="en-GB"/>
        </w:rPr>
        <w:t>the number of employed persons 10 or more people</w:t>
      </w:r>
      <w:r w:rsidR="00853698" w:rsidRPr="00073FC6">
        <w:rPr>
          <w:rFonts w:eastAsia="Calibri"/>
          <w:b/>
          <w:shd w:val="clear" w:color="auto" w:fill="FFFFFF"/>
          <w:lang w:val="en-GB"/>
        </w:rPr>
        <w:t>.</w:t>
      </w:r>
      <w:r w:rsidRPr="00073FC6">
        <w:rPr>
          <w:rFonts w:eastAsia="Calibri"/>
          <w:shd w:val="clear" w:color="auto" w:fill="FFFFFF"/>
          <w:lang w:val="en-GB"/>
        </w:rPr>
        <w:t xml:space="preserve"> </w:t>
      </w:r>
      <w:r w:rsidRPr="00073FC6">
        <w:rPr>
          <w:rStyle w:val="jlqj4b"/>
          <w:lang w:val="en-US"/>
        </w:rPr>
        <w:t xml:space="preserve">Therefore, the </w:t>
      </w:r>
      <w:r w:rsidRPr="00073FC6">
        <w:rPr>
          <w:rStyle w:val="jlqj4b"/>
          <w:lang w:val="en-GB"/>
        </w:rPr>
        <w:t>survey does not include, inter alia,</w:t>
      </w:r>
      <w:r w:rsidRPr="00073FC6">
        <w:rPr>
          <w:rStyle w:val="viiyi"/>
          <w:lang w:val="en-GB"/>
        </w:rPr>
        <w:t xml:space="preserve"> public administration, education, human health and social work activities.</w:t>
      </w:r>
    </w:p>
    <w:p w14:paraId="160BDDC8" w14:textId="77777777" w:rsidR="0016640E" w:rsidRPr="00073FC6" w:rsidRDefault="00597C8F" w:rsidP="00046096">
      <w:pPr>
        <w:spacing w:before="240" w:line="288" w:lineRule="auto"/>
        <w:rPr>
          <w:rFonts w:eastAsia="Times New Roman" w:cs="Times New Roman"/>
          <w:b/>
          <w:bCs/>
          <w:color w:val="000000" w:themeColor="text1"/>
          <w:szCs w:val="19"/>
          <w:lang w:val="en-GB" w:eastAsia="pl-PL"/>
        </w:rPr>
      </w:pPr>
      <w:r w:rsidRPr="00073FC6">
        <w:rPr>
          <w:rFonts w:eastAsia="Times New Roman" w:cs="Times New Roman"/>
          <w:b/>
          <w:bCs/>
          <w:color w:val="000000" w:themeColor="text1"/>
          <w:szCs w:val="19"/>
          <w:lang w:val="en-GB" w:eastAsia="pl-PL"/>
        </w:rPr>
        <w:t>Table</w:t>
      </w:r>
      <w:r w:rsidR="0016640E" w:rsidRPr="00073FC6">
        <w:rPr>
          <w:rFonts w:eastAsia="Times New Roman" w:cs="Times New Roman"/>
          <w:b/>
          <w:bCs/>
          <w:color w:val="000000" w:themeColor="text1"/>
          <w:szCs w:val="19"/>
          <w:lang w:val="en-GB" w:eastAsia="pl-PL"/>
        </w:rPr>
        <w:t xml:space="preserve"> 1. </w:t>
      </w:r>
      <w:r w:rsidRPr="00073FC6">
        <w:rPr>
          <w:rFonts w:eastAsia="Times New Roman" w:cs="Times New Roman"/>
          <w:b/>
          <w:bCs/>
          <w:color w:val="000000" w:themeColor="text1"/>
          <w:szCs w:val="19"/>
          <w:lang w:val="en-GB" w:eastAsia="pl-PL"/>
        </w:rPr>
        <w:t xml:space="preserve">Average paid employment and average gross wages and salaries in the enterprise sector in </w:t>
      </w:r>
      <w:r w:rsidR="00DD2A24" w:rsidRPr="00073FC6">
        <w:rPr>
          <w:rFonts w:eastAsia="Times New Roman" w:cs="Times New Roman"/>
          <w:b/>
          <w:bCs/>
          <w:color w:val="000000" w:themeColor="text1"/>
          <w:szCs w:val="19"/>
          <w:lang w:val="en-GB" w:eastAsia="pl-PL"/>
        </w:rPr>
        <w:t>November</w:t>
      </w:r>
      <w:r w:rsidRPr="00073FC6">
        <w:rPr>
          <w:rFonts w:eastAsia="Times New Roman" w:cs="Times New Roman"/>
          <w:b/>
          <w:bCs/>
          <w:color w:val="000000" w:themeColor="text1"/>
          <w:szCs w:val="19"/>
          <w:lang w:val="en-GB" w:eastAsia="pl-PL"/>
        </w:rPr>
        <w:t xml:space="preserve"> 2022</w:t>
      </w:r>
    </w:p>
    <w:tbl>
      <w:tblPr>
        <w:tblW w:w="8222" w:type="dxa"/>
        <w:jc w:val="center"/>
        <w:tblBorders>
          <w:insideH w:val="single" w:sz="4" w:space="0" w:color="auto"/>
          <w:insideV w:val="single" w:sz="4" w:space="0" w:color="auto"/>
        </w:tblBorders>
        <w:tblLayout w:type="fixed"/>
        <w:tblLook w:val="0000" w:firstRow="0" w:lastRow="0" w:firstColumn="0" w:lastColumn="0" w:noHBand="0" w:noVBand="0"/>
      </w:tblPr>
      <w:tblGrid>
        <w:gridCol w:w="2268"/>
        <w:gridCol w:w="1276"/>
        <w:gridCol w:w="1134"/>
        <w:gridCol w:w="1134"/>
        <w:gridCol w:w="1276"/>
        <w:gridCol w:w="1134"/>
      </w:tblGrid>
      <w:tr w:rsidR="00153D3C" w:rsidRPr="00073FC6" w14:paraId="2F00F685" w14:textId="77777777" w:rsidTr="001E06C6">
        <w:trPr>
          <w:trHeight w:val="558"/>
          <w:jc w:val="center"/>
        </w:trPr>
        <w:tc>
          <w:tcPr>
            <w:tcW w:w="2268" w:type="dxa"/>
            <w:vMerge w:val="restart"/>
            <w:tcBorders>
              <w:top w:val="single" w:sz="4" w:space="0" w:color="FFFFFF"/>
              <w:right w:val="single" w:sz="4" w:space="0" w:color="001D77"/>
            </w:tcBorders>
            <w:shd w:val="clear" w:color="auto" w:fill="auto"/>
            <w:vAlign w:val="center"/>
          </w:tcPr>
          <w:p w14:paraId="6048016B" w14:textId="77777777" w:rsidR="00153D3C" w:rsidRPr="00073FC6" w:rsidRDefault="00153D3C" w:rsidP="00153D3C">
            <w:pPr>
              <w:pStyle w:val="Nagwek1"/>
              <w:tabs>
                <w:tab w:val="right" w:leader="dot" w:pos="4139"/>
              </w:tabs>
              <w:jc w:val="center"/>
              <w:rPr>
                <w:rFonts w:ascii="Fira Sans" w:hAnsi="Fira Sans" w:cs="Arial"/>
                <w:color w:val="000000"/>
                <w:sz w:val="16"/>
                <w:szCs w:val="16"/>
                <w:lang w:val="en-GB"/>
              </w:rPr>
            </w:pPr>
            <w:r w:rsidRPr="00073FC6">
              <w:rPr>
                <w:rFonts w:ascii="Fira Sans" w:hAnsi="Fira Sans" w:cs="Arial"/>
                <w:color w:val="000000"/>
                <w:sz w:val="16"/>
                <w:szCs w:val="16"/>
                <w:lang w:val="en-GB"/>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14:paraId="456B55D0" w14:textId="77777777" w:rsidR="00153D3C" w:rsidRPr="00073FC6" w:rsidRDefault="00153D3C" w:rsidP="00153D3C">
            <w:pPr>
              <w:pStyle w:val="Nagwek1"/>
              <w:tabs>
                <w:tab w:val="right" w:leader="dot" w:pos="4139"/>
              </w:tabs>
              <w:jc w:val="center"/>
              <w:rPr>
                <w:rFonts w:ascii="Fira Sans" w:hAnsi="Fira Sans" w:cs="Arial"/>
                <w:color w:val="000000"/>
                <w:sz w:val="16"/>
                <w:szCs w:val="16"/>
                <w:lang w:val="en-GB"/>
              </w:rPr>
            </w:pPr>
            <w:r w:rsidRPr="00073FC6">
              <w:rPr>
                <w:rFonts w:ascii="Fira Sans" w:hAnsi="Fira Sans" w:cs="Arial"/>
                <w:color w:val="000000"/>
                <w:sz w:val="16"/>
                <w:szCs w:val="16"/>
                <w:lang w:val="en-GB"/>
              </w:rPr>
              <w:t>11 2022</w:t>
            </w:r>
          </w:p>
        </w:tc>
        <w:tc>
          <w:tcPr>
            <w:tcW w:w="2410" w:type="dxa"/>
            <w:gridSpan w:val="2"/>
            <w:tcBorders>
              <w:top w:val="single" w:sz="4" w:space="0" w:color="FFFFFF"/>
              <w:left w:val="single" w:sz="4" w:space="0" w:color="001D77"/>
              <w:bottom w:val="single" w:sz="4" w:space="0" w:color="001D77"/>
            </w:tcBorders>
            <w:shd w:val="clear" w:color="auto" w:fill="auto"/>
            <w:vAlign w:val="center"/>
          </w:tcPr>
          <w:p w14:paraId="41C7F4A3" w14:textId="77777777" w:rsidR="00153D3C" w:rsidRPr="00073FC6" w:rsidRDefault="00153D3C" w:rsidP="00153D3C">
            <w:pPr>
              <w:pStyle w:val="Nagwek1"/>
              <w:tabs>
                <w:tab w:val="right" w:leader="dot" w:pos="4139"/>
              </w:tabs>
              <w:jc w:val="center"/>
              <w:rPr>
                <w:rFonts w:ascii="Fira Sans" w:hAnsi="Fira Sans" w:cs="Arial"/>
                <w:color w:val="000000"/>
                <w:sz w:val="16"/>
                <w:szCs w:val="16"/>
                <w:lang w:val="en-GB"/>
              </w:rPr>
            </w:pPr>
            <w:r w:rsidRPr="00073FC6">
              <w:rPr>
                <w:rFonts w:ascii="Fira Sans" w:hAnsi="Fira Sans" w:cs="Arial"/>
                <w:color w:val="000000"/>
                <w:sz w:val="16"/>
                <w:szCs w:val="16"/>
                <w:lang w:val="en-GB"/>
              </w:rPr>
              <w:t>01–11 2022</w:t>
            </w:r>
          </w:p>
        </w:tc>
      </w:tr>
      <w:tr w:rsidR="00153D3C" w:rsidRPr="00073FC6" w14:paraId="223770FE" w14:textId="77777777" w:rsidTr="001E06C6">
        <w:trPr>
          <w:trHeight w:val="791"/>
          <w:jc w:val="center"/>
        </w:trPr>
        <w:tc>
          <w:tcPr>
            <w:tcW w:w="2268" w:type="dxa"/>
            <w:vMerge/>
            <w:tcBorders>
              <w:bottom w:val="single" w:sz="12" w:space="0" w:color="001D77"/>
              <w:right w:val="single" w:sz="4" w:space="0" w:color="001D77"/>
            </w:tcBorders>
            <w:shd w:val="clear" w:color="auto" w:fill="auto"/>
            <w:vAlign w:val="center"/>
          </w:tcPr>
          <w:p w14:paraId="52FE15F8" w14:textId="77777777" w:rsidR="00153D3C" w:rsidRPr="00073FC6" w:rsidRDefault="00153D3C" w:rsidP="00153D3C">
            <w:pPr>
              <w:pStyle w:val="Nagwek1"/>
              <w:tabs>
                <w:tab w:val="right" w:leader="dot" w:pos="4139"/>
              </w:tabs>
              <w:jc w:val="center"/>
              <w:rPr>
                <w:rFonts w:ascii="Fira Sans" w:hAnsi="Fira Sans" w:cs="Arial"/>
                <w:color w:val="000000"/>
                <w:sz w:val="16"/>
                <w:szCs w:val="16"/>
                <w:lang w:val="en-GB"/>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14:paraId="789DBA22" w14:textId="77777777" w:rsidR="00153D3C" w:rsidRPr="00073FC6" w:rsidRDefault="00153D3C" w:rsidP="00153D3C">
            <w:pPr>
              <w:pStyle w:val="Nagwek1"/>
              <w:tabs>
                <w:tab w:val="right" w:leader="dot" w:pos="4139"/>
              </w:tabs>
              <w:jc w:val="center"/>
              <w:rPr>
                <w:rFonts w:ascii="Fira Sans" w:hAnsi="Fira Sans" w:cs="Arial"/>
                <w:color w:val="000000"/>
                <w:sz w:val="16"/>
                <w:szCs w:val="16"/>
                <w:lang w:val="en-GB"/>
              </w:rPr>
            </w:pPr>
            <w:r w:rsidRPr="00073FC6">
              <w:rPr>
                <w:rFonts w:ascii="Fira Sans" w:hAnsi="Fira Sans" w:cs="Arial"/>
                <w:color w:val="000000"/>
                <w:sz w:val="16"/>
                <w:szCs w:val="16"/>
                <w:lang w:val="en-GB"/>
              </w:rPr>
              <w:t>in absolute</w:t>
            </w:r>
            <w:r w:rsidRPr="00073FC6">
              <w:rPr>
                <w:rFonts w:ascii="Fira Sans" w:hAnsi="Fira Sans" w:cs="Arial"/>
                <w:color w:val="000000"/>
                <w:sz w:val="16"/>
                <w:szCs w:val="16"/>
                <w:lang w:val="en-GB"/>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14:paraId="55FAB1E5" w14:textId="77777777" w:rsidR="00153D3C" w:rsidRPr="00073FC6" w:rsidRDefault="00153D3C" w:rsidP="00153D3C">
            <w:pPr>
              <w:pStyle w:val="Nagwek1"/>
              <w:tabs>
                <w:tab w:val="right" w:leader="dot" w:pos="4139"/>
              </w:tabs>
              <w:jc w:val="center"/>
              <w:rPr>
                <w:rFonts w:ascii="Fira Sans" w:hAnsi="Fira Sans" w:cs="Arial"/>
                <w:color w:val="000000"/>
                <w:sz w:val="16"/>
                <w:szCs w:val="16"/>
                <w:lang w:val="en-GB"/>
              </w:rPr>
            </w:pPr>
            <w:r w:rsidRPr="00073FC6">
              <w:rPr>
                <w:rFonts w:ascii="Fira Sans" w:hAnsi="Fira Sans" w:cs="Arial"/>
                <w:color w:val="000000"/>
                <w:sz w:val="16"/>
                <w:szCs w:val="16"/>
                <w:lang w:val="en-GB"/>
              </w:rPr>
              <w:t>10 2022=</w:t>
            </w:r>
            <w:r w:rsidRPr="00073FC6">
              <w:rPr>
                <w:rFonts w:ascii="Fira Sans" w:hAnsi="Fira Sans" w:cs="Arial"/>
                <w:color w:val="000000"/>
                <w:sz w:val="16"/>
                <w:szCs w:val="16"/>
                <w:lang w:val="en-GB"/>
              </w:rPr>
              <w:b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14:paraId="0D878EAA" w14:textId="77777777" w:rsidR="00153D3C" w:rsidRPr="00073FC6" w:rsidRDefault="00153D3C" w:rsidP="00153D3C">
            <w:pPr>
              <w:pStyle w:val="Nagwek1"/>
              <w:tabs>
                <w:tab w:val="right" w:leader="dot" w:pos="4139"/>
              </w:tabs>
              <w:jc w:val="center"/>
              <w:rPr>
                <w:rFonts w:ascii="Fira Sans" w:hAnsi="Fira Sans" w:cs="Arial"/>
                <w:color w:val="000000"/>
                <w:sz w:val="16"/>
                <w:szCs w:val="16"/>
                <w:lang w:val="en-GB"/>
              </w:rPr>
            </w:pPr>
            <w:r w:rsidRPr="00073FC6">
              <w:rPr>
                <w:rFonts w:ascii="Fira Sans" w:hAnsi="Fira Sans" w:cs="Arial"/>
                <w:color w:val="000000"/>
                <w:sz w:val="16"/>
                <w:szCs w:val="16"/>
                <w:lang w:val="en-GB"/>
              </w:rPr>
              <w:t>11 2021=</w:t>
            </w:r>
            <w:r w:rsidRPr="00073FC6">
              <w:rPr>
                <w:rFonts w:ascii="Fira Sans" w:hAnsi="Fira Sans" w:cs="Arial"/>
                <w:color w:val="000000"/>
                <w:sz w:val="16"/>
                <w:szCs w:val="16"/>
                <w:lang w:val="en-GB"/>
              </w:rPr>
              <w:br/>
              <w:t>=100</w:t>
            </w:r>
          </w:p>
        </w:tc>
        <w:tc>
          <w:tcPr>
            <w:tcW w:w="1276" w:type="dxa"/>
            <w:tcBorders>
              <w:top w:val="single" w:sz="4" w:space="0" w:color="001D77"/>
              <w:left w:val="single" w:sz="4" w:space="0" w:color="001D77"/>
              <w:bottom w:val="single" w:sz="12" w:space="0" w:color="001D77"/>
            </w:tcBorders>
            <w:shd w:val="clear" w:color="auto" w:fill="auto"/>
            <w:vAlign w:val="center"/>
          </w:tcPr>
          <w:p w14:paraId="2478B586" w14:textId="77777777" w:rsidR="00153D3C" w:rsidRPr="00073FC6" w:rsidRDefault="00153D3C" w:rsidP="00153D3C">
            <w:pPr>
              <w:pStyle w:val="Nagwek1"/>
              <w:tabs>
                <w:tab w:val="right" w:leader="dot" w:pos="4139"/>
              </w:tabs>
              <w:jc w:val="center"/>
              <w:rPr>
                <w:rFonts w:ascii="Fira Sans" w:hAnsi="Fira Sans" w:cs="Arial"/>
                <w:color w:val="000000"/>
                <w:sz w:val="16"/>
                <w:szCs w:val="16"/>
                <w:lang w:val="en-GB"/>
              </w:rPr>
            </w:pPr>
            <w:r w:rsidRPr="00073FC6">
              <w:rPr>
                <w:rFonts w:ascii="Fira Sans" w:hAnsi="Fira Sans" w:cs="Arial"/>
                <w:color w:val="000000"/>
                <w:sz w:val="16"/>
                <w:szCs w:val="16"/>
                <w:lang w:val="en-GB"/>
              </w:rPr>
              <w:t>in absolute numbers</w:t>
            </w:r>
          </w:p>
        </w:tc>
        <w:tc>
          <w:tcPr>
            <w:tcW w:w="1134" w:type="dxa"/>
            <w:tcBorders>
              <w:top w:val="single" w:sz="4" w:space="0" w:color="001D77"/>
              <w:left w:val="single" w:sz="4" w:space="0" w:color="001D77"/>
              <w:bottom w:val="single" w:sz="12" w:space="0" w:color="001D77"/>
            </w:tcBorders>
          </w:tcPr>
          <w:p w14:paraId="45D89E23" w14:textId="77777777" w:rsidR="00153D3C" w:rsidRPr="00073FC6" w:rsidRDefault="00153D3C" w:rsidP="00153D3C">
            <w:pPr>
              <w:pStyle w:val="Nagwek1"/>
              <w:tabs>
                <w:tab w:val="right" w:leader="dot" w:pos="4139"/>
              </w:tabs>
              <w:jc w:val="center"/>
              <w:rPr>
                <w:rFonts w:ascii="Fira Sans" w:hAnsi="Fira Sans" w:cs="Arial"/>
                <w:color w:val="000000"/>
                <w:sz w:val="16"/>
                <w:szCs w:val="16"/>
                <w:lang w:val="en-GB"/>
              </w:rPr>
            </w:pPr>
            <w:r w:rsidRPr="00073FC6">
              <w:rPr>
                <w:rFonts w:ascii="Fira Sans" w:hAnsi="Fira Sans" w:cs="Arial"/>
                <w:color w:val="000000"/>
                <w:sz w:val="16"/>
                <w:szCs w:val="16"/>
                <w:lang w:val="en-GB"/>
              </w:rPr>
              <w:t>01–11 2021=</w:t>
            </w:r>
            <w:r w:rsidRPr="00073FC6">
              <w:rPr>
                <w:rFonts w:ascii="Fira Sans" w:hAnsi="Fira Sans" w:cs="Arial"/>
                <w:color w:val="000000"/>
                <w:sz w:val="16"/>
                <w:szCs w:val="16"/>
                <w:lang w:val="en-GB"/>
              </w:rPr>
              <w:br/>
              <w:t>=100</w:t>
            </w:r>
          </w:p>
        </w:tc>
      </w:tr>
      <w:tr w:rsidR="00153D3C" w:rsidRPr="00073FC6" w14:paraId="1802F1C2" w14:textId="77777777" w:rsidTr="001E06C6">
        <w:trPr>
          <w:trHeight w:val="574"/>
          <w:jc w:val="center"/>
        </w:trPr>
        <w:tc>
          <w:tcPr>
            <w:tcW w:w="2268" w:type="dxa"/>
            <w:tcBorders>
              <w:top w:val="single" w:sz="12" w:space="0" w:color="001D77"/>
              <w:bottom w:val="single" w:sz="4" w:space="0" w:color="001D77"/>
              <w:right w:val="single" w:sz="4" w:space="0" w:color="001D77"/>
            </w:tcBorders>
            <w:shd w:val="clear" w:color="auto" w:fill="auto"/>
            <w:vAlign w:val="center"/>
          </w:tcPr>
          <w:p w14:paraId="43F696AA" w14:textId="77777777" w:rsidR="00153D3C" w:rsidRPr="00073FC6" w:rsidRDefault="00153D3C" w:rsidP="00153D3C">
            <w:pPr>
              <w:pStyle w:val="Nagwek1"/>
              <w:tabs>
                <w:tab w:val="left" w:pos="2670"/>
                <w:tab w:val="right" w:leader="dot" w:pos="4139"/>
              </w:tabs>
              <w:spacing w:before="0" w:after="0" w:line="240" w:lineRule="exact"/>
              <w:rPr>
                <w:rFonts w:ascii="Fira Sans" w:hAnsi="Fira Sans" w:cs="Arial"/>
                <w:color w:val="000000"/>
                <w:sz w:val="16"/>
                <w:szCs w:val="16"/>
                <w:lang w:val="en-GB"/>
              </w:rPr>
            </w:pPr>
            <w:r w:rsidRPr="00073FC6">
              <w:rPr>
                <w:rFonts w:ascii="Fira Sans" w:hAnsi="Fira Sans"/>
                <w:color w:val="000000"/>
                <w:sz w:val="16"/>
                <w:szCs w:val="16"/>
                <w:lang w:val="en-GB"/>
              </w:rPr>
              <w:t xml:space="preserve">Average paid employment </w:t>
            </w:r>
            <w:r w:rsidRPr="00073FC6">
              <w:rPr>
                <w:rFonts w:ascii="Fira Sans" w:hAnsi="Fira Sans"/>
                <w:color w:val="000000"/>
                <w:sz w:val="16"/>
                <w:szCs w:val="16"/>
                <w:lang w:val="en-GB"/>
              </w:rPr>
              <w:br/>
              <w:t>in thousand full-time equivalents</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14:paraId="65FEE227"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6507.5</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14:paraId="7E36EFAB"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100.1</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14:paraId="1C957CD7"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102.3</w:t>
            </w:r>
          </w:p>
        </w:tc>
        <w:tc>
          <w:tcPr>
            <w:tcW w:w="1276" w:type="dxa"/>
            <w:tcBorders>
              <w:top w:val="single" w:sz="12" w:space="0" w:color="001D77"/>
              <w:left w:val="single" w:sz="4" w:space="0" w:color="001D77"/>
              <w:bottom w:val="single" w:sz="4" w:space="0" w:color="001D77"/>
            </w:tcBorders>
            <w:shd w:val="clear" w:color="auto" w:fill="auto"/>
            <w:vAlign w:val="center"/>
          </w:tcPr>
          <w:p w14:paraId="2DE3188D"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6498.0</w:t>
            </w:r>
          </w:p>
        </w:tc>
        <w:tc>
          <w:tcPr>
            <w:tcW w:w="1134" w:type="dxa"/>
            <w:tcBorders>
              <w:top w:val="single" w:sz="12" w:space="0" w:color="001D77"/>
              <w:left w:val="single" w:sz="4" w:space="0" w:color="001D77"/>
              <w:bottom w:val="single" w:sz="4" w:space="0" w:color="001D77"/>
            </w:tcBorders>
            <w:vAlign w:val="center"/>
          </w:tcPr>
          <w:p w14:paraId="7C31A7E5"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102.5</w:t>
            </w:r>
          </w:p>
        </w:tc>
      </w:tr>
      <w:tr w:rsidR="00153D3C" w:rsidRPr="00073FC6" w14:paraId="2BCC0143" w14:textId="77777777" w:rsidTr="001E06C6">
        <w:trPr>
          <w:trHeight w:val="651"/>
          <w:jc w:val="center"/>
        </w:trPr>
        <w:tc>
          <w:tcPr>
            <w:tcW w:w="2268" w:type="dxa"/>
            <w:tcBorders>
              <w:top w:val="single" w:sz="4" w:space="0" w:color="001D77"/>
              <w:bottom w:val="single" w:sz="4" w:space="0" w:color="001D77"/>
              <w:right w:val="single" w:sz="4" w:space="0" w:color="001D77"/>
            </w:tcBorders>
            <w:shd w:val="clear" w:color="auto" w:fill="auto"/>
            <w:vAlign w:val="center"/>
          </w:tcPr>
          <w:p w14:paraId="440152CD" w14:textId="77777777" w:rsidR="00153D3C" w:rsidRPr="00073FC6" w:rsidRDefault="00153D3C" w:rsidP="00153D3C">
            <w:pPr>
              <w:pStyle w:val="Nagwek1"/>
              <w:tabs>
                <w:tab w:val="right" w:leader="dot" w:pos="4139"/>
              </w:tabs>
              <w:spacing w:before="0" w:after="0" w:line="240" w:lineRule="exact"/>
              <w:rPr>
                <w:rFonts w:ascii="Fira Sans" w:hAnsi="Fira Sans" w:cs="Arial"/>
                <w:color w:val="000000"/>
                <w:sz w:val="16"/>
                <w:szCs w:val="16"/>
                <w:lang w:val="en-GB"/>
              </w:rPr>
            </w:pPr>
            <w:r w:rsidRPr="00073FC6">
              <w:rPr>
                <w:rFonts w:ascii="Fira Sans" w:hAnsi="Fira Sans"/>
                <w:color w:val="000000"/>
                <w:sz w:val="16"/>
                <w:szCs w:val="16"/>
                <w:lang w:val="en-GB"/>
              </w:rPr>
              <w:t>Average</w:t>
            </w:r>
            <w:r w:rsidRPr="00073FC6">
              <w:rPr>
                <w:rFonts w:ascii="Fira Sans" w:hAnsi="Fira Sans" w:cs="Arial"/>
                <w:color w:val="000000"/>
                <w:sz w:val="16"/>
                <w:szCs w:val="16"/>
                <w:lang w:val="en-GB"/>
              </w:rPr>
              <w:t xml:space="preserve"> gross wages and salaries total in 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14:paraId="01D26C93"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6857.96</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14:paraId="009BFEAD"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102.5</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14:paraId="7B85D9F6"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113.9</w:t>
            </w:r>
          </w:p>
        </w:tc>
        <w:tc>
          <w:tcPr>
            <w:tcW w:w="1276" w:type="dxa"/>
            <w:tcBorders>
              <w:top w:val="single" w:sz="4" w:space="0" w:color="001D77"/>
              <w:left w:val="single" w:sz="4" w:space="0" w:color="001D77"/>
              <w:bottom w:val="single" w:sz="4" w:space="0" w:color="001D77"/>
            </w:tcBorders>
            <w:shd w:val="clear" w:color="auto" w:fill="auto"/>
            <w:vAlign w:val="center"/>
          </w:tcPr>
          <w:p w14:paraId="59079C29"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6594.03</w:t>
            </w:r>
          </w:p>
        </w:tc>
        <w:tc>
          <w:tcPr>
            <w:tcW w:w="1134" w:type="dxa"/>
            <w:tcBorders>
              <w:top w:val="single" w:sz="4" w:space="0" w:color="001D77"/>
              <w:left w:val="single" w:sz="4" w:space="0" w:color="001D77"/>
              <w:bottom w:val="single" w:sz="4" w:space="0" w:color="001D77"/>
            </w:tcBorders>
            <w:vAlign w:val="center"/>
          </w:tcPr>
          <w:p w14:paraId="13FEA9FD"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113.4</w:t>
            </w:r>
          </w:p>
        </w:tc>
      </w:tr>
      <w:tr w:rsidR="00153D3C" w:rsidRPr="00073FC6" w14:paraId="0CFDCAAF" w14:textId="77777777" w:rsidTr="001E06C6">
        <w:trPr>
          <w:trHeight w:val="760"/>
          <w:jc w:val="center"/>
        </w:trPr>
        <w:tc>
          <w:tcPr>
            <w:tcW w:w="2268" w:type="dxa"/>
            <w:tcBorders>
              <w:top w:val="single" w:sz="4" w:space="0" w:color="001D77"/>
              <w:right w:val="single" w:sz="4" w:space="0" w:color="001D77"/>
            </w:tcBorders>
            <w:shd w:val="clear" w:color="auto" w:fill="auto"/>
            <w:vAlign w:val="center"/>
          </w:tcPr>
          <w:p w14:paraId="4C594393" w14:textId="77777777" w:rsidR="00153D3C" w:rsidRPr="00073FC6" w:rsidRDefault="00153D3C" w:rsidP="00153D3C">
            <w:pPr>
              <w:pStyle w:val="Nagwek1"/>
              <w:tabs>
                <w:tab w:val="right" w:leader="dot" w:pos="4139"/>
              </w:tabs>
              <w:spacing w:before="0" w:after="0" w:line="240" w:lineRule="exact"/>
              <w:ind w:left="227"/>
              <w:rPr>
                <w:rFonts w:ascii="Fira Sans" w:hAnsi="Fira Sans" w:cs="Arial"/>
                <w:color w:val="000000"/>
                <w:sz w:val="16"/>
                <w:szCs w:val="16"/>
                <w:lang w:val="en-GB"/>
              </w:rPr>
            </w:pPr>
            <w:r w:rsidRPr="00073FC6">
              <w:rPr>
                <w:rFonts w:ascii="Fira Sans" w:hAnsi="Fira Sans" w:cs="Arial"/>
                <w:color w:val="000000"/>
                <w:sz w:val="16"/>
                <w:szCs w:val="16"/>
                <w:lang w:val="en-GB"/>
              </w:rPr>
              <w:t xml:space="preserve">of which excluding payments from profit </w:t>
            </w:r>
          </w:p>
        </w:tc>
        <w:tc>
          <w:tcPr>
            <w:tcW w:w="1276" w:type="dxa"/>
            <w:tcBorders>
              <w:top w:val="single" w:sz="4" w:space="0" w:color="001D77"/>
              <w:left w:val="single" w:sz="4" w:space="0" w:color="001D77"/>
              <w:right w:val="single" w:sz="4" w:space="0" w:color="001D77"/>
            </w:tcBorders>
            <w:shd w:val="clear" w:color="auto" w:fill="auto"/>
            <w:vAlign w:val="center"/>
          </w:tcPr>
          <w:p w14:paraId="17824F3F"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6857.89</w:t>
            </w:r>
          </w:p>
        </w:tc>
        <w:tc>
          <w:tcPr>
            <w:tcW w:w="1134" w:type="dxa"/>
            <w:tcBorders>
              <w:top w:val="single" w:sz="4" w:space="0" w:color="001D77"/>
              <w:left w:val="single" w:sz="4" w:space="0" w:color="001D77"/>
              <w:right w:val="single" w:sz="4" w:space="0" w:color="001D77"/>
            </w:tcBorders>
            <w:shd w:val="clear" w:color="auto" w:fill="auto"/>
            <w:vAlign w:val="center"/>
          </w:tcPr>
          <w:p w14:paraId="7D26EC7D"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102.5</w:t>
            </w:r>
          </w:p>
        </w:tc>
        <w:tc>
          <w:tcPr>
            <w:tcW w:w="1134" w:type="dxa"/>
            <w:tcBorders>
              <w:top w:val="single" w:sz="4" w:space="0" w:color="001D77"/>
              <w:left w:val="single" w:sz="4" w:space="0" w:color="001D77"/>
              <w:right w:val="single" w:sz="4" w:space="0" w:color="001D77"/>
            </w:tcBorders>
            <w:shd w:val="clear" w:color="auto" w:fill="auto"/>
            <w:vAlign w:val="center"/>
          </w:tcPr>
          <w:p w14:paraId="594B77FC"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113.9</w:t>
            </w:r>
          </w:p>
        </w:tc>
        <w:tc>
          <w:tcPr>
            <w:tcW w:w="1276" w:type="dxa"/>
            <w:tcBorders>
              <w:top w:val="single" w:sz="4" w:space="0" w:color="001D77"/>
              <w:left w:val="single" w:sz="4" w:space="0" w:color="001D77"/>
            </w:tcBorders>
            <w:shd w:val="clear" w:color="auto" w:fill="auto"/>
            <w:vAlign w:val="center"/>
          </w:tcPr>
          <w:p w14:paraId="3F46F310"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6593.01</w:t>
            </w:r>
          </w:p>
        </w:tc>
        <w:tc>
          <w:tcPr>
            <w:tcW w:w="1134" w:type="dxa"/>
            <w:tcBorders>
              <w:top w:val="single" w:sz="4" w:space="0" w:color="001D77"/>
              <w:left w:val="single" w:sz="4" w:space="0" w:color="001D77"/>
            </w:tcBorders>
            <w:vAlign w:val="center"/>
          </w:tcPr>
          <w:p w14:paraId="1FE77199" w14:textId="77777777" w:rsidR="00153D3C" w:rsidRPr="00073FC6" w:rsidRDefault="00153D3C" w:rsidP="00153D3C">
            <w:pPr>
              <w:pStyle w:val="Nagwek1"/>
              <w:tabs>
                <w:tab w:val="right" w:leader="dot" w:pos="4139"/>
              </w:tabs>
              <w:spacing w:before="0" w:after="0" w:line="240" w:lineRule="exact"/>
              <w:jc w:val="right"/>
              <w:rPr>
                <w:rFonts w:ascii="Fira Sans" w:hAnsi="Fira Sans" w:cs="Arial"/>
                <w:color w:val="000000"/>
                <w:sz w:val="16"/>
                <w:szCs w:val="16"/>
              </w:rPr>
            </w:pPr>
            <w:r w:rsidRPr="00073FC6">
              <w:rPr>
                <w:rFonts w:ascii="Fira Sans" w:hAnsi="Fira Sans" w:cs="Arial"/>
                <w:color w:val="000000"/>
                <w:sz w:val="16"/>
                <w:szCs w:val="16"/>
              </w:rPr>
              <w:t>113.4</w:t>
            </w:r>
          </w:p>
        </w:tc>
      </w:tr>
    </w:tbl>
    <w:p w14:paraId="7F5555B7" w14:textId="77777777" w:rsidR="00760370" w:rsidRPr="00073FC6" w:rsidRDefault="00760370" w:rsidP="0016640E">
      <w:pPr>
        <w:spacing w:line="288" w:lineRule="auto"/>
        <w:rPr>
          <w:rFonts w:eastAsia="Calibri"/>
          <w:shd w:val="clear" w:color="auto" w:fill="FFFFFF"/>
          <w:lang w:val="en-GB"/>
        </w:rPr>
      </w:pPr>
    </w:p>
    <w:p w14:paraId="07C64BE3" w14:textId="77777777" w:rsidR="00382E33" w:rsidRPr="00073FC6" w:rsidRDefault="00382E33" w:rsidP="00382E33">
      <w:pPr>
        <w:spacing w:line="288" w:lineRule="auto"/>
        <w:rPr>
          <w:rFonts w:eastAsia="Calibri"/>
          <w:shd w:val="clear" w:color="auto" w:fill="FFFFFF"/>
          <w:lang w:val="en-GB"/>
        </w:rPr>
      </w:pPr>
      <w:r w:rsidRPr="00073FC6">
        <w:rPr>
          <w:rFonts w:eastAsia="Calibri"/>
          <w:shd w:val="clear" w:color="auto" w:fill="FFFFFF"/>
          <w:lang w:val="en-GB"/>
        </w:rPr>
        <w:lastRenderedPageBreak/>
        <w:t xml:space="preserve">In November in comparison to October 2022 </w:t>
      </w:r>
      <w:r w:rsidRPr="00073FC6">
        <w:rPr>
          <w:rFonts w:eastAsia="Calibri"/>
          <w:b/>
          <w:shd w:val="clear" w:color="auto" w:fill="FFFFFF"/>
          <w:lang w:val="en-GB"/>
        </w:rPr>
        <w:t xml:space="preserve">average paid employment in the enterprise sector </w:t>
      </w:r>
      <w:r w:rsidRPr="00073FC6">
        <w:rPr>
          <w:rFonts w:eastAsia="Calibri"/>
          <w:shd w:val="clear" w:color="auto" w:fill="FFFFFF"/>
          <w:lang w:val="en-GB"/>
        </w:rPr>
        <w:t>increased minimally (by 0.1%) – as in the previous month. The slight growth in average paid employment in November 2022 was caused among others by admissions in units</w:t>
      </w:r>
      <w:r w:rsidRPr="00073FC6">
        <w:rPr>
          <w:rStyle w:val="tlid-translation"/>
          <w:lang w:val="en-US"/>
        </w:rPr>
        <w:t>.</w:t>
      </w:r>
      <w:r w:rsidRPr="00073FC6">
        <w:rPr>
          <w:rFonts w:eastAsia="Calibri"/>
          <w:shd w:val="clear" w:color="auto" w:fill="FFFFFF"/>
          <w:lang w:val="en-GB"/>
        </w:rPr>
        <w:t xml:space="preserve"> </w:t>
      </w:r>
    </w:p>
    <w:p w14:paraId="5D5A076C" w14:textId="77777777" w:rsidR="00646D9D" w:rsidRPr="00073FC6" w:rsidRDefault="00382E33" w:rsidP="00382E33">
      <w:pPr>
        <w:spacing w:line="288" w:lineRule="auto"/>
        <w:rPr>
          <w:rFonts w:eastAsia="Calibri"/>
          <w:shd w:val="clear" w:color="auto" w:fill="FFFFFF"/>
          <w:lang w:val="en-GB"/>
        </w:rPr>
      </w:pPr>
      <w:r w:rsidRPr="00073FC6">
        <w:rPr>
          <w:rFonts w:eastAsia="Calibri"/>
          <w:shd w:val="clear" w:color="auto" w:fill="FFFFFF"/>
          <w:lang w:val="en-GB"/>
        </w:rPr>
        <w:t xml:space="preserve">Comparing November 2022 to November 2021, average paid employment in the enterprise sector increased by 2.3%, while in November 2021 </w:t>
      </w:r>
      <w:r w:rsidRPr="00073FC6">
        <w:rPr>
          <w:rStyle w:val="jlqj4b"/>
          <w:lang w:val="en-GB"/>
        </w:rPr>
        <w:t>its noted y/y increase was lower and amounted to</w:t>
      </w:r>
      <w:r w:rsidRPr="00073FC6">
        <w:rPr>
          <w:rFonts w:eastAsia="Calibri"/>
          <w:shd w:val="clear" w:color="auto" w:fill="FFFFFF"/>
          <w:lang w:val="en-GB"/>
        </w:rPr>
        <w:t xml:space="preserve"> 0.7%.</w:t>
      </w:r>
    </w:p>
    <w:p w14:paraId="61DBB0C5" w14:textId="77777777" w:rsidR="00331D96" w:rsidRPr="00073FC6" w:rsidRDefault="006D6B8F" w:rsidP="00331D96">
      <w:pPr>
        <w:pStyle w:val="Tytuwykresu0"/>
        <w:spacing w:before="240" w:line="240" w:lineRule="exact"/>
        <w:rPr>
          <w:rFonts w:ascii="Fira Sans" w:hAnsi="Fira Sans"/>
          <w:lang w:val="en-US"/>
        </w:rPr>
      </w:pPr>
      <w:r w:rsidRPr="00073FC6">
        <w:rPr>
          <w:rFonts w:ascii="Fira Sans" w:hAnsi="Fira Sans"/>
          <w:lang w:val="en-US"/>
        </w:rPr>
        <w:t xml:space="preserve">Chart 1. Average paid employment in the enterprise sector </w:t>
      </w:r>
      <w:r w:rsidR="00F66BB5" w:rsidRPr="00073FC6">
        <w:rPr>
          <w:rFonts w:ascii="Fira Sans" w:hAnsi="Fira Sans"/>
        </w:rPr>
        <w:drawing>
          <wp:anchor distT="0" distB="0" distL="114300" distR="114300" simplePos="0" relativeHeight="251656704" behindDoc="0" locked="1" layoutInCell="1" allowOverlap="1" wp14:anchorId="4ECA666A" wp14:editId="45C7D2F7">
            <wp:simplePos x="0" y="0"/>
            <wp:positionH relativeFrom="column">
              <wp:posOffset>0</wp:posOffset>
            </wp:positionH>
            <wp:positionV relativeFrom="paragraph">
              <wp:posOffset>387350</wp:posOffset>
            </wp:positionV>
            <wp:extent cx="5122545" cy="3725545"/>
            <wp:effectExtent l="0" t="0" r="0" b="0"/>
            <wp:wrapTopAndBottom/>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4195D0B" w14:textId="77777777" w:rsidR="002962D2" w:rsidRPr="00073FC6" w:rsidRDefault="00646D9D" w:rsidP="00331D96">
      <w:pPr>
        <w:pStyle w:val="Tytuwykresu0"/>
        <w:spacing w:before="240" w:line="288" w:lineRule="auto"/>
        <w:rPr>
          <w:rFonts w:ascii="Fira Sans" w:hAnsi="Fira Sans"/>
          <w:b w:val="0"/>
          <w:bCs w:val="0"/>
          <w:noProof w:val="0"/>
          <w:szCs w:val="19"/>
          <w:lang w:val="en-US"/>
        </w:rPr>
      </w:pPr>
      <w:r w:rsidRPr="00073FC6">
        <w:rPr>
          <w:rFonts w:ascii="Fira Sans" w:hAnsi="Fira Sans"/>
          <w:b w:val="0"/>
          <w:bCs w:val="0"/>
          <w:noProof w:val="0"/>
          <w:szCs w:val="19"/>
          <w:lang w:val="en-US"/>
        </w:rPr>
        <w:t xml:space="preserve">Due to the epidemic situation and its impact on the labour market, in 2020 there were </w:t>
      </w:r>
      <w:proofErr w:type="spellStart"/>
      <w:r w:rsidRPr="00073FC6">
        <w:rPr>
          <w:rFonts w:ascii="Fira Sans" w:hAnsi="Fira Sans"/>
          <w:b w:val="0"/>
          <w:bCs w:val="0"/>
          <w:noProof w:val="0"/>
          <w:szCs w:val="19"/>
          <w:lang w:val="en-US"/>
        </w:rPr>
        <w:t>signi</w:t>
      </w:r>
      <w:proofErr w:type="spellEnd"/>
      <w:r w:rsidR="008679F5" w:rsidRPr="00073FC6">
        <w:rPr>
          <w:rFonts w:ascii="Fira Sans" w:hAnsi="Fira Sans"/>
          <w:b w:val="0"/>
          <w:bCs w:val="0"/>
          <w:noProof w:val="0"/>
          <w:szCs w:val="19"/>
          <w:lang w:val="en-US"/>
        </w:rPr>
        <w:t>-</w:t>
      </w:r>
      <w:r w:rsidR="008679F5" w:rsidRPr="00073FC6">
        <w:rPr>
          <w:rFonts w:ascii="Fira Sans" w:hAnsi="Fira Sans"/>
          <w:b w:val="0"/>
          <w:bCs w:val="0"/>
          <w:noProof w:val="0"/>
          <w:szCs w:val="19"/>
          <w:lang w:val="en-US"/>
        </w:rPr>
        <w:br/>
      </w:r>
      <w:proofErr w:type="spellStart"/>
      <w:r w:rsidRPr="00073FC6">
        <w:rPr>
          <w:rFonts w:ascii="Fira Sans" w:hAnsi="Fira Sans"/>
          <w:b w:val="0"/>
          <w:bCs w:val="0"/>
          <w:noProof w:val="0"/>
          <w:szCs w:val="19"/>
          <w:lang w:val="en-US"/>
        </w:rPr>
        <w:t>ficant</w:t>
      </w:r>
      <w:proofErr w:type="spellEnd"/>
      <w:r w:rsidRPr="00073FC6">
        <w:rPr>
          <w:rFonts w:ascii="Fira Sans" w:hAnsi="Fira Sans"/>
          <w:b w:val="0"/>
          <w:bCs w:val="0"/>
          <w:noProof w:val="0"/>
          <w:szCs w:val="19"/>
          <w:lang w:val="en-US"/>
        </w:rPr>
        <w:t xml:space="preserve"> decreases in average paid employment in the enterprise sector. The following year, average </w:t>
      </w:r>
      <w:r w:rsidR="00EC064E" w:rsidRPr="00073FC6">
        <w:rPr>
          <w:rFonts w:ascii="Fira Sans" w:hAnsi="Fira Sans"/>
          <w:b w:val="0"/>
          <w:bCs w:val="0"/>
          <w:noProof w:val="0"/>
          <w:szCs w:val="19"/>
          <w:lang w:val="en-US"/>
        </w:rPr>
        <w:t>paid employment fluctuated</w:t>
      </w:r>
      <w:r w:rsidRPr="00073FC6">
        <w:rPr>
          <w:rFonts w:ascii="Fira Sans" w:hAnsi="Fira Sans"/>
          <w:b w:val="0"/>
          <w:bCs w:val="0"/>
          <w:noProof w:val="0"/>
          <w:szCs w:val="19"/>
          <w:lang w:val="en-US"/>
        </w:rPr>
        <w:t xml:space="preserve"> slightly, but it was only in 2022 that it returned to the values noted at the beginning of 2020. </w:t>
      </w:r>
      <w:r w:rsidR="002962D2" w:rsidRPr="00073FC6">
        <w:rPr>
          <w:rFonts w:ascii="Fira Sans" w:hAnsi="Fira Sans"/>
          <w:b w:val="0"/>
          <w:bCs w:val="0"/>
          <w:noProof w:val="0"/>
          <w:szCs w:val="19"/>
          <w:lang w:val="en-US"/>
        </w:rPr>
        <w:t xml:space="preserve">In November 2022, compared to October 2022, the average paid employment increased by approx. 6.6 thousand full-time equivalents. </w:t>
      </w:r>
    </w:p>
    <w:p w14:paraId="1C1342EB" w14:textId="77777777" w:rsidR="00F66BB5" w:rsidRPr="00073FC6" w:rsidRDefault="00000000" w:rsidP="00331D96">
      <w:pPr>
        <w:pStyle w:val="Tytuwykresu0"/>
        <w:spacing w:before="240" w:line="288" w:lineRule="auto"/>
        <w:rPr>
          <w:rStyle w:val="jlqj4b"/>
          <w:rFonts w:ascii="Fira Sans" w:eastAsiaTheme="minorHAnsi" w:hAnsi="Fira Sans" w:cstheme="minorBidi"/>
          <w:b w:val="0"/>
          <w:bCs w:val="0"/>
          <w:noProof w:val="0"/>
          <w:szCs w:val="22"/>
          <w:lang w:val="en-US" w:eastAsia="en-US"/>
        </w:rPr>
      </w:pPr>
      <w:r>
        <w:rPr>
          <w:rFonts w:ascii="Fira Sans" w:hAnsi="Fira Sans"/>
        </w:rPr>
        <w:pict w14:anchorId="1DF51B22">
          <v:shape id="_x0000_s2081" type="#_x0000_t202" alt="Pole tekstowe: Average monthly gross wages and salaries in the enterprise sector includes the base salary and additional salary components, incl. bonuses, awards, remuneration for overtime and retirement severance pays" style="position:absolute;margin-left:411.75pt;margin-top:42.15pt;width:135.85pt;height:136.5pt;z-index:-251541504;visibility:visible;mso-wrap-distance-top:3.6pt;mso-wrap-distance-bottom:3.6pt;mso-width-relative:margin;mso-height-relative:margin" wrapcoords="0 0" filled="f" stroked="f">
            <v:textbox style="mso-next-textbox:#_x0000_s2081">
              <w:txbxContent>
                <w:p w14:paraId="0F013283" w14:textId="77777777" w:rsidR="001521BF" w:rsidRPr="00300E06" w:rsidRDefault="001521BF" w:rsidP="001521BF">
                  <w:pPr>
                    <w:pStyle w:val="tekstzboku"/>
                    <w:rPr>
                      <w:bCs w:val="0"/>
                      <w:lang w:val="en-US"/>
                    </w:rPr>
                  </w:pPr>
                  <w:r w:rsidRPr="00300E06">
                    <w:rPr>
                      <w:bCs w:val="0"/>
                      <w:lang w:val="en-US"/>
                    </w:rPr>
                    <w:t xml:space="preserve">Average monthly gross wages and salaries in </w:t>
                  </w:r>
                  <w:r>
                    <w:rPr>
                      <w:bCs w:val="0"/>
                      <w:lang w:val="en-US"/>
                    </w:rPr>
                    <w:t xml:space="preserve">the </w:t>
                  </w:r>
                  <w:r w:rsidRPr="00300E06">
                    <w:rPr>
                      <w:bCs w:val="0"/>
                      <w:lang w:val="en-US"/>
                    </w:rPr>
                    <w:t>enterprise sector includes</w:t>
                  </w:r>
                  <w:r>
                    <w:rPr>
                      <w:bCs w:val="0"/>
                      <w:lang w:val="en-US"/>
                    </w:rPr>
                    <w:t xml:space="preserve"> the</w:t>
                  </w:r>
                  <w:r w:rsidRPr="00300E06">
                    <w:rPr>
                      <w:bCs w:val="0"/>
                      <w:lang w:val="en-US"/>
                    </w:rPr>
                    <w:t xml:space="preserve"> base salary and additional salary components, incl</w:t>
                  </w:r>
                  <w:r>
                    <w:rPr>
                      <w:bCs w:val="0"/>
                      <w:lang w:val="en-US"/>
                    </w:rPr>
                    <w:t>. bonuses, awards, rem</w:t>
                  </w:r>
                  <w:r w:rsidRPr="00300E06">
                    <w:rPr>
                      <w:bCs w:val="0"/>
                      <w:lang w:val="en-US"/>
                    </w:rPr>
                    <w:t>u</w:t>
                  </w:r>
                  <w:r>
                    <w:rPr>
                      <w:bCs w:val="0"/>
                      <w:lang w:val="en-US"/>
                    </w:rPr>
                    <w:t>n</w:t>
                  </w:r>
                  <w:r w:rsidRPr="00300E06">
                    <w:rPr>
                      <w:bCs w:val="0"/>
                      <w:lang w:val="en-US"/>
                    </w:rPr>
                    <w:t xml:space="preserve">eration for overtime and </w:t>
                  </w:r>
                  <w:r>
                    <w:rPr>
                      <w:bCs w:val="0"/>
                      <w:lang w:val="en-US"/>
                    </w:rPr>
                    <w:t>retirement severance pays</w:t>
                  </w:r>
                </w:p>
              </w:txbxContent>
            </v:textbox>
            <w10:wrap type="tight"/>
          </v:shape>
        </w:pict>
      </w:r>
      <w:r w:rsidR="002962D2" w:rsidRPr="00073FC6">
        <w:rPr>
          <w:rStyle w:val="jlqj4b"/>
          <w:rFonts w:ascii="Fira Sans" w:eastAsiaTheme="minorHAnsi" w:hAnsi="Fira Sans" w:cstheme="minorBidi"/>
          <w:b w:val="0"/>
          <w:bCs w:val="0"/>
          <w:noProof w:val="0"/>
          <w:szCs w:val="22"/>
          <w:lang w:val="en-US" w:eastAsia="en-US"/>
        </w:rPr>
        <w:t xml:space="preserve">In November 2022 </w:t>
      </w:r>
      <w:r w:rsidR="002962D2" w:rsidRPr="00073FC6">
        <w:rPr>
          <w:rStyle w:val="jlqj4b"/>
          <w:rFonts w:ascii="Fira Sans" w:eastAsiaTheme="minorHAnsi" w:hAnsi="Fira Sans" w:cstheme="minorBidi"/>
          <w:bCs w:val="0"/>
          <w:noProof w:val="0"/>
          <w:szCs w:val="22"/>
          <w:lang w:val="en-US" w:eastAsia="en-US"/>
        </w:rPr>
        <w:t xml:space="preserve">average </w:t>
      </w:r>
      <w:r w:rsidR="009B3A85">
        <w:rPr>
          <w:rStyle w:val="jlqj4b"/>
          <w:rFonts w:ascii="Fira Sans" w:eastAsiaTheme="minorHAnsi" w:hAnsi="Fira Sans" w:cstheme="minorBidi"/>
          <w:bCs w:val="0"/>
          <w:noProof w:val="0"/>
          <w:szCs w:val="22"/>
          <w:lang w:val="en-US" w:eastAsia="en-US"/>
        </w:rPr>
        <w:t xml:space="preserve">monthly </w:t>
      </w:r>
      <w:r w:rsidR="002962D2" w:rsidRPr="00073FC6">
        <w:rPr>
          <w:rStyle w:val="jlqj4b"/>
          <w:rFonts w:ascii="Fira Sans" w:eastAsiaTheme="minorHAnsi" w:hAnsi="Fira Sans" w:cstheme="minorBidi"/>
          <w:bCs w:val="0"/>
          <w:noProof w:val="0"/>
          <w:szCs w:val="22"/>
          <w:lang w:val="en-US" w:eastAsia="en-US"/>
        </w:rPr>
        <w:t>gross wage and salary in the enterprise sector</w:t>
      </w:r>
      <w:r w:rsidR="002962D2" w:rsidRPr="00073FC6">
        <w:rPr>
          <w:rStyle w:val="jlqj4b"/>
          <w:rFonts w:ascii="Fira Sans" w:eastAsiaTheme="minorHAnsi" w:hAnsi="Fira Sans" w:cstheme="minorBidi"/>
          <w:b w:val="0"/>
          <w:bCs w:val="0"/>
          <w:noProof w:val="0"/>
          <w:szCs w:val="22"/>
          <w:lang w:val="en-US" w:eastAsia="en-US"/>
        </w:rPr>
        <w:t xml:space="preserve"> increased by 2.5% compared to October 2022, while in November 2021 compared to October 2021 the increase amounted to 1.8 %.</w:t>
      </w:r>
    </w:p>
    <w:p w14:paraId="29FAF5A2" w14:textId="77777777" w:rsidR="00F66BB5" w:rsidRPr="00073FC6" w:rsidRDefault="002962D2" w:rsidP="00331D96">
      <w:pPr>
        <w:pStyle w:val="Tytuwykresu0"/>
        <w:spacing w:before="240" w:line="288" w:lineRule="auto"/>
        <w:rPr>
          <w:rStyle w:val="jlqj4b"/>
          <w:rFonts w:ascii="Fira Sans" w:eastAsiaTheme="minorHAnsi" w:hAnsi="Fira Sans" w:cstheme="minorBidi"/>
          <w:b w:val="0"/>
          <w:bCs w:val="0"/>
          <w:noProof w:val="0"/>
          <w:szCs w:val="22"/>
          <w:lang w:val="en-US" w:eastAsia="en-US"/>
        </w:rPr>
      </w:pPr>
      <w:r w:rsidRPr="00073FC6">
        <w:rPr>
          <w:rStyle w:val="jlqj4b"/>
          <w:rFonts w:ascii="Fira Sans" w:eastAsiaTheme="minorHAnsi" w:hAnsi="Fira Sans" w:cstheme="minorBidi"/>
          <w:b w:val="0"/>
          <w:bCs w:val="0"/>
          <w:noProof w:val="0"/>
          <w:szCs w:val="22"/>
          <w:lang w:val="en-US" w:eastAsia="en-US"/>
        </w:rPr>
        <w:t xml:space="preserve">The increase in average </w:t>
      </w:r>
      <w:r w:rsidR="009B3A85">
        <w:rPr>
          <w:rStyle w:val="jlqj4b"/>
          <w:rFonts w:ascii="Fira Sans" w:eastAsiaTheme="minorHAnsi" w:hAnsi="Fira Sans" w:cstheme="minorBidi"/>
          <w:b w:val="0"/>
          <w:bCs w:val="0"/>
          <w:noProof w:val="0"/>
          <w:szCs w:val="22"/>
          <w:lang w:val="en-US" w:eastAsia="en-US"/>
        </w:rPr>
        <w:t xml:space="preserve">monthly </w:t>
      </w:r>
      <w:r w:rsidRPr="00073FC6">
        <w:rPr>
          <w:rStyle w:val="jlqj4b"/>
          <w:rFonts w:ascii="Fira Sans" w:eastAsiaTheme="minorHAnsi" w:hAnsi="Fira Sans" w:cstheme="minorBidi"/>
          <w:b w:val="0"/>
          <w:bCs w:val="0"/>
          <w:noProof w:val="0"/>
          <w:szCs w:val="22"/>
          <w:lang w:val="en-US" w:eastAsia="en-US"/>
        </w:rPr>
        <w:t>gross wages and salaries in the enterprise sector in November 2022 compared to October 2022 was caused by payments of among others quarterly, Christmas bonuses, Miner’s Day awards, annual awards,</w:t>
      </w:r>
      <w:r w:rsidR="00494E2F">
        <w:rPr>
          <w:rStyle w:val="jlqj4b"/>
          <w:rFonts w:ascii="Fira Sans" w:eastAsiaTheme="minorHAnsi" w:hAnsi="Fira Sans" w:cstheme="minorBidi"/>
          <w:b w:val="0"/>
          <w:bCs w:val="0"/>
          <w:noProof w:val="0"/>
          <w:szCs w:val="22"/>
          <w:lang w:val="en-US" w:eastAsia="en-US"/>
        </w:rPr>
        <w:t xml:space="preserve"> and also</w:t>
      </w:r>
      <w:r w:rsidRPr="00073FC6">
        <w:rPr>
          <w:rStyle w:val="jlqj4b"/>
          <w:rFonts w:ascii="Fira Sans" w:eastAsiaTheme="minorHAnsi" w:hAnsi="Fira Sans" w:cstheme="minorBidi"/>
          <w:b w:val="0"/>
          <w:bCs w:val="0"/>
          <w:noProof w:val="0"/>
          <w:szCs w:val="22"/>
          <w:lang w:val="en-US" w:eastAsia="en-US"/>
        </w:rPr>
        <w:t xml:space="preserve"> pay rises, bonus payments due to inflation and overtime pays </w:t>
      </w:r>
      <w:r w:rsidR="00E539C4" w:rsidRPr="00073FC6">
        <w:rPr>
          <w:rStyle w:val="jlqj4b"/>
          <w:rFonts w:ascii="Fira Sans" w:eastAsiaTheme="minorHAnsi" w:hAnsi="Fira Sans" w:cstheme="minorBidi"/>
          <w:b w:val="0"/>
          <w:bCs w:val="0"/>
          <w:noProof w:val="0"/>
          <w:szCs w:val="22"/>
          <w:lang w:val="en-US" w:eastAsia="en-US"/>
        </w:rPr>
        <w:t>(</w:t>
      </w:r>
      <w:r w:rsidR="00E539C4" w:rsidRPr="00073FC6">
        <w:rPr>
          <w:rStyle w:val="jlqj4b"/>
          <w:rFonts w:ascii="Fira Sans" w:hAnsi="Fira Sans"/>
          <w:b w:val="0"/>
          <w:lang w:val="en-US"/>
        </w:rPr>
        <w:t>which beside the base salary are also included as components of wages and salaries</w:t>
      </w:r>
      <w:r w:rsidRPr="00073FC6">
        <w:rPr>
          <w:rStyle w:val="Odwoanieprzypisudolnego"/>
          <w:rFonts w:ascii="Fira Sans" w:eastAsiaTheme="minorHAnsi" w:hAnsi="Fira Sans" w:cstheme="minorBidi"/>
          <w:b w:val="0"/>
          <w:bCs w:val="0"/>
          <w:noProof w:val="0"/>
          <w:szCs w:val="22"/>
          <w:lang w:val="en-US" w:eastAsia="en-US"/>
        </w:rPr>
        <w:footnoteReference w:id="3"/>
      </w:r>
      <w:r w:rsidRPr="00073FC6">
        <w:rPr>
          <w:rStyle w:val="jlqj4b"/>
          <w:rFonts w:ascii="Fira Sans" w:eastAsiaTheme="minorHAnsi" w:hAnsi="Fira Sans" w:cstheme="minorBidi"/>
          <w:b w:val="0"/>
          <w:bCs w:val="0"/>
          <w:noProof w:val="0"/>
          <w:szCs w:val="22"/>
          <w:lang w:val="en-US" w:eastAsia="en-US"/>
        </w:rPr>
        <w:t xml:space="preserve">). The increase in average monthly gross wages </w:t>
      </w:r>
      <w:r w:rsidR="001F1E4D" w:rsidRPr="00073FC6">
        <w:rPr>
          <w:rStyle w:val="jlqj4b"/>
          <w:rFonts w:ascii="Fira Sans" w:eastAsiaTheme="minorHAnsi" w:hAnsi="Fira Sans" w:cstheme="minorBidi"/>
          <w:b w:val="0"/>
          <w:bCs w:val="0"/>
          <w:noProof w:val="0"/>
          <w:szCs w:val="22"/>
          <w:lang w:val="en-US" w:eastAsia="en-US"/>
        </w:rPr>
        <w:t xml:space="preserve">and salaries </w:t>
      </w:r>
      <w:r w:rsidRPr="00073FC6">
        <w:rPr>
          <w:rStyle w:val="jlqj4b"/>
          <w:rFonts w:ascii="Fira Sans" w:eastAsiaTheme="minorHAnsi" w:hAnsi="Fira Sans" w:cstheme="minorBidi"/>
          <w:b w:val="0"/>
          <w:bCs w:val="0"/>
          <w:noProof w:val="0"/>
          <w:szCs w:val="22"/>
          <w:lang w:val="en-US" w:eastAsia="en-US"/>
        </w:rPr>
        <w:t xml:space="preserve">was recorded in most sections of </w:t>
      </w:r>
      <w:r w:rsidR="00A245A5">
        <w:rPr>
          <w:rStyle w:val="jlqj4b"/>
          <w:rFonts w:ascii="Fira Sans" w:eastAsiaTheme="minorHAnsi" w:hAnsi="Fira Sans" w:cstheme="minorBidi"/>
          <w:b w:val="0"/>
          <w:bCs w:val="0"/>
          <w:noProof w:val="0"/>
          <w:szCs w:val="22"/>
          <w:lang w:val="en-US" w:eastAsia="en-US"/>
        </w:rPr>
        <w:t>NACE Rev. 2</w:t>
      </w:r>
      <w:r w:rsidRPr="00073FC6">
        <w:rPr>
          <w:rStyle w:val="jlqj4b"/>
          <w:rFonts w:ascii="Fira Sans" w:eastAsiaTheme="minorHAnsi" w:hAnsi="Fira Sans" w:cstheme="minorBidi"/>
          <w:b w:val="0"/>
          <w:bCs w:val="0"/>
          <w:noProof w:val="0"/>
          <w:szCs w:val="22"/>
          <w:lang w:val="en-US" w:eastAsia="en-US"/>
        </w:rPr>
        <w:t>, of which the largest in section “Mining and quarrying” (by 64.3%), where salaries increased to 14178.21 PLN (a month before amounted to 8627.87 PLN) and in section “Electricity, gas, steam and air conditioning supply” (by 15.6%), where salaries were 10431.53 PLN (a month before 9027.18 PLN).</w:t>
      </w:r>
    </w:p>
    <w:p w14:paraId="1BAE0D8A" w14:textId="77777777" w:rsidR="00F66BB5" w:rsidRPr="00073FC6" w:rsidRDefault="00F66BB5">
      <w:pPr>
        <w:spacing w:before="0" w:after="160" w:line="259" w:lineRule="auto"/>
        <w:rPr>
          <w:rStyle w:val="jlqj4b"/>
          <w:lang w:val="en-US"/>
        </w:rPr>
      </w:pPr>
      <w:r w:rsidRPr="00073FC6">
        <w:rPr>
          <w:rStyle w:val="jlqj4b"/>
          <w:b/>
          <w:bCs/>
          <w:lang w:val="en-US"/>
        </w:rPr>
        <w:br w:type="page"/>
      </w:r>
    </w:p>
    <w:p w14:paraId="7F4A17C2" w14:textId="77777777" w:rsidR="00264312" w:rsidRPr="00073FC6" w:rsidRDefault="00264312" w:rsidP="00264312">
      <w:pPr>
        <w:pStyle w:val="Tytuwykresu0"/>
        <w:spacing w:before="120" w:line="288" w:lineRule="auto"/>
        <w:rPr>
          <w:rFonts w:ascii="Fira Sans" w:hAnsi="Fira Sans"/>
          <w:lang w:val="en-US"/>
        </w:rPr>
      </w:pPr>
      <w:r w:rsidRPr="00073FC6">
        <w:rPr>
          <w:rStyle w:val="jlqj4b"/>
          <w:rFonts w:ascii="Fira Sans" w:eastAsiaTheme="minorHAnsi" w:hAnsi="Fira Sans" w:cstheme="minorBidi"/>
          <w:b w:val="0"/>
          <w:bCs w:val="0"/>
          <w:noProof w:val="0"/>
          <w:szCs w:val="22"/>
          <w:lang w:val="en-US" w:eastAsia="en-US"/>
        </w:rPr>
        <w:lastRenderedPageBreak/>
        <w:t>On an annual basis (November 2022 to November 2021), average monthly gross wage and salary increased by 13.9%. A year before (November 2021 to November 2020</w:t>
      </w:r>
      <w:r w:rsidR="008668C4">
        <w:rPr>
          <w:rStyle w:val="jlqj4b"/>
          <w:rFonts w:ascii="Fira Sans" w:eastAsiaTheme="minorHAnsi" w:hAnsi="Fira Sans" w:cstheme="minorBidi"/>
          <w:b w:val="0"/>
          <w:bCs w:val="0"/>
          <w:noProof w:val="0"/>
          <w:szCs w:val="22"/>
          <w:lang w:val="en-US" w:eastAsia="en-US"/>
        </w:rPr>
        <w:t>)</w:t>
      </w:r>
      <w:r w:rsidRPr="00073FC6">
        <w:rPr>
          <w:rStyle w:val="jlqj4b"/>
          <w:rFonts w:ascii="Fira Sans" w:hAnsi="Fira Sans"/>
          <w:b w:val="0"/>
          <w:lang w:val="en-GB"/>
        </w:rPr>
        <w:t xml:space="preserve"> the </w:t>
      </w:r>
      <w:r w:rsidRPr="00073FC6">
        <w:rPr>
          <w:rFonts w:ascii="Fira Sans" w:hAnsi="Fira Sans"/>
          <w:b w:val="0"/>
          <w:iCs/>
          <w:lang w:val="en-US"/>
        </w:rPr>
        <w:t>dynamics of growth in average wage was recorded at the level of 9.8%</w:t>
      </w:r>
      <w:r w:rsidRPr="00073FC6">
        <w:rPr>
          <w:rStyle w:val="jlqj4b"/>
          <w:rFonts w:ascii="Fira Sans" w:eastAsiaTheme="minorHAnsi" w:hAnsi="Fira Sans" w:cstheme="minorBidi"/>
          <w:b w:val="0"/>
          <w:bCs w:val="0"/>
          <w:noProof w:val="0"/>
          <w:szCs w:val="22"/>
          <w:lang w:val="en-US" w:eastAsia="en-US"/>
        </w:rPr>
        <w:t>.</w:t>
      </w:r>
      <w:r w:rsidRPr="00073FC6">
        <w:rPr>
          <w:rFonts w:ascii="Fira Sans" w:hAnsi="Fira Sans"/>
          <w:lang w:val="en-US"/>
        </w:rPr>
        <w:t xml:space="preserve">   </w:t>
      </w:r>
    </w:p>
    <w:p w14:paraId="587E6942" w14:textId="77777777" w:rsidR="00627AEE" w:rsidRPr="00073FC6" w:rsidRDefault="00000000" w:rsidP="00646D9D">
      <w:pPr>
        <w:pStyle w:val="Tytuwykresu0"/>
        <w:spacing w:before="240" w:line="288" w:lineRule="auto"/>
        <w:rPr>
          <w:rStyle w:val="jlqj4b"/>
          <w:rFonts w:ascii="Fira Sans" w:hAnsi="Fira Sans"/>
          <w:b w:val="0"/>
          <w:bCs w:val="0"/>
          <w:noProof w:val="0"/>
          <w:szCs w:val="19"/>
          <w:lang w:val="en-US"/>
        </w:rPr>
      </w:pPr>
      <w:r>
        <w:rPr>
          <w:rFonts w:ascii="Fira Sans" w:hAnsi="Fira Sans"/>
        </w:rPr>
        <w:pict w14:anchorId="5F1EB32D">
          <v:shape id="_x0000_s2077" type="#_x0000_t202" alt="Pole tekstowe: In 2022 statutory minimum monthly wage increased to 3010 PLN, i.e. by 7.5% in re-gard to the previous year when it was 2800 PLN " style="position:absolute;margin-left:414.3pt;margin-top:50.95pt;width:135.85pt;height:109.35pt;z-index:-251543552;visibility:visible;mso-wrap-distance-top:3.6pt;mso-wrap-distance-bottom:3.6pt;mso-width-relative:margin;mso-height-relative:margin" wrapcoords="0 0" filled="f" stroked="f">
            <v:textbox style="mso-next-textbox:#_x0000_s2077">
              <w:txbxContent>
                <w:p w14:paraId="3BB0B08E" w14:textId="77777777" w:rsidR="001E06C6" w:rsidRPr="000232E9" w:rsidRDefault="001E06C6" w:rsidP="000232E9">
                  <w:pPr>
                    <w:pStyle w:val="tekstzboku"/>
                    <w:rPr>
                      <w:bCs w:val="0"/>
                      <w:lang w:val="en-US"/>
                    </w:rPr>
                  </w:pPr>
                  <w:r w:rsidRPr="000232E9">
                    <w:rPr>
                      <w:bCs w:val="0"/>
                      <w:lang w:val="en-US"/>
                    </w:rPr>
                    <w:t xml:space="preserve">In 2022 </w:t>
                  </w:r>
                  <w:r w:rsidR="001F59D0">
                    <w:rPr>
                      <w:bCs w:val="0"/>
                      <w:lang w:val="en-US"/>
                    </w:rPr>
                    <w:t xml:space="preserve">statutory </w:t>
                  </w:r>
                  <w:r w:rsidRPr="000232E9">
                    <w:rPr>
                      <w:bCs w:val="0"/>
                      <w:lang w:val="en-US"/>
                    </w:rPr>
                    <w:t xml:space="preserve">minimum monthly wage increased to 3010 PLN, i.e. by 7.5% </w:t>
                  </w:r>
                  <w:r w:rsidR="00507136">
                    <w:rPr>
                      <w:bCs w:val="0"/>
                      <w:lang w:val="en-US"/>
                    </w:rPr>
                    <w:t xml:space="preserve">in regard to </w:t>
                  </w:r>
                  <w:r w:rsidRPr="000232E9">
                    <w:rPr>
                      <w:bCs w:val="0"/>
                      <w:lang w:val="en-US"/>
                    </w:rPr>
                    <w:t xml:space="preserve">the previous year when it was 2800 PLN </w:t>
                  </w:r>
                  <w:r w:rsidR="00C81173" w:rsidRPr="00C81173">
                    <w:rPr>
                      <w:bCs w:val="0"/>
                      <w:lang w:val="en-US"/>
                    </w:rPr>
                    <w:t>which also affected changes in average monthly wages in the enterprise sector</w:t>
                  </w:r>
                </w:p>
              </w:txbxContent>
            </v:textbox>
            <w10:wrap type="tight"/>
          </v:shape>
        </w:pict>
      </w:r>
      <w:r w:rsidR="00627AEE" w:rsidRPr="00073FC6">
        <w:rPr>
          <w:rFonts w:ascii="Fira Sans" w:hAnsi="Fira Sans"/>
          <w:lang w:val="en-US"/>
        </w:rPr>
        <w:t>Chart 2. Average monthly gross wages and salaries in the enterprise sector</w:t>
      </w:r>
      <w:r w:rsidR="00331D96" w:rsidRPr="00073FC6">
        <w:rPr>
          <w:rFonts w:ascii="Fira Sans" w:hAnsi="Fira Sans"/>
          <w:lang w:val="en-US"/>
        </w:rPr>
        <w:t xml:space="preserve"> </w:t>
      </w:r>
      <w:r w:rsidR="00F66BB5" w:rsidRPr="00073FC6">
        <w:rPr>
          <w:rFonts w:ascii="Fira Sans" w:hAnsi="Fira Sans"/>
        </w:rPr>
        <w:drawing>
          <wp:anchor distT="0" distB="0" distL="114300" distR="114300" simplePos="0" relativeHeight="251658752" behindDoc="0" locked="1" layoutInCell="1" allowOverlap="1" wp14:anchorId="37CCBEA8" wp14:editId="44BB0FCB">
            <wp:simplePos x="0" y="0"/>
            <wp:positionH relativeFrom="column">
              <wp:posOffset>0</wp:posOffset>
            </wp:positionH>
            <wp:positionV relativeFrom="paragraph">
              <wp:posOffset>358775</wp:posOffset>
            </wp:positionV>
            <wp:extent cx="5122545" cy="2875915"/>
            <wp:effectExtent l="0" t="0" r="0" b="0"/>
            <wp:wrapTopAndBottom/>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498E584" w14:textId="77777777" w:rsidR="00242624" w:rsidRPr="00073FC6" w:rsidRDefault="0075622F" w:rsidP="00331D96">
      <w:pPr>
        <w:pStyle w:val="Tytuwykresu0"/>
        <w:spacing w:before="120" w:line="288" w:lineRule="auto"/>
        <w:rPr>
          <w:rStyle w:val="jlqj4b"/>
          <w:rFonts w:ascii="Fira Sans" w:eastAsiaTheme="minorHAnsi" w:hAnsi="Fira Sans" w:cstheme="minorBidi"/>
          <w:b w:val="0"/>
          <w:bCs w:val="0"/>
          <w:noProof w:val="0"/>
          <w:szCs w:val="22"/>
          <w:lang w:val="en-US" w:eastAsia="en-US"/>
        </w:rPr>
      </w:pPr>
      <w:r w:rsidRPr="00073FC6">
        <w:rPr>
          <w:rStyle w:val="jlqj4b"/>
          <w:rFonts w:ascii="Fira Sans" w:eastAsiaTheme="minorHAnsi" w:hAnsi="Fira Sans" w:cstheme="minorBidi"/>
          <w:b w:val="0"/>
          <w:bCs w:val="0"/>
          <w:noProof w:val="0"/>
          <w:szCs w:val="22"/>
          <w:lang w:val="en-US" w:eastAsia="en-US"/>
        </w:rPr>
        <w:t>In the cumulative period of eleven months of 2022, average gross wages and salaries in the enterprise sector, in relation to the same period of the previous year, increased in all NACE Rev.2 sections by between 2.1% in section “Other service activities”</w:t>
      </w:r>
      <w:r w:rsidRPr="00073FC6">
        <w:rPr>
          <w:rStyle w:val="Odwoanieprzypisudolnego"/>
          <w:rFonts w:ascii="Fira Sans" w:eastAsiaTheme="minorHAnsi" w:hAnsi="Fira Sans" w:cstheme="minorBidi"/>
          <w:b w:val="0"/>
          <w:bCs w:val="0"/>
          <w:noProof w:val="0"/>
          <w:szCs w:val="22"/>
          <w:lang w:val="en-US" w:eastAsia="en-US"/>
        </w:rPr>
        <w:footnoteReference w:id="4"/>
      </w:r>
      <w:r w:rsidRPr="00073FC6">
        <w:rPr>
          <w:rStyle w:val="jlqj4b"/>
          <w:rFonts w:ascii="Fira Sans" w:eastAsiaTheme="minorHAnsi" w:hAnsi="Fira Sans" w:cstheme="minorBidi"/>
          <w:b w:val="0"/>
          <w:bCs w:val="0"/>
          <w:noProof w:val="0"/>
          <w:szCs w:val="22"/>
          <w:lang w:val="en-US" w:eastAsia="en-US"/>
        </w:rPr>
        <w:t xml:space="preserve"> and 23.4% in section “Transportation and storage”, which resulted in total increase in the enterprise sector of 13.4%. The highest average monthly gross salary in the enterprise sector in</w:t>
      </w:r>
      <w:r w:rsidR="00073FC6" w:rsidRPr="00073FC6">
        <w:rPr>
          <w:rStyle w:val="jlqj4b"/>
          <w:rFonts w:ascii="Fira Sans" w:eastAsiaTheme="minorHAnsi" w:hAnsi="Fira Sans" w:cstheme="minorBidi"/>
          <w:b w:val="0"/>
          <w:bCs w:val="0"/>
          <w:noProof w:val="0"/>
          <w:szCs w:val="22"/>
          <w:lang w:val="en-US" w:eastAsia="en-US"/>
        </w:rPr>
        <w:t xml:space="preserve"> cumulative peri</w:t>
      </w:r>
      <w:r w:rsidRPr="00073FC6">
        <w:rPr>
          <w:rStyle w:val="jlqj4b"/>
          <w:rFonts w:ascii="Fira Sans" w:eastAsiaTheme="minorHAnsi" w:hAnsi="Fira Sans" w:cstheme="minorBidi"/>
          <w:b w:val="0"/>
          <w:bCs w:val="0"/>
          <w:noProof w:val="0"/>
          <w:szCs w:val="22"/>
          <w:lang w:val="en-US" w:eastAsia="en-US"/>
        </w:rPr>
        <w:t>od was noted in section “Information and communication” in the amount of 11262.68 PLN (an increase by 12.7% in regard to the corresponding period of the previous year), while the lowest in section “Accommodation and catering” at the level of 4724.33 PLN (despite an increase in relation to the situation in the previous year by 12.6%)</w:t>
      </w:r>
      <w:r w:rsidR="005C1387">
        <w:rPr>
          <w:rStyle w:val="jlqj4b"/>
          <w:rFonts w:ascii="Fira Sans" w:eastAsiaTheme="minorHAnsi" w:hAnsi="Fira Sans" w:cstheme="minorBidi"/>
          <w:b w:val="0"/>
          <w:bCs w:val="0"/>
          <w:noProof w:val="0"/>
          <w:szCs w:val="22"/>
          <w:lang w:val="en-US" w:eastAsia="en-US"/>
        </w:rPr>
        <w:t>.</w:t>
      </w:r>
    </w:p>
    <w:p w14:paraId="78A9B8F0" w14:textId="77777777" w:rsidR="00044E97" w:rsidRPr="00073FC6" w:rsidRDefault="00044E97">
      <w:pPr>
        <w:spacing w:before="0" w:after="160" w:line="259" w:lineRule="auto"/>
        <w:rPr>
          <w:rStyle w:val="jlqj4b"/>
          <w:lang w:val="en-US"/>
        </w:rPr>
      </w:pPr>
      <w:r w:rsidRPr="00073FC6">
        <w:rPr>
          <w:rStyle w:val="jlqj4b"/>
          <w:b/>
          <w:bCs/>
          <w:lang w:val="en-US"/>
        </w:rPr>
        <w:br w:type="page"/>
      </w:r>
    </w:p>
    <w:p w14:paraId="2228D40A" w14:textId="77777777" w:rsidR="00044E97" w:rsidRPr="00A62247" w:rsidRDefault="00044E97" w:rsidP="00044E97">
      <w:pPr>
        <w:pStyle w:val="Nagwek1"/>
        <w:rPr>
          <w:rFonts w:ascii="Fira Sans" w:hAnsi="Fira Sans"/>
          <w:b/>
          <w:szCs w:val="19"/>
          <w:lang w:val="en-GB"/>
        </w:rPr>
      </w:pPr>
      <w:r>
        <w:rPr>
          <w:rFonts w:ascii="Fira Sans" w:hAnsi="Fira Sans"/>
          <w:b/>
          <w:szCs w:val="19"/>
          <w:lang w:val="en-US"/>
        </w:rPr>
        <w:lastRenderedPageBreak/>
        <w:t>M</w:t>
      </w:r>
      <w:proofErr w:type="spellStart"/>
      <w:r w:rsidRPr="00A62247">
        <w:rPr>
          <w:rFonts w:ascii="Fira Sans" w:hAnsi="Fira Sans"/>
          <w:b/>
          <w:szCs w:val="19"/>
          <w:lang w:val="en-GB"/>
        </w:rPr>
        <w:t>ethodological</w:t>
      </w:r>
      <w:proofErr w:type="spellEnd"/>
      <w:r w:rsidRPr="00A62247">
        <w:rPr>
          <w:rFonts w:ascii="Fira Sans" w:hAnsi="Fira Sans"/>
          <w:b/>
          <w:szCs w:val="19"/>
          <w:lang w:val="en-GB"/>
        </w:rPr>
        <w:t xml:space="preserve"> notes</w:t>
      </w:r>
    </w:p>
    <w:p w14:paraId="135B390F" w14:textId="77777777" w:rsidR="00044E97" w:rsidRPr="0062060F" w:rsidRDefault="00044E97" w:rsidP="00044E97">
      <w:pPr>
        <w:spacing w:line="288" w:lineRule="auto"/>
        <w:rPr>
          <w:rStyle w:val="tlid-translation"/>
          <w:lang w:val="en-GB"/>
        </w:rPr>
      </w:pPr>
      <w:r>
        <w:rPr>
          <w:rStyle w:val="tlid-translation"/>
          <w:b/>
          <w:lang w:val="en-GB"/>
        </w:rPr>
        <w:t>The enterprise</w:t>
      </w:r>
      <w:r w:rsidRPr="0062060F">
        <w:rPr>
          <w:rStyle w:val="tlid-translation"/>
          <w:b/>
          <w:lang w:val="en-GB"/>
        </w:rPr>
        <w:t xml:space="preserve"> sector concerns units </w:t>
      </w:r>
      <w:r>
        <w:rPr>
          <w:rStyle w:val="tlid-translation"/>
          <w:b/>
          <w:lang w:val="en-GB"/>
        </w:rPr>
        <w:t>with</w:t>
      </w:r>
      <w:r w:rsidRPr="0062060F">
        <w:rPr>
          <w:rStyle w:val="tlid-translation"/>
          <w:b/>
          <w:lang w:val="en-GB"/>
        </w:rPr>
        <w:t xml:space="preserve"> </w:t>
      </w:r>
      <w:r w:rsidRPr="0058098F">
        <w:rPr>
          <w:rStyle w:val="tlid-translation"/>
          <w:b/>
          <w:lang w:val="en-GB"/>
        </w:rPr>
        <w:t>the number of employed persons 10 or more people</w:t>
      </w:r>
      <w:r>
        <w:rPr>
          <w:rStyle w:val="tlid-translation"/>
          <w:b/>
          <w:lang w:val="en-GB"/>
        </w:rPr>
        <w:t xml:space="preserve"> </w:t>
      </w:r>
      <w:r w:rsidRPr="0062060F">
        <w:rPr>
          <w:rStyle w:val="tlid-translation"/>
          <w:b/>
          <w:lang w:val="en-GB"/>
        </w:rPr>
        <w:t>and conducting economic activity within the scope of the following areas</w:t>
      </w:r>
      <w:r w:rsidRPr="0062060F">
        <w:rPr>
          <w:rStyle w:val="tlid-translation"/>
          <w:lang w:val="en-GB"/>
        </w:rPr>
        <w:t>: forestry and logging; marine fishing; mining and quarrying; manufacturing; electricity, gas, steam and air conditioning supply; water supply; sewerage, waste management and remediation activities; construction; wholesale and retail trade; repair of motor vehicles and motorcycles; transportation and storage; accommodation and food service activities; information and communication; real estate activities; legal and accounting activities; activities of head offices; management consultancy activities; architectural and engineering activities; technical testing and analysis; advertising and market research; other professional, scientific and technical activities; administrative and support service activities; arts, entertainment and recreation; repair of computers and personal and household goods; other personal service activities.</w:t>
      </w:r>
    </w:p>
    <w:p w14:paraId="2DA8BB7C" w14:textId="77777777" w:rsidR="00044E97" w:rsidRDefault="00044E97" w:rsidP="00044E97">
      <w:pPr>
        <w:autoSpaceDE w:val="0"/>
        <w:autoSpaceDN w:val="0"/>
        <w:adjustRightInd w:val="0"/>
        <w:spacing w:line="288" w:lineRule="auto"/>
        <w:rPr>
          <w:rFonts w:cs="FiraSans-Regular"/>
          <w:szCs w:val="19"/>
          <w:lang w:val="en-GB" w:eastAsia="pl-PL"/>
        </w:rPr>
      </w:pPr>
      <w:r w:rsidRPr="0062060F">
        <w:rPr>
          <w:rFonts w:eastAsia="Calibri"/>
          <w:shd w:val="clear" w:color="auto" w:fill="FFFFFF"/>
          <w:lang w:val="en-GB"/>
        </w:rPr>
        <w:t>Data source is “Report on economic activity” (DG-1). Within the scope of this survey, for the entities with</w:t>
      </w:r>
      <w:r>
        <w:rPr>
          <w:rFonts w:eastAsia="Calibri"/>
          <w:shd w:val="clear" w:color="auto" w:fill="FFFFFF"/>
          <w:lang w:val="en-GB"/>
        </w:rPr>
        <w:t xml:space="preserve"> the number of employed persons</w:t>
      </w:r>
      <w:r w:rsidRPr="0062060F">
        <w:rPr>
          <w:rFonts w:eastAsia="Calibri"/>
          <w:shd w:val="clear" w:color="auto" w:fill="FFFFFF"/>
          <w:lang w:val="en-GB"/>
        </w:rPr>
        <w:t xml:space="preserve"> 50 and </w:t>
      </w:r>
      <w:r>
        <w:rPr>
          <w:rFonts w:eastAsia="Calibri"/>
          <w:shd w:val="clear" w:color="auto" w:fill="FFFFFF"/>
          <w:lang w:val="en-GB"/>
        </w:rPr>
        <w:t>more people</w:t>
      </w:r>
      <w:r w:rsidRPr="0062060F">
        <w:rPr>
          <w:rFonts w:eastAsia="Calibri"/>
          <w:shd w:val="clear" w:color="auto" w:fill="FFFFFF"/>
          <w:lang w:val="en-GB"/>
        </w:rPr>
        <w:t xml:space="preserve"> it</w:t>
      </w:r>
      <w:r>
        <w:rPr>
          <w:rFonts w:eastAsia="Calibri"/>
          <w:shd w:val="clear" w:color="auto" w:fill="FFFFFF"/>
          <w:lang w:val="en-GB"/>
        </w:rPr>
        <w:t xml:space="preserve"> is </w:t>
      </w:r>
      <w:r w:rsidRPr="00B834D9">
        <w:rPr>
          <w:lang w:val="en-US"/>
        </w:rPr>
        <w:t>a</w:t>
      </w:r>
      <w:r>
        <w:rPr>
          <w:lang w:val="en-US"/>
        </w:rPr>
        <w:t xml:space="preserve"> </w:t>
      </w:r>
      <w:r w:rsidRPr="00B834D9">
        <w:rPr>
          <w:lang w:val="en-US"/>
        </w:rPr>
        <w:t>census</w:t>
      </w:r>
      <w:r>
        <w:rPr>
          <w:rFonts w:eastAsia="Calibri"/>
          <w:shd w:val="clear" w:color="auto" w:fill="FFFFFF"/>
          <w:lang w:val="en-GB"/>
        </w:rPr>
        <w:t xml:space="preserve"> survey, while for the entities</w:t>
      </w:r>
      <w:r w:rsidRPr="0062060F">
        <w:rPr>
          <w:rFonts w:eastAsia="Calibri"/>
          <w:shd w:val="clear" w:color="auto" w:fill="FFFFFF"/>
          <w:lang w:val="en-GB"/>
        </w:rPr>
        <w:t xml:space="preserve"> </w:t>
      </w:r>
      <w:r>
        <w:rPr>
          <w:rFonts w:eastAsia="Calibri"/>
          <w:shd w:val="clear" w:color="auto" w:fill="FFFFFF"/>
          <w:lang w:val="en-GB"/>
        </w:rPr>
        <w:t>with the number of employed persons from</w:t>
      </w:r>
      <w:r w:rsidRPr="0062060F">
        <w:rPr>
          <w:rFonts w:eastAsia="Calibri"/>
          <w:shd w:val="clear" w:color="auto" w:fill="FFFFFF"/>
          <w:lang w:val="en-GB"/>
        </w:rPr>
        <w:t xml:space="preserve"> 10 to 49 </w:t>
      </w:r>
      <w:r>
        <w:rPr>
          <w:rFonts w:eastAsia="Calibri"/>
          <w:shd w:val="clear" w:color="auto" w:fill="FFFFFF"/>
          <w:lang w:val="en-GB"/>
        </w:rPr>
        <w:t>people</w:t>
      </w:r>
      <w:r w:rsidRPr="0062060F">
        <w:rPr>
          <w:rFonts w:eastAsia="Calibri"/>
          <w:shd w:val="clear" w:color="auto" w:fill="FFFFFF"/>
          <w:lang w:val="en-GB"/>
        </w:rPr>
        <w:t xml:space="preserve"> it is a sample one</w:t>
      </w:r>
      <w:r w:rsidRPr="0062060F">
        <w:rPr>
          <w:rStyle w:val="Odwoanieprzypisudolnego"/>
          <w:rFonts w:cs="FiraSans-Regular"/>
          <w:szCs w:val="19"/>
          <w:lang w:val="en-GB" w:eastAsia="pl-PL"/>
        </w:rPr>
        <w:footnoteReference w:id="5"/>
      </w:r>
      <w:r w:rsidRPr="0062060F">
        <w:rPr>
          <w:rFonts w:cs="FiraSans-Regular"/>
          <w:szCs w:val="19"/>
          <w:lang w:val="en-GB" w:eastAsia="pl-PL"/>
        </w:rPr>
        <w:t>.</w:t>
      </w:r>
    </w:p>
    <w:p w14:paraId="3D2D3F04" w14:textId="77777777" w:rsidR="00044E97" w:rsidRDefault="00044E97" w:rsidP="00044E97">
      <w:pPr>
        <w:autoSpaceDE w:val="0"/>
        <w:autoSpaceDN w:val="0"/>
        <w:adjustRightInd w:val="0"/>
        <w:spacing w:line="288" w:lineRule="auto"/>
        <w:rPr>
          <w:rStyle w:val="tlid-translation"/>
          <w:lang w:val="en-GB"/>
        </w:rPr>
      </w:pPr>
      <w:r w:rsidRPr="0062060F">
        <w:rPr>
          <w:rStyle w:val="tlid-translation"/>
          <w:lang w:val="en-GB"/>
        </w:rPr>
        <w:t>Labour market data on survey report DG-1 do not include persons employed under a mandate contract and contract for specified work - the detailed scope of exclusions along with methods of calculating labour market variables can be found in the explanations of the DG-1 report</w:t>
      </w:r>
      <w:r w:rsidRPr="0062060F">
        <w:rPr>
          <w:rStyle w:val="Odwoanieprzypisudolnego"/>
          <w:lang w:val="en-GB"/>
        </w:rPr>
        <w:footnoteReference w:id="6"/>
      </w:r>
      <w:r w:rsidRPr="0062060F">
        <w:rPr>
          <w:rStyle w:val="tlid-translation"/>
          <w:lang w:val="en-GB"/>
        </w:rPr>
        <w:t>.</w:t>
      </w:r>
    </w:p>
    <w:p w14:paraId="0BD7546C" w14:textId="77777777" w:rsidR="00044E97" w:rsidRPr="00CE6373" w:rsidRDefault="00044E97" w:rsidP="00044E97">
      <w:pPr>
        <w:spacing w:line="288" w:lineRule="auto"/>
        <w:rPr>
          <w:szCs w:val="19"/>
          <w:lang w:val="en-GB"/>
        </w:rPr>
      </w:pPr>
      <w:r w:rsidRPr="0062060F">
        <w:rPr>
          <w:rStyle w:val="jlqj4b"/>
          <w:lang w:val="en-GB"/>
        </w:rPr>
        <w:t>Due to the short period in which the units provide data as part of the survey on the DG-1 form, the presented results are preliminary.</w:t>
      </w:r>
      <w:r w:rsidRPr="0062060F">
        <w:rPr>
          <w:rStyle w:val="viiyi"/>
          <w:lang w:val="en-GB"/>
        </w:rPr>
        <w:t xml:space="preserve"> </w:t>
      </w:r>
      <w:r w:rsidRPr="0062060F">
        <w:rPr>
          <w:rStyle w:val="jlqj4b"/>
          <w:lang w:val="en-GB"/>
        </w:rPr>
        <w:t>In the absence of complete records as at the date of preparation of the survey, it is allowed to include estimated data, and in the event of the need to correct data disclosed in previous periods, changes are included only in cumulative data</w:t>
      </w:r>
      <w:r>
        <w:rPr>
          <w:rStyle w:val="jlqj4b"/>
          <w:lang w:val="en-GB"/>
        </w:rPr>
        <w:t>.</w:t>
      </w:r>
    </w:p>
    <w:p w14:paraId="5ECE7026" w14:textId="77777777" w:rsidR="00DA331D" w:rsidRPr="00CE6373" w:rsidRDefault="00DA331D" w:rsidP="00DA331D">
      <w:pPr>
        <w:spacing w:before="360"/>
        <w:rPr>
          <w:sz w:val="18"/>
          <w:lang w:val="en-GB"/>
        </w:rPr>
        <w:sectPr w:rsidR="00DA331D" w:rsidRPr="00CE6373"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14:paraId="24632F72" w14:textId="77777777" w:rsidTr="009E7D31">
        <w:trPr>
          <w:trHeight w:val="1626"/>
        </w:trPr>
        <w:tc>
          <w:tcPr>
            <w:tcW w:w="4926" w:type="dxa"/>
          </w:tcPr>
          <w:p w14:paraId="30B1557F" w14:textId="77777777" w:rsidR="00DE2400" w:rsidRPr="0016640E" w:rsidRDefault="00C60504" w:rsidP="00DE2400">
            <w:pPr>
              <w:spacing w:before="0" w:after="0" w:line="276" w:lineRule="auto"/>
              <w:rPr>
                <w:rFonts w:cs="Arial"/>
                <w:sz w:val="20"/>
                <w:lang w:val="en-US"/>
              </w:rPr>
            </w:pPr>
            <w:r w:rsidRPr="0016640E">
              <w:rPr>
                <w:rFonts w:cs="Arial"/>
                <w:sz w:val="20"/>
                <w:lang w:val="en-US"/>
              </w:rPr>
              <w:lastRenderedPageBreak/>
              <w:t>Prepared by</w:t>
            </w:r>
            <w:r w:rsidR="00DE2400" w:rsidRPr="0016640E">
              <w:rPr>
                <w:rFonts w:cs="Arial"/>
                <w:sz w:val="20"/>
                <w:lang w:val="en-US"/>
              </w:rPr>
              <w:t>:</w:t>
            </w:r>
          </w:p>
          <w:p w14:paraId="1E29AE00" w14:textId="77777777" w:rsidR="00DE2400" w:rsidRPr="0016640E" w:rsidRDefault="00CE6373" w:rsidP="00DE2400">
            <w:pPr>
              <w:spacing w:before="0" w:line="276" w:lineRule="auto"/>
              <w:rPr>
                <w:rFonts w:cs="Arial"/>
                <w:b/>
                <w:color w:val="000000" w:themeColor="text1"/>
                <w:sz w:val="20"/>
                <w:lang w:val="en-US"/>
              </w:rPr>
            </w:pPr>
            <w:r>
              <w:rPr>
                <w:rFonts w:cs="Arial"/>
                <w:b/>
                <w:color w:val="000000" w:themeColor="text1"/>
                <w:sz w:val="20"/>
                <w:lang w:val="en-US"/>
              </w:rPr>
              <w:t>Labour Market</w:t>
            </w:r>
            <w:r w:rsidR="006C197A" w:rsidRPr="0016640E">
              <w:rPr>
                <w:rFonts w:cs="Arial"/>
                <w:b/>
                <w:color w:val="000000" w:themeColor="text1"/>
                <w:sz w:val="20"/>
                <w:lang w:val="en-US"/>
              </w:rPr>
              <w:t xml:space="preserve"> </w:t>
            </w:r>
            <w:r w:rsidR="00DE2400" w:rsidRPr="0016640E">
              <w:rPr>
                <w:rFonts w:cs="Arial"/>
                <w:b/>
                <w:color w:val="000000" w:themeColor="text1"/>
                <w:sz w:val="20"/>
                <w:lang w:val="en-US"/>
              </w:rPr>
              <w:t>Department</w:t>
            </w:r>
          </w:p>
          <w:p w14:paraId="4004E6B4" w14:textId="77777777" w:rsidR="00DE2400" w:rsidRPr="00DE2400" w:rsidRDefault="00DE2400" w:rsidP="00597C8F">
            <w:pPr>
              <w:spacing w:before="0" w:after="0" w:line="276" w:lineRule="auto"/>
              <w:rPr>
                <w:b/>
                <w:lang w:val="fi-FI"/>
              </w:rPr>
            </w:pPr>
            <w:r w:rsidRPr="00DE2400">
              <w:rPr>
                <w:b/>
                <w:lang w:val="fi-FI"/>
              </w:rPr>
              <w:t>D</w:t>
            </w:r>
            <w:r w:rsidR="006C197A">
              <w:rPr>
                <w:b/>
                <w:lang w:val="fi-FI"/>
              </w:rPr>
              <w:t>irec</w:t>
            </w:r>
            <w:r w:rsidRPr="00DE2400">
              <w:rPr>
                <w:b/>
                <w:lang w:val="fi-FI"/>
              </w:rPr>
              <w:t xml:space="preserve">tor </w:t>
            </w:r>
            <w:r w:rsidR="00CE6373">
              <w:rPr>
                <w:b/>
                <w:lang w:val="fi-FI"/>
              </w:rPr>
              <w:t>Agnieszka Zgierska</w:t>
            </w:r>
          </w:p>
          <w:p w14:paraId="171363C8" w14:textId="77777777" w:rsidR="00DE2400" w:rsidRPr="00AB24E4" w:rsidRDefault="006C197A" w:rsidP="00B16871">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00DE2400" w:rsidRPr="008F3638">
              <w:rPr>
                <w:rFonts w:ascii="Fira Sans" w:hAnsi="Fira Sans" w:cs="Arial"/>
                <w:color w:val="000000" w:themeColor="text1"/>
                <w:sz w:val="20"/>
                <w:lang w:val="fi-FI"/>
              </w:rPr>
              <w:t xml:space="preserve">: </w:t>
            </w:r>
            <w:r w:rsidR="00156F04">
              <w:rPr>
                <w:rFonts w:ascii="Fira Sans" w:hAnsi="Fira Sans" w:cs="Arial"/>
                <w:color w:val="000000" w:themeColor="text1"/>
                <w:sz w:val="20"/>
                <w:lang w:val="fi-FI"/>
              </w:rPr>
              <w:t>(</w:t>
            </w:r>
            <w:r>
              <w:rPr>
                <w:rFonts w:ascii="Fira Sans" w:hAnsi="Fira Sans" w:cs="Arial"/>
                <w:color w:val="000000" w:themeColor="text1"/>
                <w:sz w:val="20"/>
                <w:lang w:val="fi-FI"/>
              </w:rPr>
              <w:t xml:space="preserve">+48 </w:t>
            </w:r>
            <w:r w:rsidR="00DE2400" w:rsidRPr="008F3638">
              <w:rPr>
                <w:rFonts w:ascii="Fira Sans" w:hAnsi="Fira Sans" w:cs="Arial"/>
                <w:color w:val="000000" w:themeColor="text1"/>
                <w:sz w:val="20"/>
                <w:lang w:val="fi-FI"/>
              </w:rPr>
              <w:t>22</w:t>
            </w:r>
            <w:r w:rsidR="00156F04">
              <w:rPr>
                <w:rFonts w:ascii="Fira Sans" w:hAnsi="Fira Sans" w:cs="Arial"/>
                <w:color w:val="000000" w:themeColor="text1"/>
                <w:sz w:val="20"/>
                <w:lang w:val="fi-FI"/>
              </w:rPr>
              <w:t>)</w:t>
            </w:r>
            <w:r w:rsidR="00DE2400" w:rsidRPr="008F3638">
              <w:rPr>
                <w:rFonts w:ascii="Fira Sans" w:hAnsi="Fira Sans" w:cs="Arial"/>
                <w:color w:val="000000" w:themeColor="text1"/>
                <w:sz w:val="20"/>
                <w:lang w:val="fi-FI"/>
              </w:rPr>
              <w:t> </w:t>
            </w:r>
            <w:r w:rsidR="00CE6373" w:rsidRPr="0062060F">
              <w:rPr>
                <w:rFonts w:ascii="Fira Sans" w:hAnsi="Fira Sans" w:cs="Arial"/>
                <w:color w:val="000000"/>
                <w:sz w:val="20"/>
                <w:lang w:val="en-GB"/>
              </w:rPr>
              <w:t>608 3</w:t>
            </w:r>
            <w:r w:rsidR="00CE6373">
              <w:rPr>
                <w:rFonts w:ascii="Fira Sans" w:hAnsi="Fira Sans" w:cs="Arial"/>
                <w:color w:val="000000"/>
                <w:sz w:val="20"/>
                <w:lang w:val="en-GB"/>
              </w:rPr>
              <w:t>0</w:t>
            </w:r>
            <w:r w:rsidR="00CE6373" w:rsidRPr="0062060F">
              <w:rPr>
                <w:rFonts w:ascii="Fira Sans" w:hAnsi="Fira Sans" w:cs="Arial"/>
                <w:color w:val="000000"/>
                <w:sz w:val="20"/>
                <w:lang w:val="en-GB"/>
              </w:rPr>
              <w:t xml:space="preserve"> 1</w:t>
            </w:r>
            <w:r w:rsidR="00CE6373">
              <w:rPr>
                <w:rFonts w:ascii="Fira Sans" w:hAnsi="Fira Sans" w:cs="Arial"/>
                <w:color w:val="000000"/>
                <w:sz w:val="20"/>
                <w:lang w:val="en-GB"/>
              </w:rPr>
              <w:t>5</w:t>
            </w:r>
          </w:p>
        </w:tc>
        <w:tc>
          <w:tcPr>
            <w:tcW w:w="4927" w:type="dxa"/>
          </w:tcPr>
          <w:p w14:paraId="5DE7A1B5" w14:textId="77777777" w:rsidR="00DE2400" w:rsidRPr="0016640E" w:rsidRDefault="006C197A" w:rsidP="00DE2400">
            <w:pPr>
              <w:spacing w:before="0" w:line="276" w:lineRule="auto"/>
              <w:rPr>
                <w:rFonts w:cs="Arial"/>
                <w:b/>
                <w:sz w:val="20"/>
                <w:lang w:val="en-US"/>
              </w:rPr>
            </w:pPr>
            <w:r w:rsidRPr="0016640E">
              <w:rPr>
                <w:rFonts w:cs="Arial"/>
                <w:sz w:val="20"/>
                <w:lang w:val="en-US"/>
              </w:rPr>
              <w:t>Issued by</w:t>
            </w:r>
            <w:r w:rsidR="00DE2400" w:rsidRPr="0016640E">
              <w:rPr>
                <w:rFonts w:cs="Arial"/>
                <w:sz w:val="20"/>
                <w:lang w:val="en-US"/>
              </w:rPr>
              <w:t>:</w:t>
            </w:r>
            <w:r w:rsidR="00DE2400" w:rsidRPr="0016640E">
              <w:rPr>
                <w:rFonts w:cs="Arial"/>
                <w:sz w:val="20"/>
                <w:lang w:val="en-US"/>
              </w:rPr>
              <w:br/>
            </w:r>
            <w:r w:rsidRPr="0016640E">
              <w:rPr>
                <w:rFonts w:cs="Arial"/>
                <w:b/>
                <w:sz w:val="20"/>
                <w:lang w:val="en-US"/>
              </w:rPr>
              <w:t>The Spokesperson for the President</w:t>
            </w:r>
            <w:r w:rsidR="00FA4D6D" w:rsidRPr="0016640E">
              <w:rPr>
                <w:rFonts w:cs="Arial"/>
                <w:b/>
                <w:sz w:val="20"/>
                <w:lang w:val="en-US"/>
              </w:rPr>
              <w:br/>
            </w:r>
            <w:r w:rsidRPr="0016640E">
              <w:rPr>
                <w:rFonts w:cs="Arial"/>
                <w:b/>
                <w:sz w:val="20"/>
                <w:lang w:val="en-US"/>
              </w:rPr>
              <w:t>of Statistics Poland</w:t>
            </w:r>
          </w:p>
          <w:p w14:paraId="1A33837C" w14:textId="77777777" w:rsidR="00DE2400" w:rsidRPr="004A1D19" w:rsidRDefault="00DE2400" w:rsidP="00597C8F">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4547E0A6" w14:textId="77777777" w:rsidR="00DE2400" w:rsidRPr="004A1D19" w:rsidRDefault="006C197A" w:rsidP="00597C8F">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00DE2400" w:rsidRPr="004A1D19">
              <w:rPr>
                <w:rFonts w:ascii="Fira Sans" w:hAnsi="Fira Sans" w:cs="Arial"/>
                <w:color w:val="auto"/>
                <w:sz w:val="20"/>
                <w:lang w:val="fi-FI"/>
              </w:rPr>
              <w:t xml:space="preserve">: </w:t>
            </w:r>
            <w:r w:rsidR="00FA4D6D">
              <w:rPr>
                <w:rFonts w:ascii="Fira Sans" w:hAnsi="Fira Sans" w:cs="Arial"/>
                <w:color w:val="auto"/>
                <w:sz w:val="20"/>
                <w:lang w:val="fi-FI"/>
              </w:rPr>
              <w:t>(</w:t>
            </w:r>
            <w:r w:rsidR="002021A6">
              <w:rPr>
                <w:rFonts w:ascii="Fira Sans" w:hAnsi="Fira Sans" w:cs="Arial"/>
                <w:color w:val="auto"/>
                <w:sz w:val="20"/>
                <w:lang w:val="fi-FI"/>
              </w:rPr>
              <w:t>+48</w:t>
            </w:r>
            <w:r w:rsidR="00FA4D6D">
              <w:rPr>
                <w:rFonts w:ascii="Fira Sans" w:hAnsi="Fira Sans" w:cs="Arial"/>
                <w:color w:val="auto"/>
                <w:sz w:val="20"/>
                <w:lang w:val="fi-FI"/>
              </w:rPr>
              <w:t>)</w:t>
            </w:r>
            <w:r w:rsidR="002021A6">
              <w:rPr>
                <w:rFonts w:ascii="Fira Sans" w:hAnsi="Fira Sans" w:cs="Arial"/>
                <w:color w:val="auto"/>
                <w:sz w:val="20"/>
                <w:lang w:val="fi-FI"/>
              </w:rPr>
              <w:t xml:space="preserve"> </w:t>
            </w:r>
            <w:r w:rsidR="00DE2400" w:rsidRPr="004A1D19">
              <w:rPr>
                <w:rFonts w:ascii="Fira Sans" w:hAnsi="Fira Sans" w:cs="Arial"/>
                <w:color w:val="auto"/>
                <w:sz w:val="20"/>
                <w:lang w:val="fi-FI"/>
              </w:rPr>
              <w:t>695 255</w:t>
            </w:r>
            <w:r w:rsidR="00DE2400">
              <w:rPr>
                <w:rFonts w:ascii="Fira Sans" w:hAnsi="Fira Sans" w:cs="Arial"/>
                <w:color w:val="auto"/>
                <w:sz w:val="20"/>
                <w:lang w:val="fi-FI"/>
              </w:rPr>
              <w:t> </w:t>
            </w:r>
            <w:r w:rsidR="00DE2400" w:rsidRPr="004A1D19">
              <w:rPr>
                <w:rFonts w:ascii="Fira Sans" w:hAnsi="Fira Sans" w:cs="Arial"/>
                <w:color w:val="auto"/>
                <w:sz w:val="20"/>
                <w:lang w:val="fi-FI"/>
              </w:rPr>
              <w:t>011</w:t>
            </w:r>
          </w:p>
          <w:p w14:paraId="71820769" w14:textId="77777777" w:rsidR="00DE2400" w:rsidRDefault="00DE2400" w:rsidP="00597C8F">
            <w:pPr>
              <w:rPr>
                <w:sz w:val="18"/>
              </w:rPr>
            </w:pPr>
          </w:p>
        </w:tc>
      </w:tr>
      <w:tr w:rsidR="00DE2400" w:rsidRPr="00C31219" w14:paraId="55BAFF3E" w14:textId="77777777" w:rsidTr="009E7D31">
        <w:trPr>
          <w:trHeight w:val="418"/>
        </w:trPr>
        <w:tc>
          <w:tcPr>
            <w:tcW w:w="4926" w:type="dxa"/>
            <w:vMerge w:val="restart"/>
          </w:tcPr>
          <w:p w14:paraId="0C1FFC43" w14:textId="77777777" w:rsidR="00DE2400" w:rsidRPr="0016640E" w:rsidRDefault="002021A6" w:rsidP="00597C8F">
            <w:pPr>
              <w:rPr>
                <w:b/>
                <w:sz w:val="20"/>
                <w:lang w:val="en-US"/>
              </w:rPr>
            </w:pPr>
            <w:r w:rsidRPr="0016640E">
              <w:rPr>
                <w:b/>
                <w:sz w:val="20"/>
                <w:lang w:val="en-US"/>
              </w:rPr>
              <w:t>Press Office</w:t>
            </w:r>
            <w:r w:rsidR="00DE2400" w:rsidRPr="0016640E">
              <w:rPr>
                <w:b/>
                <w:sz w:val="20"/>
                <w:lang w:val="en-US"/>
              </w:rPr>
              <w:t xml:space="preserve"> </w:t>
            </w:r>
          </w:p>
          <w:p w14:paraId="421D53A2" w14:textId="77777777" w:rsidR="00DE2400" w:rsidRPr="0016640E" w:rsidRDefault="002021A6" w:rsidP="00597C8F">
            <w:pPr>
              <w:rPr>
                <w:sz w:val="20"/>
                <w:lang w:val="en-US"/>
              </w:rPr>
            </w:pPr>
            <w:r w:rsidRPr="0016640E">
              <w:rPr>
                <w:sz w:val="20"/>
                <w:lang w:val="en-US"/>
              </w:rPr>
              <w:t>Phone</w:t>
            </w:r>
            <w:r w:rsidR="00DE2400" w:rsidRPr="0016640E">
              <w:rPr>
                <w:sz w:val="20"/>
                <w:lang w:val="en-US"/>
              </w:rPr>
              <w:t xml:space="preserve">: </w:t>
            </w:r>
            <w:r w:rsidR="00FA4D6D" w:rsidRPr="0016640E">
              <w:rPr>
                <w:sz w:val="20"/>
                <w:lang w:val="en-US"/>
              </w:rPr>
              <w:t xml:space="preserve">(+48 </w:t>
            </w:r>
            <w:r w:rsidR="00DE2400" w:rsidRPr="0016640E">
              <w:rPr>
                <w:sz w:val="20"/>
                <w:lang w:val="en-US"/>
              </w:rPr>
              <w:t>22</w:t>
            </w:r>
            <w:r w:rsidR="00FA4D6D" w:rsidRPr="0016640E">
              <w:rPr>
                <w:sz w:val="20"/>
                <w:lang w:val="en-US"/>
              </w:rPr>
              <w:t>)</w:t>
            </w:r>
            <w:r w:rsidR="00DE2400" w:rsidRPr="0016640E">
              <w:rPr>
                <w:sz w:val="20"/>
                <w:lang w:val="en-US"/>
              </w:rPr>
              <w:t xml:space="preserve"> 608 3</w:t>
            </w:r>
            <w:r w:rsidR="00E95036" w:rsidRPr="0016640E">
              <w:rPr>
                <w:sz w:val="20"/>
                <w:lang w:val="en-US"/>
              </w:rPr>
              <w:t>8 04</w:t>
            </w:r>
            <w:r w:rsidR="00DE2400" w:rsidRPr="0016640E">
              <w:rPr>
                <w:sz w:val="20"/>
                <w:lang w:val="en-US"/>
              </w:rPr>
              <w:t xml:space="preserve"> </w:t>
            </w:r>
          </w:p>
          <w:p w14:paraId="7A1E37A7" w14:textId="77777777" w:rsidR="00DE2400" w:rsidRPr="00F05FC7" w:rsidRDefault="00DE2400" w:rsidP="00597C8F">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7449FEA5" w14:textId="77777777" w:rsidR="00DE2400" w:rsidRPr="0016640E" w:rsidRDefault="00DE2400" w:rsidP="00597C8F">
            <w:pPr>
              <w:ind w:firstLine="680"/>
              <w:rPr>
                <w:sz w:val="18"/>
                <w:lang w:val="en-US"/>
              </w:rPr>
            </w:pPr>
            <w:r>
              <w:rPr>
                <w:noProof/>
                <w:sz w:val="20"/>
                <w:lang w:eastAsia="pl-PL"/>
              </w:rPr>
              <w:drawing>
                <wp:anchor distT="0" distB="0" distL="114300" distR="114300" simplePos="0" relativeHeight="251744256" behindDoc="0" locked="0" layoutInCell="1" allowOverlap="1" wp14:anchorId="5759B3A4" wp14:editId="274D6CB4">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16640E">
              <w:rPr>
                <w:sz w:val="20"/>
                <w:lang w:val="en-US"/>
              </w:rPr>
              <w:t>www.stat.gov.pl</w:t>
            </w:r>
            <w:r w:rsidR="002021A6" w:rsidRPr="0016640E">
              <w:rPr>
                <w:sz w:val="20"/>
                <w:lang w:val="en-US"/>
              </w:rPr>
              <w:t>/en/</w:t>
            </w:r>
            <w:r w:rsidRPr="0016640E">
              <w:rPr>
                <w:sz w:val="18"/>
                <w:lang w:val="en-US"/>
              </w:rPr>
              <w:t xml:space="preserve">     </w:t>
            </w:r>
          </w:p>
        </w:tc>
      </w:tr>
      <w:tr w:rsidR="00DE1D0A" w14:paraId="3C22CBC8" w14:textId="77777777" w:rsidTr="009E7D31">
        <w:trPr>
          <w:trHeight w:val="418"/>
        </w:trPr>
        <w:tc>
          <w:tcPr>
            <w:tcW w:w="4926" w:type="dxa"/>
            <w:vMerge/>
          </w:tcPr>
          <w:p w14:paraId="01DEDEBF" w14:textId="77777777" w:rsidR="00DE1D0A" w:rsidRPr="0016640E" w:rsidRDefault="00DE1D0A" w:rsidP="00DE1D0A">
            <w:pPr>
              <w:rPr>
                <w:b/>
                <w:sz w:val="20"/>
                <w:lang w:val="en-US"/>
              </w:rPr>
            </w:pPr>
          </w:p>
        </w:tc>
        <w:tc>
          <w:tcPr>
            <w:tcW w:w="4927" w:type="dxa"/>
            <w:vAlign w:val="center"/>
          </w:tcPr>
          <w:p w14:paraId="5E13E41B" w14:textId="77777777" w:rsidR="00DE1D0A" w:rsidRDefault="00DE1D0A" w:rsidP="00DE1D0A">
            <w:pPr>
              <w:ind w:firstLine="680"/>
              <w:rPr>
                <w:sz w:val="18"/>
              </w:rPr>
            </w:pPr>
            <w:r>
              <w:rPr>
                <w:noProof/>
                <w:sz w:val="20"/>
                <w:lang w:eastAsia="pl-PL"/>
              </w:rPr>
              <w:drawing>
                <wp:anchor distT="0" distB="0" distL="114300" distR="114300" simplePos="0" relativeHeight="251753472" behindDoc="0" locked="0" layoutInCell="1" allowOverlap="1" wp14:anchorId="604FEBDD" wp14:editId="75185925">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3D5F42">
              <w:rPr>
                <w:sz w:val="20"/>
              </w:rPr>
              <w:t>@</w:t>
            </w:r>
            <w:r w:rsidRPr="00DE1D0A">
              <w:rPr>
                <w:noProof/>
                <w:sz w:val="20"/>
                <w:lang w:eastAsia="pl-PL"/>
              </w:rPr>
              <w:t>StatPoland</w:t>
            </w:r>
          </w:p>
        </w:tc>
      </w:tr>
      <w:tr w:rsidR="00DE1D0A" w14:paraId="4C4B5958" w14:textId="77777777" w:rsidTr="009E7D31">
        <w:trPr>
          <w:trHeight w:val="480"/>
        </w:trPr>
        <w:tc>
          <w:tcPr>
            <w:tcW w:w="4926" w:type="dxa"/>
            <w:vMerge/>
          </w:tcPr>
          <w:p w14:paraId="1DF09EAF" w14:textId="77777777" w:rsidR="00DE1D0A" w:rsidRPr="00C91687" w:rsidRDefault="00DE1D0A" w:rsidP="00DE1D0A">
            <w:pPr>
              <w:rPr>
                <w:b/>
                <w:sz w:val="20"/>
              </w:rPr>
            </w:pPr>
          </w:p>
        </w:tc>
        <w:tc>
          <w:tcPr>
            <w:tcW w:w="4927" w:type="dxa"/>
          </w:tcPr>
          <w:p w14:paraId="3304700C" w14:textId="77777777" w:rsidR="00DE1D0A" w:rsidRDefault="00DE1D0A" w:rsidP="00DE1D0A">
            <w:pPr>
              <w:ind w:firstLine="680"/>
              <w:rPr>
                <w:sz w:val="18"/>
              </w:rPr>
            </w:pPr>
            <w:r>
              <w:rPr>
                <w:noProof/>
                <w:sz w:val="20"/>
                <w:lang w:eastAsia="pl-PL"/>
              </w:rPr>
              <w:drawing>
                <wp:anchor distT="0" distB="0" distL="114300" distR="114300" simplePos="0" relativeHeight="251754496" behindDoc="0" locked="0" layoutInCell="1" allowOverlap="1" wp14:anchorId="4220D4CE" wp14:editId="0090C020">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3D5F42">
              <w:rPr>
                <w:sz w:val="20"/>
              </w:rPr>
              <w:t>@GlownyUrzadStatystyczny</w:t>
            </w:r>
            <w:r>
              <w:rPr>
                <w:noProof/>
                <w:sz w:val="20"/>
                <w:lang w:eastAsia="pl-PL"/>
              </w:rPr>
              <w:t xml:space="preserve"> </w:t>
            </w:r>
          </w:p>
        </w:tc>
      </w:tr>
      <w:tr w:rsidR="00DE1D0A" w14:paraId="298BEB1E" w14:textId="77777777" w:rsidTr="009E7D31">
        <w:trPr>
          <w:trHeight w:val="480"/>
        </w:trPr>
        <w:tc>
          <w:tcPr>
            <w:tcW w:w="4926" w:type="dxa"/>
          </w:tcPr>
          <w:p w14:paraId="01AF6EC6" w14:textId="77777777" w:rsidR="00DE1D0A" w:rsidRPr="00C91687" w:rsidRDefault="00DE1D0A" w:rsidP="00DE1D0A">
            <w:pPr>
              <w:rPr>
                <w:b/>
                <w:sz w:val="20"/>
              </w:rPr>
            </w:pPr>
          </w:p>
        </w:tc>
        <w:tc>
          <w:tcPr>
            <w:tcW w:w="4927" w:type="dxa"/>
          </w:tcPr>
          <w:p w14:paraId="42394153" w14:textId="77777777" w:rsidR="00DE1D0A" w:rsidRPr="003D5F42" w:rsidRDefault="00DE1D0A" w:rsidP="00DE1D0A">
            <w:pPr>
              <w:ind w:firstLine="680"/>
              <w:rPr>
                <w:sz w:val="20"/>
              </w:rPr>
            </w:pPr>
            <w:r>
              <w:rPr>
                <w:noProof/>
                <w:sz w:val="20"/>
                <w:lang w:eastAsia="pl-PL"/>
              </w:rPr>
              <w:drawing>
                <wp:anchor distT="0" distB="0" distL="114300" distR="114300" simplePos="0" relativeHeight="251755520" behindDoc="0" locked="0" layoutInCell="1" allowOverlap="1" wp14:anchorId="4C274492" wp14:editId="197E70A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roofErr w:type="spellStart"/>
            <w:r w:rsidRPr="00DE1D0A">
              <w:rPr>
                <w:sz w:val="20"/>
              </w:rPr>
              <w:t>gus_stat</w:t>
            </w:r>
            <w:proofErr w:type="spellEnd"/>
          </w:p>
        </w:tc>
      </w:tr>
      <w:tr w:rsidR="00DE1D0A" w14:paraId="318F6639" w14:textId="77777777" w:rsidTr="009E7D31">
        <w:trPr>
          <w:trHeight w:val="480"/>
        </w:trPr>
        <w:tc>
          <w:tcPr>
            <w:tcW w:w="4926" w:type="dxa"/>
          </w:tcPr>
          <w:p w14:paraId="77C79FD5" w14:textId="77777777" w:rsidR="00DE1D0A" w:rsidRPr="00C91687" w:rsidRDefault="00DE1D0A" w:rsidP="00DE1D0A">
            <w:pPr>
              <w:rPr>
                <w:b/>
                <w:sz w:val="20"/>
              </w:rPr>
            </w:pPr>
          </w:p>
        </w:tc>
        <w:tc>
          <w:tcPr>
            <w:tcW w:w="4927" w:type="dxa"/>
          </w:tcPr>
          <w:p w14:paraId="404BA896" w14:textId="77777777" w:rsidR="00DE1D0A" w:rsidRPr="003D5F42" w:rsidRDefault="00DE1D0A" w:rsidP="00DE1D0A">
            <w:pPr>
              <w:ind w:firstLine="680"/>
              <w:rPr>
                <w:sz w:val="20"/>
              </w:rPr>
            </w:pPr>
            <w:r>
              <w:rPr>
                <w:noProof/>
                <w:sz w:val="20"/>
                <w:lang w:eastAsia="pl-PL"/>
              </w:rPr>
              <w:drawing>
                <wp:anchor distT="0" distB="0" distL="114300" distR="114300" simplePos="0" relativeHeight="251756544" behindDoc="0" locked="0" layoutInCell="1" allowOverlap="1" wp14:anchorId="22B587C6" wp14:editId="29267220">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roofErr w:type="spellStart"/>
            <w:r w:rsidRPr="00531873">
              <w:rPr>
                <w:sz w:val="20"/>
              </w:rPr>
              <w:t>glownyurzadstatystycznygus</w:t>
            </w:r>
            <w:proofErr w:type="spellEnd"/>
          </w:p>
        </w:tc>
      </w:tr>
      <w:tr w:rsidR="00DE1D0A" w14:paraId="1784CC07" w14:textId="77777777" w:rsidTr="009E7D31">
        <w:trPr>
          <w:trHeight w:val="953"/>
        </w:trPr>
        <w:tc>
          <w:tcPr>
            <w:tcW w:w="4926" w:type="dxa"/>
          </w:tcPr>
          <w:p w14:paraId="6551697A" w14:textId="77777777" w:rsidR="00DE1D0A" w:rsidRPr="00C91687" w:rsidRDefault="00DE1D0A" w:rsidP="00DE1D0A">
            <w:pPr>
              <w:rPr>
                <w:b/>
                <w:sz w:val="20"/>
              </w:rPr>
            </w:pPr>
          </w:p>
        </w:tc>
        <w:tc>
          <w:tcPr>
            <w:tcW w:w="4927" w:type="dxa"/>
          </w:tcPr>
          <w:p w14:paraId="7F48662D" w14:textId="77777777" w:rsidR="00DE1D0A" w:rsidRPr="003D5F42" w:rsidRDefault="00DE1D0A" w:rsidP="00DE1D0A">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57568" behindDoc="0" locked="0" layoutInCell="1" allowOverlap="1" wp14:anchorId="42F4FC22" wp14:editId="4B797B45">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
        </w:tc>
      </w:tr>
      <w:tr w:rsidR="00DE2400" w:rsidRPr="00C31219" w14:paraId="066B9E6F" w14:textId="77777777" w:rsidTr="009E7D31">
        <w:trPr>
          <w:trHeight w:val="4114"/>
        </w:trPr>
        <w:tc>
          <w:tcPr>
            <w:tcW w:w="9853" w:type="dxa"/>
            <w:gridSpan w:val="2"/>
            <w:shd w:val="clear" w:color="auto" w:fill="D9D9D9" w:themeFill="background1" w:themeFillShade="D9"/>
          </w:tcPr>
          <w:p w14:paraId="5C93EFCC" w14:textId="77777777" w:rsidR="00DE2400" w:rsidRPr="0016640E" w:rsidRDefault="00CA784C" w:rsidP="00597C8F">
            <w:pPr>
              <w:shd w:val="clear" w:color="auto" w:fill="D9D9D9" w:themeFill="background1" w:themeFillShade="D9"/>
              <w:rPr>
                <w:b/>
                <w:lang w:val="en-US"/>
              </w:rPr>
            </w:pPr>
            <w:r w:rsidRPr="0016640E">
              <w:rPr>
                <w:b/>
                <w:lang w:val="en-US"/>
              </w:rPr>
              <w:t>Related information</w:t>
            </w:r>
          </w:p>
          <w:p w14:paraId="32635B59" w14:textId="77777777" w:rsidR="007D284F" w:rsidRDefault="00000000" w:rsidP="00CE6373">
            <w:pPr>
              <w:rPr>
                <w:rStyle w:val="Hipercze"/>
                <w:lang w:val="en-US"/>
              </w:rPr>
            </w:pPr>
            <w:hyperlink r:id="rId23" w:history="1">
              <w:r w:rsidR="007D284F" w:rsidRPr="007D284F">
                <w:rPr>
                  <w:rStyle w:val="Hipercze"/>
                  <w:lang w:val="en-US"/>
                </w:rPr>
                <w:t>Labour market: Working employed. Wages and salaries. Cost of labour</w:t>
              </w:r>
            </w:hyperlink>
          </w:p>
          <w:p w14:paraId="28B430F0" w14:textId="77777777" w:rsidR="00113D3A" w:rsidRPr="00CE6373" w:rsidRDefault="00000000" w:rsidP="00113D3A">
            <w:pPr>
              <w:rPr>
                <w:rStyle w:val="Hipercze"/>
                <w:lang w:val="en-US"/>
              </w:rPr>
            </w:pPr>
            <w:hyperlink r:id="rId24" w:history="1">
              <w:r w:rsidR="00113D3A" w:rsidRPr="00017E4F">
                <w:rPr>
                  <w:rStyle w:val="Hipercze"/>
                  <w:lang w:val="en-US"/>
                </w:rPr>
                <w:t xml:space="preserve">Employment, wages and salaries in national economy in </w:t>
              </w:r>
              <w:r w:rsidR="00017E4F" w:rsidRPr="00017E4F">
                <w:rPr>
                  <w:rStyle w:val="Hipercze"/>
                  <w:lang w:val="en-US"/>
                </w:rPr>
                <w:t xml:space="preserve">the </w:t>
              </w:r>
              <w:r w:rsidR="00113D3A" w:rsidRPr="00017E4F">
                <w:rPr>
                  <w:rStyle w:val="Hipercze"/>
                  <w:lang w:val="en-US"/>
                </w:rPr>
                <w:t xml:space="preserve">first </w:t>
              </w:r>
              <w:r w:rsidR="00254E06" w:rsidRPr="00017E4F">
                <w:rPr>
                  <w:rStyle w:val="Hipercze"/>
                  <w:lang w:val="en-US"/>
                </w:rPr>
                <w:t>half of</w:t>
              </w:r>
              <w:r w:rsidR="00113D3A" w:rsidRPr="00017E4F">
                <w:rPr>
                  <w:rStyle w:val="Hipercze"/>
                  <w:lang w:val="en-US"/>
                </w:rPr>
                <w:t xml:space="preserve"> 2022</w:t>
              </w:r>
            </w:hyperlink>
          </w:p>
          <w:p w14:paraId="23C6253B" w14:textId="77777777" w:rsidR="00CE6373" w:rsidRPr="00CE6373" w:rsidRDefault="00000000" w:rsidP="00CE6373">
            <w:pPr>
              <w:rPr>
                <w:rStyle w:val="Hipercze"/>
                <w:lang w:val="en-US"/>
              </w:rPr>
            </w:pPr>
            <w:hyperlink r:id="rId25" w:history="1">
              <w:r w:rsidR="00CE6373" w:rsidRPr="005670A1">
                <w:rPr>
                  <w:rStyle w:val="Hipercze"/>
                  <w:lang w:val="en-US"/>
                </w:rPr>
                <w:t>Structure of wages and salaries by occupations in October 20</w:t>
              </w:r>
              <w:r w:rsidR="005670A1" w:rsidRPr="005670A1">
                <w:rPr>
                  <w:rStyle w:val="Hipercze"/>
                  <w:lang w:val="en-US"/>
                </w:rPr>
                <w:t>20</w:t>
              </w:r>
            </w:hyperlink>
          </w:p>
          <w:p w14:paraId="038F0B33" w14:textId="77777777" w:rsidR="00CE6373" w:rsidRPr="00CE6373" w:rsidRDefault="00000000" w:rsidP="00CE6373">
            <w:pPr>
              <w:rPr>
                <w:rStyle w:val="Hipercze"/>
                <w:lang w:val="en-US"/>
              </w:rPr>
            </w:pPr>
            <w:hyperlink r:id="rId26" w:history="1">
              <w:r w:rsidR="00CE6373" w:rsidRPr="00CE6373">
                <w:rPr>
                  <w:rStyle w:val="Hipercze"/>
                  <w:lang w:val="en-US"/>
                </w:rPr>
                <w:t>Methodological report Employment in the national economy</w:t>
              </w:r>
            </w:hyperlink>
          </w:p>
          <w:p w14:paraId="21AD50F0" w14:textId="77777777" w:rsidR="00CE6373" w:rsidRPr="00043EEC" w:rsidRDefault="00000000" w:rsidP="00CE6373">
            <w:pPr>
              <w:rPr>
                <w:rStyle w:val="Hipercze"/>
                <w:lang w:val="en-US"/>
              </w:rPr>
            </w:pPr>
            <w:hyperlink r:id="rId27" w:history="1">
              <w:r w:rsidR="00CE6373" w:rsidRPr="00CE6373">
                <w:rPr>
                  <w:rStyle w:val="Hipercze"/>
                  <w:lang w:val="en-US"/>
                </w:rPr>
                <w:t>Methodological report Wages and salaries in the national economy</w:t>
              </w:r>
            </w:hyperlink>
          </w:p>
          <w:p w14:paraId="1106BD84" w14:textId="77777777" w:rsidR="00DE2400" w:rsidRPr="0016640E" w:rsidRDefault="000F569C" w:rsidP="00CE6373">
            <w:pPr>
              <w:shd w:val="clear" w:color="auto" w:fill="D9D9D9" w:themeFill="background1" w:themeFillShade="D9"/>
              <w:spacing w:before="360"/>
              <w:rPr>
                <w:b/>
                <w:color w:val="000000" w:themeColor="text1"/>
                <w:szCs w:val="24"/>
                <w:lang w:val="en-US"/>
              </w:rPr>
            </w:pPr>
            <w:r w:rsidRPr="0016640E">
              <w:rPr>
                <w:b/>
                <w:color w:val="000000" w:themeColor="text1"/>
                <w:szCs w:val="24"/>
                <w:lang w:val="en-US"/>
              </w:rPr>
              <w:t>Data available in databases</w:t>
            </w:r>
          </w:p>
          <w:p w14:paraId="4AA11884" w14:textId="77777777" w:rsidR="00CE6373" w:rsidRPr="00CE6373" w:rsidRDefault="00000000" w:rsidP="00CE6373">
            <w:pPr>
              <w:rPr>
                <w:rStyle w:val="Hipercze"/>
                <w:lang w:val="en-US"/>
              </w:rPr>
            </w:pPr>
            <w:hyperlink r:id="rId28" w:history="1">
              <w:r w:rsidR="00CE6373" w:rsidRPr="00CE6373">
                <w:rPr>
                  <w:rStyle w:val="Hipercze"/>
                  <w:lang w:val="en-US"/>
                </w:rPr>
                <w:t>Local Data Bank – Labour market</w:t>
              </w:r>
            </w:hyperlink>
          </w:p>
          <w:p w14:paraId="21365633" w14:textId="77777777" w:rsidR="00CE6373" w:rsidRPr="00B87B70" w:rsidRDefault="00000000" w:rsidP="00CE6373">
            <w:pPr>
              <w:rPr>
                <w:rStyle w:val="Hipercze"/>
                <w:rFonts w:cs="Arial"/>
                <w:color w:val="001D77"/>
                <w:sz w:val="18"/>
                <w:szCs w:val="30"/>
                <w:shd w:val="clear" w:color="auto" w:fill="F0F0F0"/>
                <w:lang w:val="en-US"/>
              </w:rPr>
            </w:pPr>
            <w:hyperlink r:id="rId29" w:history="1">
              <w:r w:rsidR="00CE6373" w:rsidRPr="00CE6373">
                <w:rPr>
                  <w:rStyle w:val="Hipercze"/>
                  <w:lang w:val="en-US"/>
                </w:rPr>
                <w:t>Macroeconomic Data Bank – Labour market</w:t>
              </w:r>
            </w:hyperlink>
          </w:p>
          <w:p w14:paraId="3C9598A0" w14:textId="77777777" w:rsidR="00071407" w:rsidRPr="00071407" w:rsidRDefault="00CA784C" w:rsidP="00071407">
            <w:pPr>
              <w:shd w:val="clear" w:color="auto" w:fill="D9D9D9" w:themeFill="background1" w:themeFillShade="D9"/>
              <w:spacing w:before="360"/>
              <w:rPr>
                <w:b/>
                <w:color w:val="000000" w:themeColor="text1"/>
                <w:szCs w:val="24"/>
                <w:lang w:val="en-US"/>
              </w:rPr>
            </w:pPr>
            <w:r w:rsidRPr="0016640E">
              <w:rPr>
                <w:b/>
                <w:color w:val="000000" w:themeColor="text1"/>
                <w:szCs w:val="24"/>
                <w:lang w:val="en-US"/>
              </w:rPr>
              <w:t xml:space="preserve">Terms used </w:t>
            </w:r>
            <w:r w:rsidR="00F02C40" w:rsidRPr="0016640E">
              <w:rPr>
                <w:b/>
                <w:color w:val="000000" w:themeColor="text1"/>
                <w:szCs w:val="24"/>
                <w:lang w:val="en-US"/>
              </w:rPr>
              <w:t>in</w:t>
            </w:r>
            <w:r w:rsidRPr="0016640E">
              <w:rPr>
                <w:b/>
                <w:color w:val="000000" w:themeColor="text1"/>
                <w:szCs w:val="24"/>
                <w:lang w:val="en-US"/>
              </w:rPr>
              <w:t xml:space="preserve"> official statistics</w:t>
            </w:r>
          </w:p>
          <w:p w14:paraId="520D1182" w14:textId="77777777" w:rsidR="00071407" w:rsidRPr="00071407" w:rsidRDefault="00000000" w:rsidP="00CE6373">
            <w:pPr>
              <w:rPr>
                <w:lang w:val="en-US"/>
              </w:rPr>
            </w:pPr>
            <w:hyperlink r:id="rId30" w:history="1">
              <w:r w:rsidR="00071407" w:rsidRPr="00071407">
                <w:rPr>
                  <w:rStyle w:val="Hipercze"/>
                  <w:rFonts w:cstheme="minorBidi"/>
                  <w:lang w:val="en-US"/>
                </w:rPr>
                <w:t>Enterprise sector in the labour market and wages and salaries statistics</w:t>
              </w:r>
            </w:hyperlink>
          </w:p>
          <w:p w14:paraId="5A658AD5" w14:textId="77777777" w:rsidR="00CE6373" w:rsidRPr="00043EEC" w:rsidRDefault="00000000" w:rsidP="00CE6373">
            <w:pPr>
              <w:rPr>
                <w:rStyle w:val="Hipercze"/>
                <w:lang w:val="en-US"/>
              </w:rPr>
            </w:pPr>
            <w:hyperlink r:id="rId31" w:history="1">
              <w:r w:rsidR="00CE6373" w:rsidRPr="00CE6373">
                <w:rPr>
                  <w:rStyle w:val="Hipercze"/>
                  <w:lang w:val="en-US"/>
                </w:rPr>
                <w:t>Average paid employment</w:t>
              </w:r>
            </w:hyperlink>
          </w:p>
          <w:p w14:paraId="048BE8B8" w14:textId="77777777" w:rsidR="00DE2400" w:rsidRPr="00CE6373" w:rsidRDefault="00000000" w:rsidP="00597C8F">
            <w:pPr>
              <w:rPr>
                <w:rFonts w:cs="Arial"/>
                <w:color w:val="001D77"/>
                <w:sz w:val="18"/>
                <w:szCs w:val="30"/>
                <w:u w:val="single"/>
                <w:shd w:val="clear" w:color="auto" w:fill="F0F0F0"/>
                <w:lang w:val="en-US"/>
              </w:rPr>
            </w:pPr>
            <w:hyperlink r:id="rId32" w:history="1">
              <w:r w:rsidR="00CE6373" w:rsidRPr="00CE6373">
                <w:rPr>
                  <w:rStyle w:val="Hipercze"/>
                  <w:lang w:val="en-US"/>
                </w:rPr>
                <w:t>Wages and salaries to calculate average monthly wages and salaries</w:t>
              </w:r>
            </w:hyperlink>
          </w:p>
        </w:tc>
      </w:tr>
    </w:tbl>
    <w:p w14:paraId="69A9B5A7" w14:textId="77777777" w:rsidR="000470AA" w:rsidRPr="0016640E"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359"/>
        <w:gridCol w:w="3924"/>
      </w:tblGrid>
      <w:tr w:rsidR="000470AA" w:rsidRPr="00C31219" w14:paraId="58BB5DFA" w14:textId="77777777" w:rsidTr="00E23337">
        <w:trPr>
          <w:trHeight w:val="1912"/>
        </w:trPr>
        <w:tc>
          <w:tcPr>
            <w:tcW w:w="4379" w:type="dxa"/>
          </w:tcPr>
          <w:p w14:paraId="2EAAC3C0" w14:textId="77777777" w:rsidR="000470AA" w:rsidRPr="004A1D19" w:rsidRDefault="000470AA" w:rsidP="00D00796">
            <w:pPr>
              <w:pStyle w:val="Nagwek3"/>
              <w:spacing w:before="0" w:line="240" w:lineRule="auto"/>
              <w:rPr>
                <w:rFonts w:ascii="Fira Sans" w:hAnsi="Fira Sans"/>
                <w:color w:val="auto"/>
                <w:lang w:val="fi-FI"/>
              </w:rPr>
            </w:pPr>
          </w:p>
        </w:tc>
        <w:tc>
          <w:tcPr>
            <w:tcW w:w="3942" w:type="dxa"/>
          </w:tcPr>
          <w:p w14:paraId="68246ECB" w14:textId="77777777" w:rsidR="000470AA" w:rsidRPr="004A1D19" w:rsidRDefault="000470AA" w:rsidP="00D00796">
            <w:pPr>
              <w:pStyle w:val="Nagwek3"/>
              <w:spacing w:before="0" w:line="240" w:lineRule="auto"/>
              <w:rPr>
                <w:rFonts w:ascii="Fira Sans" w:hAnsi="Fira Sans" w:cs="Arial"/>
                <w:color w:val="auto"/>
                <w:sz w:val="20"/>
                <w:szCs w:val="20"/>
                <w:lang w:val="en-US"/>
              </w:rPr>
            </w:pPr>
          </w:p>
        </w:tc>
      </w:tr>
    </w:tbl>
    <w:p w14:paraId="27111FCE" w14:textId="77777777" w:rsidR="000470AA" w:rsidRPr="0016640E" w:rsidRDefault="000470AA" w:rsidP="000470AA">
      <w:pPr>
        <w:rPr>
          <w:sz w:val="20"/>
          <w:lang w:val="en-US"/>
        </w:rPr>
      </w:pPr>
    </w:p>
    <w:p w14:paraId="56FDEF76" w14:textId="77777777" w:rsidR="000470AA" w:rsidRPr="0016640E" w:rsidRDefault="000470AA" w:rsidP="000470AA">
      <w:pPr>
        <w:rPr>
          <w:sz w:val="18"/>
          <w:lang w:val="en-US"/>
        </w:rPr>
      </w:pPr>
    </w:p>
    <w:p w14:paraId="66D86299" w14:textId="77777777" w:rsidR="00D261A2" w:rsidRPr="0016640E" w:rsidRDefault="00D261A2" w:rsidP="00AD0E56">
      <w:pPr>
        <w:rPr>
          <w:sz w:val="18"/>
          <w:lang w:val="en-US"/>
        </w:rPr>
      </w:pPr>
    </w:p>
    <w:sectPr w:rsidR="00D261A2" w:rsidRPr="0016640E"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D81D6" w14:textId="77777777" w:rsidR="00BC59CA" w:rsidRDefault="00BC59CA" w:rsidP="000662E2">
      <w:pPr>
        <w:spacing w:after="0" w:line="240" w:lineRule="auto"/>
      </w:pPr>
      <w:r>
        <w:separator/>
      </w:r>
    </w:p>
  </w:endnote>
  <w:endnote w:type="continuationSeparator" w:id="0">
    <w:p w14:paraId="6A21F75F" w14:textId="77777777" w:rsidR="00BC59CA" w:rsidRDefault="00BC59C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Fira Sans Light">
    <w:charset w:val="EE"/>
    <w:family w:val="swiss"/>
    <w:pitch w:val="variable"/>
    <w:sig w:usb0="600002FF" w:usb1="02000001" w:usb2="00000000" w:usb3="00000000" w:csb0="0000019F" w:csb1="00000000"/>
  </w:font>
  <w:font w:name="Fira Sans SemiBold">
    <w:charset w:val="EE"/>
    <w:family w:val="swiss"/>
    <w:pitch w:val="variable"/>
    <w:sig w:usb0="600002FF" w:usb1="02000001" w:usb2="00000000" w:usb3="00000000" w:csb0="0000019F" w:csb1="00000000"/>
  </w:font>
  <w:font w:name="Fira Sans Medium">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iraSans-Regular">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75277"/>
      <w:docPartObj>
        <w:docPartGallery w:val="Page Numbers (Bottom of Page)"/>
        <w:docPartUnique/>
      </w:docPartObj>
    </w:sdtPr>
    <w:sdtContent>
      <w:p w14:paraId="71E5098C" w14:textId="77777777" w:rsidR="001E06C6" w:rsidRDefault="000E17C5" w:rsidP="003B18B6">
        <w:pPr>
          <w:pStyle w:val="Stopka"/>
          <w:jc w:val="center"/>
        </w:pPr>
        <w:r>
          <w:rPr>
            <w:noProof/>
          </w:rPr>
          <w:fldChar w:fldCharType="begin"/>
        </w:r>
        <w:r w:rsidR="00D04313">
          <w:rPr>
            <w:noProof/>
          </w:rPr>
          <w:instrText>PAGE   \* MERGEFORMAT</w:instrText>
        </w:r>
        <w:r>
          <w:rPr>
            <w:noProof/>
          </w:rPr>
          <w:fldChar w:fldCharType="separate"/>
        </w:r>
        <w:r w:rsidR="005C1387">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6088"/>
      <w:docPartObj>
        <w:docPartGallery w:val="Page Numbers (Bottom of Page)"/>
        <w:docPartUnique/>
      </w:docPartObj>
    </w:sdtPr>
    <w:sdtContent>
      <w:p w14:paraId="706CA7FE" w14:textId="77777777" w:rsidR="001E06C6" w:rsidRDefault="000E17C5" w:rsidP="003B18B6">
        <w:pPr>
          <w:pStyle w:val="Stopka"/>
          <w:jc w:val="center"/>
        </w:pPr>
        <w:r>
          <w:rPr>
            <w:noProof/>
          </w:rPr>
          <w:fldChar w:fldCharType="begin"/>
        </w:r>
        <w:r w:rsidR="00D04313">
          <w:rPr>
            <w:noProof/>
          </w:rPr>
          <w:instrText>PAGE   \* MERGEFORMAT</w:instrText>
        </w:r>
        <w:r>
          <w:rPr>
            <w:noProof/>
          </w:rPr>
          <w:fldChar w:fldCharType="separate"/>
        </w:r>
        <w:r w:rsidR="005C1387">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Content>
      <w:p w14:paraId="13292FA2" w14:textId="77777777" w:rsidR="001E06C6" w:rsidRDefault="000E17C5" w:rsidP="003B18B6">
        <w:pPr>
          <w:pStyle w:val="Stopka"/>
          <w:jc w:val="center"/>
        </w:pPr>
        <w:r>
          <w:rPr>
            <w:noProof/>
          </w:rPr>
          <w:fldChar w:fldCharType="begin"/>
        </w:r>
        <w:r w:rsidR="00D04313">
          <w:rPr>
            <w:noProof/>
          </w:rPr>
          <w:instrText>PAGE   \* MERGEFORMAT</w:instrText>
        </w:r>
        <w:r>
          <w:rPr>
            <w:noProof/>
          </w:rPr>
          <w:fldChar w:fldCharType="separate"/>
        </w:r>
        <w:r w:rsidR="005C1387">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22AA" w14:textId="77777777" w:rsidR="00BC59CA" w:rsidRDefault="00BC59CA" w:rsidP="000662E2">
      <w:pPr>
        <w:spacing w:after="0" w:line="240" w:lineRule="auto"/>
      </w:pPr>
      <w:r>
        <w:separator/>
      </w:r>
    </w:p>
  </w:footnote>
  <w:footnote w:type="continuationSeparator" w:id="0">
    <w:p w14:paraId="1AAB5D3A" w14:textId="77777777" w:rsidR="00BC59CA" w:rsidRDefault="00BC59CA" w:rsidP="000662E2">
      <w:pPr>
        <w:spacing w:after="0" w:line="240" w:lineRule="auto"/>
      </w:pPr>
      <w:r>
        <w:continuationSeparator/>
      </w:r>
    </w:p>
  </w:footnote>
  <w:footnote w:id="1">
    <w:p w14:paraId="0D295442" w14:textId="77777777" w:rsidR="001E06C6" w:rsidRPr="00490C15" w:rsidRDefault="001E06C6" w:rsidP="00490C15">
      <w:pPr>
        <w:pStyle w:val="Tekstprzypisudolnego"/>
        <w:rPr>
          <w:lang w:val="en-US"/>
        </w:rPr>
      </w:pPr>
      <w:r>
        <w:rPr>
          <w:rStyle w:val="Odwoanieprzypisudolnego"/>
        </w:rPr>
        <w:footnoteRef/>
      </w:r>
      <w:r w:rsidRPr="00490C15">
        <w:rPr>
          <w:lang w:val="en-US"/>
        </w:rPr>
        <w:t xml:space="preserve"> </w:t>
      </w:r>
      <w:r w:rsidRPr="00490C15">
        <w:rPr>
          <w:rStyle w:val="Odwoanieprzypisudolnego"/>
          <w:sz w:val="19"/>
          <w:szCs w:val="19"/>
          <w:vertAlign w:val="baseline"/>
          <w:lang w:val="en-US"/>
        </w:rPr>
        <w:t xml:space="preserve">Average paid employment after converting the dimensions of part-time employees into full-time </w:t>
      </w:r>
      <w:r>
        <w:rPr>
          <w:rStyle w:val="Odwoanieprzypisudolnego"/>
          <w:sz w:val="19"/>
          <w:szCs w:val="19"/>
          <w:vertAlign w:val="baseline"/>
          <w:lang w:val="en-US"/>
        </w:rPr>
        <w:t>e</w:t>
      </w:r>
      <w:r>
        <w:rPr>
          <w:sz w:val="19"/>
          <w:szCs w:val="19"/>
          <w:lang w:val="en-US"/>
        </w:rPr>
        <w:t>quivalent</w:t>
      </w:r>
      <w:r w:rsidR="007F4756">
        <w:rPr>
          <w:sz w:val="19"/>
          <w:szCs w:val="19"/>
          <w:lang w:val="en-US"/>
        </w:rPr>
        <w:t>s</w:t>
      </w:r>
      <w:r w:rsidRPr="00490C15">
        <w:rPr>
          <w:sz w:val="19"/>
          <w:szCs w:val="19"/>
          <w:lang w:val="en-US"/>
        </w:rPr>
        <w:t>.</w:t>
      </w:r>
    </w:p>
  </w:footnote>
  <w:footnote w:id="2">
    <w:p w14:paraId="05920F9E" w14:textId="77777777" w:rsidR="001E06C6" w:rsidRPr="00490C15" w:rsidRDefault="001E06C6" w:rsidP="00490C15">
      <w:pPr>
        <w:tabs>
          <w:tab w:val="left" w:pos="170"/>
        </w:tabs>
        <w:spacing w:after="0" w:line="240" w:lineRule="auto"/>
        <w:rPr>
          <w:rFonts w:eastAsia="Calibri"/>
          <w:szCs w:val="19"/>
          <w:shd w:val="clear" w:color="auto" w:fill="FFFFFF"/>
          <w:lang w:val="en-US"/>
        </w:rPr>
      </w:pPr>
      <w:r w:rsidRPr="00490C15">
        <w:rPr>
          <w:rStyle w:val="Odwoanieprzypisudolnego"/>
          <w:szCs w:val="19"/>
        </w:rPr>
        <w:footnoteRef/>
      </w:r>
      <w:r w:rsidRPr="00490C15">
        <w:rPr>
          <w:szCs w:val="19"/>
          <w:lang w:val="en-US"/>
        </w:rPr>
        <w:t xml:space="preserve"> </w:t>
      </w:r>
      <w:r w:rsidRPr="00490C15">
        <w:rPr>
          <w:rStyle w:val="tlid-translation"/>
          <w:szCs w:val="19"/>
          <w:lang w:val="en-US"/>
        </w:rPr>
        <w:t xml:space="preserve">Activities included in the enterprise sector are listed on </w:t>
      </w:r>
      <w:r>
        <w:rPr>
          <w:rStyle w:val="tlid-translation"/>
          <w:szCs w:val="19"/>
          <w:lang w:val="en-US"/>
        </w:rPr>
        <w:t xml:space="preserve">the </w:t>
      </w:r>
      <w:r w:rsidRPr="00490C15">
        <w:rPr>
          <w:rStyle w:val="tlid-translation"/>
          <w:szCs w:val="19"/>
          <w:lang w:val="en-US"/>
        </w:rPr>
        <w:t xml:space="preserve">page </w:t>
      </w:r>
      <w:r w:rsidR="00625D1B">
        <w:rPr>
          <w:rStyle w:val="tlid-translation"/>
          <w:szCs w:val="19"/>
          <w:lang w:val="en-US"/>
        </w:rPr>
        <w:t>4</w:t>
      </w:r>
      <w:r w:rsidRPr="00490C15">
        <w:rPr>
          <w:rStyle w:val="tlid-translation"/>
          <w:szCs w:val="19"/>
          <w:lang w:val="en-US"/>
        </w:rPr>
        <w:t>.</w:t>
      </w:r>
    </w:p>
  </w:footnote>
  <w:footnote w:id="3">
    <w:p w14:paraId="4F6DD73F" w14:textId="77777777" w:rsidR="002962D2" w:rsidRDefault="002962D2" w:rsidP="002962D2">
      <w:pPr>
        <w:pStyle w:val="Tekstprzypisudolnego"/>
      </w:pPr>
      <w:r>
        <w:rPr>
          <w:rStyle w:val="Odwoanieprzypisudolnego"/>
        </w:rPr>
        <w:footnoteRef/>
      </w:r>
      <w:r>
        <w:t xml:space="preserve"> </w:t>
      </w:r>
      <w:proofErr w:type="spellStart"/>
      <w:r>
        <w:rPr>
          <w:szCs w:val="19"/>
        </w:rPr>
        <w:t>Annex</w:t>
      </w:r>
      <w:proofErr w:type="spellEnd"/>
      <w:r>
        <w:rPr>
          <w:szCs w:val="19"/>
        </w:rPr>
        <w:t xml:space="preserve"> to the </w:t>
      </w:r>
      <w:proofErr w:type="spellStart"/>
      <w:r>
        <w:rPr>
          <w:szCs w:val="19"/>
        </w:rPr>
        <w:t>explanatory</w:t>
      </w:r>
      <w:proofErr w:type="spellEnd"/>
      <w:r>
        <w:rPr>
          <w:szCs w:val="19"/>
        </w:rPr>
        <w:t xml:space="preserve"> notes on </w:t>
      </w:r>
      <w:proofErr w:type="spellStart"/>
      <w:r>
        <w:rPr>
          <w:szCs w:val="19"/>
        </w:rPr>
        <w:t>employment</w:t>
      </w:r>
      <w:proofErr w:type="spellEnd"/>
      <w:r>
        <w:rPr>
          <w:szCs w:val="19"/>
        </w:rPr>
        <w:t xml:space="preserve"> and </w:t>
      </w:r>
      <w:proofErr w:type="spellStart"/>
      <w:r>
        <w:rPr>
          <w:szCs w:val="19"/>
        </w:rPr>
        <w:t>remuneration</w:t>
      </w:r>
      <w:proofErr w:type="spellEnd"/>
      <w:r>
        <w:rPr>
          <w:szCs w:val="19"/>
        </w:rPr>
        <w:t xml:space="preserve"> </w:t>
      </w:r>
      <w:proofErr w:type="spellStart"/>
      <w:r>
        <w:rPr>
          <w:szCs w:val="19"/>
        </w:rPr>
        <w:t>reporting</w:t>
      </w:r>
      <w:proofErr w:type="spellEnd"/>
      <w:r>
        <w:rPr>
          <w:szCs w:val="19"/>
        </w:rPr>
        <w:t xml:space="preserve">: </w:t>
      </w:r>
      <w:hyperlink r:id="rId1" w:history="1">
        <w:r>
          <w:rPr>
            <w:rStyle w:val="Hipercze"/>
            <w:szCs w:val="19"/>
          </w:rPr>
          <w:t>http://form.stat.gov.pl/formularze/2020/objasnienia/zalacznik_do_objasnien.pdf</w:t>
        </w:r>
      </w:hyperlink>
    </w:p>
  </w:footnote>
  <w:footnote w:id="4">
    <w:p w14:paraId="43E7643A" w14:textId="77777777" w:rsidR="0075622F" w:rsidRDefault="0075622F" w:rsidP="0075622F">
      <w:pPr>
        <w:pStyle w:val="Tekstprzypisudolnego"/>
      </w:pPr>
      <w:r>
        <w:rPr>
          <w:rStyle w:val="Odwoanieprzypisudolnego"/>
        </w:rPr>
        <w:footnoteRef/>
      </w:r>
      <w:r>
        <w:t xml:space="preserve"> </w:t>
      </w:r>
      <w:r w:rsidRPr="003D0121">
        <w:rPr>
          <w:szCs w:val="19"/>
          <w:lang w:val="en-US"/>
        </w:rPr>
        <w:t xml:space="preserve">Within the enterprise sector, this section does not include </w:t>
      </w:r>
      <w:r w:rsidRPr="003D0121">
        <w:rPr>
          <w:noProof/>
          <w:spacing w:val="-2"/>
          <w:szCs w:val="19"/>
          <w:lang w:val="en-US"/>
        </w:rPr>
        <w:t>activity „Activities of membership organisations” (Division 94</w:t>
      </w:r>
      <w:r>
        <w:rPr>
          <w:noProof/>
          <w:spacing w:val="-2"/>
          <w:szCs w:val="19"/>
          <w:lang w:val="en-US"/>
        </w:rPr>
        <w:t>).</w:t>
      </w:r>
    </w:p>
  </w:footnote>
  <w:footnote w:id="5">
    <w:p w14:paraId="1EFCE4D5" w14:textId="77777777" w:rsidR="00044E97" w:rsidRPr="002F7548" w:rsidRDefault="00044E97" w:rsidP="00044E97">
      <w:pPr>
        <w:pStyle w:val="Tekstprzypisudolnego"/>
        <w:spacing w:before="0"/>
        <w:rPr>
          <w:sz w:val="19"/>
          <w:szCs w:val="19"/>
          <w:lang w:val="en-US"/>
        </w:rPr>
      </w:pPr>
      <w:r w:rsidRPr="002F7548">
        <w:rPr>
          <w:rFonts w:eastAsia="Calibri"/>
          <w:sz w:val="19"/>
          <w:szCs w:val="19"/>
          <w:shd w:val="clear" w:color="auto" w:fill="FFFFFF"/>
          <w:vertAlign w:val="superscript"/>
        </w:rPr>
        <w:footnoteRef/>
      </w:r>
      <w:r w:rsidRPr="002F7548">
        <w:rPr>
          <w:rFonts w:eastAsia="Calibri"/>
          <w:sz w:val="19"/>
          <w:szCs w:val="19"/>
          <w:shd w:val="clear" w:color="auto" w:fill="FFFFFF"/>
          <w:vertAlign w:val="superscript"/>
          <w:lang w:val="en-US"/>
        </w:rPr>
        <w:t xml:space="preserve"> </w:t>
      </w:r>
      <w:r w:rsidRPr="002F7548">
        <w:rPr>
          <w:rFonts w:eastAsia="Calibri"/>
          <w:sz w:val="19"/>
          <w:szCs w:val="19"/>
          <w:shd w:val="clear" w:color="auto" w:fill="FFFFFF"/>
          <w:lang w:val="en-US"/>
        </w:rPr>
        <w:t xml:space="preserve">Methodological report Monthly activity report of enterprises: </w:t>
      </w:r>
      <w:hyperlink r:id="rId2" w:history="1">
        <w:r w:rsidRPr="002F7548">
          <w:rPr>
            <w:rStyle w:val="Hipercze"/>
            <w:rFonts w:eastAsia="Calibri"/>
            <w:color w:val="002060"/>
            <w:sz w:val="19"/>
            <w:szCs w:val="19"/>
            <w:shd w:val="clear" w:color="auto" w:fill="FFFFFF"/>
            <w:lang w:val="en-US"/>
          </w:rPr>
          <w:t>https://stat.gov.pl/en/topics/economic-activities-finances/activity-of-enterprises-activity-of-companies/methodological-report-monthly-activity-report-of-enterprises,17,1.html</w:t>
        </w:r>
      </w:hyperlink>
      <w:r w:rsidRPr="002F7548">
        <w:rPr>
          <w:color w:val="002060"/>
          <w:sz w:val="19"/>
          <w:szCs w:val="19"/>
          <w:lang w:val="en-US"/>
        </w:rPr>
        <w:t xml:space="preserve">. </w:t>
      </w:r>
    </w:p>
  </w:footnote>
  <w:footnote w:id="6">
    <w:p w14:paraId="66E37819" w14:textId="77777777" w:rsidR="00044E97" w:rsidRPr="002F7548" w:rsidRDefault="00044E97" w:rsidP="00044E97">
      <w:pPr>
        <w:pStyle w:val="Tekstprzypisudolnego"/>
        <w:rPr>
          <w:sz w:val="19"/>
          <w:szCs w:val="19"/>
          <w:lang w:val="en-US"/>
        </w:rPr>
      </w:pPr>
      <w:r w:rsidRPr="002F7548">
        <w:rPr>
          <w:rStyle w:val="Odwoanieprzypisudolnego"/>
          <w:sz w:val="19"/>
          <w:szCs w:val="19"/>
        </w:rPr>
        <w:footnoteRef/>
      </w:r>
      <w:r w:rsidRPr="002F7548">
        <w:rPr>
          <w:sz w:val="19"/>
          <w:szCs w:val="19"/>
          <w:lang w:val="en-US"/>
        </w:rPr>
        <w:t xml:space="preserve"> DG-1 report in English is available in Methodological report Monthly activity report of enterprises: </w:t>
      </w:r>
      <w:hyperlink r:id="rId3" w:history="1">
        <w:r w:rsidRPr="002F7548">
          <w:rPr>
            <w:rStyle w:val="Hipercze"/>
            <w:color w:val="002060"/>
            <w:sz w:val="19"/>
            <w:szCs w:val="19"/>
            <w:lang w:val="en-US"/>
          </w:rPr>
          <w:t>https://stat.gov.pl/en/topics/economic-activities-finances/activity-of-enterprises-activity-of-companies/methodological-report-monthly-activity-report-of-enterprises,17,1.html</w:t>
        </w:r>
      </w:hyperlink>
      <w:r w:rsidRPr="002F7548">
        <w:rPr>
          <w:color w:val="002060"/>
          <w:sz w:val="19"/>
          <w:szCs w:val="19"/>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E410" w14:textId="77777777" w:rsidR="001E06C6" w:rsidRDefault="00000000">
    <w:pPr>
      <w:pStyle w:val="Nagwek"/>
    </w:pPr>
    <w:r>
      <w:rPr>
        <w:noProof/>
        <w:lang w:eastAsia="pl-PL"/>
      </w:rPr>
      <w:pict w14:anchorId="1EB5AE81">
        <v:rect id="Prostokąt 12" o:spid="_x0000_s1028" style="position:absolute;margin-left:411.2pt;margin-top:-322.85pt;width:147.4pt;height:1803.55pt;z-index:-251642880;visibility:visible;mso-width-relative:margin;mso-height-relative:margin;v-text-anchor:middle" wrapcoords="-110 0 -110 21591 21600 21591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w:r>
  </w:p>
  <w:p w14:paraId="1F8600C6" w14:textId="77777777" w:rsidR="001E06C6" w:rsidRDefault="001E06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69FF" w14:textId="77777777" w:rsidR="001E06C6" w:rsidRDefault="001E06C6">
    <w:pPr>
      <w:pStyle w:val="Nagwek"/>
      <w:rPr>
        <w:noProof/>
        <w:lang w:eastAsia="pl-PL"/>
      </w:rPr>
    </w:pPr>
    <w:r>
      <w:rPr>
        <w:noProof/>
        <w:shd w:val="clear" w:color="auto" w:fill="FFFFFF"/>
        <w:lang w:eastAsia="pl-PL"/>
      </w:rPr>
      <w:drawing>
        <wp:anchor distT="0" distB="0" distL="114300" distR="114300" simplePos="0" relativeHeight="251671552" behindDoc="0" locked="0" layoutInCell="1" allowOverlap="1" wp14:anchorId="3AF45DCF" wp14:editId="4BBFAAF6">
          <wp:simplePos x="0" y="0"/>
          <wp:positionH relativeFrom="column">
            <wp:posOffset>8890</wp:posOffset>
          </wp:positionH>
          <wp:positionV relativeFrom="paragraph">
            <wp:posOffset>42545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anchor>
      </w:drawing>
    </w:r>
    <w:r w:rsidR="00000000">
      <w:rPr>
        <w:noProof/>
        <w:lang w:eastAsia="pl-PL"/>
      </w:rPr>
      <w:pict w14:anchorId="130E7444">
        <v:shape id="Schemat blokowy: opóźnienie 6" o:spid="_x0000_s1027" alt="News releases" style="position:absolute;margin-left:396.6pt;margin-top:15.65pt;width:162.25pt;height:28.15pt;flip:x;z-index:251668480;visibility:visible;mso-position-horizontal-relative:text;mso-position-vertical-relative:text;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style="mso-next-textbox:#Schemat blokowy: opóźnienie 6">
            <w:txbxContent>
              <w:p w14:paraId="0E90E313" w14:textId="77777777" w:rsidR="001E06C6" w:rsidRPr="003C6C8D" w:rsidRDefault="001E06C6"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w:r>
    <w:r w:rsidR="00000000">
      <w:rPr>
        <w:noProof/>
        <w:lang w:eastAsia="pl-PL"/>
      </w:rPr>
      <w:pict w14:anchorId="2C8F0076">
        <v:rect id="Prostokąt 10" o:spid="_x0000_s1026" alt="Date: 21.06.2022" style="position:absolute;margin-left:411.1pt;margin-top:40.3pt;width:147.4pt;height:1803.55pt;z-index:-251650048;visibility:visible;mso-position-horizontal-relative:text;mso-position-vertical-relative:text;mso-width-relative:margin;mso-height-relative:margin;v-text-anchor:middle" wrapcoords="-110 0 -110 21591 21600 21591 21600 0 -110 0" fillcolor="#f2f2f2" stroked="f" strokeweight="1pt">
          <w10:wrap type="tight"/>
        </v:rect>
      </w:pict>
    </w:r>
    <w:r>
      <w:rPr>
        <w:noProof/>
        <w:lang w:eastAsia="pl-PL"/>
      </w:rPr>
      <w:t xml:space="preserve"> </w:t>
    </w:r>
    <w:r w:rsidRPr="00540C5C">
      <w:rPr>
        <w:noProof/>
      </w:rPr>
      <w:t xml:space="preserve"> </w:t>
    </w:r>
  </w:p>
  <w:p w14:paraId="6F0C3805" w14:textId="77777777" w:rsidR="001E06C6" w:rsidRDefault="001E06C6">
    <w:pPr>
      <w:pStyle w:val="Nagwek"/>
      <w:rPr>
        <w:noProof/>
        <w:lang w:eastAsia="pl-PL"/>
      </w:rPr>
    </w:pPr>
  </w:p>
  <w:p w14:paraId="42CE1698" w14:textId="77777777" w:rsidR="001E06C6" w:rsidRDefault="001E06C6">
    <w:pPr>
      <w:pStyle w:val="Nagwek"/>
      <w:rPr>
        <w:noProof/>
        <w:lang w:eastAsia="pl-PL"/>
      </w:rPr>
    </w:pPr>
  </w:p>
  <w:p w14:paraId="7745ABF1" w14:textId="77777777" w:rsidR="001E06C6" w:rsidRDefault="00000000">
    <w:pPr>
      <w:pStyle w:val="Nagwek"/>
      <w:rPr>
        <w:noProof/>
        <w:lang w:eastAsia="pl-PL"/>
      </w:rPr>
    </w:pPr>
    <w:r>
      <w:rPr>
        <w:noProof/>
        <w:lang w:eastAsia="pl-PL"/>
      </w:rPr>
      <w:pict w14:anchorId="05118BB5">
        <v:shapetype id="_x0000_t202" coordsize="21600,21600" o:spt="202" path="m,l,21600r21600,l21600,xe">
          <v:stroke joinstyle="miter"/>
          <v:path gradientshapeok="t" o:connecttype="rect"/>
        </v:shapetype>
        <v:shape id="_x0000_s1025" type="#_x0000_t202" alt="Publication Data: 20.12.2022&#10;" style="position:absolute;margin-left:416.4pt;margin-top:20.95pt;width:112.8pt;height:26.5pt;z-index:251669504;visibility:visible;mso-wrap-distance-top:3.6pt;mso-wrap-distance-bottom:3.6pt;mso-width-relative:margin;mso-height-relative:margin" filled="f" stroked="f">
          <v:textbox style="mso-next-textbox:#_x0000_s1025">
            <w:txbxContent>
              <w:p w14:paraId="02ABD45F" w14:textId="77777777" w:rsidR="001E06C6" w:rsidRPr="00A01B40" w:rsidRDefault="0033529D" w:rsidP="00F049AB">
                <w:pPr>
                  <w:pStyle w:val="Datainformacjisygnalnej"/>
                </w:pPr>
                <w:r>
                  <w:t>2</w:t>
                </w:r>
                <w:r w:rsidR="00153D3C">
                  <w:t>0</w:t>
                </w:r>
                <w:r w:rsidR="00A90EAC">
                  <w:t>.1</w:t>
                </w:r>
                <w:r w:rsidR="00153D3C">
                  <w:t>2</w:t>
                </w:r>
                <w:r w:rsidR="001E06C6">
                  <w:t>.2022</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BA58" w14:textId="77777777" w:rsidR="001E06C6" w:rsidRDefault="001E06C6">
    <w:pPr>
      <w:pStyle w:val="Nagwek"/>
    </w:pPr>
  </w:p>
  <w:p w14:paraId="00248DF3" w14:textId="77777777" w:rsidR="001E06C6" w:rsidRDefault="001E06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3.65pt;height:124.65pt;visibility:visible;mso-wrap-style:square" o:bullet="t">
        <v:imagedata r:id="rId1" o:title=""/>
      </v:shape>
    </w:pict>
  </w:numPicBullet>
  <w:numPicBullet w:numPicBulletId="1">
    <w:pict>
      <v:shape id="_x0000_i1047" type="#_x0000_t75" style="width:123.65pt;height:124.6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16cid:durableId="28527705">
    <w:abstractNumId w:val="4"/>
  </w:num>
  <w:num w:numId="2" w16cid:durableId="85196823">
    <w:abstractNumId w:val="1"/>
  </w:num>
  <w:num w:numId="3" w16cid:durableId="257450945">
    <w:abstractNumId w:val="2"/>
  </w:num>
  <w:num w:numId="4" w16cid:durableId="5968625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094243">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524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57"/>
  <w:drawingGridVerticalSpacing w:val="57"/>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0D87"/>
    <w:rsid w:val="00001862"/>
    <w:rsid w:val="00001C5B"/>
    <w:rsid w:val="00002693"/>
    <w:rsid w:val="00003437"/>
    <w:rsid w:val="00004C82"/>
    <w:rsid w:val="0000709F"/>
    <w:rsid w:val="000108B8"/>
    <w:rsid w:val="00010CB2"/>
    <w:rsid w:val="000152F5"/>
    <w:rsid w:val="00015795"/>
    <w:rsid w:val="00017E4F"/>
    <w:rsid w:val="00021CD0"/>
    <w:rsid w:val="000232E9"/>
    <w:rsid w:val="00037177"/>
    <w:rsid w:val="00042DCB"/>
    <w:rsid w:val="000437BE"/>
    <w:rsid w:val="00043EEC"/>
    <w:rsid w:val="00044E97"/>
    <w:rsid w:val="0004582E"/>
    <w:rsid w:val="00046096"/>
    <w:rsid w:val="00046549"/>
    <w:rsid w:val="000470AA"/>
    <w:rsid w:val="00057CA1"/>
    <w:rsid w:val="00060561"/>
    <w:rsid w:val="000647A9"/>
    <w:rsid w:val="000662E2"/>
    <w:rsid w:val="00066883"/>
    <w:rsid w:val="00070FCA"/>
    <w:rsid w:val="00071407"/>
    <w:rsid w:val="00071B39"/>
    <w:rsid w:val="00073FC6"/>
    <w:rsid w:val="00074DD8"/>
    <w:rsid w:val="00075759"/>
    <w:rsid w:val="00076B4B"/>
    <w:rsid w:val="00076B70"/>
    <w:rsid w:val="000806F7"/>
    <w:rsid w:val="00096CFD"/>
    <w:rsid w:val="00097840"/>
    <w:rsid w:val="000B0727"/>
    <w:rsid w:val="000B5585"/>
    <w:rsid w:val="000C0AB0"/>
    <w:rsid w:val="000C135D"/>
    <w:rsid w:val="000D1D43"/>
    <w:rsid w:val="000D225C"/>
    <w:rsid w:val="000D2A5C"/>
    <w:rsid w:val="000D39F0"/>
    <w:rsid w:val="000D78E0"/>
    <w:rsid w:val="000E0918"/>
    <w:rsid w:val="000E17C5"/>
    <w:rsid w:val="000E79A9"/>
    <w:rsid w:val="000F569C"/>
    <w:rsid w:val="000F6530"/>
    <w:rsid w:val="001011C3"/>
    <w:rsid w:val="00106DA3"/>
    <w:rsid w:val="00110214"/>
    <w:rsid w:val="00110D87"/>
    <w:rsid w:val="00112399"/>
    <w:rsid w:val="00113D3A"/>
    <w:rsid w:val="00114DB9"/>
    <w:rsid w:val="00116087"/>
    <w:rsid w:val="00117711"/>
    <w:rsid w:val="00120C45"/>
    <w:rsid w:val="00130296"/>
    <w:rsid w:val="00134145"/>
    <w:rsid w:val="00136736"/>
    <w:rsid w:val="00136740"/>
    <w:rsid w:val="00136D67"/>
    <w:rsid w:val="001423B6"/>
    <w:rsid w:val="00143A5D"/>
    <w:rsid w:val="001448A7"/>
    <w:rsid w:val="00146621"/>
    <w:rsid w:val="00146A00"/>
    <w:rsid w:val="001521BF"/>
    <w:rsid w:val="00153835"/>
    <w:rsid w:val="00153D3C"/>
    <w:rsid w:val="001558D9"/>
    <w:rsid w:val="00156F04"/>
    <w:rsid w:val="001617E3"/>
    <w:rsid w:val="00162325"/>
    <w:rsid w:val="0016640E"/>
    <w:rsid w:val="0017332C"/>
    <w:rsid w:val="00185072"/>
    <w:rsid w:val="00192E0E"/>
    <w:rsid w:val="00192E44"/>
    <w:rsid w:val="00193342"/>
    <w:rsid w:val="001951DA"/>
    <w:rsid w:val="001B0128"/>
    <w:rsid w:val="001B053D"/>
    <w:rsid w:val="001B45D7"/>
    <w:rsid w:val="001C3269"/>
    <w:rsid w:val="001D0D15"/>
    <w:rsid w:val="001D19B6"/>
    <w:rsid w:val="001D1DB4"/>
    <w:rsid w:val="001D23F1"/>
    <w:rsid w:val="001D25F9"/>
    <w:rsid w:val="001D61ED"/>
    <w:rsid w:val="001E06C6"/>
    <w:rsid w:val="001E36C3"/>
    <w:rsid w:val="001E5B2D"/>
    <w:rsid w:val="001F1E4D"/>
    <w:rsid w:val="001F59D0"/>
    <w:rsid w:val="0020156C"/>
    <w:rsid w:val="002021A6"/>
    <w:rsid w:val="002022C6"/>
    <w:rsid w:val="00202D49"/>
    <w:rsid w:val="00204D9C"/>
    <w:rsid w:val="00214989"/>
    <w:rsid w:val="00216634"/>
    <w:rsid w:val="002332A1"/>
    <w:rsid w:val="00242624"/>
    <w:rsid w:val="00242D31"/>
    <w:rsid w:val="0025481E"/>
    <w:rsid w:val="00254E06"/>
    <w:rsid w:val="002574F9"/>
    <w:rsid w:val="00260F7D"/>
    <w:rsid w:val="00262B61"/>
    <w:rsid w:val="00262CC6"/>
    <w:rsid w:val="00263E08"/>
    <w:rsid w:val="00264312"/>
    <w:rsid w:val="002706C8"/>
    <w:rsid w:val="00270A49"/>
    <w:rsid w:val="00276811"/>
    <w:rsid w:val="0027710E"/>
    <w:rsid w:val="00282699"/>
    <w:rsid w:val="00283A7A"/>
    <w:rsid w:val="002926DF"/>
    <w:rsid w:val="002962D2"/>
    <w:rsid w:val="00296697"/>
    <w:rsid w:val="00297298"/>
    <w:rsid w:val="002A2A3A"/>
    <w:rsid w:val="002B0472"/>
    <w:rsid w:val="002B2FE8"/>
    <w:rsid w:val="002B35CF"/>
    <w:rsid w:val="002B6A9C"/>
    <w:rsid w:val="002B6B12"/>
    <w:rsid w:val="002B7879"/>
    <w:rsid w:val="002C21F0"/>
    <w:rsid w:val="002C7B77"/>
    <w:rsid w:val="002D01DF"/>
    <w:rsid w:val="002D1FA0"/>
    <w:rsid w:val="002E2795"/>
    <w:rsid w:val="002E2973"/>
    <w:rsid w:val="002E3EB3"/>
    <w:rsid w:val="002E4CE2"/>
    <w:rsid w:val="002E6140"/>
    <w:rsid w:val="002E6985"/>
    <w:rsid w:val="002E71B6"/>
    <w:rsid w:val="002F3239"/>
    <w:rsid w:val="002F35F6"/>
    <w:rsid w:val="002F6314"/>
    <w:rsid w:val="002F7548"/>
    <w:rsid w:val="002F77C8"/>
    <w:rsid w:val="003017F3"/>
    <w:rsid w:val="00304F22"/>
    <w:rsid w:val="00306C7C"/>
    <w:rsid w:val="00307C68"/>
    <w:rsid w:val="00314F86"/>
    <w:rsid w:val="00316E61"/>
    <w:rsid w:val="00317F4D"/>
    <w:rsid w:val="00322EDD"/>
    <w:rsid w:val="0032535D"/>
    <w:rsid w:val="003309FA"/>
    <w:rsid w:val="00331D96"/>
    <w:rsid w:val="00332320"/>
    <w:rsid w:val="0033529D"/>
    <w:rsid w:val="00347D72"/>
    <w:rsid w:val="003504F8"/>
    <w:rsid w:val="00353F45"/>
    <w:rsid w:val="00357611"/>
    <w:rsid w:val="00362149"/>
    <w:rsid w:val="0036261F"/>
    <w:rsid w:val="0036432A"/>
    <w:rsid w:val="00364AF9"/>
    <w:rsid w:val="00365A0C"/>
    <w:rsid w:val="00367237"/>
    <w:rsid w:val="0037077F"/>
    <w:rsid w:val="00372411"/>
    <w:rsid w:val="00373882"/>
    <w:rsid w:val="00374E8B"/>
    <w:rsid w:val="00377A9F"/>
    <w:rsid w:val="00377E99"/>
    <w:rsid w:val="0038070E"/>
    <w:rsid w:val="00382E33"/>
    <w:rsid w:val="003843DB"/>
    <w:rsid w:val="00393761"/>
    <w:rsid w:val="003949F3"/>
    <w:rsid w:val="00394E26"/>
    <w:rsid w:val="00396691"/>
    <w:rsid w:val="00397D18"/>
    <w:rsid w:val="003A1B36"/>
    <w:rsid w:val="003B0EC1"/>
    <w:rsid w:val="003B1454"/>
    <w:rsid w:val="003B18B6"/>
    <w:rsid w:val="003B4FE7"/>
    <w:rsid w:val="003C161B"/>
    <w:rsid w:val="003C59E0"/>
    <w:rsid w:val="003C6C8D"/>
    <w:rsid w:val="003C78A7"/>
    <w:rsid w:val="003D0121"/>
    <w:rsid w:val="003D2656"/>
    <w:rsid w:val="003D4F95"/>
    <w:rsid w:val="003D5F42"/>
    <w:rsid w:val="003D60A9"/>
    <w:rsid w:val="003D7E43"/>
    <w:rsid w:val="003E230A"/>
    <w:rsid w:val="003F2A4C"/>
    <w:rsid w:val="003F4C97"/>
    <w:rsid w:val="003F5ACA"/>
    <w:rsid w:val="003F666D"/>
    <w:rsid w:val="003F7FE6"/>
    <w:rsid w:val="00400193"/>
    <w:rsid w:val="004015D5"/>
    <w:rsid w:val="004047C3"/>
    <w:rsid w:val="004054D2"/>
    <w:rsid w:val="004079EE"/>
    <w:rsid w:val="00416EAF"/>
    <w:rsid w:val="004212E7"/>
    <w:rsid w:val="00421CDF"/>
    <w:rsid w:val="00423C88"/>
    <w:rsid w:val="0042446D"/>
    <w:rsid w:val="00427BF8"/>
    <w:rsid w:val="00431C02"/>
    <w:rsid w:val="00432FA2"/>
    <w:rsid w:val="00437395"/>
    <w:rsid w:val="0044301A"/>
    <w:rsid w:val="00445047"/>
    <w:rsid w:val="00446749"/>
    <w:rsid w:val="004505F4"/>
    <w:rsid w:val="00453EB7"/>
    <w:rsid w:val="00457DE9"/>
    <w:rsid w:val="00463E39"/>
    <w:rsid w:val="004644E7"/>
    <w:rsid w:val="0046497A"/>
    <w:rsid w:val="004657FC"/>
    <w:rsid w:val="004733F6"/>
    <w:rsid w:val="00474E69"/>
    <w:rsid w:val="0047679F"/>
    <w:rsid w:val="00482591"/>
    <w:rsid w:val="00483E9F"/>
    <w:rsid w:val="004843F4"/>
    <w:rsid w:val="00485A2C"/>
    <w:rsid w:val="00490C15"/>
    <w:rsid w:val="00494E2F"/>
    <w:rsid w:val="00495886"/>
    <w:rsid w:val="00495C23"/>
    <w:rsid w:val="0049621B"/>
    <w:rsid w:val="004970D8"/>
    <w:rsid w:val="004A0316"/>
    <w:rsid w:val="004A1D19"/>
    <w:rsid w:val="004A57DE"/>
    <w:rsid w:val="004B764F"/>
    <w:rsid w:val="004C1895"/>
    <w:rsid w:val="004C6D40"/>
    <w:rsid w:val="004E6AA8"/>
    <w:rsid w:val="004F0C3C"/>
    <w:rsid w:val="004F2280"/>
    <w:rsid w:val="004F23BB"/>
    <w:rsid w:val="004F63FC"/>
    <w:rsid w:val="00504870"/>
    <w:rsid w:val="00505A92"/>
    <w:rsid w:val="005067AC"/>
    <w:rsid w:val="00507136"/>
    <w:rsid w:val="005118D1"/>
    <w:rsid w:val="00514BD9"/>
    <w:rsid w:val="00517788"/>
    <w:rsid w:val="005203F1"/>
    <w:rsid w:val="00521BC3"/>
    <w:rsid w:val="00525E40"/>
    <w:rsid w:val="00533632"/>
    <w:rsid w:val="00534013"/>
    <w:rsid w:val="00537E9C"/>
    <w:rsid w:val="00540C5C"/>
    <w:rsid w:val="00541E6E"/>
    <w:rsid w:val="0054251F"/>
    <w:rsid w:val="005520D8"/>
    <w:rsid w:val="00555CFB"/>
    <w:rsid w:val="00556CF1"/>
    <w:rsid w:val="00562E5F"/>
    <w:rsid w:val="005670A1"/>
    <w:rsid w:val="0057232A"/>
    <w:rsid w:val="005762A7"/>
    <w:rsid w:val="00576D85"/>
    <w:rsid w:val="005772BF"/>
    <w:rsid w:val="0058098F"/>
    <w:rsid w:val="0058143E"/>
    <w:rsid w:val="005835C1"/>
    <w:rsid w:val="005848E8"/>
    <w:rsid w:val="00587C19"/>
    <w:rsid w:val="00587CEE"/>
    <w:rsid w:val="005916D7"/>
    <w:rsid w:val="0059427F"/>
    <w:rsid w:val="00595FFA"/>
    <w:rsid w:val="00597C8F"/>
    <w:rsid w:val="005A2629"/>
    <w:rsid w:val="005A698C"/>
    <w:rsid w:val="005B1E8E"/>
    <w:rsid w:val="005B300F"/>
    <w:rsid w:val="005B729A"/>
    <w:rsid w:val="005C0CAC"/>
    <w:rsid w:val="005C0EC2"/>
    <w:rsid w:val="005C1387"/>
    <w:rsid w:val="005C27A4"/>
    <w:rsid w:val="005C2FF6"/>
    <w:rsid w:val="005D03E2"/>
    <w:rsid w:val="005D062E"/>
    <w:rsid w:val="005D10AD"/>
    <w:rsid w:val="005E0799"/>
    <w:rsid w:val="005E10F9"/>
    <w:rsid w:val="005E1200"/>
    <w:rsid w:val="005E56CF"/>
    <w:rsid w:val="005E7493"/>
    <w:rsid w:val="005F45EE"/>
    <w:rsid w:val="005F4DEF"/>
    <w:rsid w:val="005F5A80"/>
    <w:rsid w:val="00600B8F"/>
    <w:rsid w:val="006044FF"/>
    <w:rsid w:val="00607CC5"/>
    <w:rsid w:val="0061179B"/>
    <w:rsid w:val="006125F9"/>
    <w:rsid w:val="0061345A"/>
    <w:rsid w:val="00614BA5"/>
    <w:rsid w:val="006162F6"/>
    <w:rsid w:val="00616DFB"/>
    <w:rsid w:val="00620B65"/>
    <w:rsid w:val="00625D1B"/>
    <w:rsid w:val="006278B7"/>
    <w:rsid w:val="00627AEE"/>
    <w:rsid w:val="00632306"/>
    <w:rsid w:val="00633014"/>
    <w:rsid w:val="0063437B"/>
    <w:rsid w:val="00635B53"/>
    <w:rsid w:val="0064017E"/>
    <w:rsid w:val="00646D9D"/>
    <w:rsid w:val="0064708F"/>
    <w:rsid w:val="006533F0"/>
    <w:rsid w:val="006538F7"/>
    <w:rsid w:val="00653DC3"/>
    <w:rsid w:val="006540F5"/>
    <w:rsid w:val="00654BB6"/>
    <w:rsid w:val="006563CF"/>
    <w:rsid w:val="00657640"/>
    <w:rsid w:val="006673CA"/>
    <w:rsid w:val="006675DD"/>
    <w:rsid w:val="00673C26"/>
    <w:rsid w:val="00674DE5"/>
    <w:rsid w:val="006767C8"/>
    <w:rsid w:val="006770D1"/>
    <w:rsid w:val="00677ACA"/>
    <w:rsid w:val="006812AF"/>
    <w:rsid w:val="0068327D"/>
    <w:rsid w:val="00691278"/>
    <w:rsid w:val="00691534"/>
    <w:rsid w:val="00693880"/>
    <w:rsid w:val="00694AF0"/>
    <w:rsid w:val="006A4686"/>
    <w:rsid w:val="006A6391"/>
    <w:rsid w:val="006B0E9E"/>
    <w:rsid w:val="006B486D"/>
    <w:rsid w:val="006B5AE4"/>
    <w:rsid w:val="006C197A"/>
    <w:rsid w:val="006C6A6F"/>
    <w:rsid w:val="006D0663"/>
    <w:rsid w:val="006D1507"/>
    <w:rsid w:val="006D4054"/>
    <w:rsid w:val="006D4FA1"/>
    <w:rsid w:val="006D6B8F"/>
    <w:rsid w:val="006E02EC"/>
    <w:rsid w:val="006E3C4F"/>
    <w:rsid w:val="006E4CD5"/>
    <w:rsid w:val="006E6F41"/>
    <w:rsid w:val="006E73E6"/>
    <w:rsid w:val="006F0086"/>
    <w:rsid w:val="0071676E"/>
    <w:rsid w:val="007211B1"/>
    <w:rsid w:val="0072343E"/>
    <w:rsid w:val="007267B0"/>
    <w:rsid w:val="007277DA"/>
    <w:rsid w:val="00731D27"/>
    <w:rsid w:val="00734CC5"/>
    <w:rsid w:val="00744C82"/>
    <w:rsid w:val="00746187"/>
    <w:rsid w:val="00755928"/>
    <w:rsid w:val="0075622F"/>
    <w:rsid w:val="00756CE3"/>
    <w:rsid w:val="00760370"/>
    <w:rsid w:val="0076254F"/>
    <w:rsid w:val="007741F6"/>
    <w:rsid w:val="007801F5"/>
    <w:rsid w:val="00783721"/>
    <w:rsid w:val="00783CA4"/>
    <w:rsid w:val="007842FB"/>
    <w:rsid w:val="00786124"/>
    <w:rsid w:val="0079514B"/>
    <w:rsid w:val="00795252"/>
    <w:rsid w:val="007A2DC1"/>
    <w:rsid w:val="007B5D2F"/>
    <w:rsid w:val="007C31A0"/>
    <w:rsid w:val="007C36FC"/>
    <w:rsid w:val="007D0869"/>
    <w:rsid w:val="007D14C4"/>
    <w:rsid w:val="007D284F"/>
    <w:rsid w:val="007D3319"/>
    <w:rsid w:val="007D335D"/>
    <w:rsid w:val="007D605C"/>
    <w:rsid w:val="007D7082"/>
    <w:rsid w:val="007E3314"/>
    <w:rsid w:val="007E3514"/>
    <w:rsid w:val="007E4B03"/>
    <w:rsid w:val="007E59A5"/>
    <w:rsid w:val="007E7555"/>
    <w:rsid w:val="007F13B6"/>
    <w:rsid w:val="007F324B"/>
    <w:rsid w:val="007F4756"/>
    <w:rsid w:val="00803031"/>
    <w:rsid w:val="00803B4C"/>
    <w:rsid w:val="00803EB9"/>
    <w:rsid w:val="0080553C"/>
    <w:rsid w:val="00805B46"/>
    <w:rsid w:val="00805DB4"/>
    <w:rsid w:val="00817603"/>
    <w:rsid w:val="00823593"/>
    <w:rsid w:val="00825DC2"/>
    <w:rsid w:val="00827D23"/>
    <w:rsid w:val="00831D01"/>
    <w:rsid w:val="00834AD3"/>
    <w:rsid w:val="00843795"/>
    <w:rsid w:val="00847F0F"/>
    <w:rsid w:val="00850B7B"/>
    <w:rsid w:val="00851D8F"/>
    <w:rsid w:val="00852448"/>
    <w:rsid w:val="00853698"/>
    <w:rsid w:val="008552E7"/>
    <w:rsid w:val="00855512"/>
    <w:rsid w:val="00857475"/>
    <w:rsid w:val="0086148B"/>
    <w:rsid w:val="00865B6F"/>
    <w:rsid w:val="008668C4"/>
    <w:rsid w:val="008679F5"/>
    <w:rsid w:val="00877F6C"/>
    <w:rsid w:val="0088258A"/>
    <w:rsid w:val="00886332"/>
    <w:rsid w:val="008925F0"/>
    <w:rsid w:val="00892BB4"/>
    <w:rsid w:val="0089448A"/>
    <w:rsid w:val="00894C23"/>
    <w:rsid w:val="00897877"/>
    <w:rsid w:val="008A11B7"/>
    <w:rsid w:val="008A26D9"/>
    <w:rsid w:val="008A3906"/>
    <w:rsid w:val="008A62DD"/>
    <w:rsid w:val="008A7B5B"/>
    <w:rsid w:val="008B12D2"/>
    <w:rsid w:val="008B5996"/>
    <w:rsid w:val="008B652E"/>
    <w:rsid w:val="008B6BB2"/>
    <w:rsid w:val="008C0C29"/>
    <w:rsid w:val="008D02DA"/>
    <w:rsid w:val="008D5058"/>
    <w:rsid w:val="008D76BC"/>
    <w:rsid w:val="008D78EC"/>
    <w:rsid w:val="008E4A65"/>
    <w:rsid w:val="008E7DBA"/>
    <w:rsid w:val="008F0829"/>
    <w:rsid w:val="008F0DF3"/>
    <w:rsid w:val="008F28BF"/>
    <w:rsid w:val="008F3638"/>
    <w:rsid w:val="008F4441"/>
    <w:rsid w:val="008F6B20"/>
    <w:rsid w:val="008F6F31"/>
    <w:rsid w:val="008F74DF"/>
    <w:rsid w:val="009002EE"/>
    <w:rsid w:val="00900B42"/>
    <w:rsid w:val="00902274"/>
    <w:rsid w:val="009035E6"/>
    <w:rsid w:val="00903BBC"/>
    <w:rsid w:val="009127BA"/>
    <w:rsid w:val="009140DF"/>
    <w:rsid w:val="009166F3"/>
    <w:rsid w:val="009207AC"/>
    <w:rsid w:val="00920AAE"/>
    <w:rsid w:val="009227A6"/>
    <w:rsid w:val="00923F67"/>
    <w:rsid w:val="00933EC1"/>
    <w:rsid w:val="00940B6F"/>
    <w:rsid w:val="009435D7"/>
    <w:rsid w:val="009446AD"/>
    <w:rsid w:val="00945F44"/>
    <w:rsid w:val="00946480"/>
    <w:rsid w:val="00946B38"/>
    <w:rsid w:val="00950DA2"/>
    <w:rsid w:val="009530DB"/>
    <w:rsid w:val="00953676"/>
    <w:rsid w:val="00954A79"/>
    <w:rsid w:val="00956F30"/>
    <w:rsid w:val="00962B00"/>
    <w:rsid w:val="00964E5C"/>
    <w:rsid w:val="00966C9A"/>
    <w:rsid w:val="009705EE"/>
    <w:rsid w:val="00977927"/>
    <w:rsid w:val="0098135C"/>
    <w:rsid w:val="0098156A"/>
    <w:rsid w:val="009828A1"/>
    <w:rsid w:val="00991BAC"/>
    <w:rsid w:val="00994836"/>
    <w:rsid w:val="00994FDB"/>
    <w:rsid w:val="0099705F"/>
    <w:rsid w:val="00997EAE"/>
    <w:rsid w:val="009A446A"/>
    <w:rsid w:val="009A6EA0"/>
    <w:rsid w:val="009B2CD4"/>
    <w:rsid w:val="009B3A85"/>
    <w:rsid w:val="009C1335"/>
    <w:rsid w:val="009C1AB2"/>
    <w:rsid w:val="009C7251"/>
    <w:rsid w:val="009D63ED"/>
    <w:rsid w:val="009D7814"/>
    <w:rsid w:val="009E2E91"/>
    <w:rsid w:val="009E7D31"/>
    <w:rsid w:val="009F6E77"/>
    <w:rsid w:val="009F7C41"/>
    <w:rsid w:val="00A01B40"/>
    <w:rsid w:val="00A139F5"/>
    <w:rsid w:val="00A215E7"/>
    <w:rsid w:val="00A245A5"/>
    <w:rsid w:val="00A32E16"/>
    <w:rsid w:val="00A365F4"/>
    <w:rsid w:val="00A412F4"/>
    <w:rsid w:val="00A4191F"/>
    <w:rsid w:val="00A41E1A"/>
    <w:rsid w:val="00A47D80"/>
    <w:rsid w:val="00A53132"/>
    <w:rsid w:val="00A54910"/>
    <w:rsid w:val="00A54ADB"/>
    <w:rsid w:val="00A563F2"/>
    <w:rsid w:val="00A566E8"/>
    <w:rsid w:val="00A62247"/>
    <w:rsid w:val="00A633AD"/>
    <w:rsid w:val="00A655BA"/>
    <w:rsid w:val="00A66347"/>
    <w:rsid w:val="00A7392B"/>
    <w:rsid w:val="00A810F9"/>
    <w:rsid w:val="00A82D31"/>
    <w:rsid w:val="00A85E7E"/>
    <w:rsid w:val="00A86ECC"/>
    <w:rsid w:val="00A86FCC"/>
    <w:rsid w:val="00A90A6D"/>
    <w:rsid w:val="00A90EAC"/>
    <w:rsid w:val="00A91617"/>
    <w:rsid w:val="00A95948"/>
    <w:rsid w:val="00A971E5"/>
    <w:rsid w:val="00AA710D"/>
    <w:rsid w:val="00AB64F3"/>
    <w:rsid w:val="00AB6D25"/>
    <w:rsid w:val="00AC1B72"/>
    <w:rsid w:val="00AC1DC3"/>
    <w:rsid w:val="00AC5147"/>
    <w:rsid w:val="00AC5764"/>
    <w:rsid w:val="00AD0E56"/>
    <w:rsid w:val="00AD1763"/>
    <w:rsid w:val="00AE229B"/>
    <w:rsid w:val="00AE2D4B"/>
    <w:rsid w:val="00AE4819"/>
    <w:rsid w:val="00AE4F99"/>
    <w:rsid w:val="00AE69FC"/>
    <w:rsid w:val="00AF0A6E"/>
    <w:rsid w:val="00AF59DB"/>
    <w:rsid w:val="00B04DD8"/>
    <w:rsid w:val="00B10921"/>
    <w:rsid w:val="00B11B69"/>
    <w:rsid w:val="00B14952"/>
    <w:rsid w:val="00B14ECC"/>
    <w:rsid w:val="00B166E0"/>
    <w:rsid w:val="00B16871"/>
    <w:rsid w:val="00B25779"/>
    <w:rsid w:val="00B25B45"/>
    <w:rsid w:val="00B25BD5"/>
    <w:rsid w:val="00B31E5A"/>
    <w:rsid w:val="00B34EB8"/>
    <w:rsid w:val="00B47359"/>
    <w:rsid w:val="00B5633C"/>
    <w:rsid w:val="00B57525"/>
    <w:rsid w:val="00B643FC"/>
    <w:rsid w:val="00B648B1"/>
    <w:rsid w:val="00B653AB"/>
    <w:rsid w:val="00B65F9E"/>
    <w:rsid w:val="00B666F8"/>
    <w:rsid w:val="00B66B19"/>
    <w:rsid w:val="00B72E61"/>
    <w:rsid w:val="00B75E0C"/>
    <w:rsid w:val="00B8593C"/>
    <w:rsid w:val="00B914E9"/>
    <w:rsid w:val="00B956EE"/>
    <w:rsid w:val="00BA2BA1"/>
    <w:rsid w:val="00BA3447"/>
    <w:rsid w:val="00BA3562"/>
    <w:rsid w:val="00BA5EF3"/>
    <w:rsid w:val="00BB41ED"/>
    <w:rsid w:val="00BB4F09"/>
    <w:rsid w:val="00BB54B5"/>
    <w:rsid w:val="00BC070B"/>
    <w:rsid w:val="00BC59CA"/>
    <w:rsid w:val="00BD043D"/>
    <w:rsid w:val="00BD4E33"/>
    <w:rsid w:val="00BE655D"/>
    <w:rsid w:val="00C0131D"/>
    <w:rsid w:val="00C030DE"/>
    <w:rsid w:val="00C04D49"/>
    <w:rsid w:val="00C051A8"/>
    <w:rsid w:val="00C15242"/>
    <w:rsid w:val="00C17BD0"/>
    <w:rsid w:val="00C20E3B"/>
    <w:rsid w:val="00C2157E"/>
    <w:rsid w:val="00C22105"/>
    <w:rsid w:val="00C244B6"/>
    <w:rsid w:val="00C27BF1"/>
    <w:rsid w:val="00C27C16"/>
    <w:rsid w:val="00C27D66"/>
    <w:rsid w:val="00C30F89"/>
    <w:rsid w:val="00C31219"/>
    <w:rsid w:val="00C331DA"/>
    <w:rsid w:val="00C3702F"/>
    <w:rsid w:val="00C40887"/>
    <w:rsid w:val="00C43D7F"/>
    <w:rsid w:val="00C4500A"/>
    <w:rsid w:val="00C46DE1"/>
    <w:rsid w:val="00C60504"/>
    <w:rsid w:val="00C61182"/>
    <w:rsid w:val="00C61D43"/>
    <w:rsid w:val="00C62238"/>
    <w:rsid w:val="00C64A37"/>
    <w:rsid w:val="00C7158E"/>
    <w:rsid w:val="00C7250B"/>
    <w:rsid w:val="00C7346B"/>
    <w:rsid w:val="00C75A63"/>
    <w:rsid w:val="00C77C0E"/>
    <w:rsid w:val="00C81173"/>
    <w:rsid w:val="00C83E3C"/>
    <w:rsid w:val="00C91687"/>
    <w:rsid w:val="00C924A8"/>
    <w:rsid w:val="00C945FE"/>
    <w:rsid w:val="00C96FAA"/>
    <w:rsid w:val="00C97A04"/>
    <w:rsid w:val="00CA0D6E"/>
    <w:rsid w:val="00CA107B"/>
    <w:rsid w:val="00CA484D"/>
    <w:rsid w:val="00CA4FB6"/>
    <w:rsid w:val="00CA784C"/>
    <w:rsid w:val="00CB1EA7"/>
    <w:rsid w:val="00CB2F90"/>
    <w:rsid w:val="00CB5BFD"/>
    <w:rsid w:val="00CB6AD4"/>
    <w:rsid w:val="00CC4AB0"/>
    <w:rsid w:val="00CC739E"/>
    <w:rsid w:val="00CD1EBB"/>
    <w:rsid w:val="00CD28CF"/>
    <w:rsid w:val="00CD3823"/>
    <w:rsid w:val="00CD58B7"/>
    <w:rsid w:val="00CD6DA6"/>
    <w:rsid w:val="00CD7967"/>
    <w:rsid w:val="00CE09D0"/>
    <w:rsid w:val="00CE2996"/>
    <w:rsid w:val="00CE38F3"/>
    <w:rsid w:val="00CE391F"/>
    <w:rsid w:val="00CE3F79"/>
    <w:rsid w:val="00CE4B9D"/>
    <w:rsid w:val="00CE6373"/>
    <w:rsid w:val="00CF18EE"/>
    <w:rsid w:val="00CF30BD"/>
    <w:rsid w:val="00CF4099"/>
    <w:rsid w:val="00CF4AEE"/>
    <w:rsid w:val="00CF585E"/>
    <w:rsid w:val="00D00796"/>
    <w:rsid w:val="00D04313"/>
    <w:rsid w:val="00D11371"/>
    <w:rsid w:val="00D214D0"/>
    <w:rsid w:val="00D22223"/>
    <w:rsid w:val="00D22C65"/>
    <w:rsid w:val="00D261A2"/>
    <w:rsid w:val="00D41092"/>
    <w:rsid w:val="00D46842"/>
    <w:rsid w:val="00D50845"/>
    <w:rsid w:val="00D616D2"/>
    <w:rsid w:val="00D63B5F"/>
    <w:rsid w:val="00D70EF7"/>
    <w:rsid w:val="00D71DCB"/>
    <w:rsid w:val="00D73EDE"/>
    <w:rsid w:val="00D74D36"/>
    <w:rsid w:val="00D777AE"/>
    <w:rsid w:val="00D8128F"/>
    <w:rsid w:val="00D8188C"/>
    <w:rsid w:val="00D8263D"/>
    <w:rsid w:val="00D8397C"/>
    <w:rsid w:val="00D841DA"/>
    <w:rsid w:val="00D86A50"/>
    <w:rsid w:val="00D9099C"/>
    <w:rsid w:val="00D94EED"/>
    <w:rsid w:val="00D96026"/>
    <w:rsid w:val="00D972F6"/>
    <w:rsid w:val="00DA169F"/>
    <w:rsid w:val="00DA331D"/>
    <w:rsid w:val="00DA752D"/>
    <w:rsid w:val="00DA7C1C"/>
    <w:rsid w:val="00DB147A"/>
    <w:rsid w:val="00DB1778"/>
    <w:rsid w:val="00DB1B7A"/>
    <w:rsid w:val="00DB706E"/>
    <w:rsid w:val="00DB7D02"/>
    <w:rsid w:val="00DC3E9C"/>
    <w:rsid w:val="00DC6708"/>
    <w:rsid w:val="00DD011A"/>
    <w:rsid w:val="00DD1C41"/>
    <w:rsid w:val="00DD28B9"/>
    <w:rsid w:val="00DD2A24"/>
    <w:rsid w:val="00DD4279"/>
    <w:rsid w:val="00DD56A8"/>
    <w:rsid w:val="00DD5D79"/>
    <w:rsid w:val="00DE1D0A"/>
    <w:rsid w:val="00DE2400"/>
    <w:rsid w:val="00DE58F1"/>
    <w:rsid w:val="00DE6B58"/>
    <w:rsid w:val="00DF09CF"/>
    <w:rsid w:val="00DF1B9A"/>
    <w:rsid w:val="00DF5E32"/>
    <w:rsid w:val="00E01436"/>
    <w:rsid w:val="00E0209B"/>
    <w:rsid w:val="00E03E79"/>
    <w:rsid w:val="00E045BD"/>
    <w:rsid w:val="00E049AC"/>
    <w:rsid w:val="00E04D6C"/>
    <w:rsid w:val="00E123BF"/>
    <w:rsid w:val="00E17B77"/>
    <w:rsid w:val="00E231AB"/>
    <w:rsid w:val="00E23337"/>
    <w:rsid w:val="00E25702"/>
    <w:rsid w:val="00E259EA"/>
    <w:rsid w:val="00E25D33"/>
    <w:rsid w:val="00E32061"/>
    <w:rsid w:val="00E33F48"/>
    <w:rsid w:val="00E42FF9"/>
    <w:rsid w:val="00E44790"/>
    <w:rsid w:val="00E4714C"/>
    <w:rsid w:val="00E510EA"/>
    <w:rsid w:val="00E5178D"/>
    <w:rsid w:val="00E51AEB"/>
    <w:rsid w:val="00E522A7"/>
    <w:rsid w:val="00E5349E"/>
    <w:rsid w:val="00E539C4"/>
    <w:rsid w:val="00E54452"/>
    <w:rsid w:val="00E63B0C"/>
    <w:rsid w:val="00E664C5"/>
    <w:rsid w:val="00E671A2"/>
    <w:rsid w:val="00E67976"/>
    <w:rsid w:val="00E76D26"/>
    <w:rsid w:val="00E76EE5"/>
    <w:rsid w:val="00E86224"/>
    <w:rsid w:val="00E90F48"/>
    <w:rsid w:val="00E94DB8"/>
    <w:rsid w:val="00E95036"/>
    <w:rsid w:val="00E95B8E"/>
    <w:rsid w:val="00EB1390"/>
    <w:rsid w:val="00EB2C71"/>
    <w:rsid w:val="00EB3333"/>
    <w:rsid w:val="00EB4340"/>
    <w:rsid w:val="00EB556D"/>
    <w:rsid w:val="00EB5A7D"/>
    <w:rsid w:val="00EB7543"/>
    <w:rsid w:val="00EC002B"/>
    <w:rsid w:val="00EC064E"/>
    <w:rsid w:val="00EC2768"/>
    <w:rsid w:val="00EC2881"/>
    <w:rsid w:val="00ED3F36"/>
    <w:rsid w:val="00ED55C0"/>
    <w:rsid w:val="00ED682B"/>
    <w:rsid w:val="00EE41D5"/>
    <w:rsid w:val="00EE5629"/>
    <w:rsid w:val="00EF45AE"/>
    <w:rsid w:val="00EF7FBB"/>
    <w:rsid w:val="00F0166F"/>
    <w:rsid w:val="00F02C40"/>
    <w:rsid w:val="00F034D9"/>
    <w:rsid w:val="00F037A4"/>
    <w:rsid w:val="00F049AB"/>
    <w:rsid w:val="00F04D6C"/>
    <w:rsid w:val="00F06460"/>
    <w:rsid w:val="00F06DF2"/>
    <w:rsid w:val="00F10486"/>
    <w:rsid w:val="00F142DB"/>
    <w:rsid w:val="00F1558F"/>
    <w:rsid w:val="00F1649D"/>
    <w:rsid w:val="00F218C4"/>
    <w:rsid w:val="00F25342"/>
    <w:rsid w:val="00F27C8F"/>
    <w:rsid w:val="00F32749"/>
    <w:rsid w:val="00F37172"/>
    <w:rsid w:val="00F4477E"/>
    <w:rsid w:val="00F45D23"/>
    <w:rsid w:val="00F46269"/>
    <w:rsid w:val="00F4718D"/>
    <w:rsid w:val="00F503F4"/>
    <w:rsid w:val="00F5478D"/>
    <w:rsid w:val="00F60BA8"/>
    <w:rsid w:val="00F63B35"/>
    <w:rsid w:val="00F6527D"/>
    <w:rsid w:val="00F666B1"/>
    <w:rsid w:val="00F66BB5"/>
    <w:rsid w:val="00F67D8F"/>
    <w:rsid w:val="00F76BBB"/>
    <w:rsid w:val="00F7791B"/>
    <w:rsid w:val="00F802BE"/>
    <w:rsid w:val="00F80E93"/>
    <w:rsid w:val="00F86024"/>
    <w:rsid w:val="00F8611A"/>
    <w:rsid w:val="00F877AD"/>
    <w:rsid w:val="00F944B1"/>
    <w:rsid w:val="00FA180B"/>
    <w:rsid w:val="00FA2F14"/>
    <w:rsid w:val="00FA4C52"/>
    <w:rsid w:val="00FA4D6D"/>
    <w:rsid w:val="00FA5128"/>
    <w:rsid w:val="00FB2A9E"/>
    <w:rsid w:val="00FB42D4"/>
    <w:rsid w:val="00FB5906"/>
    <w:rsid w:val="00FB762F"/>
    <w:rsid w:val="00FC151D"/>
    <w:rsid w:val="00FC16E1"/>
    <w:rsid w:val="00FC1FA6"/>
    <w:rsid w:val="00FC2AED"/>
    <w:rsid w:val="00FC5672"/>
    <w:rsid w:val="00FD3490"/>
    <w:rsid w:val="00FD5EA7"/>
    <w:rsid w:val="00FE12AA"/>
    <w:rsid w:val="00FE36CF"/>
    <w:rsid w:val="00FE38B0"/>
    <w:rsid w:val="00FE4C69"/>
    <w:rsid w:val="00FF0246"/>
    <w:rsid w:val="00FF08DB"/>
    <w:rsid w:val="00FF16FB"/>
    <w:rsid w:val="00FF6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02CB42B1"/>
  <w15:docId w15:val="{B8E27934-9AA5-4B13-8C97-F31C8182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NormalnyWeb">
    <w:name w:val="Normal (Web)"/>
    <w:basedOn w:val="Normalny"/>
    <w:uiPriority w:val="99"/>
    <w:unhideWhenUsed/>
    <w:rsid w:val="00597C8F"/>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tlid-translation">
    <w:name w:val="tlid-translation"/>
    <w:basedOn w:val="Domylnaczcionkaakapitu"/>
    <w:rsid w:val="00597C8F"/>
  </w:style>
  <w:style w:type="character" w:customStyle="1" w:styleId="jlqj4b">
    <w:name w:val="jlqj4b"/>
    <w:basedOn w:val="Domylnaczcionkaakapitu"/>
    <w:rsid w:val="00597C8F"/>
  </w:style>
  <w:style w:type="character" w:customStyle="1" w:styleId="viiyi">
    <w:name w:val="viiyi"/>
    <w:basedOn w:val="Domylnaczcionkaakapitu"/>
    <w:rsid w:val="00597C8F"/>
  </w:style>
  <w:style w:type="character" w:customStyle="1" w:styleId="hgkelc">
    <w:name w:val="hgkelc"/>
    <w:basedOn w:val="Domylnaczcionkaakapitu"/>
    <w:rsid w:val="00940B6F"/>
  </w:style>
  <w:style w:type="character" w:customStyle="1" w:styleId="q4iawc">
    <w:name w:val="q4iawc"/>
    <w:basedOn w:val="Domylnaczcionkaakapitu"/>
    <w:rsid w:val="00D46842"/>
  </w:style>
  <w:style w:type="paragraph" w:styleId="Tekstprzypisukocowego">
    <w:name w:val="endnote text"/>
    <w:basedOn w:val="Normalny"/>
    <w:link w:val="TekstprzypisukocowegoZnak"/>
    <w:uiPriority w:val="99"/>
    <w:semiHidden/>
    <w:unhideWhenUsed/>
    <w:rsid w:val="009207A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07AC"/>
    <w:rPr>
      <w:rFonts w:ascii="Fira Sans" w:hAnsi="Fira Sans"/>
      <w:sz w:val="20"/>
      <w:szCs w:val="20"/>
    </w:rPr>
  </w:style>
  <w:style w:type="character" w:styleId="Odwoanieprzypisukocowego">
    <w:name w:val="endnote reference"/>
    <w:basedOn w:val="Domylnaczcionkaakapitu"/>
    <w:uiPriority w:val="99"/>
    <w:semiHidden/>
    <w:unhideWhenUsed/>
    <w:rsid w:val="009207AC"/>
    <w:rPr>
      <w:vertAlign w:val="superscript"/>
    </w:rPr>
  </w:style>
  <w:style w:type="character" w:styleId="UyteHipercze">
    <w:name w:val="FollowedHyperlink"/>
    <w:basedOn w:val="Domylnaczcionkaakapitu"/>
    <w:uiPriority w:val="99"/>
    <w:semiHidden/>
    <w:unhideWhenUsed/>
    <w:rsid w:val="00254E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71484027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stat.gov.pl/obszary-tematyczne/rynek-pracy/zasady-metodyczne-rocznik-pracy/zeszyt-metodologiczny-pracujacy-w-gospodarce-narodowej,7,1.html"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stat.gov.pl/en/topics/labour-market/working-employed-wages-and-salaries-cost-of-labour/structure-of-wages-and-salaries-by-occupations-in-october-2020,4,7.htm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7.png"/><Relationship Id="rId29" Type="http://schemas.openxmlformats.org/officeDocument/2006/relationships/hyperlink" Target="https://bdm.stat.gov.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yperlink" Target="https://stat.gov.pl/en/topics/labour-market/working-employed-wages-and-salaries-cost-of-labour/paid-employment-wages-and-salaries-in-the-national-economy-in-the-first-half-of-2022,1,54.html" TargetMode="External"/><Relationship Id="rId32" Type="http://schemas.openxmlformats.org/officeDocument/2006/relationships/hyperlink" Target="https://stat.gov.pl/en/metainformations/glossary/terms-used-in-official-statistics/742,term.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topics/labour-market/working-employed-wages-and-salaries-cost-of-labour" TargetMode="External"/><Relationship Id="rId28" Type="http://schemas.openxmlformats.org/officeDocument/2006/relationships/hyperlink" Target="https://bdl.stat.gov.pl/BDL/start" TargetMode="Externa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6.png"/><Relationship Id="rId31" Type="http://schemas.openxmlformats.org/officeDocument/2006/relationships/hyperlink" Target="https://stat.gov.pl/en/metainformation/glossary/terms-used-in-official-statistics/376,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hyperlink" Target="https://stat.gov.pl/obszary-tematyczne/rynek-pracy/zasady-metodyczne-rocznik-pracy/zeszyt-metodologiczny-wynagrodzenia-w-gospodarce-narodowej,6,1.html" TargetMode="External"/><Relationship Id="rId30" Type="http://schemas.openxmlformats.org/officeDocument/2006/relationships/hyperlink" Target="https://stat.gov.pl/en/metainformation/glossary/terms-used-in-official-statistics/4618,term.html"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stat.gov.pl/en/topics/economic-activities-finances/activity-of-enterprises-activity-of-companies/methodological-report-monthly-activity-report-of-enterprises,17,1.html" TargetMode="External"/><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form.stat.gov.pl/formularze/2020/objasnienia/zalacznik_do_objasni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kopia_danych_do_12-X-2022\dysk_C\Edytka\DG-1\Inf%20sygnalne%20i%20komunikaty\Sygnalne\2022\wykresy%20sygnalna_EL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7175E-2"/>
          <c:y val="8.6234567901234668E-2"/>
          <c:w val="0.87241187972308865"/>
          <c:h val="0.66611111111111165"/>
        </c:manualLayout>
      </c:layout>
      <c:barChart>
        <c:barDir val="col"/>
        <c:grouping val="clustered"/>
        <c:varyColors val="0"/>
        <c:ser>
          <c:idx val="0"/>
          <c:order val="0"/>
          <c:tx>
            <c:strRef>
              <c:f>'gl wykres z dod osia ENG'!$D$1</c:f>
              <c:strCache>
                <c:ptCount val="1"/>
                <c:pt idx="0">
                  <c:v>Absolute numbers (left scale)</c:v>
                </c:pt>
              </c:strCache>
            </c:strRef>
          </c:tx>
          <c:spPr>
            <a:solidFill>
              <a:srgbClr val="001D77"/>
            </a:solidFill>
            <a:ln>
              <a:noFill/>
            </a:ln>
            <a:effectLst/>
          </c:spPr>
          <c:invertIfNegative val="0"/>
          <c:cat>
            <c:multiLvlStrRef>
              <c:f>'gl wykres z dod osia'!$B$91:$C$125</c:f>
              <c:multiLvlStrCache>
                <c:ptCount val="35"/>
                <c:lvl>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pt idx="24">
                    <c:v>01</c:v>
                  </c:pt>
                  <c:pt idx="25">
                    <c:v>02</c:v>
                  </c:pt>
                  <c:pt idx="26">
                    <c:v>03</c:v>
                  </c:pt>
                  <c:pt idx="27">
                    <c:v>04</c:v>
                  </c:pt>
                  <c:pt idx="28">
                    <c:v>05</c:v>
                  </c:pt>
                  <c:pt idx="29">
                    <c:v>06</c:v>
                  </c:pt>
                  <c:pt idx="30">
                    <c:v>07</c:v>
                  </c:pt>
                  <c:pt idx="31">
                    <c:v>08</c:v>
                  </c:pt>
                  <c:pt idx="32">
                    <c:v>09</c:v>
                  </c:pt>
                  <c:pt idx="33">
                    <c:v>10</c:v>
                  </c:pt>
                  <c:pt idx="34">
                    <c:v>11</c:v>
                  </c:pt>
                </c:lvl>
                <c:lvl>
                  <c:pt idx="0">
                    <c:v>2020</c:v>
                  </c:pt>
                  <c:pt idx="12">
                    <c:v>2021</c:v>
                  </c:pt>
                  <c:pt idx="24">
                    <c:v>2022</c:v>
                  </c:pt>
                </c:lvl>
              </c:multiLvlStrCache>
            </c:multiLvlStrRef>
          </c:cat>
          <c:val>
            <c:numRef>
              <c:f>'gl wykres z dod osia ENG'!$D$26:$D$60</c:f>
              <c:numCache>
                <c:formatCode>0.0</c:formatCode>
                <c:ptCount val="35"/>
                <c:pt idx="0">
                  <c:v>6440.9</c:v>
                </c:pt>
                <c:pt idx="1">
                  <c:v>6445.9</c:v>
                </c:pt>
                <c:pt idx="2">
                  <c:v>6411.7</c:v>
                </c:pt>
                <c:pt idx="3">
                  <c:v>6258.8</c:v>
                </c:pt>
                <c:pt idx="4">
                  <c:v>6173.9</c:v>
                </c:pt>
                <c:pt idx="5">
                  <c:v>6185.8</c:v>
                </c:pt>
                <c:pt idx="6">
                  <c:v>6252</c:v>
                </c:pt>
                <c:pt idx="7">
                  <c:v>6295</c:v>
                </c:pt>
                <c:pt idx="8">
                  <c:v>6312.4</c:v>
                </c:pt>
                <c:pt idx="9">
                  <c:v>6318.3</c:v>
                </c:pt>
                <c:pt idx="10">
                  <c:v>6318.9</c:v>
                </c:pt>
                <c:pt idx="11">
                  <c:v>6329</c:v>
                </c:pt>
                <c:pt idx="12">
                  <c:v>6314.1</c:v>
                </c:pt>
                <c:pt idx="13">
                  <c:v>6334</c:v>
                </c:pt>
                <c:pt idx="14">
                  <c:v>6330.3</c:v>
                </c:pt>
                <c:pt idx="15">
                  <c:v>6316.9</c:v>
                </c:pt>
                <c:pt idx="16">
                  <c:v>6338.5</c:v>
                </c:pt>
                <c:pt idx="17">
                  <c:v>6359.3</c:v>
                </c:pt>
                <c:pt idx="18">
                  <c:v>6361.7</c:v>
                </c:pt>
                <c:pt idx="19">
                  <c:v>6352</c:v>
                </c:pt>
                <c:pt idx="20">
                  <c:v>6347.2</c:v>
                </c:pt>
                <c:pt idx="21">
                  <c:v>6351.1</c:v>
                </c:pt>
                <c:pt idx="22" formatCode="General">
                  <c:v>6363.7</c:v>
                </c:pt>
                <c:pt idx="23" formatCode="General">
                  <c:v>6361.6</c:v>
                </c:pt>
                <c:pt idx="24" formatCode="General">
                  <c:v>6459.8</c:v>
                </c:pt>
                <c:pt idx="25" formatCode="General">
                  <c:v>6474.9</c:v>
                </c:pt>
                <c:pt idx="26" formatCode="General">
                  <c:v>6484.9</c:v>
                </c:pt>
                <c:pt idx="27" formatCode="General">
                  <c:v>6496.6</c:v>
                </c:pt>
                <c:pt idx="28" formatCode="General">
                  <c:v>6491.6</c:v>
                </c:pt>
                <c:pt idx="29" formatCode="General">
                  <c:v>6496.7</c:v>
                </c:pt>
                <c:pt idx="30" formatCode="General">
                  <c:v>6508.3</c:v>
                </c:pt>
                <c:pt idx="31" formatCode="General">
                  <c:v>6502.6</c:v>
                </c:pt>
                <c:pt idx="32" formatCode="General">
                  <c:v>6493.8</c:v>
                </c:pt>
                <c:pt idx="33" formatCode="General">
                  <c:v>6500.9</c:v>
                </c:pt>
                <c:pt idx="34" formatCode="General">
                  <c:v>6507.5</c:v>
                </c:pt>
              </c:numCache>
            </c:numRef>
          </c:val>
          <c:extLst>
            <c:ext xmlns:c16="http://schemas.microsoft.com/office/drawing/2014/chart" uri="{C3380CC4-5D6E-409C-BE32-E72D297353CC}">
              <c16:uniqueId val="{00000000-D188-4AAA-BC90-4C9C7308E59B}"/>
            </c:ext>
          </c:extLst>
        </c:ser>
        <c:dLbls>
          <c:showLegendKey val="0"/>
          <c:showVal val="0"/>
          <c:showCatName val="0"/>
          <c:showSerName val="0"/>
          <c:showPercent val="0"/>
          <c:showBubbleSize val="0"/>
        </c:dLbls>
        <c:gapWidth val="100"/>
        <c:axId val="225060672"/>
        <c:axId val="225058712"/>
      </c:barChart>
      <c:lineChart>
        <c:grouping val="standard"/>
        <c:varyColors val="0"/>
        <c:ser>
          <c:idx val="1"/>
          <c:order val="1"/>
          <c:tx>
            <c:strRef>
              <c:f>'gl wykres z dod osia ENG'!$D$63</c:f>
              <c:strCache>
                <c:ptCount val="1"/>
                <c:pt idx="0">
                  <c:v>Indices, corresponding month of previous year=100 (right scale)</c:v>
                </c:pt>
              </c:strCache>
            </c:strRef>
          </c:tx>
          <c:spPr>
            <a:ln>
              <a:solidFill>
                <a:srgbClr val="008542"/>
              </a:solidFill>
            </a:ln>
          </c:spPr>
          <c:marker>
            <c:symbol val="none"/>
          </c:marker>
          <c:cat>
            <c:strRef>
              <c:f>'gl wykres z dod osia'!$C$91:$C$125</c:f>
              <c:strCache>
                <c:ptCount val="35"/>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pt idx="24">
                  <c:v>01</c:v>
                </c:pt>
                <c:pt idx="25">
                  <c:v>02</c:v>
                </c:pt>
                <c:pt idx="26">
                  <c:v>03</c:v>
                </c:pt>
                <c:pt idx="27">
                  <c:v>04</c:v>
                </c:pt>
                <c:pt idx="28">
                  <c:v>05</c:v>
                </c:pt>
                <c:pt idx="29">
                  <c:v>06</c:v>
                </c:pt>
                <c:pt idx="30">
                  <c:v>07</c:v>
                </c:pt>
                <c:pt idx="31">
                  <c:v>08</c:v>
                </c:pt>
                <c:pt idx="32">
                  <c:v>09</c:v>
                </c:pt>
                <c:pt idx="33">
                  <c:v>10</c:v>
                </c:pt>
                <c:pt idx="34">
                  <c:v>11</c:v>
                </c:pt>
              </c:strCache>
            </c:strRef>
          </c:cat>
          <c:val>
            <c:numRef>
              <c:f>'gl wykres z dod osia ENG'!$D$88:$D$122</c:f>
              <c:numCache>
                <c:formatCode>0.0</c:formatCode>
                <c:ptCount val="35"/>
                <c:pt idx="0">
                  <c:v>101.1</c:v>
                </c:pt>
                <c:pt idx="1">
                  <c:v>101.1</c:v>
                </c:pt>
                <c:pt idx="2">
                  <c:v>100.3</c:v>
                </c:pt>
                <c:pt idx="3">
                  <c:v>97.9</c:v>
                </c:pt>
                <c:pt idx="4">
                  <c:v>96.8</c:v>
                </c:pt>
                <c:pt idx="5">
                  <c:v>96.7</c:v>
                </c:pt>
                <c:pt idx="6">
                  <c:v>97.7</c:v>
                </c:pt>
                <c:pt idx="7">
                  <c:v>98.5</c:v>
                </c:pt>
                <c:pt idx="8">
                  <c:v>98.8</c:v>
                </c:pt>
                <c:pt idx="9" formatCode="0.00">
                  <c:v>99</c:v>
                </c:pt>
                <c:pt idx="10" formatCode="0.00">
                  <c:v>98.8</c:v>
                </c:pt>
                <c:pt idx="11" formatCode="0.00">
                  <c:v>99</c:v>
                </c:pt>
                <c:pt idx="12" formatCode="0.00">
                  <c:v>98</c:v>
                </c:pt>
                <c:pt idx="13" formatCode="0.00">
                  <c:v>98.3</c:v>
                </c:pt>
                <c:pt idx="14" formatCode="0.00">
                  <c:v>98.7</c:v>
                </c:pt>
                <c:pt idx="15" formatCode="0.00">
                  <c:v>100.9</c:v>
                </c:pt>
                <c:pt idx="16" formatCode="0.00">
                  <c:v>102.7</c:v>
                </c:pt>
                <c:pt idx="17" formatCode="0.00">
                  <c:v>102.8</c:v>
                </c:pt>
                <c:pt idx="18" formatCode="General">
                  <c:v>101.8</c:v>
                </c:pt>
                <c:pt idx="19" formatCode="General">
                  <c:v>100.9</c:v>
                </c:pt>
                <c:pt idx="20" formatCode="General">
                  <c:v>100.6</c:v>
                </c:pt>
                <c:pt idx="21" formatCode="General">
                  <c:v>100.5</c:v>
                </c:pt>
                <c:pt idx="22" formatCode="General">
                  <c:v>100.7</c:v>
                </c:pt>
                <c:pt idx="23" formatCode="General">
                  <c:v>100.5</c:v>
                </c:pt>
                <c:pt idx="24" formatCode="General">
                  <c:v>102.3</c:v>
                </c:pt>
                <c:pt idx="25" formatCode="General">
                  <c:v>102.2</c:v>
                </c:pt>
                <c:pt idx="26" formatCode="General">
                  <c:v>102.4</c:v>
                </c:pt>
                <c:pt idx="27" formatCode="General">
                  <c:v>102.8</c:v>
                </c:pt>
                <c:pt idx="28" formatCode="General">
                  <c:v>102.4</c:v>
                </c:pt>
                <c:pt idx="29" formatCode="General">
                  <c:v>102.2</c:v>
                </c:pt>
                <c:pt idx="30" formatCode="General">
                  <c:v>102.3</c:v>
                </c:pt>
                <c:pt idx="31" formatCode="General">
                  <c:v>102.4</c:v>
                </c:pt>
                <c:pt idx="32" formatCode="General">
                  <c:v>102.3</c:v>
                </c:pt>
                <c:pt idx="33" formatCode="General">
                  <c:v>102.4</c:v>
                </c:pt>
                <c:pt idx="34" formatCode="General">
                  <c:v>102.3</c:v>
                </c:pt>
              </c:numCache>
            </c:numRef>
          </c:val>
          <c:smooth val="0"/>
          <c:extLst>
            <c:ext xmlns:c16="http://schemas.microsoft.com/office/drawing/2014/chart" uri="{C3380CC4-5D6E-409C-BE32-E72D297353CC}">
              <c16:uniqueId val="{00000001-D188-4AAA-BC90-4C9C7308E59B}"/>
            </c:ext>
          </c:extLst>
        </c:ser>
        <c:dLbls>
          <c:showLegendKey val="0"/>
          <c:showVal val="0"/>
          <c:showCatName val="0"/>
          <c:showSerName val="0"/>
          <c:showPercent val="0"/>
          <c:showBubbleSize val="0"/>
        </c:dLbls>
        <c:marker val="1"/>
        <c:smooth val="0"/>
        <c:axId val="225056752"/>
        <c:axId val="225060280"/>
      </c:lineChart>
      <c:catAx>
        <c:axId val="225060672"/>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225058712"/>
        <c:crosses val="autoZero"/>
        <c:auto val="1"/>
        <c:lblAlgn val="ctr"/>
        <c:lblOffset val="100"/>
        <c:noMultiLvlLbl val="0"/>
      </c:catAx>
      <c:valAx>
        <c:axId val="225058712"/>
        <c:scaling>
          <c:orientation val="minMax"/>
          <c:max val="6750"/>
          <c:min val="400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251E-3"/>
              <c:y val="6.6049382716047743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225060672"/>
        <c:crosses val="autoZero"/>
        <c:crossBetween val="between"/>
        <c:majorUnit val="250"/>
      </c:valAx>
      <c:valAx>
        <c:axId val="225060280"/>
        <c:scaling>
          <c:orientation val="minMax"/>
          <c:max val="130"/>
          <c:min val="70"/>
        </c:scaling>
        <c:delete val="0"/>
        <c:axPos val="r"/>
        <c:numFmt formatCode="0" sourceLinked="0"/>
        <c:majorTickMark val="out"/>
        <c:minorTickMark val="none"/>
        <c:tickLblPos val="nextTo"/>
        <c:spPr>
          <a:ln>
            <a:noFill/>
          </a:ln>
        </c:spPr>
        <c:crossAx val="225056752"/>
        <c:crosses val="max"/>
        <c:crossBetween val="between"/>
        <c:majorUnit val="5"/>
      </c:valAx>
      <c:catAx>
        <c:axId val="225056752"/>
        <c:scaling>
          <c:orientation val="minMax"/>
        </c:scaling>
        <c:delete val="1"/>
        <c:axPos val="b"/>
        <c:numFmt formatCode="General" sourceLinked="1"/>
        <c:majorTickMark val="out"/>
        <c:minorTickMark val="none"/>
        <c:tickLblPos val="none"/>
        <c:crossAx val="225060280"/>
        <c:crosses val="autoZero"/>
        <c:auto val="1"/>
        <c:lblAlgn val="ctr"/>
        <c:lblOffset val="100"/>
        <c:noMultiLvlLbl val="0"/>
      </c:catAx>
      <c:spPr>
        <a:noFill/>
        <a:ln>
          <a:noFill/>
        </a:ln>
        <a:effectLst/>
      </c:spPr>
    </c:plotArea>
    <c:legend>
      <c:legendPos val="b"/>
      <c:layout>
        <c:manualLayout>
          <c:xMode val="edge"/>
          <c:yMode val="edge"/>
          <c:x val="0.13761560006341489"/>
          <c:y val="0.87979753086420065"/>
          <c:w val="0.72476879987317588"/>
          <c:h val="0.12020246913580244"/>
        </c:manualLayout>
      </c:layout>
      <c:overlay val="0"/>
    </c:legend>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7231E-2"/>
          <c:y val="8.6234567901234668E-2"/>
          <c:w val="0.87241187972308865"/>
          <c:h val="0.66611111111111165"/>
        </c:manualLayout>
      </c:layout>
      <c:lineChart>
        <c:grouping val="standard"/>
        <c:varyColors val="0"/>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'wykres wynagrodzenie glowny ENG'!$B$27:$C$61</c:f>
              <c:multiLvlStrCache>
                <c:ptCount val="35"/>
                <c:lvl>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pt idx="24">
                    <c:v>01</c:v>
                  </c:pt>
                  <c:pt idx="25">
                    <c:v>02</c:v>
                  </c:pt>
                  <c:pt idx="26">
                    <c:v>03</c:v>
                  </c:pt>
                  <c:pt idx="27">
                    <c:v>04</c:v>
                  </c:pt>
                  <c:pt idx="28">
                    <c:v>05</c:v>
                  </c:pt>
                  <c:pt idx="29">
                    <c:v>06</c:v>
                  </c:pt>
                  <c:pt idx="30">
                    <c:v>07</c:v>
                  </c:pt>
                  <c:pt idx="31">
                    <c:v>08</c:v>
                  </c:pt>
                  <c:pt idx="32">
                    <c:v>09</c:v>
                  </c:pt>
                  <c:pt idx="33">
                    <c:v>10</c:v>
                  </c:pt>
                  <c:pt idx="34">
                    <c:v>11</c:v>
                  </c:pt>
                </c:lvl>
                <c:lvl>
                  <c:pt idx="0">
                    <c:v>2020</c:v>
                  </c:pt>
                  <c:pt idx="12">
                    <c:v>2021</c:v>
                  </c:pt>
                  <c:pt idx="24">
                    <c:v>2022</c:v>
                  </c:pt>
                </c:lvl>
              </c:multiLvlStrCache>
            </c:multiLvlStrRef>
          </c:cat>
          <c:val>
            <c:numRef>
              <c:f>'wykres wynagrodzenie glowny ENG'!$D$27:$D$61</c:f>
              <c:numCache>
                <c:formatCode>0.00</c:formatCode>
                <c:ptCount val="35"/>
                <c:pt idx="0">
                  <c:v>5282.8</c:v>
                </c:pt>
                <c:pt idx="1">
                  <c:v>5330.48</c:v>
                </c:pt>
                <c:pt idx="2">
                  <c:v>5489.21</c:v>
                </c:pt>
                <c:pt idx="3">
                  <c:v>5285.01</c:v>
                </c:pt>
                <c:pt idx="4">
                  <c:v>5119.9399999999996</c:v>
                </c:pt>
                <c:pt idx="5">
                  <c:v>5286</c:v>
                </c:pt>
                <c:pt idx="6">
                  <c:v>5381.65</c:v>
                </c:pt>
                <c:pt idx="7">
                  <c:v>5337.65</c:v>
                </c:pt>
                <c:pt idx="8">
                  <c:v>5371.56</c:v>
                </c:pt>
                <c:pt idx="9">
                  <c:v>5458.88</c:v>
                </c:pt>
                <c:pt idx="10">
                  <c:v>5484.07</c:v>
                </c:pt>
                <c:pt idx="11">
                  <c:v>5973.75</c:v>
                </c:pt>
                <c:pt idx="12">
                  <c:v>5536.8</c:v>
                </c:pt>
                <c:pt idx="13">
                  <c:v>5568.82</c:v>
                </c:pt>
                <c:pt idx="14">
                  <c:v>5929.05</c:v>
                </c:pt>
                <c:pt idx="15">
                  <c:v>5805.72</c:v>
                </c:pt>
                <c:pt idx="16">
                  <c:v>5637.34</c:v>
                </c:pt>
                <c:pt idx="17">
                  <c:v>5802.42</c:v>
                </c:pt>
                <c:pt idx="18">
                  <c:v>5851.87</c:v>
                </c:pt>
                <c:pt idx="19">
                  <c:v>5843.75</c:v>
                </c:pt>
                <c:pt idx="20">
                  <c:v>5841.16</c:v>
                </c:pt>
                <c:pt idx="21">
                  <c:v>5917.15</c:v>
                </c:pt>
                <c:pt idx="22">
                  <c:v>6022.49</c:v>
                </c:pt>
                <c:pt idx="23">
                  <c:v>6644.39</c:v>
                </c:pt>
                <c:pt idx="24">
                  <c:v>6064.24</c:v>
                </c:pt>
                <c:pt idx="25">
                  <c:v>6220.04</c:v>
                </c:pt>
                <c:pt idx="26">
                  <c:v>6665.64</c:v>
                </c:pt>
                <c:pt idx="27">
                  <c:v>6626.95</c:v>
                </c:pt>
                <c:pt idx="28">
                  <c:v>6399.59</c:v>
                </c:pt>
                <c:pt idx="29">
                  <c:v>6554.87</c:v>
                </c:pt>
                <c:pt idx="30">
                  <c:v>6778.63</c:v>
                </c:pt>
                <c:pt idx="31">
                  <c:v>6583.03</c:v>
                </c:pt>
                <c:pt idx="32">
                  <c:v>6687.81</c:v>
                </c:pt>
                <c:pt idx="33">
                  <c:v>6687.92</c:v>
                </c:pt>
                <c:pt idx="34">
                  <c:v>6857.9569865209269</c:v>
                </c:pt>
              </c:numCache>
            </c:numRef>
          </c:val>
          <c:smooth val="0"/>
          <c:extLst>
            <c:ext xmlns:c16="http://schemas.microsoft.com/office/drawing/2014/chart" uri="{C3380CC4-5D6E-409C-BE32-E72D297353CC}">
              <c16:uniqueId val="{00000000-3903-48AF-8CE8-4A20071C17EC}"/>
            </c:ext>
          </c:extLst>
        </c:ser>
        <c:dLbls>
          <c:showLegendKey val="0"/>
          <c:showVal val="0"/>
          <c:showCatName val="0"/>
          <c:showSerName val="0"/>
          <c:showPercent val="0"/>
          <c:showBubbleSize val="0"/>
        </c:dLbls>
        <c:smooth val="0"/>
        <c:axId val="225057536"/>
        <c:axId val="225061064"/>
      </c:lineChart>
      <c:catAx>
        <c:axId val="225057536"/>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225061064"/>
        <c:crosses val="autoZero"/>
        <c:auto val="1"/>
        <c:lblAlgn val="ctr"/>
        <c:lblOffset val="100"/>
        <c:noMultiLvlLbl val="0"/>
      </c:catAx>
      <c:valAx>
        <c:axId val="225061064"/>
        <c:scaling>
          <c:orientation val="minMax"/>
          <c:min val="400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PLN</a:t>
                </a:r>
              </a:p>
            </c:rich>
          </c:tx>
          <c:layout>
            <c:manualLayout>
              <c:xMode val="edge"/>
              <c:yMode val="edge"/>
              <c:x val="2.2371945315648248E-3"/>
              <c:y val="6.6049382716049381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2250575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Average_paid_employment_and_average_gross_wages_and_salaries 082022.docx</NazwaPliku>
    <Odbiorcy2 xmlns="AD3641B4-23D9-4536-AF9E-7D0EADDEB824" xsi:nil="true"/>
    <Osoba xmlns="AD3641B4-23D9-4536-AF9E-7D0EADDEB824">STAT\WINIARZA</Osob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D6D414DB-5D73-4634-888D-3E44BA8FC716}">
  <ds:schemaRefs>
    <ds:schemaRef ds:uri="http://schemas.openxmlformats.org/officeDocument/2006/bibliography"/>
  </ds:schemaRefs>
</ds:datastoreItem>
</file>

<file path=customXml/itemProps3.xml><?xml version="1.0" encoding="utf-8"?>
<ds:datastoreItem xmlns:ds="http://schemas.openxmlformats.org/officeDocument/2006/customXml" ds:itemID="{F5C38EDC-81B9-41A2-BDD0-7A2239114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1263</Words>
  <Characters>7580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Average paid employment  and average gross wages and salaries in the enterprise sector in November 2022</dc:title>
  <dc:subject>Average paid employment  and average gross wages and salaries in the enterprise sector</dc:subject>
  <dc:creator>Statistics Poland</dc:creator>
  <cp:keywords>wages and salaries; employees; employment</cp:keywords>
  <cp:lastPrinted>2022-12-16T13:55:00Z</cp:lastPrinted>
  <dcterms:created xsi:type="dcterms:W3CDTF">2022-12-20T07:34:00Z</dcterms:created>
  <dcterms:modified xsi:type="dcterms:W3CDTF">2022-12-20T07:34:00Z</dcterms:modified>
  <cp:category>Working; Employed; Wages and salaries; Cost of labour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