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5E69" w14:textId="23F9125F" w:rsidR="00E97F8F" w:rsidRPr="005358DD" w:rsidRDefault="00E97F8F" w:rsidP="00E97F8F">
      <w:pPr>
        <w:pStyle w:val="tytuinformacji"/>
        <w:rPr>
          <w:shd w:val="clear" w:color="auto" w:fill="FFFFFF"/>
          <w:lang w:val="en-US"/>
        </w:rPr>
      </w:pPr>
      <w:r>
        <w:rPr>
          <w:lang w:val="en-GB"/>
        </w:rPr>
        <w:t xml:space="preserve">Price indices of  construction and assembly           </w:t>
      </w:r>
      <w:r w:rsidRPr="004D6F7F">
        <w:rPr>
          <w:lang w:val="en-GB"/>
        </w:rPr>
        <w:t xml:space="preserve">production </w:t>
      </w:r>
      <w:r w:rsidRPr="00726700">
        <w:rPr>
          <w:lang w:val="en-GB"/>
        </w:rPr>
        <w:t xml:space="preserve">in </w:t>
      </w:r>
      <w:r w:rsidR="00557517">
        <w:rPr>
          <w:lang w:val="en-GB"/>
        </w:rPr>
        <w:t>February</w:t>
      </w:r>
      <w:r w:rsidRPr="00726700">
        <w:rPr>
          <w:lang w:val="en-GB"/>
        </w:rPr>
        <w:t xml:space="preserve"> 202</w:t>
      </w:r>
      <w:r>
        <w:rPr>
          <w:lang w:val="en-GB"/>
        </w:rPr>
        <w:t>2</w:t>
      </w:r>
    </w:p>
    <w:p w14:paraId="66008B5C" w14:textId="1062AF40" w:rsidR="00393761" w:rsidRPr="007D605C" w:rsidRDefault="00393761" w:rsidP="00F049AB">
      <w:pPr>
        <w:pStyle w:val="Tytuinfomacjisygnalnej"/>
      </w:pPr>
    </w:p>
    <w:p w14:paraId="1E690351" w14:textId="4437B27F" w:rsidR="00DE58F1" w:rsidRPr="007D0869" w:rsidRDefault="00731D27" w:rsidP="00F049AB">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738112" behindDoc="0" locked="0" layoutInCell="1" allowOverlap="1" wp14:anchorId="2FC13F97" wp14:editId="39E6690A">
                <wp:simplePos x="0" y="0"/>
                <wp:positionH relativeFrom="margin">
                  <wp:align>left</wp:align>
                </wp:positionH>
                <wp:positionV relativeFrom="paragraph">
                  <wp:posOffset>45720</wp:posOffset>
                </wp:positionV>
                <wp:extent cx="2204085" cy="1276350"/>
                <wp:effectExtent l="0" t="0" r="5715" b="0"/>
                <wp:wrapSquare wrapText="bothSides"/>
                <wp:docPr id="6" name="Pole tekstowe 2" descr="o 9,3% the  growth of producer prices in construction   in comparison with  February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76710"/>
                        </a:xfrm>
                        <a:prstGeom prst="roundRect">
                          <a:avLst/>
                        </a:prstGeom>
                        <a:solidFill>
                          <a:srgbClr val="001D77"/>
                        </a:solidFill>
                        <a:ln w="9525">
                          <a:noFill/>
                          <a:miter lim="800000"/>
                          <a:headEnd/>
                          <a:tailEnd/>
                        </a:ln>
                      </wps:spPr>
                      <wps:txbx>
                        <w:txbxContent>
                          <w:p w14:paraId="30951E30" w14:textId="2AC14317" w:rsidR="005C0CAC" w:rsidRPr="007D605C"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00CF472B">
                              <w:rPr>
                                <w:rStyle w:val="WartowskanikaZnak"/>
                              </w:rPr>
                              <w:t>9</w:t>
                            </w:r>
                            <w:r w:rsidR="007267B0">
                              <w:rPr>
                                <w:rStyle w:val="WartowskanikaZnak"/>
                              </w:rPr>
                              <w:t>.</w:t>
                            </w:r>
                            <w:r w:rsidR="002A39A8">
                              <w:rPr>
                                <w:rStyle w:val="WartowskanikaZnak"/>
                              </w:rPr>
                              <w:t>3</w:t>
                            </w:r>
                            <w:r w:rsidR="00F70C87">
                              <w:rPr>
                                <w:rStyle w:val="WartowskanikaZnak"/>
                              </w:rPr>
                              <w:t>%</w:t>
                            </w:r>
                          </w:p>
                          <w:p w14:paraId="07197E28" w14:textId="1CBA71BE" w:rsidR="00E97F8F" w:rsidRPr="00531555" w:rsidRDefault="00E93564" w:rsidP="00E97F8F">
                            <w:pPr>
                              <w:pStyle w:val="tekstnaniebieskimtle"/>
                              <w:rPr>
                                <w:color w:val="FFFFFF" w:themeColor="background1"/>
                                <w:sz w:val="18"/>
                                <w:szCs w:val="20"/>
                                <w:lang w:val="en-US"/>
                              </w:rPr>
                            </w:pPr>
                            <w:r>
                              <w:rPr>
                                <w:lang w:val="en-US"/>
                              </w:rPr>
                              <w:t xml:space="preserve">the </w:t>
                            </w:r>
                            <w:r w:rsidR="00E97F8F">
                              <w:rPr>
                                <w:lang w:val="en-US"/>
                              </w:rPr>
                              <w:t xml:space="preserve"> growth of producer prices in construction   in comparison with  </w:t>
                            </w:r>
                            <w:r w:rsidR="00557517">
                              <w:rPr>
                                <w:lang w:val="en-US"/>
                              </w:rPr>
                              <w:t xml:space="preserve">February </w:t>
                            </w:r>
                            <w:r w:rsidR="00184021">
                              <w:rPr>
                                <w:lang w:val="en-US"/>
                              </w:rPr>
                              <w:t>2</w:t>
                            </w:r>
                            <w:r w:rsidR="00E97F8F" w:rsidRPr="00441583">
                              <w:rPr>
                                <w:lang w:val="en-US"/>
                              </w:rPr>
                              <w:t>02</w:t>
                            </w:r>
                            <w:r w:rsidR="00E97F8F">
                              <w:rPr>
                                <w:lang w:val="en-US"/>
                              </w:rPr>
                              <w:t>1</w:t>
                            </w:r>
                          </w:p>
                          <w:p w14:paraId="63B3F253" w14:textId="2ACFF5E8" w:rsidR="005C0CAC" w:rsidRPr="007D605C" w:rsidRDefault="005C0CAC" w:rsidP="00F049AB">
                            <w:pPr>
                              <w:pStyle w:val="Opiswskanika"/>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o 9,3% the  growth of producer prices in construction   in comparison with  February 2021" style="position:absolute;margin-left:0;margin-top:3.6pt;width:173.55pt;height:100.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" fillcolor="#001d77" stroked="f">
                <v:stroke joinstyle="miter"/>
                <v:textbox>
                  <w:txbxContent>
                    <w:p w14:paraId="30951E30" w14:textId="2AC14317" w:rsidR="005C0CAC" w:rsidRPr="007D605C"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00CF472B">
                        <w:rPr>
                          <w:rStyle w:val="WartowskanikaZnak"/>
                        </w:rPr>
                        <w:t>9</w:t>
                      </w:r>
                      <w:r w:rsidR="007267B0">
                        <w:rPr>
                          <w:rStyle w:val="WartowskanikaZnak"/>
                        </w:rPr>
                        <w:t>.</w:t>
                      </w:r>
                      <w:r w:rsidR="002A39A8">
                        <w:rPr>
                          <w:rStyle w:val="WartowskanikaZnak"/>
                        </w:rPr>
                        <w:t>3</w:t>
                      </w:r>
                      <w:r w:rsidR="00F70C87">
                        <w:rPr>
                          <w:rStyle w:val="WartowskanikaZnak"/>
                        </w:rPr>
                        <w:t>%</w:t>
                      </w:r>
                    </w:p>
                    <w:p w14:paraId="07197E28" w14:textId="1CBA71BE" w:rsidR="00E97F8F" w:rsidRPr="00531555" w:rsidRDefault="00E93564" w:rsidP="00E97F8F">
                      <w:pPr>
                        <w:pStyle w:val="tekstnaniebieskimtle"/>
                        <w:rPr>
                          <w:color w:val="FFFFFF" w:themeColor="background1"/>
                          <w:sz w:val="18"/>
                          <w:szCs w:val="20"/>
                          <w:lang w:val="en-US"/>
                        </w:rPr>
                      </w:pPr>
                      <w:r>
                        <w:rPr>
                          <w:lang w:val="en-US"/>
                        </w:rPr>
                        <w:t xml:space="preserve">the </w:t>
                      </w:r>
                      <w:r w:rsidR="00E97F8F">
                        <w:rPr>
                          <w:lang w:val="en-US"/>
                        </w:rPr>
                        <w:t xml:space="preserve"> growth of producer prices in construction   in comparison with  </w:t>
                      </w:r>
                      <w:r w:rsidR="00557517">
                        <w:rPr>
                          <w:lang w:val="en-US"/>
                        </w:rPr>
                        <w:t xml:space="preserve">February </w:t>
                      </w:r>
                      <w:r w:rsidR="00184021">
                        <w:rPr>
                          <w:lang w:val="en-US"/>
                        </w:rPr>
                        <w:t>2</w:t>
                      </w:r>
                      <w:r w:rsidR="00E97F8F" w:rsidRPr="00441583">
                        <w:rPr>
                          <w:lang w:val="en-US"/>
                        </w:rPr>
                        <w:t>02</w:t>
                      </w:r>
                      <w:r w:rsidR="00E97F8F">
                        <w:rPr>
                          <w:lang w:val="en-US"/>
                        </w:rPr>
                        <w:t>1</w:t>
                      </w:r>
                    </w:p>
                    <w:p w14:paraId="63B3F253" w14:textId="2ACFF5E8" w:rsidR="005C0CAC" w:rsidRPr="007D605C" w:rsidRDefault="005C0CAC" w:rsidP="00F049AB">
                      <w:pPr>
                        <w:pStyle w:val="Opiswskanika"/>
                        <w:rPr>
                          <w:sz w:val="18"/>
                          <w:szCs w:val="20"/>
                        </w:rPr>
                      </w:pPr>
                    </w:p>
                  </w:txbxContent>
                </v:textbox>
                <w10:wrap type="square" anchorx="margin"/>
              </v:roundrect>
            </w:pict>
          </mc:Fallback>
        </mc:AlternateContent>
      </w:r>
      <w:r w:rsidR="00074DD8" w:rsidRPr="007D605C">
        <w:rPr>
          <w:color w:val="001D77"/>
        </w:rPr>
        <w:t xml:space="preserve"> </w:t>
      </w:r>
      <w:r w:rsidR="00A90A6D" w:rsidRPr="007D605C">
        <w:br/>
      </w:r>
      <w:r w:rsidR="0019143D" w:rsidRPr="000A1421">
        <w:rPr>
          <w:rFonts w:eastAsia="Times New Roman" w:cs="Times New Roman"/>
          <w:bCs/>
          <w:noProof w:val="0"/>
          <w:lang w:val="en-US" w:eastAsia="en-US"/>
        </w:rPr>
        <w:t xml:space="preserve">According to preliminary </w:t>
      </w:r>
      <w:r w:rsidR="0019143D" w:rsidRPr="00F62DC7">
        <w:rPr>
          <w:rFonts w:eastAsia="Times New Roman" w:cs="Times New Roman"/>
          <w:bCs/>
          <w:noProof w:val="0"/>
          <w:lang w:val="en-US" w:eastAsia="en-US"/>
        </w:rPr>
        <w:t>data</w:t>
      </w:r>
      <w:r w:rsidR="0019143D" w:rsidRPr="004D6F7F">
        <w:rPr>
          <w:rFonts w:eastAsia="Times New Roman" w:cs="Times New Roman"/>
          <w:bCs/>
          <w:noProof w:val="0"/>
          <w:lang w:val="en-US" w:eastAsia="en-US"/>
        </w:rPr>
        <w:t xml:space="preserve">, </w:t>
      </w:r>
      <w:r w:rsidR="0019143D" w:rsidRPr="005A49E3">
        <w:rPr>
          <w:rFonts w:eastAsia="Times New Roman" w:cs="Times New Roman"/>
          <w:bCs/>
          <w:noProof w:val="0"/>
          <w:lang w:val="en-US" w:eastAsia="en-US"/>
        </w:rPr>
        <w:t xml:space="preserve">in </w:t>
      </w:r>
      <w:r w:rsidR="00557517">
        <w:rPr>
          <w:rFonts w:eastAsia="Times New Roman" w:cs="Times New Roman"/>
          <w:bCs/>
          <w:noProof w:val="0"/>
          <w:lang w:val="en-US" w:eastAsia="en-US"/>
        </w:rPr>
        <w:t>February</w:t>
      </w:r>
      <w:r w:rsidR="0019143D" w:rsidRPr="005A49E3">
        <w:rPr>
          <w:rFonts w:eastAsia="Times New Roman" w:cs="Times New Roman"/>
          <w:bCs/>
          <w:noProof w:val="0"/>
          <w:lang w:val="en-US" w:eastAsia="en-US"/>
        </w:rPr>
        <w:t xml:space="preserve">  202</w:t>
      </w:r>
      <w:r w:rsidR="0019143D">
        <w:rPr>
          <w:rFonts w:eastAsia="Times New Roman" w:cs="Times New Roman"/>
          <w:bCs/>
          <w:noProof w:val="0"/>
          <w:lang w:val="en-US" w:eastAsia="en-US"/>
        </w:rPr>
        <w:t>2</w:t>
      </w:r>
      <w:r w:rsidR="0019143D" w:rsidRPr="009565D5">
        <w:rPr>
          <w:rFonts w:eastAsia="Times New Roman" w:cs="Times New Roman"/>
          <w:bCs/>
          <w:noProof w:val="0"/>
          <w:lang w:val="en-US" w:eastAsia="en-US"/>
        </w:rPr>
        <w:t xml:space="preserve">                      the prices  of construction and assembly production</w:t>
      </w:r>
      <w:r w:rsidR="0019143D">
        <w:rPr>
          <w:rFonts w:eastAsia="Times New Roman" w:cs="Times New Roman"/>
          <w:bCs/>
          <w:noProof w:val="0"/>
          <w:lang w:val="en-US" w:eastAsia="en-US"/>
        </w:rPr>
        <w:t xml:space="preserve">   </w:t>
      </w:r>
      <w:r w:rsidR="0019143D" w:rsidRPr="00C640AC">
        <w:rPr>
          <w:rFonts w:eastAsia="Times New Roman" w:cs="Times New Roman"/>
          <w:bCs/>
          <w:noProof w:val="0"/>
          <w:lang w:val="en-US" w:eastAsia="en-US"/>
        </w:rPr>
        <w:t>in</w:t>
      </w:r>
      <w:r w:rsidR="0019143D" w:rsidRPr="008710F6">
        <w:rPr>
          <w:rFonts w:eastAsia="Times New Roman" w:cs="Times New Roman"/>
          <w:bCs/>
          <w:noProof w:val="0"/>
          <w:lang w:val="en-US" w:eastAsia="en-US"/>
        </w:rPr>
        <w:t xml:space="preserve"> comparison</w:t>
      </w:r>
      <w:r w:rsidR="0019143D" w:rsidRPr="002D3B6F">
        <w:rPr>
          <w:rFonts w:eastAsia="Times New Roman" w:cs="Times New Roman"/>
          <w:bCs/>
          <w:noProof w:val="0"/>
          <w:lang w:val="en-US" w:eastAsia="en-US"/>
        </w:rPr>
        <w:t xml:space="preserve"> </w:t>
      </w:r>
      <w:r w:rsidR="0019143D" w:rsidRPr="005B0866">
        <w:rPr>
          <w:rFonts w:eastAsia="Times New Roman" w:cs="Times New Roman"/>
          <w:bCs/>
          <w:noProof w:val="0"/>
          <w:lang w:val="en-US" w:eastAsia="en-US"/>
        </w:rPr>
        <w:t xml:space="preserve">with </w:t>
      </w:r>
      <w:r w:rsidR="0019143D" w:rsidRPr="00BE090E">
        <w:rPr>
          <w:rFonts w:eastAsia="Times New Roman" w:cs="Times New Roman"/>
          <w:bCs/>
          <w:noProof w:val="0"/>
          <w:lang w:val="en-US" w:eastAsia="en-US"/>
        </w:rPr>
        <w:t xml:space="preserve">the corresponding month of the previous year increased  </w:t>
      </w:r>
      <w:r w:rsidR="0019143D" w:rsidRPr="00AD04AB">
        <w:rPr>
          <w:rFonts w:eastAsia="Times New Roman" w:cs="Times New Roman"/>
          <w:bCs/>
          <w:noProof w:val="0"/>
          <w:lang w:val="en-US" w:eastAsia="en-US"/>
        </w:rPr>
        <w:t xml:space="preserve">by </w:t>
      </w:r>
      <w:r w:rsidR="00AD04AB" w:rsidRPr="00AD04AB">
        <w:rPr>
          <w:rFonts w:eastAsia="Times New Roman" w:cs="Times New Roman"/>
          <w:bCs/>
          <w:noProof w:val="0"/>
          <w:lang w:val="en-US" w:eastAsia="en-US"/>
        </w:rPr>
        <w:t>9</w:t>
      </w:r>
      <w:r w:rsidR="0019143D" w:rsidRPr="00AD04AB">
        <w:rPr>
          <w:rFonts w:eastAsia="Times New Roman" w:cs="Times New Roman"/>
          <w:bCs/>
          <w:noProof w:val="0"/>
          <w:lang w:val="en-US" w:eastAsia="en-US"/>
        </w:rPr>
        <w:t>.</w:t>
      </w:r>
      <w:r w:rsidR="002A39A8" w:rsidRPr="00AD04AB">
        <w:rPr>
          <w:rFonts w:eastAsia="Times New Roman" w:cs="Times New Roman"/>
          <w:bCs/>
          <w:noProof w:val="0"/>
          <w:lang w:val="en-US" w:eastAsia="en-US"/>
        </w:rPr>
        <w:t>3</w:t>
      </w:r>
      <w:r w:rsidR="0019143D" w:rsidRPr="00AD04AB">
        <w:rPr>
          <w:rFonts w:eastAsia="Times New Roman" w:cs="Times New Roman"/>
          <w:bCs/>
          <w:noProof w:val="0"/>
          <w:lang w:val="en-US" w:eastAsia="en-US"/>
        </w:rPr>
        <w:t>%,</w:t>
      </w:r>
      <w:r w:rsidR="0019143D" w:rsidRPr="00C640AC">
        <w:rPr>
          <w:rFonts w:eastAsia="Times New Roman" w:cs="Times New Roman"/>
          <w:bCs/>
          <w:noProof w:val="0"/>
          <w:lang w:val="en-US" w:eastAsia="en-US"/>
        </w:rPr>
        <w:t xml:space="preserve"> and</w:t>
      </w:r>
      <w:r w:rsidR="0019143D" w:rsidRPr="00AF6D46">
        <w:rPr>
          <w:rFonts w:eastAsia="Times New Roman" w:cs="Times New Roman"/>
          <w:bCs/>
          <w:noProof w:val="0"/>
          <w:lang w:val="en-US" w:eastAsia="en-US"/>
        </w:rPr>
        <w:t xml:space="preserve"> </w:t>
      </w:r>
      <w:r w:rsidR="0019143D">
        <w:rPr>
          <w:rFonts w:eastAsia="Times New Roman" w:cs="Times New Roman"/>
          <w:bCs/>
          <w:noProof w:val="0"/>
          <w:lang w:val="en-US" w:eastAsia="en-US"/>
        </w:rPr>
        <w:t xml:space="preserve"> </w:t>
      </w:r>
      <w:r w:rsidR="0019143D" w:rsidRPr="00850745">
        <w:rPr>
          <w:rFonts w:eastAsia="Times New Roman" w:cs="Times New Roman"/>
          <w:bCs/>
          <w:noProof w:val="0"/>
          <w:lang w:val="en-US" w:eastAsia="en-US"/>
        </w:rPr>
        <w:t>in</w:t>
      </w:r>
      <w:r w:rsidR="0019143D" w:rsidRPr="000A1421">
        <w:rPr>
          <w:rFonts w:eastAsia="Times New Roman" w:cs="Times New Roman"/>
          <w:bCs/>
          <w:noProof w:val="0"/>
          <w:lang w:val="en-US" w:eastAsia="en-US"/>
        </w:rPr>
        <w:t xml:space="preserve"> </w:t>
      </w:r>
      <w:r w:rsidR="0019143D" w:rsidRPr="00C640AC">
        <w:rPr>
          <w:rFonts w:eastAsia="Times New Roman" w:cs="Times New Roman"/>
          <w:bCs/>
          <w:noProof w:val="0"/>
          <w:lang w:val="en-US" w:eastAsia="en-US"/>
        </w:rPr>
        <w:t xml:space="preserve">comparison </w:t>
      </w:r>
      <w:r w:rsidR="0019143D">
        <w:rPr>
          <w:rFonts w:eastAsia="Times New Roman" w:cs="Times New Roman"/>
          <w:bCs/>
          <w:noProof w:val="0"/>
          <w:lang w:val="en-US" w:eastAsia="en-US"/>
        </w:rPr>
        <w:t xml:space="preserve"> </w:t>
      </w:r>
      <w:r w:rsidR="0019143D" w:rsidRPr="008867CB">
        <w:rPr>
          <w:rFonts w:eastAsia="Times New Roman" w:cs="Times New Roman"/>
          <w:bCs/>
          <w:noProof w:val="0"/>
          <w:lang w:val="en-US" w:eastAsia="en-US"/>
        </w:rPr>
        <w:t xml:space="preserve">with </w:t>
      </w:r>
      <w:r w:rsidR="00557517">
        <w:rPr>
          <w:rFonts w:eastAsia="Times New Roman" w:cs="Times New Roman"/>
          <w:bCs/>
          <w:noProof w:val="0"/>
          <w:lang w:val="en-US" w:eastAsia="en-US"/>
        </w:rPr>
        <w:t>January</w:t>
      </w:r>
      <w:r w:rsidR="0019143D">
        <w:rPr>
          <w:rFonts w:eastAsia="Times New Roman" w:cs="Times New Roman"/>
          <w:bCs/>
          <w:noProof w:val="0"/>
          <w:lang w:val="en-US" w:eastAsia="en-US"/>
        </w:rPr>
        <w:t xml:space="preserve"> </w:t>
      </w:r>
      <w:r w:rsidR="0019143D" w:rsidRPr="00726700">
        <w:rPr>
          <w:rFonts w:eastAsia="Times New Roman" w:cs="Times New Roman"/>
          <w:bCs/>
          <w:noProof w:val="0"/>
          <w:lang w:val="en-US" w:eastAsia="en-US"/>
        </w:rPr>
        <w:t xml:space="preserve"> 202</w:t>
      </w:r>
      <w:r w:rsidR="00557517">
        <w:rPr>
          <w:rFonts w:eastAsia="Times New Roman" w:cs="Times New Roman"/>
          <w:bCs/>
          <w:noProof w:val="0"/>
          <w:lang w:val="en-US" w:eastAsia="en-US"/>
        </w:rPr>
        <w:t>2</w:t>
      </w:r>
      <w:r w:rsidR="0019143D" w:rsidRPr="00726700">
        <w:rPr>
          <w:rFonts w:eastAsia="Times New Roman" w:cs="Times New Roman"/>
          <w:bCs/>
          <w:noProof w:val="0"/>
          <w:lang w:val="en-US" w:eastAsia="en-US"/>
        </w:rPr>
        <w:t xml:space="preserve"> </w:t>
      </w:r>
      <w:r w:rsidR="00C32DB4">
        <w:rPr>
          <w:rFonts w:eastAsia="Times New Roman" w:cs="Times New Roman"/>
          <w:bCs/>
          <w:noProof w:val="0"/>
          <w:lang w:val="en-US" w:eastAsia="en-US"/>
        </w:rPr>
        <w:t xml:space="preserve">    </w:t>
      </w:r>
      <w:r w:rsidR="00AD04AB">
        <w:rPr>
          <w:rFonts w:eastAsia="Times New Roman" w:cs="Times New Roman"/>
          <w:bCs/>
          <w:noProof w:val="0"/>
          <w:lang w:val="en-US" w:eastAsia="en-US"/>
        </w:rPr>
        <w:t xml:space="preserve">    </w:t>
      </w:r>
      <w:r w:rsidR="00C32DB4">
        <w:rPr>
          <w:rFonts w:eastAsia="Times New Roman" w:cs="Times New Roman"/>
          <w:bCs/>
          <w:noProof w:val="0"/>
          <w:lang w:val="en-US" w:eastAsia="en-US"/>
        </w:rPr>
        <w:t xml:space="preserve">             </w:t>
      </w:r>
      <w:r w:rsidR="0019143D" w:rsidRPr="00AD04AB">
        <w:rPr>
          <w:rFonts w:eastAsia="Times New Roman" w:cs="Times New Roman"/>
          <w:bCs/>
          <w:noProof w:val="0"/>
          <w:lang w:val="en-US" w:eastAsia="en-US"/>
        </w:rPr>
        <w:t>-  by 1.</w:t>
      </w:r>
      <w:r w:rsidR="00AD04AB" w:rsidRPr="00AD04AB">
        <w:rPr>
          <w:rFonts w:eastAsia="Times New Roman" w:cs="Times New Roman"/>
          <w:bCs/>
          <w:noProof w:val="0"/>
          <w:lang w:val="en-US" w:eastAsia="en-US"/>
        </w:rPr>
        <w:t>2</w:t>
      </w:r>
      <w:r w:rsidR="0019143D" w:rsidRPr="00AD04AB">
        <w:rPr>
          <w:rFonts w:eastAsia="Times New Roman" w:cs="Times New Roman"/>
          <w:bCs/>
          <w:noProof w:val="0"/>
          <w:lang w:val="en-US" w:eastAsia="en-US"/>
        </w:rPr>
        <w:t>%.</w:t>
      </w:r>
    </w:p>
    <w:p w14:paraId="3DB10F9F" w14:textId="54F62A42" w:rsidR="00E95B8E" w:rsidRDefault="00CB6AD4" w:rsidP="00E95B8E">
      <w:pPr>
        <w:pStyle w:val="Nagwek1"/>
        <w:rPr>
          <w:rFonts w:ascii="Fira Sans" w:hAnsi="Fira Sans"/>
          <w:b/>
          <w:szCs w:val="19"/>
        </w:rPr>
      </w:pPr>
      <w:r w:rsidRPr="00E231AB">
        <w:rPr>
          <w:shd w:val="clear" w:color="auto" w:fill="FFFFFF"/>
        </w:rPr>
        <w:br/>
      </w:r>
    </w:p>
    <w:p w14:paraId="312FD07A" w14:textId="69DB086F" w:rsidR="00325765" w:rsidRDefault="00325765" w:rsidP="00325765">
      <w:pPr>
        <w:rPr>
          <w:lang w:eastAsia="pl-PL"/>
        </w:rPr>
      </w:pPr>
      <w:r w:rsidRPr="005A49E3">
        <w:rPr>
          <w:shd w:val="clear" w:color="auto" w:fill="FFFFFF"/>
          <w:lang w:val="en-US"/>
        </w:rPr>
        <w:t xml:space="preserve">In </w:t>
      </w:r>
      <w:r w:rsidR="00557517">
        <w:rPr>
          <w:shd w:val="clear" w:color="auto" w:fill="FFFFFF"/>
          <w:lang w:val="en-US"/>
        </w:rPr>
        <w:t>February</w:t>
      </w:r>
      <w:r>
        <w:rPr>
          <w:shd w:val="clear" w:color="auto" w:fill="FFFFFF"/>
          <w:lang w:val="en-US"/>
        </w:rPr>
        <w:t xml:space="preserve"> </w:t>
      </w:r>
      <w:r w:rsidRPr="005A49E3">
        <w:rPr>
          <w:shd w:val="clear" w:color="auto" w:fill="FFFFFF"/>
          <w:lang w:val="en-US"/>
        </w:rPr>
        <w:t>202</w:t>
      </w:r>
      <w:r>
        <w:rPr>
          <w:shd w:val="clear" w:color="auto" w:fill="FFFFFF"/>
          <w:lang w:val="en-US"/>
        </w:rPr>
        <w:t>2</w:t>
      </w:r>
      <w:r w:rsidRPr="008246B1">
        <w:rPr>
          <w:shd w:val="clear" w:color="auto" w:fill="FFFFFF"/>
          <w:lang w:val="en-US"/>
        </w:rPr>
        <w:t xml:space="preserve"> in comparison </w:t>
      </w:r>
      <w:r w:rsidRPr="00227A3E">
        <w:rPr>
          <w:shd w:val="clear" w:color="auto" w:fill="FFFFFF"/>
          <w:lang w:val="en-US"/>
        </w:rPr>
        <w:t xml:space="preserve">with </w:t>
      </w:r>
      <w:r w:rsidR="00557517">
        <w:rPr>
          <w:shd w:val="clear" w:color="auto" w:fill="FFFFFF"/>
          <w:lang w:val="en-US"/>
        </w:rPr>
        <w:t xml:space="preserve">January </w:t>
      </w:r>
      <w:r w:rsidRPr="005A49E3">
        <w:rPr>
          <w:shd w:val="clear" w:color="auto" w:fill="FFFFFF"/>
          <w:lang w:val="en-US"/>
        </w:rPr>
        <w:t xml:space="preserve"> 202</w:t>
      </w:r>
      <w:r w:rsidR="00557517">
        <w:rPr>
          <w:shd w:val="clear" w:color="auto" w:fill="FFFFFF"/>
          <w:lang w:val="en-US"/>
        </w:rPr>
        <w:t>2</w:t>
      </w:r>
      <w:r>
        <w:rPr>
          <w:shd w:val="clear" w:color="auto" w:fill="FFFFFF"/>
          <w:lang w:val="en-US"/>
        </w:rPr>
        <w:t xml:space="preserve"> </w:t>
      </w:r>
      <w:r w:rsidRPr="008246B1">
        <w:rPr>
          <w:shd w:val="clear" w:color="auto" w:fill="FFFFFF"/>
          <w:lang w:val="en-US"/>
        </w:rPr>
        <w:t xml:space="preserve"> the growth of prices was recorded</w:t>
      </w:r>
      <w:r>
        <w:rPr>
          <w:shd w:val="clear" w:color="auto" w:fill="FFFFFF"/>
          <w:lang w:val="en-US"/>
        </w:rPr>
        <w:t xml:space="preserve">     </w:t>
      </w:r>
      <w:r w:rsidR="00557517">
        <w:rPr>
          <w:shd w:val="clear" w:color="auto" w:fill="FFFFFF"/>
          <w:lang w:val="en-US"/>
        </w:rPr>
        <w:t xml:space="preserve"> </w:t>
      </w:r>
      <w:r w:rsidR="00C9354D">
        <w:rPr>
          <w:shd w:val="clear" w:color="auto" w:fill="FFFFFF"/>
          <w:lang w:val="en-US"/>
        </w:rPr>
        <w:t xml:space="preserve">  </w:t>
      </w:r>
      <w:r>
        <w:rPr>
          <w:shd w:val="clear" w:color="auto" w:fill="FFFFFF"/>
          <w:lang w:val="en-US"/>
        </w:rPr>
        <w:t xml:space="preserve">   in </w:t>
      </w:r>
      <w:r w:rsidRPr="009565D5">
        <w:rPr>
          <w:shd w:val="clear" w:color="auto" w:fill="FFFFFF"/>
          <w:lang w:val="en-US"/>
        </w:rPr>
        <w:t>construction of buildings</w:t>
      </w:r>
      <w:r>
        <w:rPr>
          <w:shd w:val="clear" w:color="auto" w:fill="FFFFFF"/>
          <w:lang w:val="en-US"/>
        </w:rPr>
        <w:t xml:space="preserve">  </w:t>
      </w:r>
      <w:r w:rsidRPr="009565D5">
        <w:rPr>
          <w:shd w:val="clear" w:color="auto" w:fill="FFFFFF"/>
          <w:lang w:val="en-US"/>
        </w:rPr>
        <w:t>as well as in</w:t>
      </w:r>
      <w:r>
        <w:rPr>
          <w:shd w:val="clear" w:color="auto" w:fill="FFFFFF"/>
          <w:lang w:val="en-US"/>
        </w:rPr>
        <w:t xml:space="preserve"> </w:t>
      </w:r>
      <w:r w:rsidRPr="008246B1">
        <w:rPr>
          <w:shd w:val="clear" w:color="auto" w:fill="FFFFFF"/>
          <w:lang w:val="en-US"/>
        </w:rPr>
        <w:t xml:space="preserve">civil </w:t>
      </w:r>
      <w:r w:rsidRPr="00227A3E">
        <w:rPr>
          <w:shd w:val="clear" w:color="auto" w:fill="FFFFFF"/>
          <w:lang w:val="en-US"/>
        </w:rPr>
        <w:t xml:space="preserve">engineering </w:t>
      </w:r>
      <w:r w:rsidRPr="00276F15">
        <w:rPr>
          <w:shd w:val="clear" w:color="auto" w:fill="FFFFFF"/>
          <w:lang w:val="en-US"/>
        </w:rPr>
        <w:t>- by 1.</w:t>
      </w:r>
      <w:r w:rsidR="00276F15" w:rsidRPr="00276F15">
        <w:rPr>
          <w:shd w:val="clear" w:color="auto" w:fill="FFFFFF"/>
          <w:lang w:val="en-US"/>
        </w:rPr>
        <w:t>2</w:t>
      </w:r>
      <w:r w:rsidRPr="00276F15">
        <w:rPr>
          <w:shd w:val="clear" w:color="auto" w:fill="FFFFFF"/>
          <w:lang w:val="en-US"/>
        </w:rPr>
        <w:t>% each</w:t>
      </w:r>
      <w:r>
        <w:rPr>
          <w:shd w:val="clear" w:color="auto" w:fill="FFFFFF"/>
          <w:lang w:val="en-US"/>
        </w:rPr>
        <w:t xml:space="preserve"> and in </w:t>
      </w:r>
      <w:proofErr w:type="spellStart"/>
      <w:r w:rsidRPr="009565D5">
        <w:rPr>
          <w:shd w:val="clear" w:color="auto" w:fill="FFFFFF"/>
          <w:lang w:val="en-US"/>
        </w:rPr>
        <w:t>specialised</w:t>
      </w:r>
      <w:proofErr w:type="spellEnd"/>
      <w:r w:rsidRPr="009565D5">
        <w:rPr>
          <w:shd w:val="clear" w:color="auto" w:fill="FFFFFF"/>
          <w:lang w:val="en-US"/>
        </w:rPr>
        <w:t xml:space="preserve"> construction </w:t>
      </w:r>
      <w:r w:rsidRPr="00BE090E">
        <w:rPr>
          <w:shd w:val="clear" w:color="auto" w:fill="FFFFFF"/>
          <w:lang w:val="en-US"/>
        </w:rPr>
        <w:t xml:space="preserve">activities </w:t>
      </w:r>
      <w:r w:rsidRPr="00276F15">
        <w:rPr>
          <w:shd w:val="clear" w:color="auto" w:fill="FFFFFF"/>
          <w:lang w:val="en-US"/>
        </w:rPr>
        <w:t xml:space="preserve">- by </w:t>
      </w:r>
      <w:r w:rsidR="00184021" w:rsidRPr="00276F15">
        <w:rPr>
          <w:shd w:val="clear" w:color="auto" w:fill="FFFFFF"/>
          <w:lang w:val="en-US"/>
        </w:rPr>
        <w:t>1</w:t>
      </w:r>
      <w:r w:rsidRPr="00276F15">
        <w:rPr>
          <w:shd w:val="clear" w:color="auto" w:fill="FFFFFF"/>
          <w:lang w:val="en-US"/>
        </w:rPr>
        <w:t>.</w:t>
      </w:r>
      <w:r w:rsidR="00276F15" w:rsidRPr="00276F15">
        <w:rPr>
          <w:shd w:val="clear" w:color="auto" w:fill="FFFFFF"/>
          <w:lang w:val="en-US"/>
        </w:rPr>
        <w:t>1</w:t>
      </w:r>
      <w:r w:rsidRPr="00276F15">
        <w:rPr>
          <w:shd w:val="clear" w:color="auto" w:fill="FFFFFF"/>
          <w:lang w:val="en-US"/>
        </w:rPr>
        <w:t>%.</w:t>
      </w:r>
    </w:p>
    <w:p w14:paraId="5A0C7231" w14:textId="4B819DEA" w:rsidR="00325765" w:rsidRDefault="00325765" w:rsidP="00325765">
      <w:pPr>
        <w:rPr>
          <w:shd w:val="clear" w:color="auto" w:fill="FFFFFF"/>
          <w:lang w:val="en-US"/>
        </w:rPr>
      </w:pPr>
      <w:r w:rsidRPr="00F65A00">
        <w:rPr>
          <w:shd w:val="clear" w:color="auto" w:fill="FFFFFF"/>
          <w:lang w:val="en-US"/>
        </w:rPr>
        <w:t xml:space="preserve">In comparison with </w:t>
      </w:r>
      <w:r w:rsidR="00557517">
        <w:rPr>
          <w:shd w:val="clear" w:color="auto" w:fill="FFFFFF"/>
          <w:lang w:val="en-US"/>
        </w:rPr>
        <w:t>February</w:t>
      </w:r>
      <w:r w:rsidRPr="00F65A00">
        <w:rPr>
          <w:shd w:val="clear" w:color="auto" w:fill="FFFFFF"/>
          <w:lang w:val="en-US"/>
        </w:rPr>
        <w:t xml:space="preserve"> 202</w:t>
      </w:r>
      <w:r>
        <w:rPr>
          <w:shd w:val="clear" w:color="auto" w:fill="FFFFFF"/>
          <w:lang w:val="en-US"/>
        </w:rPr>
        <w:t>1  the increase</w:t>
      </w:r>
      <w:r w:rsidRPr="007D298F">
        <w:rPr>
          <w:shd w:val="clear" w:color="auto" w:fill="FFFFFF"/>
          <w:lang w:val="en-US"/>
        </w:rPr>
        <w:t xml:space="preserve"> of prices was </w:t>
      </w:r>
      <w:r>
        <w:rPr>
          <w:shd w:val="clear" w:color="auto" w:fill="FFFFFF"/>
          <w:lang w:val="en-US"/>
        </w:rPr>
        <w:t xml:space="preserve">noticed </w:t>
      </w:r>
      <w:r w:rsidRPr="007D298F">
        <w:rPr>
          <w:shd w:val="clear" w:color="auto" w:fill="FFFFFF"/>
          <w:lang w:val="en-US"/>
        </w:rPr>
        <w:t>in construction</w:t>
      </w:r>
      <w:r>
        <w:rPr>
          <w:shd w:val="clear" w:color="auto" w:fill="FFFFFF"/>
          <w:lang w:val="en-US"/>
        </w:rPr>
        <w:t xml:space="preserve"> </w:t>
      </w:r>
      <w:r w:rsidR="00CF304D">
        <w:rPr>
          <w:shd w:val="clear" w:color="auto" w:fill="FFFFFF"/>
          <w:lang w:val="en-US"/>
        </w:rPr>
        <w:t xml:space="preserve">           </w:t>
      </w:r>
      <w:r w:rsidRPr="007D298F">
        <w:rPr>
          <w:shd w:val="clear" w:color="auto" w:fill="FFFFFF"/>
          <w:lang w:val="en-US"/>
        </w:rPr>
        <w:t xml:space="preserve">of </w:t>
      </w:r>
      <w:r w:rsidRPr="00F92D4C">
        <w:rPr>
          <w:shd w:val="clear" w:color="auto" w:fill="FFFFFF"/>
          <w:lang w:val="en-US"/>
        </w:rPr>
        <w:t>buildings</w:t>
      </w:r>
      <w:r>
        <w:rPr>
          <w:shd w:val="clear" w:color="auto" w:fill="FFFFFF"/>
          <w:lang w:val="en-US"/>
        </w:rPr>
        <w:t xml:space="preserve"> </w:t>
      </w:r>
      <w:r w:rsidRPr="00276F15">
        <w:rPr>
          <w:shd w:val="clear" w:color="auto" w:fill="FFFFFF"/>
          <w:lang w:val="en-US"/>
        </w:rPr>
        <w:t xml:space="preserve">by </w:t>
      </w:r>
      <w:r w:rsidR="00276F15" w:rsidRPr="00276F15">
        <w:rPr>
          <w:shd w:val="clear" w:color="auto" w:fill="FFFFFF"/>
          <w:lang w:val="en-US"/>
        </w:rPr>
        <w:t>9</w:t>
      </w:r>
      <w:r w:rsidRPr="00276F15">
        <w:rPr>
          <w:shd w:val="clear" w:color="auto" w:fill="FFFFFF"/>
          <w:lang w:val="en-US"/>
        </w:rPr>
        <w:t>.</w:t>
      </w:r>
      <w:r w:rsidR="0085534A" w:rsidRPr="00276F15">
        <w:rPr>
          <w:shd w:val="clear" w:color="auto" w:fill="FFFFFF"/>
          <w:lang w:val="en-US"/>
        </w:rPr>
        <w:t>7</w:t>
      </w:r>
      <w:r w:rsidRPr="00276F15">
        <w:rPr>
          <w:shd w:val="clear" w:color="auto" w:fill="FFFFFF"/>
          <w:lang w:val="en-US"/>
        </w:rPr>
        <w:t>%,</w:t>
      </w:r>
      <w:r w:rsidRPr="00F65A00">
        <w:rPr>
          <w:shd w:val="clear" w:color="auto" w:fill="FFFFFF"/>
          <w:lang w:val="en-US"/>
        </w:rPr>
        <w:t xml:space="preserve"> </w:t>
      </w:r>
      <w:r>
        <w:rPr>
          <w:shd w:val="clear" w:color="auto" w:fill="FFFFFF"/>
          <w:lang w:val="en-US"/>
        </w:rPr>
        <w:t xml:space="preserve">in </w:t>
      </w:r>
      <w:r w:rsidRPr="004C60A2">
        <w:rPr>
          <w:shd w:val="clear" w:color="auto" w:fill="FFFFFF"/>
          <w:lang w:val="en-US"/>
        </w:rPr>
        <w:t>civil</w:t>
      </w:r>
      <w:r w:rsidRPr="007D298F">
        <w:rPr>
          <w:shd w:val="clear" w:color="auto" w:fill="FFFFFF"/>
          <w:lang w:val="en-US"/>
        </w:rPr>
        <w:t xml:space="preserve"> </w:t>
      </w:r>
      <w:r w:rsidRPr="001A480F">
        <w:rPr>
          <w:shd w:val="clear" w:color="auto" w:fill="FFFFFF"/>
          <w:lang w:val="en-US"/>
        </w:rPr>
        <w:t xml:space="preserve">engineering </w:t>
      </w:r>
      <w:r w:rsidRPr="00276F15">
        <w:rPr>
          <w:shd w:val="clear" w:color="auto" w:fill="FFFFFF"/>
          <w:lang w:val="en-US"/>
        </w:rPr>
        <w:t xml:space="preserve">- by </w:t>
      </w:r>
      <w:r w:rsidR="00276F15" w:rsidRPr="00276F15">
        <w:rPr>
          <w:shd w:val="clear" w:color="auto" w:fill="FFFFFF"/>
          <w:lang w:val="en-US"/>
        </w:rPr>
        <w:t>9</w:t>
      </w:r>
      <w:r w:rsidRPr="00276F15">
        <w:rPr>
          <w:shd w:val="clear" w:color="auto" w:fill="FFFFFF"/>
          <w:lang w:val="en-US"/>
        </w:rPr>
        <w:t>.</w:t>
      </w:r>
      <w:r w:rsidR="00276F15" w:rsidRPr="00276F15">
        <w:rPr>
          <w:shd w:val="clear" w:color="auto" w:fill="FFFFFF"/>
          <w:lang w:val="en-US"/>
        </w:rPr>
        <w:t>6</w:t>
      </w:r>
      <w:r w:rsidRPr="00276F15">
        <w:rPr>
          <w:shd w:val="clear" w:color="auto" w:fill="FFFFFF"/>
          <w:lang w:val="en-US"/>
        </w:rPr>
        <w:t>%</w:t>
      </w:r>
      <w:r>
        <w:rPr>
          <w:shd w:val="clear" w:color="auto" w:fill="FFFFFF"/>
          <w:lang w:val="en-US"/>
        </w:rPr>
        <w:t xml:space="preserve"> as well as in </w:t>
      </w:r>
      <w:proofErr w:type="spellStart"/>
      <w:r w:rsidRPr="007D298F">
        <w:rPr>
          <w:shd w:val="clear" w:color="auto" w:fill="FFFFFF"/>
          <w:lang w:val="en-US"/>
        </w:rPr>
        <w:t>specialised</w:t>
      </w:r>
      <w:proofErr w:type="spellEnd"/>
      <w:r w:rsidRPr="007D298F">
        <w:rPr>
          <w:shd w:val="clear" w:color="auto" w:fill="FFFFFF"/>
          <w:lang w:val="en-US"/>
        </w:rPr>
        <w:t xml:space="preserve"> construction</w:t>
      </w:r>
      <w:r>
        <w:rPr>
          <w:shd w:val="clear" w:color="auto" w:fill="FFFFFF"/>
          <w:lang w:val="en-US"/>
        </w:rPr>
        <w:t xml:space="preserve">  </w:t>
      </w:r>
      <w:r w:rsidRPr="0085534A">
        <w:rPr>
          <w:shd w:val="clear" w:color="auto" w:fill="FFFFFF"/>
          <w:lang w:val="en-US"/>
        </w:rPr>
        <w:t>activities</w:t>
      </w:r>
      <w:r w:rsidR="00995124">
        <w:rPr>
          <w:shd w:val="clear" w:color="auto" w:fill="FFFFFF"/>
          <w:lang w:val="en-US"/>
        </w:rPr>
        <w:t xml:space="preserve">  </w:t>
      </w:r>
      <w:r w:rsidRPr="00276F15">
        <w:rPr>
          <w:shd w:val="clear" w:color="auto" w:fill="FFFFFF"/>
          <w:lang w:val="en-US"/>
        </w:rPr>
        <w:t>- by </w:t>
      </w:r>
      <w:r w:rsidR="00276F15" w:rsidRPr="00276F15">
        <w:rPr>
          <w:shd w:val="clear" w:color="auto" w:fill="FFFFFF"/>
          <w:lang w:val="en-US"/>
        </w:rPr>
        <w:t>8</w:t>
      </w:r>
      <w:r w:rsidRPr="00276F15">
        <w:rPr>
          <w:shd w:val="clear" w:color="auto" w:fill="FFFFFF"/>
          <w:lang w:val="en-US"/>
        </w:rPr>
        <w:t>.5%.</w:t>
      </w:r>
    </w:p>
    <w:p w14:paraId="7C36352D" w14:textId="67D146B5" w:rsidR="00E95B8E" w:rsidRDefault="00557517" w:rsidP="00F049AB">
      <w:pPr>
        <w:pStyle w:val="Tytutablicy"/>
        <w:rPr>
          <w:shd w:val="clear" w:color="auto" w:fill="FFFFFF"/>
          <w:lang w:val="en-US"/>
        </w:rPr>
      </w:pPr>
      <w:proofErr w:type="spellStart"/>
      <w:r>
        <w:rPr>
          <w:shd w:val="clear" w:color="auto" w:fill="FFFFFF"/>
          <w:lang w:val="en-US"/>
        </w:rPr>
        <w:t>Tab</w:t>
      </w:r>
      <w:r w:rsidR="00325765" w:rsidRPr="00442A25">
        <w:rPr>
          <w:shd w:val="clear" w:color="auto" w:fill="FFFFFF"/>
          <w:lang w:val="en-US"/>
        </w:rPr>
        <w:t>e</w:t>
      </w:r>
      <w:proofErr w:type="spellEnd"/>
      <w:r w:rsidR="00325765" w:rsidRPr="00442A25">
        <w:rPr>
          <w:shd w:val="clear" w:color="auto" w:fill="FFFFFF"/>
          <w:lang w:val="en-US"/>
        </w:rPr>
        <w:t xml:space="preserve"> 1</w:t>
      </w:r>
      <w:r w:rsidR="00325765" w:rsidRPr="000740AC">
        <w:rPr>
          <w:shd w:val="clear" w:color="auto" w:fill="FFFFFF"/>
          <w:lang w:val="en-US"/>
        </w:rPr>
        <w:t xml:space="preserve">. Price indices of construction and assembly  </w:t>
      </w:r>
      <w:r w:rsidR="00325765" w:rsidRPr="00080B2A">
        <w:rPr>
          <w:shd w:val="clear" w:color="auto" w:fill="FFFFFF"/>
          <w:lang w:val="en-US"/>
        </w:rPr>
        <w:t xml:space="preserve">production </w:t>
      </w:r>
      <w:r w:rsidR="00325765" w:rsidRPr="00476C99">
        <w:rPr>
          <w:shd w:val="clear" w:color="auto" w:fill="FFFFFF"/>
          <w:lang w:val="en-US"/>
        </w:rPr>
        <w:t xml:space="preserve">in </w:t>
      </w:r>
      <w:r>
        <w:rPr>
          <w:shd w:val="clear" w:color="auto" w:fill="FFFFFF"/>
          <w:lang w:val="en-US"/>
        </w:rPr>
        <w:t xml:space="preserve">February </w:t>
      </w:r>
      <w:r w:rsidR="00325765" w:rsidRPr="00476C99">
        <w:rPr>
          <w:shd w:val="clear" w:color="auto" w:fill="FFFFFF"/>
          <w:lang w:val="en-US"/>
        </w:rPr>
        <w:t xml:space="preserve"> 202</w:t>
      </w:r>
      <w:r w:rsidR="00325765">
        <w:rPr>
          <w:shd w:val="clear" w:color="auto" w:fill="FFFFFF"/>
          <w:lang w:val="en-US"/>
        </w:rPr>
        <w:t>2</w:t>
      </w:r>
    </w:p>
    <w:tbl>
      <w:tblPr>
        <w:tblStyle w:val="Tabela-Siatka"/>
        <w:tblpPr w:leftFromText="141" w:rightFromText="141" w:vertAnchor="text" w:horzAnchor="margin" w:tblpY="182"/>
        <w:tblW w:w="0" w:type="auto"/>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Caption w:val="Price indices of construction and assembly  production in February  2022"/>
        <w:tblDescription w:val="Price indices of construction and assembly  production in various reference periods: January 2022 to December 2021, January 2022 to the corresponding period of the previous year, i.e. January 2021, February 2022 to the corresponding period of the previous year, i.e. February 2021, February 2022 to January 2022, February 2022 to December 2021, cumulatively January - February 2022 to January - February 2021.&#10;"/>
      </w:tblPr>
      <w:tblGrid>
        <w:gridCol w:w="2194"/>
        <w:gridCol w:w="953"/>
        <w:gridCol w:w="953"/>
        <w:gridCol w:w="953"/>
        <w:gridCol w:w="953"/>
        <w:gridCol w:w="953"/>
        <w:gridCol w:w="979"/>
      </w:tblGrid>
      <w:tr w:rsidR="00557517" w:rsidRPr="00C84A7C" w14:paraId="108FF67A" w14:textId="77777777" w:rsidTr="00557517">
        <w:tc>
          <w:tcPr>
            <w:tcW w:w="2194" w:type="dxa"/>
          </w:tcPr>
          <w:p w14:paraId="250CA399" w14:textId="77777777" w:rsidR="00557517" w:rsidRPr="00442A25" w:rsidRDefault="00557517" w:rsidP="00A83631">
            <w:pPr>
              <w:rPr>
                <w:shd w:val="clear" w:color="auto" w:fill="FFFFFF"/>
                <w:lang w:val="en-US"/>
              </w:rPr>
            </w:pPr>
          </w:p>
        </w:tc>
        <w:tc>
          <w:tcPr>
            <w:tcW w:w="1906" w:type="dxa"/>
            <w:gridSpan w:val="2"/>
          </w:tcPr>
          <w:p w14:paraId="70ECE7CA" w14:textId="170FE9CF" w:rsidR="00557517" w:rsidRDefault="00557517" w:rsidP="00557517">
            <w:pPr>
              <w:jc w:val="center"/>
              <w:rPr>
                <w:shd w:val="clear" w:color="auto" w:fill="FFFFFF"/>
              </w:rPr>
            </w:pPr>
            <w:r>
              <w:rPr>
                <w:color w:val="000000" w:themeColor="text1"/>
                <w:sz w:val="16"/>
                <w:szCs w:val="16"/>
              </w:rPr>
              <w:t>01</w:t>
            </w:r>
            <w:r w:rsidRPr="00FA5128">
              <w:rPr>
                <w:color w:val="000000" w:themeColor="text1"/>
                <w:sz w:val="16"/>
                <w:szCs w:val="16"/>
              </w:rPr>
              <w:t xml:space="preserve"> 20</w:t>
            </w:r>
            <w:r>
              <w:rPr>
                <w:color w:val="000000" w:themeColor="text1"/>
                <w:sz w:val="16"/>
                <w:szCs w:val="16"/>
              </w:rPr>
              <w:t>22</w:t>
            </w:r>
          </w:p>
        </w:tc>
        <w:tc>
          <w:tcPr>
            <w:tcW w:w="2859" w:type="dxa"/>
            <w:gridSpan w:val="3"/>
          </w:tcPr>
          <w:p w14:paraId="4B852DF6" w14:textId="08E621DE" w:rsidR="00557517" w:rsidRDefault="00557517" w:rsidP="00557517">
            <w:pPr>
              <w:jc w:val="center"/>
              <w:rPr>
                <w:shd w:val="clear" w:color="auto" w:fill="FFFFFF"/>
              </w:rPr>
            </w:pPr>
            <w:r>
              <w:rPr>
                <w:color w:val="000000" w:themeColor="text1"/>
                <w:sz w:val="16"/>
                <w:szCs w:val="16"/>
              </w:rPr>
              <w:t>02</w:t>
            </w:r>
            <w:r w:rsidRPr="00FA5128">
              <w:rPr>
                <w:color w:val="000000" w:themeColor="text1"/>
                <w:sz w:val="16"/>
                <w:szCs w:val="16"/>
              </w:rPr>
              <w:t xml:space="preserve"> 20</w:t>
            </w:r>
            <w:r>
              <w:rPr>
                <w:color w:val="000000" w:themeColor="text1"/>
                <w:sz w:val="16"/>
                <w:szCs w:val="16"/>
              </w:rPr>
              <w:t>22</w:t>
            </w:r>
          </w:p>
        </w:tc>
        <w:tc>
          <w:tcPr>
            <w:tcW w:w="979" w:type="dxa"/>
          </w:tcPr>
          <w:p w14:paraId="4F4120B1" w14:textId="44DD80CE" w:rsidR="00557517" w:rsidRPr="00C84A7C" w:rsidRDefault="00557517" w:rsidP="00557517">
            <w:pPr>
              <w:jc w:val="center"/>
              <w:rPr>
                <w:color w:val="000000" w:themeColor="text1"/>
                <w:sz w:val="16"/>
                <w:szCs w:val="16"/>
              </w:rPr>
            </w:pPr>
            <w:r>
              <w:rPr>
                <w:color w:val="000000" w:themeColor="text1"/>
                <w:sz w:val="16"/>
                <w:szCs w:val="16"/>
              </w:rPr>
              <w:t xml:space="preserve">01-02 </w:t>
            </w:r>
            <w:r w:rsidRPr="00C84A7C">
              <w:rPr>
                <w:color w:val="000000" w:themeColor="text1"/>
                <w:sz w:val="16"/>
                <w:szCs w:val="16"/>
              </w:rPr>
              <w:t>20</w:t>
            </w:r>
            <w:r>
              <w:rPr>
                <w:color w:val="000000" w:themeColor="text1"/>
                <w:sz w:val="16"/>
                <w:szCs w:val="16"/>
              </w:rPr>
              <w:t>22</w:t>
            </w:r>
          </w:p>
        </w:tc>
      </w:tr>
      <w:tr w:rsidR="00557517" w:rsidRPr="00C84A7C" w14:paraId="28E52948" w14:textId="77777777" w:rsidTr="00557517">
        <w:tc>
          <w:tcPr>
            <w:tcW w:w="2194" w:type="dxa"/>
            <w:tcBorders>
              <w:bottom w:val="single" w:sz="12" w:space="0" w:color="001D77"/>
            </w:tcBorders>
          </w:tcPr>
          <w:p w14:paraId="7DEF676E" w14:textId="77777777" w:rsidR="00557517" w:rsidRDefault="00557517" w:rsidP="00A83631">
            <w:pPr>
              <w:rPr>
                <w:shd w:val="clear" w:color="auto" w:fill="FFFFFF"/>
              </w:rPr>
            </w:pPr>
            <w:r>
              <w:rPr>
                <w:rFonts w:cs="Arial"/>
                <w:color w:val="000000" w:themeColor="text1"/>
                <w:sz w:val="16"/>
                <w:szCs w:val="16"/>
              </w:rPr>
              <w:t xml:space="preserve"> SPECIFICATION</w:t>
            </w:r>
          </w:p>
        </w:tc>
        <w:tc>
          <w:tcPr>
            <w:tcW w:w="953" w:type="dxa"/>
            <w:tcBorders>
              <w:bottom w:val="single" w:sz="12" w:space="0" w:color="001D77"/>
            </w:tcBorders>
            <w:vAlign w:val="center"/>
          </w:tcPr>
          <w:p w14:paraId="645FE13E" w14:textId="0B48475D" w:rsidR="00557517" w:rsidRPr="00903C15" w:rsidRDefault="00557517" w:rsidP="00557517">
            <w:pPr>
              <w:rPr>
                <w:spacing w:val="-12"/>
                <w:sz w:val="15"/>
                <w:szCs w:val="15"/>
                <w:shd w:val="clear" w:color="auto" w:fill="FFFFFF"/>
              </w:rPr>
            </w:pPr>
            <w:r>
              <w:rPr>
                <w:color w:val="000000" w:themeColor="text1"/>
                <w:spacing w:val="-12"/>
                <w:sz w:val="15"/>
                <w:szCs w:val="15"/>
              </w:rPr>
              <w:t xml:space="preserve">12 </w:t>
            </w:r>
            <w:r w:rsidRPr="00903C15">
              <w:rPr>
                <w:color w:val="000000" w:themeColor="text1"/>
                <w:spacing w:val="-12"/>
                <w:sz w:val="15"/>
                <w:szCs w:val="15"/>
              </w:rPr>
              <w:t xml:space="preserve"> 202</w:t>
            </w:r>
            <w:r>
              <w:rPr>
                <w:color w:val="000000" w:themeColor="text1"/>
                <w:spacing w:val="-12"/>
                <w:sz w:val="15"/>
                <w:szCs w:val="15"/>
              </w:rPr>
              <w:t>1</w:t>
            </w:r>
            <w:r w:rsidRPr="00903C15">
              <w:rPr>
                <w:color w:val="000000" w:themeColor="text1"/>
                <w:spacing w:val="-12"/>
                <w:sz w:val="15"/>
                <w:szCs w:val="15"/>
              </w:rPr>
              <w:t>=100</w:t>
            </w:r>
          </w:p>
        </w:tc>
        <w:tc>
          <w:tcPr>
            <w:tcW w:w="1906" w:type="dxa"/>
            <w:gridSpan w:val="2"/>
            <w:tcBorders>
              <w:bottom w:val="single" w:sz="12" w:space="0" w:color="001D77"/>
            </w:tcBorders>
          </w:tcPr>
          <w:p w14:paraId="4D50F225" w14:textId="2D36D558" w:rsidR="00557517" w:rsidRDefault="00557517" w:rsidP="00557517">
            <w:pPr>
              <w:jc w:val="center"/>
              <w:rPr>
                <w:shd w:val="clear" w:color="auto" w:fill="FFFFFF"/>
              </w:rPr>
            </w:pPr>
            <w:proofErr w:type="spellStart"/>
            <w:r w:rsidRPr="0090601B">
              <w:rPr>
                <w:color w:val="000000" w:themeColor="text1"/>
                <w:sz w:val="16"/>
                <w:szCs w:val="16"/>
              </w:rPr>
              <w:t>corresponding</w:t>
            </w:r>
            <w:proofErr w:type="spellEnd"/>
            <w:r w:rsidRPr="0090601B">
              <w:rPr>
                <w:color w:val="000000" w:themeColor="text1"/>
                <w:sz w:val="16"/>
                <w:szCs w:val="16"/>
              </w:rPr>
              <w:t xml:space="preserve"> period  </w:t>
            </w:r>
            <w:r w:rsidRPr="00FA5128">
              <w:rPr>
                <w:color w:val="000000" w:themeColor="text1"/>
                <w:sz w:val="16"/>
                <w:szCs w:val="16"/>
              </w:rPr>
              <w:t>20</w:t>
            </w:r>
            <w:r>
              <w:rPr>
                <w:color w:val="000000" w:themeColor="text1"/>
                <w:sz w:val="16"/>
                <w:szCs w:val="16"/>
              </w:rPr>
              <w:t>21=100</w:t>
            </w:r>
          </w:p>
        </w:tc>
        <w:tc>
          <w:tcPr>
            <w:tcW w:w="953" w:type="dxa"/>
            <w:tcBorders>
              <w:bottom w:val="single" w:sz="12" w:space="0" w:color="001D77"/>
            </w:tcBorders>
            <w:vAlign w:val="center"/>
          </w:tcPr>
          <w:p w14:paraId="3566617D" w14:textId="45DAC299" w:rsidR="00557517" w:rsidRPr="00D97063" w:rsidRDefault="00557517" w:rsidP="00225E2D">
            <w:pPr>
              <w:rPr>
                <w:color w:val="000000" w:themeColor="text1"/>
                <w:spacing w:val="-12"/>
                <w:sz w:val="16"/>
                <w:szCs w:val="16"/>
              </w:rPr>
            </w:pPr>
            <w:r>
              <w:rPr>
                <w:color w:val="000000" w:themeColor="text1"/>
                <w:spacing w:val="-12"/>
                <w:sz w:val="16"/>
                <w:szCs w:val="16"/>
              </w:rPr>
              <w:t xml:space="preserve">01 </w:t>
            </w:r>
            <w:r w:rsidRPr="00D97063">
              <w:rPr>
                <w:color w:val="000000" w:themeColor="text1"/>
                <w:spacing w:val="-12"/>
                <w:sz w:val="16"/>
                <w:szCs w:val="16"/>
              </w:rPr>
              <w:t>20</w:t>
            </w:r>
            <w:r>
              <w:rPr>
                <w:color w:val="000000" w:themeColor="text1"/>
                <w:spacing w:val="-12"/>
                <w:sz w:val="16"/>
                <w:szCs w:val="16"/>
              </w:rPr>
              <w:t>2</w:t>
            </w:r>
            <w:r w:rsidR="00225E2D">
              <w:rPr>
                <w:color w:val="000000" w:themeColor="text1"/>
                <w:spacing w:val="-12"/>
                <w:sz w:val="16"/>
                <w:szCs w:val="16"/>
              </w:rPr>
              <w:t>2</w:t>
            </w:r>
            <w:r w:rsidRPr="00D97063">
              <w:rPr>
                <w:color w:val="000000" w:themeColor="text1"/>
                <w:spacing w:val="-12"/>
                <w:sz w:val="16"/>
                <w:szCs w:val="16"/>
              </w:rPr>
              <w:t>=100</w:t>
            </w:r>
          </w:p>
        </w:tc>
        <w:tc>
          <w:tcPr>
            <w:tcW w:w="953" w:type="dxa"/>
            <w:tcBorders>
              <w:bottom w:val="single" w:sz="12" w:space="0" w:color="001D77"/>
            </w:tcBorders>
            <w:vAlign w:val="center"/>
          </w:tcPr>
          <w:p w14:paraId="33B6CF67" w14:textId="6C7BAF79" w:rsidR="00557517" w:rsidRPr="00903C15" w:rsidRDefault="00557517" w:rsidP="00557517">
            <w:pPr>
              <w:rPr>
                <w:color w:val="000000" w:themeColor="text1"/>
                <w:spacing w:val="-12"/>
                <w:sz w:val="15"/>
                <w:szCs w:val="15"/>
              </w:rPr>
            </w:pPr>
            <w:r>
              <w:rPr>
                <w:color w:val="000000" w:themeColor="text1"/>
                <w:spacing w:val="-12"/>
                <w:sz w:val="15"/>
                <w:szCs w:val="15"/>
              </w:rPr>
              <w:t>12</w:t>
            </w:r>
            <w:r w:rsidRPr="00903C15">
              <w:rPr>
                <w:color w:val="000000" w:themeColor="text1"/>
                <w:spacing w:val="-12"/>
                <w:sz w:val="15"/>
                <w:szCs w:val="15"/>
              </w:rPr>
              <w:t xml:space="preserve"> 202</w:t>
            </w:r>
            <w:r>
              <w:rPr>
                <w:color w:val="000000" w:themeColor="text1"/>
                <w:spacing w:val="-12"/>
                <w:sz w:val="15"/>
                <w:szCs w:val="15"/>
              </w:rPr>
              <w:t>1</w:t>
            </w:r>
            <w:r w:rsidRPr="00903C15">
              <w:rPr>
                <w:color w:val="000000" w:themeColor="text1"/>
                <w:spacing w:val="-12"/>
                <w:sz w:val="15"/>
                <w:szCs w:val="15"/>
              </w:rPr>
              <w:t>=100</w:t>
            </w:r>
          </w:p>
        </w:tc>
        <w:tc>
          <w:tcPr>
            <w:tcW w:w="979" w:type="dxa"/>
            <w:tcBorders>
              <w:bottom w:val="single" w:sz="12" w:space="0" w:color="001D77"/>
            </w:tcBorders>
          </w:tcPr>
          <w:p w14:paraId="073F77D7" w14:textId="44C94511" w:rsidR="00557517" w:rsidRPr="00C84A7C" w:rsidRDefault="00557517" w:rsidP="00557517">
            <w:pPr>
              <w:jc w:val="center"/>
              <w:rPr>
                <w:color w:val="000000" w:themeColor="text1"/>
                <w:sz w:val="16"/>
                <w:szCs w:val="16"/>
              </w:rPr>
            </w:pPr>
            <w:r>
              <w:rPr>
                <w:color w:val="000000" w:themeColor="text1"/>
                <w:sz w:val="16"/>
                <w:szCs w:val="16"/>
              </w:rPr>
              <w:t>01-02 2021=100</w:t>
            </w:r>
          </w:p>
        </w:tc>
      </w:tr>
      <w:tr w:rsidR="00C61A8B" w:rsidRPr="00426503" w14:paraId="28F953D6" w14:textId="77777777" w:rsidTr="00557517">
        <w:tc>
          <w:tcPr>
            <w:tcW w:w="2194" w:type="dxa"/>
          </w:tcPr>
          <w:p w14:paraId="7A6D6F24" w14:textId="77777777" w:rsidR="00C61A8B" w:rsidRDefault="00C61A8B" w:rsidP="00C61A8B">
            <w:pPr>
              <w:rPr>
                <w:shd w:val="clear" w:color="auto" w:fill="FFFFFF"/>
              </w:rPr>
            </w:pPr>
            <w:r>
              <w:rPr>
                <w:b/>
                <w:color w:val="000000" w:themeColor="text1"/>
                <w:sz w:val="16"/>
                <w:szCs w:val="16"/>
              </w:rPr>
              <w:t>TOTAL</w:t>
            </w:r>
          </w:p>
        </w:tc>
        <w:tc>
          <w:tcPr>
            <w:tcW w:w="953" w:type="dxa"/>
            <w:vAlign w:val="center"/>
          </w:tcPr>
          <w:p w14:paraId="534DBCED" w14:textId="572567CC" w:rsidR="00C61A8B" w:rsidRPr="00557517" w:rsidRDefault="00C61A8B" w:rsidP="000D1429">
            <w:pPr>
              <w:jc w:val="right"/>
              <w:rPr>
                <w:rFonts w:cs="Arial"/>
                <w:b/>
                <w:color w:val="000000" w:themeColor="text1"/>
                <w:sz w:val="16"/>
                <w:szCs w:val="16"/>
                <w:highlight w:val="yellow"/>
              </w:rPr>
            </w:pPr>
            <w:r w:rsidRPr="00290187">
              <w:rPr>
                <w:rFonts w:cs="Arial"/>
                <w:b/>
                <w:color w:val="000000" w:themeColor="text1"/>
                <w:sz w:val="16"/>
                <w:szCs w:val="16"/>
              </w:rPr>
              <w:t>101</w:t>
            </w:r>
            <w:r w:rsidR="000D1429">
              <w:rPr>
                <w:rFonts w:cs="Arial"/>
                <w:b/>
                <w:color w:val="000000" w:themeColor="text1"/>
                <w:sz w:val="16"/>
                <w:szCs w:val="16"/>
              </w:rPr>
              <w:t>.</w:t>
            </w:r>
            <w:r w:rsidRPr="00290187">
              <w:rPr>
                <w:rFonts w:cs="Arial"/>
                <w:b/>
                <w:color w:val="000000" w:themeColor="text1"/>
                <w:sz w:val="16"/>
                <w:szCs w:val="16"/>
              </w:rPr>
              <w:t>1</w:t>
            </w:r>
          </w:p>
        </w:tc>
        <w:tc>
          <w:tcPr>
            <w:tcW w:w="953" w:type="dxa"/>
            <w:vAlign w:val="center"/>
          </w:tcPr>
          <w:p w14:paraId="6855ABE2" w14:textId="529D47C5" w:rsidR="00C61A8B" w:rsidRPr="00557517" w:rsidRDefault="00C61A8B" w:rsidP="000D1429">
            <w:pPr>
              <w:jc w:val="right"/>
              <w:rPr>
                <w:rFonts w:cs="Arial"/>
                <w:b/>
                <w:color w:val="000000" w:themeColor="text1"/>
                <w:sz w:val="16"/>
                <w:szCs w:val="16"/>
                <w:highlight w:val="yellow"/>
              </w:rPr>
            </w:pPr>
            <w:r w:rsidRPr="00FE3A19">
              <w:rPr>
                <w:rFonts w:cs="Arial"/>
                <w:b/>
                <w:color w:val="000000" w:themeColor="text1"/>
                <w:sz w:val="16"/>
                <w:szCs w:val="16"/>
              </w:rPr>
              <w:t>108</w:t>
            </w:r>
            <w:r w:rsidR="000D1429">
              <w:rPr>
                <w:rFonts w:cs="Arial"/>
                <w:b/>
                <w:color w:val="000000" w:themeColor="text1"/>
                <w:sz w:val="16"/>
                <w:szCs w:val="16"/>
              </w:rPr>
              <w:t>.</w:t>
            </w:r>
            <w:r w:rsidRPr="00FE3A19">
              <w:rPr>
                <w:rFonts w:cs="Arial"/>
                <w:b/>
                <w:color w:val="000000" w:themeColor="text1"/>
                <w:sz w:val="16"/>
                <w:szCs w:val="16"/>
              </w:rPr>
              <w:t>3</w:t>
            </w:r>
          </w:p>
        </w:tc>
        <w:tc>
          <w:tcPr>
            <w:tcW w:w="953" w:type="dxa"/>
            <w:vAlign w:val="center"/>
          </w:tcPr>
          <w:p w14:paraId="39AFEA7F" w14:textId="3948D505" w:rsidR="00C61A8B" w:rsidRPr="00557517" w:rsidRDefault="00C61A8B" w:rsidP="000D1429">
            <w:pPr>
              <w:jc w:val="right"/>
              <w:rPr>
                <w:rFonts w:cs="Arial"/>
                <w:b/>
                <w:color w:val="000000" w:themeColor="text1"/>
                <w:sz w:val="16"/>
                <w:szCs w:val="16"/>
                <w:highlight w:val="yellow"/>
              </w:rPr>
            </w:pPr>
            <w:r w:rsidRPr="00CB3239">
              <w:rPr>
                <w:rFonts w:cs="Arial"/>
                <w:b/>
                <w:color w:val="000000" w:themeColor="text1"/>
                <w:sz w:val="16"/>
                <w:szCs w:val="16"/>
              </w:rPr>
              <w:t>109</w:t>
            </w:r>
            <w:r w:rsidR="000D1429">
              <w:rPr>
                <w:rFonts w:cs="Arial"/>
                <w:b/>
                <w:color w:val="000000" w:themeColor="text1"/>
                <w:sz w:val="16"/>
                <w:szCs w:val="16"/>
              </w:rPr>
              <w:t>.</w:t>
            </w:r>
            <w:r w:rsidRPr="00CB3239">
              <w:rPr>
                <w:rFonts w:cs="Arial"/>
                <w:b/>
                <w:color w:val="000000" w:themeColor="text1"/>
                <w:sz w:val="16"/>
                <w:szCs w:val="16"/>
              </w:rPr>
              <w:t>3</w:t>
            </w:r>
          </w:p>
        </w:tc>
        <w:tc>
          <w:tcPr>
            <w:tcW w:w="953" w:type="dxa"/>
            <w:vAlign w:val="center"/>
          </w:tcPr>
          <w:p w14:paraId="2CC3EB78" w14:textId="1E53CFAC" w:rsidR="00C61A8B" w:rsidRPr="00557517" w:rsidRDefault="00C61A8B" w:rsidP="000D1429">
            <w:pPr>
              <w:jc w:val="right"/>
              <w:rPr>
                <w:rFonts w:cs="Arial"/>
                <w:b/>
                <w:color w:val="000000" w:themeColor="text1"/>
                <w:sz w:val="16"/>
                <w:szCs w:val="16"/>
                <w:highlight w:val="yellow"/>
              </w:rPr>
            </w:pPr>
            <w:r w:rsidRPr="00633FAC">
              <w:rPr>
                <w:rFonts w:cs="Arial"/>
                <w:b/>
                <w:color w:val="000000" w:themeColor="text1"/>
                <w:sz w:val="16"/>
                <w:szCs w:val="16"/>
              </w:rPr>
              <w:t>101</w:t>
            </w:r>
            <w:r w:rsidR="000D1429" w:rsidRPr="00633FAC">
              <w:rPr>
                <w:rFonts w:cs="Arial"/>
                <w:b/>
                <w:color w:val="000000" w:themeColor="text1"/>
                <w:sz w:val="16"/>
                <w:szCs w:val="16"/>
              </w:rPr>
              <w:t>.</w:t>
            </w:r>
            <w:r w:rsidRPr="00633FAC">
              <w:rPr>
                <w:rFonts w:cs="Arial"/>
                <w:b/>
                <w:color w:val="000000" w:themeColor="text1"/>
                <w:sz w:val="16"/>
                <w:szCs w:val="16"/>
              </w:rPr>
              <w:t>2</w:t>
            </w:r>
          </w:p>
        </w:tc>
        <w:tc>
          <w:tcPr>
            <w:tcW w:w="953" w:type="dxa"/>
            <w:vAlign w:val="center"/>
          </w:tcPr>
          <w:p w14:paraId="732D328F" w14:textId="4F7FE281" w:rsidR="00C61A8B" w:rsidRPr="00557517" w:rsidRDefault="00C61A8B" w:rsidP="000D1429">
            <w:pPr>
              <w:jc w:val="right"/>
              <w:rPr>
                <w:rFonts w:cs="Arial"/>
                <w:b/>
                <w:color w:val="000000" w:themeColor="text1"/>
                <w:sz w:val="16"/>
                <w:szCs w:val="16"/>
                <w:highlight w:val="yellow"/>
              </w:rPr>
            </w:pPr>
            <w:r w:rsidRPr="00FA0F12">
              <w:rPr>
                <w:rFonts w:cs="Arial"/>
                <w:b/>
                <w:color w:val="000000" w:themeColor="text1"/>
                <w:sz w:val="16"/>
                <w:szCs w:val="16"/>
              </w:rPr>
              <w:t>102</w:t>
            </w:r>
            <w:r w:rsidR="000D1429">
              <w:rPr>
                <w:rFonts w:cs="Arial"/>
                <w:b/>
                <w:color w:val="000000" w:themeColor="text1"/>
                <w:sz w:val="16"/>
                <w:szCs w:val="16"/>
              </w:rPr>
              <w:t>.</w:t>
            </w:r>
            <w:r w:rsidRPr="00FA0F12">
              <w:rPr>
                <w:rFonts w:cs="Arial"/>
                <w:b/>
                <w:color w:val="000000" w:themeColor="text1"/>
                <w:sz w:val="16"/>
                <w:szCs w:val="16"/>
              </w:rPr>
              <w:t>3</w:t>
            </w:r>
          </w:p>
        </w:tc>
        <w:tc>
          <w:tcPr>
            <w:tcW w:w="979" w:type="dxa"/>
            <w:vAlign w:val="center"/>
          </w:tcPr>
          <w:p w14:paraId="27F97B3B" w14:textId="2F5979CA" w:rsidR="00C61A8B" w:rsidRPr="00557517" w:rsidRDefault="00C61A8B" w:rsidP="000D1429">
            <w:pPr>
              <w:jc w:val="right"/>
              <w:rPr>
                <w:rFonts w:cs="Arial"/>
                <w:b/>
                <w:color w:val="000000" w:themeColor="text1"/>
                <w:sz w:val="16"/>
                <w:szCs w:val="16"/>
                <w:highlight w:val="yellow"/>
              </w:rPr>
            </w:pPr>
            <w:r w:rsidRPr="00FA0F12">
              <w:rPr>
                <w:rFonts w:cs="Arial"/>
                <w:b/>
                <w:color w:val="000000" w:themeColor="text1"/>
                <w:sz w:val="16"/>
                <w:szCs w:val="16"/>
              </w:rPr>
              <w:t>108</w:t>
            </w:r>
            <w:r w:rsidR="000D1429">
              <w:rPr>
                <w:rFonts w:cs="Arial"/>
                <w:b/>
                <w:color w:val="000000" w:themeColor="text1"/>
                <w:sz w:val="16"/>
                <w:szCs w:val="16"/>
              </w:rPr>
              <w:t>.</w:t>
            </w:r>
            <w:r w:rsidRPr="00FA0F12">
              <w:rPr>
                <w:rFonts w:cs="Arial"/>
                <w:b/>
                <w:color w:val="000000" w:themeColor="text1"/>
                <w:sz w:val="16"/>
                <w:szCs w:val="16"/>
              </w:rPr>
              <w:t>8</w:t>
            </w:r>
          </w:p>
        </w:tc>
      </w:tr>
      <w:tr w:rsidR="00C61A8B" w:rsidRPr="00426503" w14:paraId="7BD9CB5D" w14:textId="77777777" w:rsidTr="00557517">
        <w:tc>
          <w:tcPr>
            <w:tcW w:w="2194" w:type="dxa"/>
          </w:tcPr>
          <w:p w14:paraId="00120493" w14:textId="77777777" w:rsidR="00C61A8B" w:rsidRDefault="00C61A8B" w:rsidP="00C61A8B">
            <w:pPr>
              <w:rPr>
                <w:shd w:val="clear" w:color="auto" w:fill="FFFFFF"/>
              </w:rPr>
            </w:pPr>
            <w:r>
              <w:rPr>
                <w:sz w:val="16"/>
                <w:szCs w:val="16"/>
              </w:rPr>
              <w:t xml:space="preserve">Construction of </w:t>
            </w:r>
            <w:proofErr w:type="spellStart"/>
            <w:r>
              <w:rPr>
                <w:sz w:val="16"/>
                <w:szCs w:val="16"/>
              </w:rPr>
              <w:t>buildings</w:t>
            </w:r>
            <w:proofErr w:type="spellEnd"/>
          </w:p>
        </w:tc>
        <w:tc>
          <w:tcPr>
            <w:tcW w:w="953" w:type="dxa"/>
            <w:vAlign w:val="center"/>
          </w:tcPr>
          <w:p w14:paraId="4E4627FC" w14:textId="6081BC50" w:rsidR="00C61A8B" w:rsidRPr="00557517" w:rsidRDefault="00C61A8B" w:rsidP="000D1429">
            <w:pPr>
              <w:jc w:val="right"/>
              <w:rPr>
                <w:rFonts w:cs="Arial"/>
                <w:color w:val="000000" w:themeColor="text1"/>
                <w:sz w:val="16"/>
                <w:szCs w:val="16"/>
                <w:highlight w:val="yellow"/>
              </w:rPr>
            </w:pPr>
            <w:r w:rsidRPr="00FA0F12">
              <w:rPr>
                <w:rFonts w:cs="Arial"/>
                <w:color w:val="000000" w:themeColor="text1"/>
                <w:sz w:val="16"/>
                <w:szCs w:val="16"/>
              </w:rPr>
              <w:t>101</w:t>
            </w:r>
            <w:r w:rsidR="000D1429">
              <w:rPr>
                <w:rFonts w:cs="Arial"/>
                <w:color w:val="000000" w:themeColor="text1"/>
                <w:sz w:val="16"/>
                <w:szCs w:val="16"/>
              </w:rPr>
              <w:t>.</w:t>
            </w:r>
            <w:r w:rsidRPr="00FA0F12">
              <w:rPr>
                <w:rFonts w:cs="Arial"/>
                <w:color w:val="000000" w:themeColor="text1"/>
                <w:sz w:val="16"/>
                <w:szCs w:val="16"/>
              </w:rPr>
              <w:t>1</w:t>
            </w:r>
          </w:p>
        </w:tc>
        <w:tc>
          <w:tcPr>
            <w:tcW w:w="953" w:type="dxa"/>
            <w:vAlign w:val="center"/>
          </w:tcPr>
          <w:p w14:paraId="7478CB4E" w14:textId="75BB7CEA" w:rsidR="00C61A8B" w:rsidRPr="00557517" w:rsidRDefault="00C61A8B" w:rsidP="000D1429">
            <w:pPr>
              <w:jc w:val="right"/>
              <w:rPr>
                <w:rFonts w:cs="Arial"/>
                <w:color w:val="000000" w:themeColor="text1"/>
                <w:sz w:val="16"/>
                <w:szCs w:val="16"/>
                <w:highlight w:val="yellow"/>
              </w:rPr>
            </w:pPr>
            <w:r w:rsidRPr="00FA0F12">
              <w:rPr>
                <w:rFonts w:cs="Arial"/>
                <w:color w:val="000000" w:themeColor="text1"/>
                <w:sz w:val="16"/>
                <w:szCs w:val="16"/>
              </w:rPr>
              <w:t>108</w:t>
            </w:r>
            <w:r w:rsidR="000D1429">
              <w:rPr>
                <w:rFonts w:cs="Arial"/>
                <w:color w:val="000000" w:themeColor="text1"/>
                <w:sz w:val="16"/>
                <w:szCs w:val="16"/>
              </w:rPr>
              <w:t>.</w:t>
            </w:r>
            <w:r w:rsidRPr="00FA0F12">
              <w:rPr>
                <w:rFonts w:cs="Arial"/>
                <w:color w:val="000000" w:themeColor="text1"/>
                <w:sz w:val="16"/>
                <w:szCs w:val="16"/>
              </w:rPr>
              <w:t>7</w:t>
            </w:r>
          </w:p>
        </w:tc>
        <w:tc>
          <w:tcPr>
            <w:tcW w:w="953" w:type="dxa"/>
            <w:vAlign w:val="center"/>
          </w:tcPr>
          <w:p w14:paraId="591C783B" w14:textId="79B8160E" w:rsidR="00C61A8B" w:rsidRPr="00557517" w:rsidRDefault="00C61A8B" w:rsidP="000D1429">
            <w:pPr>
              <w:jc w:val="right"/>
              <w:rPr>
                <w:rFonts w:cs="Arial"/>
                <w:color w:val="000000" w:themeColor="text1"/>
                <w:sz w:val="16"/>
                <w:szCs w:val="16"/>
                <w:highlight w:val="yellow"/>
              </w:rPr>
            </w:pPr>
            <w:r w:rsidRPr="0054058E">
              <w:rPr>
                <w:rFonts w:cs="Arial"/>
                <w:color w:val="000000" w:themeColor="text1"/>
                <w:sz w:val="16"/>
                <w:szCs w:val="16"/>
              </w:rPr>
              <w:t>109</w:t>
            </w:r>
            <w:r w:rsidR="000D1429">
              <w:rPr>
                <w:rFonts w:cs="Arial"/>
                <w:color w:val="000000" w:themeColor="text1"/>
                <w:sz w:val="16"/>
                <w:szCs w:val="16"/>
              </w:rPr>
              <w:t>.</w:t>
            </w:r>
            <w:r w:rsidRPr="0054058E">
              <w:rPr>
                <w:rFonts w:cs="Arial"/>
                <w:color w:val="000000" w:themeColor="text1"/>
                <w:sz w:val="16"/>
                <w:szCs w:val="16"/>
              </w:rPr>
              <w:t>7</w:t>
            </w:r>
          </w:p>
        </w:tc>
        <w:tc>
          <w:tcPr>
            <w:tcW w:w="953" w:type="dxa"/>
            <w:vAlign w:val="center"/>
          </w:tcPr>
          <w:p w14:paraId="343D43E1" w14:textId="1005EFBC" w:rsidR="00C61A8B" w:rsidRPr="00557517" w:rsidRDefault="00C61A8B" w:rsidP="000D1429">
            <w:pPr>
              <w:jc w:val="right"/>
              <w:rPr>
                <w:rFonts w:cs="Arial"/>
                <w:color w:val="000000" w:themeColor="text1"/>
                <w:sz w:val="16"/>
                <w:szCs w:val="16"/>
                <w:highlight w:val="yellow"/>
              </w:rPr>
            </w:pPr>
            <w:r w:rsidRPr="0054058E">
              <w:rPr>
                <w:rFonts w:cs="Arial"/>
                <w:color w:val="000000" w:themeColor="text1"/>
                <w:sz w:val="16"/>
                <w:szCs w:val="16"/>
              </w:rPr>
              <w:t>101</w:t>
            </w:r>
            <w:r w:rsidR="000D1429">
              <w:rPr>
                <w:rFonts w:cs="Arial"/>
                <w:color w:val="000000" w:themeColor="text1"/>
                <w:sz w:val="16"/>
                <w:szCs w:val="16"/>
              </w:rPr>
              <w:t>.</w:t>
            </w:r>
            <w:r w:rsidRPr="0054058E">
              <w:rPr>
                <w:rFonts w:cs="Arial"/>
                <w:color w:val="000000" w:themeColor="text1"/>
                <w:sz w:val="16"/>
                <w:szCs w:val="16"/>
              </w:rPr>
              <w:t>2</w:t>
            </w:r>
          </w:p>
        </w:tc>
        <w:tc>
          <w:tcPr>
            <w:tcW w:w="953" w:type="dxa"/>
            <w:vAlign w:val="center"/>
          </w:tcPr>
          <w:p w14:paraId="2D61DD6A" w14:textId="533030F8" w:rsidR="00C61A8B" w:rsidRPr="00557517" w:rsidRDefault="00C61A8B" w:rsidP="000D1429">
            <w:pPr>
              <w:jc w:val="right"/>
              <w:rPr>
                <w:rFonts w:cs="Arial"/>
                <w:color w:val="000000" w:themeColor="text1"/>
                <w:sz w:val="16"/>
                <w:szCs w:val="16"/>
                <w:highlight w:val="yellow"/>
              </w:rPr>
            </w:pPr>
            <w:r w:rsidRPr="009544AD">
              <w:rPr>
                <w:rFonts w:cs="Arial"/>
                <w:color w:val="000000" w:themeColor="text1"/>
                <w:sz w:val="16"/>
                <w:szCs w:val="16"/>
              </w:rPr>
              <w:t>102</w:t>
            </w:r>
            <w:r w:rsidR="000D1429">
              <w:rPr>
                <w:rFonts w:cs="Arial"/>
                <w:color w:val="000000" w:themeColor="text1"/>
                <w:sz w:val="16"/>
                <w:szCs w:val="16"/>
              </w:rPr>
              <w:t>.</w:t>
            </w:r>
            <w:r w:rsidRPr="009544AD">
              <w:rPr>
                <w:rFonts w:cs="Arial"/>
                <w:color w:val="000000" w:themeColor="text1"/>
                <w:sz w:val="16"/>
                <w:szCs w:val="16"/>
              </w:rPr>
              <w:t>3</w:t>
            </w:r>
          </w:p>
        </w:tc>
        <w:tc>
          <w:tcPr>
            <w:tcW w:w="979" w:type="dxa"/>
            <w:vAlign w:val="center"/>
          </w:tcPr>
          <w:p w14:paraId="1E77FAB6" w14:textId="1E2A3CF4" w:rsidR="00C61A8B" w:rsidRPr="00557517" w:rsidRDefault="00C61A8B" w:rsidP="000D1429">
            <w:pPr>
              <w:jc w:val="right"/>
              <w:rPr>
                <w:rFonts w:cs="Arial"/>
                <w:color w:val="000000" w:themeColor="text1"/>
                <w:sz w:val="16"/>
                <w:szCs w:val="16"/>
                <w:highlight w:val="yellow"/>
              </w:rPr>
            </w:pPr>
            <w:r w:rsidRPr="004F41C8">
              <w:rPr>
                <w:rFonts w:cs="Arial"/>
                <w:color w:val="000000" w:themeColor="text1"/>
                <w:sz w:val="16"/>
                <w:szCs w:val="16"/>
              </w:rPr>
              <w:t>109</w:t>
            </w:r>
            <w:r w:rsidR="000D1429">
              <w:rPr>
                <w:rFonts w:cs="Arial"/>
                <w:color w:val="000000" w:themeColor="text1"/>
                <w:sz w:val="16"/>
                <w:szCs w:val="16"/>
              </w:rPr>
              <w:t>.</w:t>
            </w:r>
            <w:r w:rsidRPr="004F41C8">
              <w:rPr>
                <w:rFonts w:cs="Arial"/>
                <w:color w:val="000000" w:themeColor="text1"/>
                <w:sz w:val="16"/>
                <w:szCs w:val="16"/>
              </w:rPr>
              <w:t>2</w:t>
            </w:r>
          </w:p>
        </w:tc>
      </w:tr>
      <w:tr w:rsidR="00C61A8B" w:rsidRPr="00426503" w14:paraId="46A9380E" w14:textId="77777777" w:rsidTr="00557517">
        <w:tc>
          <w:tcPr>
            <w:tcW w:w="2194" w:type="dxa"/>
          </w:tcPr>
          <w:p w14:paraId="6D5BB847" w14:textId="77777777" w:rsidR="00C61A8B" w:rsidRDefault="00C61A8B" w:rsidP="00C61A8B">
            <w:pPr>
              <w:rPr>
                <w:shd w:val="clear" w:color="auto" w:fill="FFFFFF"/>
              </w:rPr>
            </w:pPr>
            <w:r>
              <w:rPr>
                <w:color w:val="000000" w:themeColor="text1"/>
                <w:sz w:val="16"/>
                <w:szCs w:val="16"/>
                <w:lang w:val="en-US"/>
              </w:rPr>
              <w:t>Civil engineering</w:t>
            </w:r>
          </w:p>
        </w:tc>
        <w:tc>
          <w:tcPr>
            <w:tcW w:w="953" w:type="dxa"/>
            <w:vAlign w:val="center"/>
          </w:tcPr>
          <w:p w14:paraId="72B9619E" w14:textId="70CB7ACE" w:rsidR="00C61A8B" w:rsidRPr="00557517" w:rsidRDefault="00C61A8B" w:rsidP="000D1429">
            <w:pPr>
              <w:jc w:val="right"/>
              <w:rPr>
                <w:rFonts w:cs="Arial"/>
                <w:color w:val="000000" w:themeColor="text1"/>
                <w:sz w:val="16"/>
                <w:szCs w:val="16"/>
                <w:highlight w:val="yellow"/>
              </w:rPr>
            </w:pPr>
            <w:r w:rsidRPr="001A3E19">
              <w:rPr>
                <w:rFonts w:cs="Arial"/>
                <w:color w:val="000000" w:themeColor="text1"/>
                <w:sz w:val="16"/>
                <w:szCs w:val="16"/>
              </w:rPr>
              <w:t>101</w:t>
            </w:r>
            <w:r w:rsidR="000D1429">
              <w:rPr>
                <w:rFonts w:cs="Arial"/>
                <w:color w:val="000000" w:themeColor="text1"/>
                <w:sz w:val="16"/>
                <w:szCs w:val="16"/>
              </w:rPr>
              <w:t>.</w:t>
            </w:r>
            <w:r w:rsidRPr="001A3E19">
              <w:rPr>
                <w:rFonts w:cs="Arial"/>
                <w:color w:val="000000" w:themeColor="text1"/>
                <w:sz w:val="16"/>
                <w:szCs w:val="16"/>
              </w:rPr>
              <w:t>2</w:t>
            </w:r>
            <w:r>
              <w:rPr>
                <w:rFonts w:cs="Arial"/>
                <w:color w:val="000000" w:themeColor="text1"/>
                <w:sz w:val="16"/>
                <w:szCs w:val="16"/>
              </w:rPr>
              <w:t>*</w:t>
            </w:r>
          </w:p>
        </w:tc>
        <w:tc>
          <w:tcPr>
            <w:tcW w:w="953" w:type="dxa"/>
            <w:vAlign w:val="center"/>
          </w:tcPr>
          <w:p w14:paraId="4CE2E4E8" w14:textId="49BF7778" w:rsidR="00C61A8B" w:rsidRPr="00557517" w:rsidRDefault="00C61A8B" w:rsidP="000D1429">
            <w:pPr>
              <w:jc w:val="right"/>
              <w:rPr>
                <w:rFonts w:cs="Arial"/>
                <w:color w:val="000000" w:themeColor="text1"/>
                <w:sz w:val="16"/>
                <w:szCs w:val="16"/>
                <w:highlight w:val="yellow"/>
              </w:rPr>
            </w:pPr>
            <w:r w:rsidRPr="001A3E19">
              <w:rPr>
                <w:rFonts w:cs="Arial"/>
                <w:color w:val="000000" w:themeColor="text1"/>
                <w:sz w:val="16"/>
                <w:szCs w:val="16"/>
              </w:rPr>
              <w:t>108</w:t>
            </w:r>
            <w:r w:rsidR="000D1429">
              <w:rPr>
                <w:rFonts w:cs="Arial"/>
                <w:color w:val="000000" w:themeColor="text1"/>
                <w:sz w:val="16"/>
                <w:szCs w:val="16"/>
              </w:rPr>
              <w:t>.</w:t>
            </w:r>
            <w:r w:rsidRPr="001A3E19">
              <w:rPr>
                <w:rFonts w:cs="Arial"/>
                <w:color w:val="000000" w:themeColor="text1"/>
                <w:sz w:val="16"/>
                <w:szCs w:val="16"/>
              </w:rPr>
              <w:t>6</w:t>
            </w:r>
            <w:r>
              <w:rPr>
                <w:rFonts w:cs="Arial"/>
                <w:color w:val="000000" w:themeColor="text1"/>
                <w:sz w:val="16"/>
                <w:szCs w:val="16"/>
              </w:rPr>
              <w:t>*</w:t>
            </w:r>
          </w:p>
        </w:tc>
        <w:tc>
          <w:tcPr>
            <w:tcW w:w="953" w:type="dxa"/>
            <w:vAlign w:val="center"/>
          </w:tcPr>
          <w:p w14:paraId="37747186" w14:textId="142CA35A" w:rsidR="00C61A8B" w:rsidRPr="00557517" w:rsidRDefault="00C61A8B" w:rsidP="000D1429">
            <w:pPr>
              <w:jc w:val="right"/>
              <w:rPr>
                <w:rFonts w:cs="Arial"/>
                <w:color w:val="000000" w:themeColor="text1"/>
                <w:sz w:val="16"/>
                <w:szCs w:val="16"/>
                <w:highlight w:val="yellow"/>
              </w:rPr>
            </w:pPr>
            <w:r w:rsidRPr="000A4FBB">
              <w:rPr>
                <w:rFonts w:cs="Arial"/>
                <w:color w:val="000000" w:themeColor="text1"/>
                <w:sz w:val="16"/>
                <w:szCs w:val="16"/>
              </w:rPr>
              <w:t>109</w:t>
            </w:r>
            <w:r w:rsidR="000D1429">
              <w:rPr>
                <w:rFonts w:cs="Arial"/>
                <w:color w:val="000000" w:themeColor="text1"/>
                <w:sz w:val="16"/>
                <w:szCs w:val="16"/>
              </w:rPr>
              <w:t>.</w:t>
            </w:r>
            <w:r w:rsidRPr="000A4FBB">
              <w:rPr>
                <w:rFonts w:cs="Arial"/>
                <w:color w:val="000000" w:themeColor="text1"/>
                <w:sz w:val="16"/>
                <w:szCs w:val="16"/>
              </w:rPr>
              <w:t>6</w:t>
            </w:r>
          </w:p>
        </w:tc>
        <w:tc>
          <w:tcPr>
            <w:tcW w:w="953" w:type="dxa"/>
            <w:vAlign w:val="center"/>
          </w:tcPr>
          <w:p w14:paraId="0933E1F9" w14:textId="41B1D6C8" w:rsidR="00C61A8B" w:rsidRPr="00557517" w:rsidRDefault="00C61A8B" w:rsidP="000D1429">
            <w:pPr>
              <w:jc w:val="right"/>
              <w:rPr>
                <w:rFonts w:cs="Arial"/>
                <w:color w:val="000000" w:themeColor="text1"/>
                <w:sz w:val="16"/>
                <w:szCs w:val="16"/>
                <w:highlight w:val="yellow"/>
              </w:rPr>
            </w:pPr>
            <w:r w:rsidRPr="008872A6">
              <w:rPr>
                <w:rFonts w:cs="Arial"/>
                <w:color w:val="000000" w:themeColor="text1"/>
                <w:sz w:val="16"/>
                <w:szCs w:val="16"/>
              </w:rPr>
              <w:t>101</w:t>
            </w:r>
            <w:r w:rsidR="000D1429">
              <w:rPr>
                <w:rFonts w:cs="Arial"/>
                <w:color w:val="000000" w:themeColor="text1"/>
                <w:sz w:val="16"/>
                <w:szCs w:val="16"/>
              </w:rPr>
              <w:t>.</w:t>
            </w:r>
            <w:r w:rsidRPr="008872A6">
              <w:rPr>
                <w:rFonts w:cs="Arial"/>
                <w:color w:val="000000" w:themeColor="text1"/>
                <w:sz w:val="16"/>
                <w:szCs w:val="16"/>
              </w:rPr>
              <w:t>2</w:t>
            </w:r>
          </w:p>
        </w:tc>
        <w:tc>
          <w:tcPr>
            <w:tcW w:w="953" w:type="dxa"/>
            <w:vAlign w:val="center"/>
          </w:tcPr>
          <w:p w14:paraId="2670BB17" w14:textId="5F78FE4C" w:rsidR="00C61A8B" w:rsidRPr="00557517" w:rsidRDefault="00C61A8B" w:rsidP="000D1429">
            <w:pPr>
              <w:jc w:val="right"/>
              <w:rPr>
                <w:rFonts w:cs="Arial"/>
                <w:color w:val="000000" w:themeColor="text1"/>
                <w:sz w:val="16"/>
                <w:szCs w:val="16"/>
                <w:highlight w:val="yellow"/>
              </w:rPr>
            </w:pPr>
            <w:r w:rsidRPr="008872A6">
              <w:rPr>
                <w:rFonts w:cs="Arial"/>
                <w:color w:val="000000" w:themeColor="text1"/>
                <w:sz w:val="16"/>
                <w:szCs w:val="16"/>
              </w:rPr>
              <w:t>102</w:t>
            </w:r>
            <w:r w:rsidR="000D1429">
              <w:rPr>
                <w:rFonts w:cs="Arial"/>
                <w:color w:val="000000" w:themeColor="text1"/>
                <w:sz w:val="16"/>
                <w:szCs w:val="16"/>
              </w:rPr>
              <w:t>.</w:t>
            </w:r>
            <w:r w:rsidRPr="008872A6">
              <w:rPr>
                <w:rFonts w:cs="Arial"/>
                <w:color w:val="000000" w:themeColor="text1"/>
                <w:sz w:val="16"/>
                <w:szCs w:val="16"/>
              </w:rPr>
              <w:t>4</w:t>
            </w:r>
          </w:p>
        </w:tc>
        <w:tc>
          <w:tcPr>
            <w:tcW w:w="979" w:type="dxa"/>
            <w:vAlign w:val="center"/>
          </w:tcPr>
          <w:p w14:paraId="4DC62C95" w14:textId="59F52820" w:rsidR="00C61A8B" w:rsidRPr="00557517" w:rsidRDefault="00C61A8B" w:rsidP="000D1429">
            <w:pPr>
              <w:jc w:val="right"/>
              <w:rPr>
                <w:rFonts w:cs="Arial"/>
                <w:color w:val="000000" w:themeColor="text1"/>
                <w:sz w:val="16"/>
                <w:szCs w:val="16"/>
                <w:highlight w:val="yellow"/>
              </w:rPr>
            </w:pPr>
            <w:r w:rsidRPr="006F505D">
              <w:rPr>
                <w:rFonts w:cs="Arial"/>
                <w:color w:val="000000" w:themeColor="text1"/>
                <w:sz w:val="16"/>
                <w:szCs w:val="16"/>
              </w:rPr>
              <w:t>109</w:t>
            </w:r>
            <w:r w:rsidR="000D1429">
              <w:rPr>
                <w:rFonts w:cs="Arial"/>
                <w:color w:val="000000" w:themeColor="text1"/>
                <w:sz w:val="16"/>
                <w:szCs w:val="16"/>
              </w:rPr>
              <w:t>.</w:t>
            </w:r>
            <w:r w:rsidRPr="006F505D">
              <w:rPr>
                <w:rFonts w:cs="Arial"/>
                <w:color w:val="000000" w:themeColor="text1"/>
                <w:sz w:val="16"/>
                <w:szCs w:val="16"/>
              </w:rPr>
              <w:t>1</w:t>
            </w:r>
          </w:p>
        </w:tc>
      </w:tr>
      <w:tr w:rsidR="00C61A8B" w:rsidRPr="00426503" w14:paraId="1D482B63" w14:textId="77777777" w:rsidTr="00557517">
        <w:tc>
          <w:tcPr>
            <w:tcW w:w="2194" w:type="dxa"/>
          </w:tcPr>
          <w:p w14:paraId="64D84873" w14:textId="77777777" w:rsidR="00C61A8B" w:rsidRPr="00D97063" w:rsidRDefault="00C61A8B" w:rsidP="00C61A8B">
            <w:pPr>
              <w:rPr>
                <w:shd w:val="clear" w:color="auto" w:fill="FFFFFF"/>
              </w:rPr>
            </w:pPr>
            <w:proofErr w:type="spellStart"/>
            <w:r w:rsidRPr="00B3218D">
              <w:rPr>
                <w:color w:val="000000" w:themeColor="text1"/>
                <w:sz w:val="16"/>
                <w:szCs w:val="16"/>
                <w:lang w:val="en-US"/>
              </w:rPr>
              <w:t>Specialised</w:t>
            </w:r>
            <w:proofErr w:type="spellEnd"/>
            <w:r w:rsidRPr="00B3218D">
              <w:rPr>
                <w:color w:val="000000" w:themeColor="text1"/>
                <w:sz w:val="16"/>
                <w:szCs w:val="16"/>
                <w:lang w:val="en-US"/>
              </w:rPr>
              <w:t xml:space="preserve"> construction activities</w:t>
            </w:r>
          </w:p>
        </w:tc>
        <w:tc>
          <w:tcPr>
            <w:tcW w:w="953" w:type="dxa"/>
            <w:vAlign w:val="center"/>
          </w:tcPr>
          <w:p w14:paraId="58605C09" w14:textId="09B34141" w:rsidR="00C61A8B" w:rsidRPr="00557517" w:rsidRDefault="00C61A8B" w:rsidP="000D1429">
            <w:pPr>
              <w:jc w:val="right"/>
              <w:rPr>
                <w:rFonts w:cs="Arial"/>
                <w:color w:val="000000" w:themeColor="text1"/>
                <w:sz w:val="16"/>
                <w:szCs w:val="16"/>
                <w:highlight w:val="yellow"/>
              </w:rPr>
            </w:pPr>
            <w:r w:rsidRPr="006F505D">
              <w:rPr>
                <w:rFonts w:cs="Arial"/>
                <w:color w:val="000000" w:themeColor="text1"/>
                <w:sz w:val="16"/>
                <w:szCs w:val="16"/>
              </w:rPr>
              <w:t>101</w:t>
            </w:r>
            <w:r w:rsidR="000D1429">
              <w:rPr>
                <w:rFonts w:cs="Arial"/>
                <w:color w:val="000000" w:themeColor="text1"/>
                <w:sz w:val="16"/>
                <w:szCs w:val="16"/>
              </w:rPr>
              <w:t>.</w:t>
            </w:r>
            <w:r w:rsidRPr="006F505D">
              <w:rPr>
                <w:rFonts w:cs="Arial"/>
                <w:color w:val="000000" w:themeColor="text1"/>
                <w:sz w:val="16"/>
                <w:szCs w:val="16"/>
              </w:rPr>
              <w:t>1</w:t>
            </w:r>
            <w:r>
              <w:rPr>
                <w:rFonts w:cs="Arial"/>
                <w:color w:val="000000" w:themeColor="text1"/>
                <w:sz w:val="16"/>
                <w:szCs w:val="16"/>
              </w:rPr>
              <w:t>*</w:t>
            </w:r>
          </w:p>
        </w:tc>
        <w:tc>
          <w:tcPr>
            <w:tcW w:w="953" w:type="dxa"/>
            <w:vAlign w:val="center"/>
          </w:tcPr>
          <w:p w14:paraId="03B7B391" w14:textId="3DC356FB" w:rsidR="00C61A8B" w:rsidRPr="00557517" w:rsidRDefault="00C61A8B" w:rsidP="000D1429">
            <w:pPr>
              <w:jc w:val="right"/>
              <w:rPr>
                <w:rFonts w:cs="Arial"/>
                <w:color w:val="000000" w:themeColor="text1"/>
                <w:sz w:val="16"/>
                <w:szCs w:val="16"/>
                <w:highlight w:val="yellow"/>
              </w:rPr>
            </w:pPr>
            <w:r w:rsidRPr="00F33A22">
              <w:rPr>
                <w:rFonts w:cs="Arial"/>
                <w:color w:val="000000" w:themeColor="text1"/>
                <w:sz w:val="16"/>
                <w:szCs w:val="16"/>
              </w:rPr>
              <w:t>107</w:t>
            </w:r>
            <w:r w:rsidR="000D1429">
              <w:rPr>
                <w:rFonts w:cs="Arial"/>
                <w:color w:val="000000" w:themeColor="text1"/>
                <w:sz w:val="16"/>
                <w:szCs w:val="16"/>
              </w:rPr>
              <w:t>.</w:t>
            </w:r>
            <w:r w:rsidRPr="00F33A22">
              <w:rPr>
                <w:rFonts w:cs="Arial"/>
                <w:color w:val="000000" w:themeColor="text1"/>
                <w:sz w:val="16"/>
                <w:szCs w:val="16"/>
              </w:rPr>
              <w:t>4</w:t>
            </w:r>
            <w:r>
              <w:rPr>
                <w:rFonts w:cs="Arial"/>
                <w:color w:val="000000" w:themeColor="text1"/>
                <w:sz w:val="16"/>
                <w:szCs w:val="16"/>
              </w:rPr>
              <w:t>*</w:t>
            </w:r>
          </w:p>
        </w:tc>
        <w:tc>
          <w:tcPr>
            <w:tcW w:w="953" w:type="dxa"/>
            <w:vAlign w:val="center"/>
          </w:tcPr>
          <w:p w14:paraId="3970838A" w14:textId="583460FF" w:rsidR="00C61A8B" w:rsidRPr="00557517" w:rsidRDefault="00C61A8B" w:rsidP="000D1429">
            <w:pPr>
              <w:jc w:val="right"/>
              <w:rPr>
                <w:rFonts w:cs="Arial"/>
                <w:color w:val="000000" w:themeColor="text1"/>
                <w:sz w:val="16"/>
                <w:szCs w:val="16"/>
                <w:highlight w:val="yellow"/>
              </w:rPr>
            </w:pPr>
            <w:r w:rsidRPr="00623020">
              <w:rPr>
                <w:rFonts w:cs="Arial"/>
                <w:color w:val="000000" w:themeColor="text1"/>
                <w:sz w:val="16"/>
                <w:szCs w:val="16"/>
              </w:rPr>
              <w:t>108</w:t>
            </w:r>
            <w:r w:rsidR="000D1429">
              <w:rPr>
                <w:rFonts w:cs="Arial"/>
                <w:color w:val="000000" w:themeColor="text1"/>
                <w:sz w:val="16"/>
                <w:szCs w:val="16"/>
              </w:rPr>
              <w:t>.</w:t>
            </w:r>
            <w:r w:rsidRPr="00623020">
              <w:rPr>
                <w:rFonts w:cs="Arial"/>
                <w:color w:val="000000" w:themeColor="text1"/>
                <w:sz w:val="16"/>
                <w:szCs w:val="16"/>
              </w:rPr>
              <w:t>5</w:t>
            </w:r>
          </w:p>
        </w:tc>
        <w:tc>
          <w:tcPr>
            <w:tcW w:w="953" w:type="dxa"/>
            <w:vAlign w:val="center"/>
          </w:tcPr>
          <w:p w14:paraId="2C731203" w14:textId="2163B7F2" w:rsidR="00C61A8B" w:rsidRPr="00557517" w:rsidRDefault="00C61A8B" w:rsidP="000D1429">
            <w:pPr>
              <w:jc w:val="right"/>
              <w:rPr>
                <w:rFonts w:cs="Arial"/>
                <w:color w:val="000000" w:themeColor="text1"/>
                <w:sz w:val="16"/>
                <w:szCs w:val="16"/>
                <w:highlight w:val="yellow"/>
              </w:rPr>
            </w:pPr>
            <w:r w:rsidRPr="00113471">
              <w:rPr>
                <w:rFonts w:cs="Arial"/>
                <w:color w:val="000000" w:themeColor="text1"/>
                <w:sz w:val="16"/>
                <w:szCs w:val="16"/>
              </w:rPr>
              <w:t>101</w:t>
            </w:r>
            <w:r w:rsidR="000D1429">
              <w:rPr>
                <w:rFonts w:cs="Arial"/>
                <w:color w:val="000000" w:themeColor="text1"/>
                <w:sz w:val="16"/>
                <w:szCs w:val="16"/>
              </w:rPr>
              <w:t>.</w:t>
            </w:r>
            <w:r w:rsidRPr="00113471">
              <w:rPr>
                <w:rFonts w:cs="Arial"/>
                <w:color w:val="000000" w:themeColor="text1"/>
                <w:sz w:val="16"/>
                <w:szCs w:val="16"/>
              </w:rPr>
              <w:t>1</w:t>
            </w:r>
          </w:p>
        </w:tc>
        <w:tc>
          <w:tcPr>
            <w:tcW w:w="953" w:type="dxa"/>
            <w:vAlign w:val="center"/>
          </w:tcPr>
          <w:p w14:paraId="5586BE80" w14:textId="215C5C54" w:rsidR="00C61A8B" w:rsidRPr="00557517" w:rsidRDefault="00C61A8B" w:rsidP="000D1429">
            <w:pPr>
              <w:jc w:val="right"/>
              <w:rPr>
                <w:rFonts w:cs="Arial"/>
                <w:color w:val="000000" w:themeColor="text1"/>
                <w:sz w:val="16"/>
                <w:szCs w:val="16"/>
                <w:highlight w:val="yellow"/>
              </w:rPr>
            </w:pPr>
            <w:r w:rsidRPr="00113471">
              <w:rPr>
                <w:rFonts w:cs="Arial"/>
                <w:color w:val="000000" w:themeColor="text1"/>
                <w:sz w:val="16"/>
                <w:szCs w:val="16"/>
              </w:rPr>
              <w:t>102</w:t>
            </w:r>
            <w:r w:rsidR="000D1429">
              <w:rPr>
                <w:rFonts w:cs="Arial"/>
                <w:color w:val="000000" w:themeColor="text1"/>
                <w:sz w:val="16"/>
                <w:szCs w:val="16"/>
              </w:rPr>
              <w:t>.</w:t>
            </w:r>
            <w:r w:rsidRPr="00113471">
              <w:rPr>
                <w:rFonts w:cs="Arial"/>
                <w:color w:val="000000" w:themeColor="text1"/>
                <w:sz w:val="16"/>
                <w:szCs w:val="16"/>
              </w:rPr>
              <w:t>2</w:t>
            </w:r>
          </w:p>
        </w:tc>
        <w:tc>
          <w:tcPr>
            <w:tcW w:w="979" w:type="dxa"/>
            <w:vAlign w:val="center"/>
          </w:tcPr>
          <w:p w14:paraId="2D47244B" w14:textId="39A8A2F2" w:rsidR="00C61A8B" w:rsidRPr="00557517" w:rsidRDefault="00C61A8B" w:rsidP="000D1429">
            <w:pPr>
              <w:jc w:val="right"/>
              <w:rPr>
                <w:rFonts w:cs="Arial"/>
                <w:color w:val="000000" w:themeColor="text1"/>
                <w:sz w:val="16"/>
                <w:szCs w:val="16"/>
                <w:highlight w:val="yellow"/>
              </w:rPr>
            </w:pPr>
            <w:r w:rsidRPr="00113471">
              <w:rPr>
                <w:rFonts w:cs="Arial"/>
                <w:color w:val="000000" w:themeColor="text1"/>
                <w:sz w:val="16"/>
                <w:szCs w:val="16"/>
              </w:rPr>
              <w:t>108</w:t>
            </w:r>
            <w:r w:rsidR="000D1429">
              <w:rPr>
                <w:rFonts w:cs="Arial"/>
                <w:color w:val="000000" w:themeColor="text1"/>
                <w:sz w:val="16"/>
                <w:szCs w:val="16"/>
              </w:rPr>
              <w:t>.</w:t>
            </w:r>
            <w:r w:rsidRPr="00113471">
              <w:rPr>
                <w:rFonts w:cs="Arial"/>
                <w:color w:val="000000" w:themeColor="text1"/>
                <w:sz w:val="16"/>
                <w:szCs w:val="16"/>
              </w:rPr>
              <w:t>0</w:t>
            </w:r>
          </w:p>
        </w:tc>
      </w:tr>
    </w:tbl>
    <w:p w14:paraId="3409698F" w14:textId="230C0978" w:rsidR="000D5E58" w:rsidRDefault="000D5E58" w:rsidP="000D5E58">
      <w:pPr>
        <w:pStyle w:val="Nagwek"/>
        <w:tabs>
          <w:tab w:val="left" w:pos="708"/>
        </w:tabs>
        <w:ind w:left="170" w:hanging="170"/>
        <w:jc w:val="both"/>
        <w:rPr>
          <w:rFonts w:ascii="Arial" w:hAnsi="Arial" w:cs="Arial"/>
          <w:sz w:val="18"/>
          <w:szCs w:val="18"/>
          <w:lang w:val="en-US"/>
        </w:rPr>
      </w:pPr>
      <w:r>
        <w:rPr>
          <w:rFonts w:ascii="Arial" w:hAnsi="Arial" w:cs="Arial"/>
          <w:sz w:val="18"/>
          <w:szCs w:val="18"/>
          <w:lang w:val="en-US"/>
        </w:rPr>
        <w:t xml:space="preserve">* </w:t>
      </w:r>
      <w:r w:rsidRPr="007D298F">
        <w:rPr>
          <w:rFonts w:cs="Arial"/>
          <w:sz w:val="16"/>
          <w:szCs w:val="16"/>
        </w:rPr>
        <w:t xml:space="preserve">Data </w:t>
      </w:r>
      <w:proofErr w:type="spellStart"/>
      <w:r w:rsidRPr="007D298F">
        <w:rPr>
          <w:rFonts w:cs="Arial"/>
          <w:sz w:val="16"/>
          <w:szCs w:val="16"/>
        </w:rPr>
        <w:t>revised</w:t>
      </w:r>
      <w:proofErr w:type="spellEnd"/>
      <w:r w:rsidRPr="007D298F">
        <w:rPr>
          <w:rFonts w:cs="Arial"/>
          <w:sz w:val="16"/>
          <w:szCs w:val="16"/>
        </w:rPr>
        <w:t>.</w:t>
      </w:r>
    </w:p>
    <w:p w14:paraId="12C530BD" w14:textId="3F24416F" w:rsidR="00E95B8E" w:rsidRDefault="00E95B8E" w:rsidP="00966C9A">
      <w:pPr>
        <w:pStyle w:val="Tablicanotka"/>
      </w:pPr>
    </w:p>
    <w:p w14:paraId="4CDE2499" w14:textId="53169789" w:rsidR="00216634" w:rsidRDefault="00216634" w:rsidP="00216634">
      <w:pPr>
        <w:spacing w:line="288" w:lineRule="auto"/>
        <w:rPr>
          <w:rFonts w:eastAsia="Times New Roman" w:cs="Times New Roman"/>
          <w:szCs w:val="19"/>
          <w:lang w:eastAsia="pl-PL"/>
        </w:rPr>
      </w:pPr>
      <w:r w:rsidRPr="00216634">
        <w:rPr>
          <w:rFonts w:eastAsia="Times New Roman" w:cs="Times New Roman"/>
          <w:szCs w:val="19"/>
          <w:lang w:eastAsia="pl-PL"/>
        </w:rPr>
        <w:t xml:space="preserve"> </w:t>
      </w:r>
    </w:p>
    <w:p w14:paraId="2E0E3F05" w14:textId="4237F619" w:rsidR="001C6CDD" w:rsidRDefault="001C6CDD" w:rsidP="00216634">
      <w:pPr>
        <w:spacing w:line="288" w:lineRule="auto"/>
        <w:rPr>
          <w:rFonts w:eastAsia="Times New Roman" w:cs="Times New Roman"/>
          <w:szCs w:val="19"/>
          <w:lang w:eastAsia="pl-PL"/>
        </w:rPr>
      </w:pPr>
    </w:p>
    <w:p w14:paraId="5110FCB0" w14:textId="072AF995" w:rsidR="001C6CDD" w:rsidRDefault="001C6CDD" w:rsidP="00216634">
      <w:pPr>
        <w:spacing w:line="288" w:lineRule="auto"/>
        <w:rPr>
          <w:rFonts w:eastAsia="Times New Roman" w:cs="Times New Roman"/>
          <w:szCs w:val="19"/>
          <w:lang w:eastAsia="pl-PL"/>
        </w:rPr>
      </w:pPr>
    </w:p>
    <w:p w14:paraId="13BAC807" w14:textId="58B0AAEB" w:rsidR="001C6CDD" w:rsidRDefault="001C6CDD" w:rsidP="00216634">
      <w:pPr>
        <w:spacing w:line="288" w:lineRule="auto"/>
        <w:rPr>
          <w:rFonts w:eastAsia="Times New Roman" w:cs="Times New Roman"/>
          <w:szCs w:val="19"/>
          <w:lang w:eastAsia="pl-PL"/>
        </w:rPr>
      </w:pPr>
    </w:p>
    <w:p w14:paraId="7F987115" w14:textId="7FB39F98" w:rsidR="001C6CDD" w:rsidRDefault="001C6CDD" w:rsidP="00216634">
      <w:pPr>
        <w:spacing w:line="288" w:lineRule="auto"/>
        <w:rPr>
          <w:rFonts w:eastAsia="Times New Roman" w:cs="Times New Roman"/>
          <w:szCs w:val="19"/>
          <w:lang w:eastAsia="pl-PL"/>
        </w:rPr>
      </w:pPr>
    </w:p>
    <w:p w14:paraId="163729D8" w14:textId="75065CD3" w:rsidR="001C6CDD" w:rsidRDefault="001C6CDD" w:rsidP="00216634">
      <w:pPr>
        <w:spacing w:line="288" w:lineRule="auto"/>
        <w:rPr>
          <w:rFonts w:eastAsia="Times New Roman" w:cs="Times New Roman"/>
          <w:szCs w:val="19"/>
          <w:lang w:eastAsia="pl-PL"/>
        </w:rPr>
      </w:pPr>
    </w:p>
    <w:p w14:paraId="09B68C1A" w14:textId="7B6AE29E" w:rsidR="001C6CDD" w:rsidRPr="005E637F" w:rsidRDefault="001C6CDD" w:rsidP="001C6CDD">
      <w:pPr>
        <w:pStyle w:val="tytuwykresu"/>
        <w:rPr>
          <w:lang w:val="en-US"/>
        </w:rPr>
      </w:pPr>
      <w:r w:rsidRPr="00064496">
        <w:rPr>
          <w:rFonts w:ascii="Fira Sans SemiBold" w:eastAsia="Times New Roman" w:hAnsi="Fira Sans SemiBold" w:cs="Times New Roman"/>
          <w:bCs/>
          <w:noProof/>
          <w:spacing w:val="0"/>
          <w:szCs w:val="18"/>
          <w:lang w:eastAsia="pl-PL"/>
        </w:rPr>
        <w:lastRenderedPageBreak/>
        <mc:AlternateContent>
          <mc:Choice Requires="wps">
            <w:drawing>
              <wp:anchor distT="45720" distB="45720" distL="114300" distR="114300" simplePos="0" relativeHeight="251674624" behindDoc="1" locked="0" layoutInCell="1" allowOverlap="1" wp14:anchorId="6367A9BC" wp14:editId="082BD849">
                <wp:simplePos x="0" y="0"/>
                <wp:positionH relativeFrom="column">
                  <wp:posOffset>5286375</wp:posOffset>
                </wp:positionH>
                <wp:positionV relativeFrom="paragraph">
                  <wp:posOffset>120015</wp:posOffset>
                </wp:positionV>
                <wp:extent cx="1725295" cy="1857375"/>
                <wp:effectExtent l="0" t="0" r="0" b="0"/>
                <wp:wrapTight wrapText="bothSides">
                  <wp:wrapPolygon edited="0">
                    <wp:start x="715" y="0"/>
                    <wp:lineTo x="715" y="21268"/>
                    <wp:lineTo x="20749" y="21268"/>
                    <wp:lineTo x="20749" y="0"/>
                    <wp:lineTo x="715" y="0"/>
                  </wp:wrapPolygon>
                </wp:wrapTight>
                <wp:docPr id="2" name="Pole tekstowe 2" descr="In February  2022 the prices   of construction and assembly production  compared to the previous month  in-creased by 1.2%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857375"/>
                        </a:xfrm>
                        <a:prstGeom prst="rect">
                          <a:avLst/>
                        </a:prstGeom>
                        <a:noFill/>
                        <a:ln w="9525">
                          <a:noFill/>
                          <a:miter lim="800000"/>
                          <a:headEnd/>
                          <a:tailEnd/>
                        </a:ln>
                      </wps:spPr>
                      <wps:txbx>
                        <w:txbxContent>
                          <w:p w14:paraId="781E5CA0" w14:textId="5AFF2820" w:rsidR="001C6CDD" w:rsidRPr="00FE2C94" w:rsidRDefault="001C6CDD" w:rsidP="001C6CDD">
                            <w:pPr>
                              <w:spacing w:after="0"/>
                              <w:rPr>
                                <w:rFonts w:eastAsia="Times New Roman" w:cs="Times New Roman"/>
                                <w:bCs/>
                                <w:color w:val="001D77"/>
                                <w:sz w:val="18"/>
                                <w:szCs w:val="18"/>
                                <w:lang w:val="en-US" w:eastAsia="pl-PL"/>
                              </w:rPr>
                            </w:pPr>
                            <w:r w:rsidRPr="00C23E5F">
                              <w:rPr>
                                <w:rFonts w:eastAsia="Times New Roman" w:cs="Times New Roman"/>
                                <w:bCs/>
                                <w:color w:val="001D77"/>
                                <w:sz w:val="18"/>
                                <w:szCs w:val="18"/>
                                <w:lang w:val="en-US" w:eastAsia="pl-PL"/>
                              </w:rPr>
                              <w:t xml:space="preserve">In </w:t>
                            </w:r>
                            <w:r w:rsidR="009B744C">
                              <w:rPr>
                                <w:rFonts w:eastAsia="Times New Roman" w:cs="Times New Roman"/>
                                <w:bCs/>
                                <w:color w:val="001D77"/>
                                <w:sz w:val="18"/>
                                <w:szCs w:val="18"/>
                                <w:lang w:val="en-US" w:eastAsia="pl-PL"/>
                              </w:rPr>
                              <w:t>February</w:t>
                            </w:r>
                            <w:r>
                              <w:rPr>
                                <w:rFonts w:eastAsia="Times New Roman" w:cs="Times New Roman"/>
                                <w:bCs/>
                                <w:color w:val="001D77"/>
                                <w:sz w:val="18"/>
                                <w:szCs w:val="18"/>
                                <w:lang w:val="en-US" w:eastAsia="pl-PL"/>
                              </w:rPr>
                              <w:t xml:space="preserve"> </w:t>
                            </w:r>
                            <w:r w:rsidRPr="00C23E5F">
                              <w:rPr>
                                <w:rFonts w:eastAsia="Times New Roman" w:cs="Times New Roman"/>
                                <w:bCs/>
                                <w:color w:val="001D77"/>
                                <w:sz w:val="18"/>
                                <w:szCs w:val="18"/>
                                <w:lang w:val="en-US" w:eastAsia="pl-PL"/>
                              </w:rPr>
                              <w:t xml:space="preserve"> 202</w:t>
                            </w:r>
                            <w:r>
                              <w:rPr>
                                <w:rFonts w:eastAsia="Times New Roman" w:cs="Times New Roman"/>
                                <w:bCs/>
                                <w:color w:val="001D77"/>
                                <w:sz w:val="18"/>
                                <w:szCs w:val="18"/>
                                <w:lang w:val="en-US" w:eastAsia="pl-PL"/>
                              </w:rPr>
                              <w:t xml:space="preserve">2 the prices </w:t>
                            </w:r>
                            <w:r w:rsidR="00995124">
                              <w:rPr>
                                <w:rFonts w:eastAsia="Times New Roman" w:cs="Times New Roman"/>
                                <w:bCs/>
                                <w:color w:val="001D77"/>
                                <w:sz w:val="18"/>
                                <w:szCs w:val="18"/>
                                <w:lang w:val="en-US" w:eastAsia="pl-PL"/>
                              </w:rPr>
                              <w:t xml:space="preserve">  </w:t>
                            </w:r>
                            <w:r w:rsidRPr="00B44C85">
                              <w:rPr>
                                <w:rFonts w:eastAsia="Times New Roman" w:cs="Times New Roman"/>
                                <w:bCs/>
                                <w:color w:val="001D77"/>
                                <w:sz w:val="18"/>
                                <w:szCs w:val="18"/>
                                <w:lang w:val="en-US" w:eastAsia="pl-PL"/>
                              </w:rPr>
                              <w:t>of construction and assembly production</w:t>
                            </w:r>
                            <w:r>
                              <w:rPr>
                                <w:rFonts w:eastAsia="Times New Roman" w:cs="Times New Roman"/>
                                <w:bCs/>
                                <w:color w:val="001D77"/>
                                <w:sz w:val="18"/>
                                <w:szCs w:val="18"/>
                                <w:lang w:val="en-US" w:eastAsia="pl-PL"/>
                              </w:rPr>
                              <w:t xml:space="preserve">  compared</w:t>
                            </w:r>
                            <w:r w:rsidR="00EB3A43">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 to the previous month  </w:t>
                            </w:r>
                            <w:r w:rsidR="00515650">
                              <w:rPr>
                                <w:rFonts w:eastAsia="Times New Roman" w:cs="Times New Roman"/>
                                <w:bCs/>
                                <w:color w:val="001D77"/>
                                <w:sz w:val="18"/>
                                <w:szCs w:val="18"/>
                                <w:lang w:val="en-US" w:eastAsia="pl-PL"/>
                              </w:rPr>
                              <w:t xml:space="preserve">            </w:t>
                            </w:r>
                            <w:r w:rsidRPr="004260B3">
                              <w:rPr>
                                <w:rFonts w:eastAsia="Times New Roman" w:cs="Times New Roman"/>
                                <w:bCs/>
                                <w:color w:val="001D77"/>
                                <w:sz w:val="18"/>
                                <w:szCs w:val="18"/>
                                <w:lang w:val="en-US" w:eastAsia="pl-PL"/>
                              </w:rPr>
                              <w:t>increased by 1.</w:t>
                            </w:r>
                            <w:r w:rsidR="004260B3" w:rsidRPr="004260B3">
                              <w:rPr>
                                <w:rFonts w:eastAsia="Times New Roman" w:cs="Times New Roman"/>
                                <w:bCs/>
                                <w:color w:val="001D77"/>
                                <w:sz w:val="18"/>
                                <w:szCs w:val="18"/>
                                <w:lang w:val="en-US" w:eastAsia="pl-PL"/>
                              </w:rPr>
                              <w:t>2</w:t>
                            </w:r>
                            <w:r w:rsidRPr="004260B3">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 xml:space="preserve">       </w:t>
                            </w:r>
                          </w:p>
                          <w:p w14:paraId="66113316" w14:textId="1E95E928" w:rsidR="00D616D2" w:rsidRPr="00E95B8E" w:rsidRDefault="00D616D2" w:rsidP="005F45EE">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In February  2022 the prices   of construction and assembly production  compared to the previous month  in-creased by 1.2%       " style="position:absolute;margin-left:416.25pt;margin-top:9.45pt;width:135.85pt;height:146.2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" filled="f" stroked="f">
                <v:textbox>
                  <w:txbxContent>
                    <w:p w14:paraId="781E5CA0" w14:textId="5AFF2820" w:rsidR="001C6CDD" w:rsidRPr="00FE2C94" w:rsidRDefault="001C6CDD" w:rsidP="001C6CDD">
                      <w:pPr>
                        <w:spacing w:after="0"/>
                        <w:rPr>
                          <w:rFonts w:eastAsia="Times New Roman" w:cs="Times New Roman"/>
                          <w:bCs/>
                          <w:color w:val="001D77"/>
                          <w:sz w:val="18"/>
                          <w:szCs w:val="18"/>
                          <w:lang w:val="en-US" w:eastAsia="pl-PL"/>
                        </w:rPr>
                      </w:pPr>
                      <w:r w:rsidRPr="00C23E5F">
                        <w:rPr>
                          <w:rFonts w:eastAsia="Times New Roman" w:cs="Times New Roman"/>
                          <w:bCs/>
                          <w:color w:val="001D77"/>
                          <w:sz w:val="18"/>
                          <w:szCs w:val="18"/>
                          <w:lang w:val="en-US" w:eastAsia="pl-PL"/>
                        </w:rPr>
                        <w:t xml:space="preserve">In </w:t>
                      </w:r>
                      <w:r w:rsidR="009B744C">
                        <w:rPr>
                          <w:rFonts w:eastAsia="Times New Roman" w:cs="Times New Roman"/>
                          <w:bCs/>
                          <w:color w:val="001D77"/>
                          <w:sz w:val="18"/>
                          <w:szCs w:val="18"/>
                          <w:lang w:val="en-US" w:eastAsia="pl-PL"/>
                        </w:rPr>
                        <w:t>February</w:t>
                      </w:r>
                      <w:r>
                        <w:rPr>
                          <w:rFonts w:eastAsia="Times New Roman" w:cs="Times New Roman"/>
                          <w:bCs/>
                          <w:color w:val="001D77"/>
                          <w:sz w:val="18"/>
                          <w:szCs w:val="18"/>
                          <w:lang w:val="en-US" w:eastAsia="pl-PL"/>
                        </w:rPr>
                        <w:t xml:space="preserve"> </w:t>
                      </w:r>
                      <w:r w:rsidRPr="00C23E5F">
                        <w:rPr>
                          <w:rFonts w:eastAsia="Times New Roman" w:cs="Times New Roman"/>
                          <w:bCs/>
                          <w:color w:val="001D77"/>
                          <w:sz w:val="18"/>
                          <w:szCs w:val="18"/>
                          <w:lang w:val="en-US" w:eastAsia="pl-PL"/>
                        </w:rPr>
                        <w:t xml:space="preserve"> 202</w:t>
                      </w:r>
                      <w:r>
                        <w:rPr>
                          <w:rFonts w:eastAsia="Times New Roman" w:cs="Times New Roman"/>
                          <w:bCs/>
                          <w:color w:val="001D77"/>
                          <w:sz w:val="18"/>
                          <w:szCs w:val="18"/>
                          <w:lang w:val="en-US" w:eastAsia="pl-PL"/>
                        </w:rPr>
                        <w:t xml:space="preserve">2 the prices </w:t>
                      </w:r>
                      <w:r w:rsidR="00995124">
                        <w:rPr>
                          <w:rFonts w:eastAsia="Times New Roman" w:cs="Times New Roman"/>
                          <w:bCs/>
                          <w:color w:val="001D77"/>
                          <w:sz w:val="18"/>
                          <w:szCs w:val="18"/>
                          <w:lang w:val="en-US" w:eastAsia="pl-PL"/>
                        </w:rPr>
                        <w:t xml:space="preserve">  </w:t>
                      </w:r>
                      <w:r w:rsidRPr="00B44C85">
                        <w:rPr>
                          <w:rFonts w:eastAsia="Times New Roman" w:cs="Times New Roman"/>
                          <w:bCs/>
                          <w:color w:val="001D77"/>
                          <w:sz w:val="18"/>
                          <w:szCs w:val="18"/>
                          <w:lang w:val="en-US" w:eastAsia="pl-PL"/>
                        </w:rPr>
                        <w:t>of construction and assembly production</w:t>
                      </w:r>
                      <w:r>
                        <w:rPr>
                          <w:rFonts w:eastAsia="Times New Roman" w:cs="Times New Roman"/>
                          <w:bCs/>
                          <w:color w:val="001D77"/>
                          <w:sz w:val="18"/>
                          <w:szCs w:val="18"/>
                          <w:lang w:val="en-US" w:eastAsia="pl-PL"/>
                        </w:rPr>
                        <w:t xml:space="preserve">  compared</w:t>
                      </w:r>
                      <w:r w:rsidR="00EB3A43">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 to the previous month  </w:t>
                      </w:r>
                      <w:r w:rsidR="00515650">
                        <w:rPr>
                          <w:rFonts w:eastAsia="Times New Roman" w:cs="Times New Roman"/>
                          <w:bCs/>
                          <w:color w:val="001D77"/>
                          <w:sz w:val="18"/>
                          <w:szCs w:val="18"/>
                          <w:lang w:val="en-US" w:eastAsia="pl-PL"/>
                        </w:rPr>
                        <w:t xml:space="preserve">            </w:t>
                      </w:r>
                      <w:r w:rsidRPr="004260B3">
                        <w:rPr>
                          <w:rFonts w:eastAsia="Times New Roman" w:cs="Times New Roman"/>
                          <w:bCs/>
                          <w:color w:val="001D77"/>
                          <w:sz w:val="18"/>
                          <w:szCs w:val="18"/>
                          <w:lang w:val="en-US" w:eastAsia="pl-PL"/>
                        </w:rPr>
                        <w:t>increased by 1.</w:t>
                      </w:r>
                      <w:r w:rsidR="004260B3" w:rsidRPr="004260B3">
                        <w:rPr>
                          <w:rFonts w:eastAsia="Times New Roman" w:cs="Times New Roman"/>
                          <w:bCs/>
                          <w:color w:val="001D77"/>
                          <w:sz w:val="18"/>
                          <w:szCs w:val="18"/>
                          <w:lang w:val="en-US" w:eastAsia="pl-PL"/>
                        </w:rPr>
                        <w:t>2</w:t>
                      </w:r>
                      <w:r w:rsidRPr="004260B3">
                        <w:rPr>
                          <w:rFonts w:eastAsia="Times New Roman" w:cs="Times New Roman"/>
                          <w:bCs/>
                          <w:color w:val="001D77"/>
                          <w:sz w:val="18"/>
                          <w:szCs w:val="18"/>
                          <w:lang w:val="en-US" w:eastAsia="pl-PL"/>
                        </w:rPr>
                        <w:t>%</w:t>
                      </w:r>
                      <w:r>
                        <w:rPr>
                          <w:rFonts w:eastAsia="Times New Roman" w:cs="Times New Roman"/>
                          <w:bCs/>
                          <w:color w:val="001D77"/>
                          <w:sz w:val="18"/>
                          <w:szCs w:val="18"/>
                          <w:lang w:val="en-US" w:eastAsia="pl-PL"/>
                        </w:rPr>
                        <w:t xml:space="preserve">       </w:t>
                      </w:r>
                    </w:p>
                    <w:p w14:paraId="66113316" w14:textId="1E95E928" w:rsidR="00D616D2" w:rsidRPr="00E95B8E" w:rsidRDefault="00D616D2" w:rsidP="005F45EE">
                      <w:pPr>
                        <w:pStyle w:val="tekstzboku"/>
                        <w:rPr>
                          <w:bCs w:val="0"/>
                        </w:rPr>
                      </w:pPr>
                    </w:p>
                  </w:txbxContent>
                </v:textbox>
                <w10:wrap type="tight"/>
              </v:shape>
            </w:pict>
          </mc:Fallback>
        </mc:AlternateContent>
      </w:r>
      <w:r w:rsidRPr="00064496">
        <w:rPr>
          <w:rFonts w:ascii="Fira Sans SemiBold" w:eastAsia="Times New Roman" w:hAnsi="Fira Sans SemiBold" w:cs="Times New Roman"/>
          <w:bCs/>
          <w:noProof/>
          <w:spacing w:val="0"/>
          <w:szCs w:val="18"/>
          <w:lang w:eastAsia="pl-PL"/>
        </w:rPr>
        <w:t xml:space="preserve"> Chart 1. Prices changes of construction and assembly production in  2020-2022 in relation</w:t>
      </w:r>
      <w:r w:rsidRPr="005E637F">
        <w:rPr>
          <w:lang w:val="en-US"/>
        </w:rPr>
        <w:t xml:space="preserve">       </w:t>
      </w:r>
    </w:p>
    <w:p w14:paraId="3B2981CF" w14:textId="4B65035C" w:rsidR="001C6CDD" w:rsidRDefault="00090FFC" w:rsidP="001C6CDD">
      <w:pPr>
        <w:pStyle w:val="tytuwykresu"/>
        <w:rPr>
          <w:lang w:val="en-US"/>
        </w:rPr>
      </w:pPr>
      <w:r>
        <w:rPr>
          <w:rFonts w:ascii="Fira Sans SemiBold" w:eastAsia="Times New Roman" w:hAnsi="Fira Sans SemiBold" w:cs="Times New Roman"/>
          <w:b w:val="0"/>
          <w:bCs/>
          <w:noProof/>
          <w:szCs w:val="18"/>
          <w:lang w:eastAsia="pl-PL"/>
        </w:rPr>
        <w:drawing>
          <wp:anchor distT="0" distB="0" distL="114300" distR="114300" simplePos="0" relativeHeight="251776000" behindDoc="0" locked="0" layoutInCell="1" allowOverlap="1" wp14:anchorId="238706FE" wp14:editId="34BF9666">
            <wp:simplePos x="0" y="0"/>
            <wp:positionH relativeFrom="column">
              <wp:posOffset>-361950</wp:posOffset>
            </wp:positionH>
            <wp:positionV relativeFrom="paragraph">
              <wp:posOffset>187325</wp:posOffset>
            </wp:positionV>
            <wp:extent cx="5517515" cy="3523615"/>
            <wp:effectExtent l="0" t="0" r="6985" b="635"/>
            <wp:wrapSquare wrapText="bothSides"/>
            <wp:docPr id="16" name="Obraz 16" descr="Prices changes of construction and assembly production in  2020-2022 in relation  to the previous perio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7515" cy="3523615"/>
                    </a:xfrm>
                    <a:prstGeom prst="rect">
                      <a:avLst/>
                    </a:prstGeom>
                    <a:noFill/>
                  </pic:spPr>
                </pic:pic>
              </a:graphicData>
            </a:graphic>
            <wp14:sizeRelH relativeFrom="margin">
              <wp14:pctWidth>0</wp14:pctWidth>
            </wp14:sizeRelH>
          </wp:anchor>
        </w:drawing>
      </w:r>
      <w:r w:rsidR="001C6CDD" w:rsidRPr="005E637F">
        <w:rPr>
          <w:lang w:val="en-US"/>
        </w:rPr>
        <w:t xml:space="preserve">                </w:t>
      </w:r>
      <w:r w:rsidR="001C6CDD" w:rsidRPr="00064496">
        <w:rPr>
          <w:rFonts w:ascii="Fira Sans SemiBold" w:eastAsia="Times New Roman" w:hAnsi="Fira Sans SemiBold" w:cs="Times New Roman"/>
          <w:bCs/>
          <w:noProof/>
          <w:spacing w:val="0"/>
          <w:szCs w:val="18"/>
          <w:lang w:eastAsia="pl-PL"/>
        </w:rPr>
        <w:t>to the previous period</w:t>
      </w:r>
      <w:r w:rsidR="001C6CDD" w:rsidRPr="005E637F">
        <w:rPr>
          <w:lang w:val="en-US"/>
        </w:rPr>
        <w:t xml:space="preserve"> </w:t>
      </w:r>
    </w:p>
    <w:p w14:paraId="561E85BE" w14:textId="77777777" w:rsidR="00090FFC" w:rsidRDefault="00090FFC" w:rsidP="001C6CDD">
      <w:pPr>
        <w:pStyle w:val="tytuwykresu"/>
        <w:rPr>
          <w:lang w:val="en-US"/>
        </w:rPr>
      </w:pPr>
    </w:p>
    <w:p w14:paraId="47814E8D" w14:textId="5756E9F5" w:rsidR="00280627" w:rsidRDefault="00280627" w:rsidP="001C6CDD">
      <w:pPr>
        <w:pStyle w:val="tytuwykresu"/>
        <w:rPr>
          <w:lang w:val="en-US"/>
        </w:rPr>
      </w:pPr>
    </w:p>
    <w:p w14:paraId="28C8447D" w14:textId="0BB7E892" w:rsidR="00F6123B" w:rsidRDefault="00F6123B" w:rsidP="001C6CDD">
      <w:pPr>
        <w:pStyle w:val="tytuwykresu"/>
        <w:rPr>
          <w:noProof/>
          <w:lang w:eastAsia="pl-PL"/>
        </w:rPr>
      </w:pPr>
    </w:p>
    <w:p w14:paraId="23696031" w14:textId="2139B14F" w:rsidR="00F6123B" w:rsidRPr="00FE68D6" w:rsidRDefault="00E43859" w:rsidP="00B32B56">
      <w:pPr>
        <w:pStyle w:val="tytuwykresu"/>
        <w:ind w:left="567" w:hanging="567"/>
        <w:rPr>
          <w:rFonts w:ascii="Fira Sans SemiBold" w:eastAsia="Times New Roman" w:hAnsi="Fira Sans SemiBold" w:cs="Times New Roman"/>
          <w:bCs/>
          <w:noProof/>
          <w:spacing w:val="0"/>
          <w:szCs w:val="18"/>
          <w:lang w:eastAsia="pl-PL"/>
        </w:rPr>
      </w:pPr>
      <w:r w:rsidRPr="00FE68D6">
        <w:rPr>
          <w:rFonts w:ascii="Fira Sans SemiBold" w:eastAsia="Times New Roman" w:hAnsi="Fira Sans SemiBold" w:cs="Times New Roman"/>
          <w:bCs/>
          <w:noProof/>
          <w:spacing w:val="0"/>
          <w:szCs w:val="18"/>
          <w:lang w:eastAsia="pl-PL"/>
        </w:rPr>
        <mc:AlternateContent>
          <mc:Choice Requires="wps">
            <w:drawing>
              <wp:anchor distT="45720" distB="45720" distL="114300" distR="114300" simplePos="0" relativeHeight="251748352" behindDoc="1" locked="0" layoutInCell="1" allowOverlap="1" wp14:anchorId="08FDD048" wp14:editId="48D424C6">
                <wp:simplePos x="0" y="0"/>
                <wp:positionH relativeFrom="column">
                  <wp:posOffset>5286375</wp:posOffset>
                </wp:positionH>
                <wp:positionV relativeFrom="paragraph">
                  <wp:posOffset>234315</wp:posOffset>
                </wp:positionV>
                <wp:extent cx="1725295" cy="1495425"/>
                <wp:effectExtent l="0" t="0" r="0" b="0"/>
                <wp:wrapTight wrapText="bothSides">
                  <wp:wrapPolygon edited="0">
                    <wp:start x="715" y="0"/>
                    <wp:lineTo x="715" y="21187"/>
                    <wp:lineTo x="20749" y="21187"/>
                    <wp:lineTo x="20749" y="0"/>
                    <wp:lineTo x="715" y="0"/>
                  </wp:wrapPolygon>
                </wp:wrapTight>
                <wp:docPr id="4" name="Pole tekstowe 4" descr="From March 2021 a growing trend is observed in the prices dynamics of con-struction  and assembly production in annual term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95425"/>
                        </a:xfrm>
                        <a:prstGeom prst="rect">
                          <a:avLst/>
                        </a:prstGeom>
                        <a:noFill/>
                        <a:ln w="9525">
                          <a:noFill/>
                          <a:miter lim="800000"/>
                          <a:headEnd/>
                          <a:tailEnd/>
                        </a:ln>
                      </wps:spPr>
                      <wps:txbx>
                        <w:txbxContent>
                          <w:p w14:paraId="584797AD" w14:textId="6F9DAB7B" w:rsidR="00E43859" w:rsidRPr="00FE2C94" w:rsidRDefault="00E43859" w:rsidP="00E43859">
                            <w:pPr>
                              <w:spacing w:after="0"/>
                              <w:rPr>
                                <w:rFonts w:eastAsia="Times New Roman" w:cs="Times New Roman"/>
                                <w:bCs/>
                                <w:color w:val="001D77"/>
                                <w:sz w:val="18"/>
                                <w:szCs w:val="18"/>
                                <w:lang w:val="en-US" w:eastAsia="pl-PL"/>
                              </w:rPr>
                            </w:pPr>
                            <w:r w:rsidRPr="00942080">
                              <w:rPr>
                                <w:rFonts w:eastAsia="Times New Roman" w:cs="Times New Roman"/>
                                <w:bCs/>
                                <w:color w:val="001D77"/>
                                <w:sz w:val="18"/>
                                <w:szCs w:val="18"/>
                                <w:lang w:val="en-US" w:eastAsia="pl-PL"/>
                              </w:rPr>
                              <w:t>From March 2021</w:t>
                            </w:r>
                            <w:r w:rsidRPr="00E41041">
                              <w:rPr>
                                <w:rFonts w:eastAsia="Times New Roman" w:cs="Times New Roman"/>
                                <w:bCs/>
                                <w:color w:val="001D77"/>
                                <w:sz w:val="18"/>
                                <w:szCs w:val="18"/>
                                <w:lang w:val="en-US" w:eastAsia="pl-PL"/>
                              </w:rPr>
                              <w:t xml:space="preserve">  a growing trend is observed</w:t>
                            </w:r>
                            <w:r w:rsidR="00515650">
                              <w:rPr>
                                <w:rFonts w:eastAsia="Times New Roman" w:cs="Times New Roman"/>
                                <w:bCs/>
                                <w:color w:val="001D77"/>
                                <w:sz w:val="18"/>
                                <w:szCs w:val="18"/>
                                <w:lang w:val="en-US" w:eastAsia="pl-PL"/>
                              </w:rPr>
                              <w:t xml:space="preserve">                  </w:t>
                            </w:r>
                            <w:r w:rsidRPr="00326257">
                              <w:rPr>
                                <w:rFonts w:eastAsia="Times New Roman" w:cs="Times New Roman"/>
                                <w:bCs/>
                                <w:color w:val="001D77"/>
                                <w:sz w:val="18"/>
                                <w:szCs w:val="18"/>
                                <w:lang w:val="en-US" w:eastAsia="pl-PL"/>
                              </w:rPr>
                              <w:t xml:space="preserve"> in the</w:t>
                            </w:r>
                            <w:r>
                              <w:rPr>
                                <w:rFonts w:eastAsia="Times New Roman" w:cs="Times New Roman"/>
                                <w:bCs/>
                                <w:color w:val="001D77"/>
                                <w:sz w:val="18"/>
                                <w:szCs w:val="18"/>
                                <w:lang w:val="en-US" w:eastAsia="pl-PL"/>
                              </w:rPr>
                              <w:t xml:space="preserve"> prices</w:t>
                            </w:r>
                            <w:r w:rsidRPr="00326257">
                              <w:rPr>
                                <w:rFonts w:eastAsia="Times New Roman" w:cs="Times New Roman"/>
                                <w:bCs/>
                                <w:color w:val="001D77"/>
                                <w:sz w:val="18"/>
                                <w:szCs w:val="18"/>
                                <w:lang w:val="en-US" w:eastAsia="pl-PL"/>
                              </w:rPr>
                              <w:t xml:space="preserve"> dynamics </w:t>
                            </w:r>
                            <w:r w:rsidR="00515650">
                              <w:rPr>
                                <w:rFonts w:eastAsia="Times New Roman" w:cs="Times New Roman"/>
                                <w:bCs/>
                                <w:color w:val="001D77"/>
                                <w:sz w:val="18"/>
                                <w:szCs w:val="18"/>
                                <w:lang w:val="en-US" w:eastAsia="pl-PL"/>
                              </w:rPr>
                              <w:t xml:space="preserve">        </w:t>
                            </w:r>
                            <w:r w:rsidRPr="00326257">
                              <w:rPr>
                                <w:rFonts w:eastAsia="Times New Roman" w:cs="Times New Roman"/>
                                <w:bCs/>
                                <w:color w:val="001D77"/>
                                <w:sz w:val="18"/>
                                <w:szCs w:val="18"/>
                                <w:lang w:val="en-US" w:eastAsia="pl-PL"/>
                              </w:rPr>
                              <w:t xml:space="preserve">of construction </w:t>
                            </w:r>
                            <w:r>
                              <w:rPr>
                                <w:rFonts w:eastAsia="Times New Roman" w:cs="Times New Roman"/>
                                <w:bCs/>
                                <w:color w:val="001D77"/>
                                <w:sz w:val="18"/>
                                <w:szCs w:val="18"/>
                                <w:lang w:val="en-US" w:eastAsia="pl-PL"/>
                              </w:rPr>
                              <w:t xml:space="preserve"> </w:t>
                            </w:r>
                            <w:r w:rsidRPr="00326257">
                              <w:rPr>
                                <w:rFonts w:eastAsia="Times New Roman" w:cs="Times New Roman"/>
                                <w:bCs/>
                                <w:color w:val="001D77"/>
                                <w:sz w:val="18"/>
                                <w:szCs w:val="18"/>
                                <w:lang w:val="en-US" w:eastAsia="pl-PL"/>
                              </w:rPr>
                              <w:t xml:space="preserve">and assembly production </w:t>
                            </w:r>
                            <w:r>
                              <w:rPr>
                                <w:rFonts w:eastAsia="Times New Roman" w:cs="Times New Roman"/>
                                <w:bCs/>
                                <w:color w:val="001D77"/>
                                <w:sz w:val="18"/>
                                <w:szCs w:val="18"/>
                                <w:lang w:val="en-US" w:eastAsia="pl-PL"/>
                              </w:rPr>
                              <w:t>in annual terms</w:t>
                            </w:r>
                            <w:r w:rsidRPr="00FA3A49">
                              <w:rPr>
                                <w:lang w:val="en-US"/>
                              </w:rPr>
                              <w:t xml:space="preserve"> </w:t>
                            </w:r>
                          </w:p>
                          <w:p w14:paraId="29D2175E" w14:textId="344F10E3" w:rsidR="00D972F6" w:rsidRPr="00E95B8E" w:rsidRDefault="00D972F6" w:rsidP="00D972F6">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DD048" id="Pole tekstowe 4" o:spid="_x0000_s1028" type="#_x0000_t202" alt="From March 2021 a growing trend is observed in the prices dynamics of con-struction  and assembly production in annual terms " style="position:absolute;left:0;text-align:left;margin-left:416.25pt;margin-top:18.45pt;width:135.85pt;height:117.7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" filled="f" stroked="f">
                <v:textbox>
                  <w:txbxContent>
                    <w:p w14:paraId="584797AD" w14:textId="6F9DAB7B" w:rsidR="00E43859" w:rsidRPr="00FE2C94" w:rsidRDefault="00E43859" w:rsidP="00E43859">
                      <w:pPr>
                        <w:spacing w:after="0"/>
                        <w:rPr>
                          <w:rFonts w:eastAsia="Times New Roman" w:cs="Times New Roman"/>
                          <w:bCs/>
                          <w:color w:val="001D77"/>
                          <w:sz w:val="18"/>
                          <w:szCs w:val="18"/>
                          <w:lang w:val="en-US" w:eastAsia="pl-PL"/>
                        </w:rPr>
                      </w:pPr>
                      <w:r w:rsidRPr="00942080">
                        <w:rPr>
                          <w:rFonts w:eastAsia="Times New Roman" w:cs="Times New Roman"/>
                          <w:bCs/>
                          <w:color w:val="001D77"/>
                          <w:sz w:val="18"/>
                          <w:szCs w:val="18"/>
                          <w:lang w:val="en-US" w:eastAsia="pl-PL"/>
                        </w:rPr>
                        <w:t>From March 2021</w:t>
                      </w:r>
                      <w:r w:rsidRPr="00E41041">
                        <w:rPr>
                          <w:rFonts w:eastAsia="Times New Roman" w:cs="Times New Roman"/>
                          <w:bCs/>
                          <w:color w:val="001D77"/>
                          <w:sz w:val="18"/>
                          <w:szCs w:val="18"/>
                          <w:lang w:val="en-US" w:eastAsia="pl-PL"/>
                        </w:rPr>
                        <w:t xml:space="preserve">  a growing trend is observed</w:t>
                      </w:r>
                      <w:r w:rsidR="00515650">
                        <w:rPr>
                          <w:rFonts w:eastAsia="Times New Roman" w:cs="Times New Roman"/>
                          <w:bCs/>
                          <w:color w:val="001D77"/>
                          <w:sz w:val="18"/>
                          <w:szCs w:val="18"/>
                          <w:lang w:val="en-US" w:eastAsia="pl-PL"/>
                        </w:rPr>
                        <w:t xml:space="preserve">                  </w:t>
                      </w:r>
                      <w:r w:rsidRPr="00326257">
                        <w:rPr>
                          <w:rFonts w:eastAsia="Times New Roman" w:cs="Times New Roman"/>
                          <w:bCs/>
                          <w:color w:val="001D77"/>
                          <w:sz w:val="18"/>
                          <w:szCs w:val="18"/>
                          <w:lang w:val="en-US" w:eastAsia="pl-PL"/>
                        </w:rPr>
                        <w:t xml:space="preserve"> in the</w:t>
                      </w:r>
                      <w:r>
                        <w:rPr>
                          <w:rFonts w:eastAsia="Times New Roman" w:cs="Times New Roman"/>
                          <w:bCs/>
                          <w:color w:val="001D77"/>
                          <w:sz w:val="18"/>
                          <w:szCs w:val="18"/>
                          <w:lang w:val="en-US" w:eastAsia="pl-PL"/>
                        </w:rPr>
                        <w:t xml:space="preserve"> prices</w:t>
                      </w:r>
                      <w:r w:rsidRPr="00326257">
                        <w:rPr>
                          <w:rFonts w:eastAsia="Times New Roman" w:cs="Times New Roman"/>
                          <w:bCs/>
                          <w:color w:val="001D77"/>
                          <w:sz w:val="18"/>
                          <w:szCs w:val="18"/>
                          <w:lang w:val="en-US" w:eastAsia="pl-PL"/>
                        </w:rPr>
                        <w:t xml:space="preserve"> dynamics </w:t>
                      </w:r>
                      <w:r w:rsidR="00515650">
                        <w:rPr>
                          <w:rFonts w:eastAsia="Times New Roman" w:cs="Times New Roman"/>
                          <w:bCs/>
                          <w:color w:val="001D77"/>
                          <w:sz w:val="18"/>
                          <w:szCs w:val="18"/>
                          <w:lang w:val="en-US" w:eastAsia="pl-PL"/>
                        </w:rPr>
                        <w:t xml:space="preserve">        </w:t>
                      </w:r>
                      <w:r w:rsidRPr="00326257">
                        <w:rPr>
                          <w:rFonts w:eastAsia="Times New Roman" w:cs="Times New Roman"/>
                          <w:bCs/>
                          <w:color w:val="001D77"/>
                          <w:sz w:val="18"/>
                          <w:szCs w:val="18"/>
                          <w:lang w:val="en-US" w:eastAsia="pl-PL"/>
                        </w:rPr>
                        <w:t xml:space="preserve">of construction </w:t>
                      </w:r>
                      <w:r>
                        <w:rPr>
                          <w:rFonts w:eastAsia="Times New Roman" w:cs="Times New Roman"/>
                          <w:bCs/>
                          <w:color w:val="001D77"/>
                          <w:sz w:val="18"/>
                          <w:szCs w:val="18"/>
                          <w:lang w:val="en-US" w:eastAsia="pl-PL"/>
                        </w:rPr>
                        <w:t xml:space="preserve"> </w:t>
                      </w:r>
                      <w:r w:rsidRPr="00326257">
                        <w:rPr>
                          <w:rFonts w:eastAsia="Times New Roman" w:cs="Times New Roman"/>
                          <w:bCs/>
                          <w:color w:val="001D77"/>
                          <w:sz w:val="18"/>
                          <w:szCs w:val="18"/>
                          <w:lang w:val="en-US" w:eastAsia="pl-PL"/>
                        </w:rPr>
                        <w:t xml:space="preserve">and assembly production </w:t>
                      </w:r>
                      <w:r>
                        <w:rPr>
                          <w:rFonts w:eastAsia="Times New Roman" w:cs="Times New Roman"/>
                          <w:bCs/>
                          <w:color w:val="001D77"/>
                          <w:sz w:val="18"/>
                          <w:szCs w:val="18"/>
                          <w:lang w:val="en-US" w:eastAsia="pl-PL"/>
                        </w:rPr>
                        <w:t>in annual terms</w:t>
                      </w:r>
                      <w:r w:rsidRPr="00FA3A49">
                        <w:rPr>
                          <w:lang w:val="en-US"/>
                        </w:rPr>
                        <w:t xml:space="preserve"> </w:t>
                      </w:r>
                    </w:p>
                    <w:p w14:paraId="29D2175E" w14:textId="344F10E3" w:rsidR="00D972F6" w:rsidRPr="00E95B8E" w:rsidRDefault="00D972F6" w:rsidP="00D972F6">
                      <w:pPr>
                        <w:pStyle w:val="tekstzboku"/>
                        <w:rPr>
                          <w:bCs w:val="0"/>
                        </w:rPr>
                      </w:pPr>
                    </w:p>
                  </w:txbxContent>
                </v:textbox>
                <w10:wrap type="tight"/>
              </v:shape>
            </w:pict>
          </mc:Fallback>
        </mc:AlternateContent>
      </w:r>
      <w:r w:rsidR="00F6123B" w:rsidRPr="00FE68D6">
        <w:rPr>
          <w:rFonts w:ascii="Fira Sans SemiBold" w:eastAsia="Times New Roman" w:hAnsi="Fira Sans SemiBold" w:cs="Times New Roman"/>
          <w:bCs/>
          <w:noProof/>
          <w:spacing w:val="0"/>
          <w:szCs w:val="18"/>
          <w:lang w:eastAsia="pl-PL"/>
        </w:rPr>
        <w:t xml:space="preserve">Chart 2. Prices changes  of construction and assembly production in 2020-2022 in relation  </w:t>
      </w:r>
    </w:p>
    <w:p w14:paraId="7D52B145" w14:textId="07E05A1C" w:rsidR="00B16871" w:rsidRPr="00E84CFC" w:rsidRDefault="00E84CFC" w:rsidP="00FE68D6">
      <w:pPr>
        <w:pStyle w:val="tytuwykresu"/>
        <w:rPr>
          <w:lang w:val="en-US"/>
        </w:rPr>
      </w:pPr>
      <w:r>
        <w:rPr>
          <w:lang w:val="en-US"/>
        </w:rPr>
        <w:t xml:space="preserve">                </w:t>
      </w:r>
      <w:r w:rsidR="00F6123B" w:rsidRPr="00FE68D6">
        <w:rPr>
          <w:rFonts w:ascii="Fira Sans SemiBold" w:eastAsia="Times New Roman" w:hAnsi="Fira Sans SemiBold" w:cs="Times New Roman"/>
          <w:bCs/>
          <w:noProof/>
          <w:spacing w:val="0"/>
          <w:szCs w:val="18"/>
          <w:lang w:eastAsia="pl-PL"/>
        </w:rPr>
        <w:t>to the same period of the previous year</w:t>
      </w:r>
    </w:p>
    <w:p w14:paraId="28E2344E" w14:textId="44EDAA01" w:rsidR="00216634" w:rsidRDefault="00B32B56" w:rsidP="00216634">
      <w:pPr>
        <w:spacing w:line="288" w:lineRule="auto"/>
        <w:rPr>
          <w:rFonts w:eastAsia="Times New Roman" w:cs="Times New Roman"/>
          <w:szCs w:val="19"/>
          <w:lang w:eastAsia="pl-PL"/>
        </w:rPr>
      </w:pPr>
      <w:r>
        <w:rPr>
          <w:noProof/>
          <w:sz w:val="18"/>
          <w:lang w:eastAsia="pl-PL"/>
        </w:rPr>
        <w:drawing>
          <wp:anchor distT="0" distB="0" distL="114300" distR="114300" simplePos="0" relativeHeight="251778048" behindDoc="0" locked="0" layoutInCell="1" allowOverlap="1" wp14:anchorId="244CE77D" wp14:editId="70393FF2">
            <wp:simplePos x="0" y="0"/>
            <wp:positionH relativeFrom="column">
              <wp:posOffset>-178905</wp:posOffset>
            </wp:positionH>
            <wp:positionV relativeFrom="paragraph">
              <wp:posOffset>182907</wp:posOffset>
            </wp:positionV>
            <wp:extent cx="5334635" cy="3395980"/>
            <wp:effectExtent l="0" t="0" r="0" b="0"/>
            <wp:wrapSquare wrapText="bothSides"/>
            <wp:docPr id="17" name="Obraz 17" descr="Prices changes  of construction and assembly production in 2020-2022 in relation to the same period of the previous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635" cy="3395980"/>
                    </a:xfrm>
                    <a:prstGeom prst="rect">
                      <a:avLst/>
                    </a:prstGeom>
                    <a:noFill/>
                  </pic:spPr>
                </pic:pic>
              </a:graphicData>
            </a:graphic>
            <wp14:sizeRelH relativeFrom="margin">
              <wp14:pctWidth>0</wp14:pctWidth>
            </wp14:sizeRelH>
          </wp:anchor>
        </w:drawing>
      </w:r>
    </w:p>
    <w:p w14:paraId="6906E19B" w14:textId="1CE62A17" w:rsidR="00DA331D" w:rsidRDefault="00DA331D" w:rsidP="00E95B8E">
      <w:pPr>
        <w:rPr>
          <w:sz w:val="16"/>
        </w:rPr>
      </w:pPr>
    </w:p>
    <w:p w14:paraId="4809D44B" w14:textId="52ACD0A1" w:rsidR="00694AF0" w:rsidRDefault="00694AF0" w:rsidP="00E76D26">
      <w:pPr>
        <w:rPr>
          <w:sz w:val="18"/>
        </w:rPr>
      </w:pPr>
    </w:p>
    <w:p w14:paraId="3C222B0C" w14:textId="77777777" w:rsidR="00DA331D" w:rsidRDefault="00DA331D" w:rsidP="00DA331D">
      <w:pPr>
        <w:spacing w:before="360"/>
        <w:rPr>
          <w:sz w:val="18"/>
        </w:rPr>
      </w:pPr>
    </w:p>
    <w:p w14:paraId="605F16A8" w14:textId="453668DA" w:rsidR="00E84CFC" w:rsidRDefault="00B71ACF" w:rsidP="00F22BF3">
      <w:pPr>
        <w:pStyle w:val="tytuwykresu"/>
        <w:ind w:left="567" w:hanging="567"/>
        <w:rPr>
          <w:rFonts w:ascii="Fira Sans SemiBold" w:eastAsia="Times New Roman" w:hAnsi="Fira Sans SemiBold" w:cs="Times New Roman"/>
          <w:bCs/>
          <w:noProof/>
          <w:spacing w:val="0"/>
          <w:szCs w:val="18"/>
          <w:lang w:eastAsia="pl-PL"/>
        </w:rPr>
      </w:pPr>
      <w:r>
        <w:rPr>
          <w:noProof/>
          <w:lang w:eastAsia="pl-PL"/>
        </w:rPr>
        <w:lastRenderedPageBreak/>
        <w:drawing>
          <wp:anchor distT="0" distB="0" distL="114300" distR="114300" simplePos="0" relativeHeight="251779072" behindDoc="0" locked="0" layoutInCell="1" allowOverlap="1" wp14:anchorId="62A07988" wp14:editId="7DA2B35D">
            <wp:simplePos x="0" y="0"/>
            <wp:positionH relativeFrom="column">
              <wp:posOffset>-328295</wp:posOffset>
            </wp:positionH>
            <wp:positionV relativeFrom="paragraph">
              <wp:posOffset>455930</wp:posOffset>
            </wp:positionV>
            <wp:extent cx="5469890" cy="5581015"/>
            <wp:effectExtent l="0" t="0" r="0" b="635"/>
            <wp:wrapSquare wrapText="bothSides"/>
            <wp:docPr id="1" name="Wykres 1" descr="Prices  changes of  production  and assembly construction by divisions NACE                      in  2020-2022   in relation to December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F22BF3" w:rsidRPr="00F368F2">
        <w:rPr>
          <w:rFonts w:ascii="Fira Sans SemiBold" w:eastAsia="Times New Roman" w:hAnsi="Fira Sans SemiBold" w:cs="Times New Roman"/>
          <w:bCs/>
          <w:noProof/>
          <w:spacing w:val="0"/>
          <w:szCs w:val="18"/>
          <w:lang w:eastAsia="pl-PL"/>
        </w:rPr>
        <mc:AlternateContent>
          <mc:Choice Requires="wps">
            <w:drawing>
              <wp:anchor distT="45720" distB="45720" distL="114300" distR="114300" simplePos="0" relativeHeight="251763712" behindDoc="1" locked="0" layoutInCell="1" allowOverlap="1" wp14:anchorId="73032E60" wp14:editId="62EB787E">
                <wp:simplePos x="0" y="0"/>
                <wp:positionH relativeFrom="column">
                  <wp:posOffset>5314950</wp:posOffset>
                </wp:positionH>
                <wp:positionV relativeFrom="paragraph">
                  <wp:posOffset>120650</wp:posOffset>
                </wp:positionV>
                <wp:extent cx="1725295" cy="1514475"/>
                <wp:effectExtent l="0" t="0" r="0" b="0"/>
                <wp:wrapTight wrapText="bothSides">
                  <wp:wrapPolygon edited="0">
                    <wp:start x="715" y="0"/>
                    <wp:lineTo x="715" y="21192"/>
                    <wp:lineTo x="20749" y="21192"/>
                    <wp:lineTo x="20749" y="0"/>
                    <wp:lineTo x="715" y="0"/>
                  </wp:wrapPolygon>
                </wp:wrapTight>
                <wp:docPr id="18" name="Pole tekstowe 18" descr="Starting from January 2020  the highest  prices  growth   is recorded in construction of building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14475"/>
                        </a:xfrm>
                        <a:prstGeom prst="rect">
                          <a:avLst/>
                        </a:prstGeom>
                        <a:noFill/>
                        <a:ln w="9525">
                          <a:noFill/>
                          <a:miter lim="800000"/>
                          <a:headEnd/>
                          <a:tailEnd/>
                        </a:ln>
                      </wps:spPr>
                      <wps:txbx>
                        <w:txbxContent>
                          <w:p w14:paraId="77C5576B" w14:textId="4BA94E59" w:rsidR="00F22BF3" w:rsidRPr="00FE2C94" w:rsidRDefault="00F22BF3" w:rsidP="00F22BF3">
                            <w:pPr>
                              <w:spacing w:after="0"/>
                              <w:rPr>
                                <w:rFonts w:eastAsia="Times New Roman" w:cs="Times New Roman"/>
                                <w:bCs/>
                                <w:color w:val="001D77"/>
                                <w:sz w:val="18"/>
                                <w:szCs w:val="18"/>
                                <w:lang w:val="en-US" w:eastAsia="pl-PL"/>
                              </w:rPr>
                            </w:pPr>
                            <w:r w:rsidRPr="00C313B8">
                              <w:rPr>
                                <w:rFonts w:eastAsia="Times New Roman" w:cs="Times New Roman"/>
                                <w:bCs/>
                                <w:color w:val="001D77"/>
                                <w:sz w:val="18"/>
                                <w:szCs w:val="18"/>
                                <w:lang w:val="en-US" w:eastAsia="pl-PL"/>
                              </w:rPr>
                              <w:t>Starting from January 2020</w:t>
                            </w:r>
                            <w:r>
                              <w:rPr>
                                <w:rFonts w:eastAsia="Times New Roman" w:cs="Times New Roman"/>
                                <w:bCs/>
                                <w:color w:val="001D77"/>
                                <w:sz w:val="18"/>
                                <w:szCs w:val="18"/>
                                <w:lang w:val="en-US" w:eastAsia="pl-PL"/>
                              </w:rPr>
                              <w:t xml:space="preserve">           the highest  prices  growth </w:t>
                            </w:r>
                            <w:r w:rsidR="00DE2262">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is recorded in construction of buildings </w:t>
                            </w:r>
                          </w:p>
                          <w:p w14:paraId="49F98E25" w14:textId="7061ECC6" w:rsidR="00E43859" w:rsidRPr="00E95B8E" w:rsidRDefault="00E43859" w:rsidP="00E43859">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32E60" id="Pole tekstowe 18" o:spid="_x0000_s1029" type="#_x0000_t202" alt="Starting from January 2020  the highest  prices  growth   is recorded in construction of buildings " style="position:absolute;left:0;text-align:left;margin-left:418.5pt;margin-top:9.5pt;width:135.85pt;height:119.25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" filled="f" stroked="f">
                <v:textbox>
                  <w:txbxContent>
                    <w:p w14:paraId="77C5576B" w14:textId="4BA94E59" w:rsidR="00F22BF3" w:rsidRPr="00FE2C94" w:rsidRDefault="00F22BF3" w:rsidP="00F22BF3">
                      <w:pPr>
                        <w:spacing w:after="0"/>
                        <w:rPr>
                          <w:rFonts w:eastAsia="Times New Roman" w:cs="Times New Roman"/>
                          <w:bCs/>
                          <w:color w:val="001D77"/>
                          <w:sz w:val="18"/>
                          <w:szCs w:val="18"/>
                          <w:lang w:val="en-US" w:eastAsia="pl-PL"/>
                        </w:rPr>
                      </w:pPr>
                      <w:r w:rsidRPr="00C313B8">
                        <w:rPr>
                          <w:rFonts w:eastAsia="Times New Roman" w:cs="Times New Roman"/>
                          <w:bCs/>
                          <w:color w:val="001D77"/>
                          <w:sz w:val="18"/>
                          <w:szCs w:val="18"/>
                          <w:lang w:val="en-US" w:eastAsia="pl-PL"/>
                        </w:rPr>
                        <w:t>Starting from January 2020</w:t>
                      </w:r>
                      <w:r>
                        <w:rPr>
                          <w:rFonts w:eastAsia="Times New Roman" w:cs="Times New Roman"/>
                          <w:bCs/>
                          <w:color w:val="001D77"/>
                          <w:sz w:val="18"/>
                          <w:szCs w:val="18"/>
                          <w:lang w:val="en-US" w:eastAsia="pl-PL"/>
                        </w:rPr>
                        <w:t xml:space="preserve">           the highest  prices  growth </w:t>
                      </w:r>
                      <w:r w:rsidR="00DE2262">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is recorded in construction of buildings </w:t>
                      </w:r>
                    </w:p>
                    <w:p w14:paraId="49F98E25" w14:textId="7061ECC6" w:rsidR="00E43859" w:rsidRPr="00E95B8E" w:rsidRDefault="00E43859" w:rsidP="00E43859">
                      <w:pPr>
                        <w:pStyle w:val="tekstzboku"/>
                        <w:rPr>
                          <w:bCs w:val="0"/>
                        </w:rPr>
                      </w:pPr>
                    </w:p>
                  </w:txbxContent>
                </v:textbox>
                <w10:wrap type="tight"/>
              </v:shape>
            </w:pict>
          </mc:Fallback>
        </mc:AlternateContent>
      </w:r>
      <w:r w:rsidR="00F22BF3" w:rsidRPr="00F368F2">
        <w:rPr>
          <w:rFonts w:ascii="Fira Sans SemiBold" w:eastAsia="Times New Roman" w:hAnsi="Fira Sans SemiBold" w:cs="Times New Roman"/>
          <w:bCs/>
          <w:noProof/>
          <w:spacing w:val="0"/>
          <w:szCs w:val="18"/>
          <w:lang w:eastAsia="pl-PL"/>
        </w:rPr>
        <w:t xml:space="preserve">Chart 3. Prices  changes of  production  and assembly construction by divisions NACE  </w:t>
      </w:r>
      <w:r w:rsidR="00F368F2">
        <w:rPr>
          <w:rFonts w:ascii="Fira Sans SemiBold" w:eastAsia="Times New Roman" w:hAnsi="Fira Sans SemiBold" w:cs="Times New Roman"/>
          <w:bCs/>
          <w:noProof/>
          <w:spacing w:val="0"/>
          <w:szCs w:val="18"/>
          <w:lang w:eastAsia="pl-PL"/>
        </w:rPr>
        <w:t xml:space="preserve">                    </w:t>
      </w:r>
      <w:r w:rsidR="00F22BF3" w:rsidRPr="00F368F2">
        <w:rPr>
          <w:rFonts w:ascii="Fira Sans SemiBold" w:eastAsia="Times New Roman" w:hAnsi="Fira Sans SemiBold" w:cs="Times New Roman"/>
          <w:bCs/>
          <w:noProof/>
          <w:spacing w:val="0"/>
          <w:szCs w:val="18"/>
          <w:lang w:eastAsia="pl-PL"/>
        </w:rPr>
        <w:t>in  2020-2022</w:t>
      </w:r>
      <w:r w:rsidR="00F22BF3" w:rsidRPr="00F22BF3">
        <w:rPr>
          <w:lang w:val="en-US"/>
        </w:rPr>
        <w:t xml:space="preserve"> </w:t>
      </w:r>
      <w:r w:rsidR="00F22BF3">
        <w:rPr>
          <w:lang w:val="en-US"/>
        </w:rPr>
        <w:t xml:space="preserve">  </w:t>
      </w:r>
      <w:r w:rsidR="00F22BF3" w:rsidRPr="00F368F2">
        <w:rPr>
          <w:rFonts w:ascii="Fira Sans SemiBold" w:eastAsia="Times New Roman" w:hAnsi="Fira Sans SemiBold" w:cs="Times New Roman"/>
          <w:bCs/>
          <w:noProof/>
          <w:spacing w:val="0"/>
          <w:szCs w:val="18"/>
          <w:lang w:eastAsia="pl-PL"/>
        </w:rPr>
        <w:t>in relation to December 2019</w:t>
      </w:r>
    </w:p>
    <w:p w14:paraId="5F3DAFC6" w14:textId="433E39A6" w:rsidR="00663627" w:rsidRDefault="00663627" w:rsidP="00F22BF3">
      <w:pPr>
        <w:pStyle w:val="tytuwykresu"/>
        <w:ind w:left="567" w:hanging="567"/>
        <w:rPr>
          <w:rFonts w:ascii="Fira Sans SemiBold" w:eastAsia="Times New Roman" w:hAnsi="Fira Sans SemiBold" w:cs="Times New Roman"/>
          <w:bCs/>
          <w:noProof/>
          <w:spacing w:val="0"/>
          <w:szCs w:val="18"/>
          <w:lang w:eastAsia="pl-PL"/>
        </w:rPr>
      </w:pPr>
    </w:p>
    <w:p w14:paraId="18E3EF3A" w14:textId="61295C76" w:rsidR="0085415C" w:rsidRDefault="0085415C" w:rsidP="00F22BF3">
      <w:pPr>
        <w:pStyle w:val="tytuwykresu"/>
        <w:ind w:left="567" w:hanging="567"/>
        <w:rPr>
          <w:rFonts w:ascii="Fira Sans SemiBold" w:eastAsia="Times New Roman" w:hAnsi="Fira Sans SemiBold" w:cs="Times New Roman"/>
          <w:bCs/>
          <w:noProof/>
          <w:spacing w:val="0"/>
          <w:szCs w:val="18"/>
          <w:lang w:eastAsia="pl-PL"/>
        </w:rPr>
      </w:pPr>
    </w:p>
    <w:p w14:paraId="6FE4235D" w14:textId="77777777" w:rsidR="0085415C" w:rsidRDefault="0085415C" w:rsidP="00F22BF3">
      <w:pPr>
        <w:pStyle w:val="tytuwykresu"/>
        <w:ind w:left="567" w:hanging="567"/>
        <w:rPr>
          <w:lang w:val="en-US"/>
        </w:rPr>
      </w:pPr>
    </w:p>
    <w:p w14:paraId="23E975DB" w14:textId="7E13D834" w:rsidR="00C313B8" w:rsidRDefault="00C313B8" w:rsidP="00F22BF3">
      <w:pPr>
        <w:pStyle w:val="tytuwykresu"/>
        <w:ind w:left="567" w:hanging="567"/>
        <w:rPr>
          <w:lang w:val="en-US"/>
        </w:rPr>
      </w:pPr>
    </w:p>
    <w:p w14:paraId="2654FF2C" w14:textId="77777777" w:rsidR="00C313B8" w:rsidRDefault="00C313B8" w:rsidP="00F22BF3">
      <w:pPr>
        <w:pStyle w:val="tytuwykresu"/>
        <w:ind w:left="567" w:hanging="567"/>
        <w:rPr>
          <w:lang w:val="en-US"/>
        </w:rPr>
      </w:pPr>
    </w:p>
    <w:p w14:paraId="25CDF548" w14:textId="77777777" w:rsidR="00C313B8" w:rsidRDefault="00C313B8" w:rsidP="00F22BF3">
      <w:pPr>
        <w:pStyle w:val="tytuwykresu"/>
        <w:ind w:left="567" w:hanging="567"/>
        <w:rPr>
          <w:lang w:val="en-US"/>
        </w:rPr>
      </w:pPr>
    </w:p>
    <w:p w14:paraId="60D93713" w14:textId="77777777" w:rsidR="00F22BF3" w:rsidRPr="00D24311" w:rsidRDefault="00F22BF3" w:rsidP="00F22BF3">
      <w:pPr>
        <w:pStyle w:val="tytuwykresu"/>
        <w:spacing w:before="40"/>
        <w:rPr>
          <w:b w:val="0"/>
          <w:bCs/>
          <w:sz w:val="19"/>
          <w:szCs w:val="19"/>
          <w:shd w:val="clear" w:color="auto" w:fill="FFFFFF"/>
          <w:lang w:val="en-US"/>
        </w:rPr>
      </w:pPr>
      <w:r>
        <w:rPr>
          <w:b w:val="0"/>
          <w:bCs/>
          <w:sz w:val="19"/>
          <w:szCs w:val="19"/>
          <w:shd w:val="clear" w:color="auto" w:fill="FFFFFF"/>
          <w:lang w:val="en-US"/>
        </w:rPr>
        <w:t>I</w:t>
      </w:r>
      <w:r w:rsidRPr="00D24311">
        <w:rPr>
          <w:b w:val="0"/>
          <w:bCs/>
          <w:sz w:val="19"/>
          <w:szCs w:val="19"/>
          <w:shd w:val="clear" w:color="auto" w:fill="FFFFFF"/>
          <w:lang w:val="en-US"/>
        </w:rPr>
        <w:t xml:space="preserve">n case of quoting Statistics Poland data, please provide information: “Source of data: Statistics Poland”, and in case of publishing calculations made on data published by Statistics Poland, please include the following disclaimer: “Own study based on figures from Statistics Poland”. </w:t>
      </w:r>
    </w:p>
    <w:p w14:paraId="5CB5B64A" w14:textId="77777777" w:rsidR="00F22BF3" w:rsidRPr="00001C5B" w:rsidRDefault="00F22BF3" w:rsidP="00DA331D">
      <w:pPr>
        <w:spacing w:before="360"/>
        <w:rPr>
          <w:sz w:val="18"/>
        </w:rPr>
        <w:sectPr w:rsidR="00F22BF3" w:rsidRPr="00001C5B"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196D0BDA" w14:textId="77777777" w:rsidTr="009E7D31">
        <w:trPr>
          <w:trHeight w:val="1626"/>
        </w:trPr>
        <w:tc>
          <w:tcPr>
            <w:tcW w:w="4926" w:type="dxa"/>
          </w:tcPr>
          <w:p w14:paraId="05DA311F" w14:textId="094CF4F7" w:rsidR="00DE2400" w:rsidRPr="004A1D19" w:rsidRDefault="00C60504" w:rsidP="00DE2400">
            <w:pPr>
              <w:spacing w:before="0" w:after="0" w:line="276" w:lineRule="auto"/>
              <w:rPr>
                <w:rFonts w:cs="Arial"/>
                <w:sz w:val="20"/>
              </w:rPr>
            </w:pPr>
            <w:proofErr w:type="spellStart"/>
            <w:r>
              <w:rPr>
                <w:rFonts w:cs="Arial"/>
                <w:sz w:val="20"/>
              </w:rPr>
              <w:lastRenderedPageBreak/>
              <w:t>Prepared</w:t>
            </w:r>
            <w:proofErr w:type="spellEnd"/>
            <w:r>
              <w:rPr>
                <w:rFonts w:cs="Arial"/>
                <w:sz w:val="20"/>
              </w:rPr>
              <w:t xml:space="preserve"> by</w:t>
            </w:r>
            <w:r w:rsidR="00DE2400" w:rsidRPr="004A1D19">
              <w:rPr>
                <w:rFonts w:cs="Arial"/>
                <w:sz w:val="20"/>
              </w:rPr>
              <w:t>:</w:t>
            </w:r>
          </w:p>
          <w:p w14:paraId="1E9B29DC" w14:textId="6F9BA967" w:rsidR="00DE2400" w:rsidRPr="008925F0" w:rsidRDefault="005C4638" w:rsidP="00DE2400">
            <w:pPr>
              <w:spacing w:before="0" w:line="276" w:lineRule="auto"/>
              <w:rPr>
                <w:rFonts w:cs="Arial"/>
                <w:b/>
                <w:color w:val="000000" w:themeColor="text1"/>
                <w:sz w:val="20"/>
              </w:rPr>
            </w:pPr>
            <w:r w:rsidRPr="00A54904">
              <w:rPr>
                <w:rFonts w:cs="Arial"/>
                <w:b/>
                <w:color w:val="000000" w:themeColor="text1"/>
                <w:sz w:val="20"/>
                <w:lang w:val="en-US"/>
              </w:rPr>
              <w:t xml:space="preserve">The </w:t>
            </w:r>
            <w:r>
              <w:rPr>
                <w:rFonts w:cs="Arial"/>
                <w:b/>
                <w:color w:val="000000" w:themeColor="text1"/>
                <w:sz w:val="20"/>
                <w:lang w:val="en-US"/>
              </w:rPr>
              <w:t>Trade and Services</w:t>
            </w:r>
            <w:r w:rsidR="006C197A">
              <w:rPr>
                <w:rFonts w:cs="Arial"/>
                <w:b/>
                <w:color w:val="000000" w:themeColor="text1"/>
                <w:sz w:val="20"/>
              </w:rPr>
              <w:t xml:space="preserve"> </w:t>
            </w:r>
            <w:proofErr w:type="spellStart"/>
            <w:r w:rsidR="00DE2400" w:rsidRPr="008925F0">
              <w:rPr>
                <w:rFonts w:cs="Arial"/>
                <w:b/>
                <w:color w:val="000000" w:themeColor="text1"/>
                <w:sz w:val="20"/>
              </w:rPr>
              <w:t>Department</w:t>
            </w:r>
            <w:proofErr w:type="spellEnd"/>
          </w:p>
          <w:p w14:paraId="41A1AE38" w14:textId="319A931F" w:rsidR="00DE2400" w:rsidRPr="00DE2400" w:rsidRDefault="00DE2400" w:rsidP="00747B8C">
            <w:pPr>
              <w:spacing w:before="0" w:after="0" w:line="276" w:lineRule="auto"/>
              <w:rPr>
                <w:b/>
                <w:lang w:val="fi-FI"/>
              </w:rPr>
            </w:pPr>
            <w:r w:rsidRPr="00DE2400">
              <w:rPr>
                <w:b/>
                <w:lang w:val="fi-FI"/>
              </w:rPr>
              <w:t>D</w:t>
            </w:r>
            <w:r w:rsidR="006C197A">
              <w:rPr>
                <w:b/>
                <w:lang w:val="fi-FI"/>
              </w:rPr>
              <w:t>irec</w:t>
            </w:r>
            <w:r w:rsidRPr="00DE2400">
              <w:rPr>
                <w:b/>
                <w:lang w:val="fi-FI"/>
              </w:rPr>
              <w:t xml:space="preserve">tor </w:t>
            </w:r>
            <w:r w:rsidR="005C4638">
              <w:rPr>
                <w:rFonts w:cs="Arial"/>
                <w:b/>
                <w:color w:val="000000" w:themeColor="text1"/>
                <w:sz w:val="20"/>
                <w:szCs w:val="28"/>
              </w:rPr>
              <w:t>Ewa Adach-Stankiewicz</w:t>
            </w:r>
          </w:p>
          <w:p w14:paraId="5425F0B4" w14:textId="1F10522E" w:rsidR="00DE2400" w:rsidRPr="00AB24E4" w:rsidRDefault="006C197A" w:rsidP="00B16871">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DE2400" w:rsidRPr="008F3638">
              <w:rPr>
                <w:rFonts w:ascii="Fira Sans" w:hAnsi="Fira Sans" w:cs="Arial"/>
                <w:color w:val="000000" w:themeColor="text1"/>
                <w:sz w:val="20"/>
                <w:lang w:val="fi-FI"/>
              </w:rPr>
              <w:t xml:space="preserve">: </w:t>
            </w:r>
            <w:r w:rsidR="00156F0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00DE2400" w:rsidRPr="008F3638">
              <w:rPr>
                <w:rFonts w:ascii="Fira Sans" w:hAnsi="Fira Sans" w:cs="Arial"/>
                <w:color w:val="000000" w:themeColor="text1"/>
                <w:sz w:val="20"/>
                <w:lang w:val="fi-FI"/>
              </w:rPr>
              <w:t>22</w:t>
            </w:r>
            <w:r w:rsidR="00156F04">
              <w:rPr>
                <w:rFonts w:ascii="Fira Sans" w:hAnsi="Fira Sans" w:cs="Arial"/>
                <w:color w:val="000000" w:themeColor="text1"/>
                <w:sz w:val="20"/>
                <w:lang w:val="fi-FI"/>
              </w:rPr>
              <w:t>)</w:t>
            </w:r>
            <w:r w:rsidR="00DE2400" w:rsidRPr="008F3638">
              <w:rPr>
                <w:rFonts w:ascii="Fira Sans" w:hAnsi="Fira Sans" w:cs="Arial"/>
                <w:color w:val="000000" w:themeColor="text1"/>
                <w:sz w:val="20"/>
                <w:lang w:val="fi-FI"/>
              </w:rPr>
              <w:t> </w:t>
            </w:r>
            <w:r w:rsidR="00404C4E" w:rsidRPr="00AC6DB5">
              <w:rPr>
                <w:rFonts w:ascii="Fira Sans" w:hAnsi="Fira Sans" w:cs="Arial"/>
                <w:color w:val="000000" w:themeColor="text1"/>
                <w:sz w:val="20"/>
                <w:lang w:val="fi-FI"/>
              </w:rPr>
              <w:t>608 3</w:t>
            </w:r>
            <w:r w:rsidR="00404C4E">
              <w:rPr>
                <w:rFonts w:ascii="Fira Sans" w:hAnsi="Fira Sans" w:cs="Arial"/>
                <w:color w:val="000000" w:themeColor="text1"/>
                <w:sz w:val="20"/>
                <w:lang w:val="fi-FI"/>
              </w:rPr>
              <w:t>1 24</w:t>
            </w:r>
          </w:p>
        </w:tc>
        <w:tc>
          <w:tcPr>
            <w:tcW w:w="4927" w:type="dxa"/>
          </w:tcPr>
          <w:p w14:paraId="4E8FFA16" w14:textId="216C4512" w:rsidR="00DE2400" w:rsidRPr="004A1D19" w:rsidRDefault="006C197A" w:rsidP="00DE2400">
            <w:pPr>
              <w:spacing w:before="0" w:line="276" w:lineRule="auto"/>
              <w:rPr>
                <w:rFonts w:cs="Arial"/>
                <w:b/>
                <w:sz w:val="20"/>
              </w:rPr>
            </w:pPr>
            <w:proofErr w:type="spellStart"/>
            <w:r>
              <w:rPr>
                <w:rFonts w:cs="Arial"/>
                <w:sz w:val="20"/>
              </w:rPr>
              <w:t>Issued</w:t>
            </w:r>
            <w:proofErr w:type="spellEnd"/>
            <w:r>
              <w:rPr>
                <w:rFonts w:cs="Arial"/>
                <w:sz w:val="20"/>
              </w:rPr>
              <w:t xml:space="preserve"> by</w:t>
            </w:r>
            <w:r w:rsidR="00DE2400" w:rsidRPr="004A1D19">
              <w:rPr>
                <w:rFonts w:cs="Arial"/>
                <w:sz w:val="20"/>
              </w:rPr>
              <w:t>:</w:t>
            </w:r>
            <w:r w:rsidR="00DE2400" w:rsidRPr="004A1D19">
              <w:rPr>
                <w:rFonts w:cs="Arial"/>
                <w:sz w:val="20"/>
              </w:rPr>
              <w:br/>
            </w:r>
            <w:r w:rsidRPr="006C197A">
              <w:rPr>
                <w:rFonts w:cs="Arial"/>
                <w:b/>
                <w:sz w:val="20"/>
              </w:rPr>
              <w:t xml:space="preserve">The </w:t>
            </w:r>
            <w:proofErr w:type="spellStart"/>
            <w:r w:rsidRPr="006C197A">
              <w:rPr>
                <w:rFonts w:cs="Arial"/>
                <w:b/>
                <w:sz w:val="20"/>
              </w:rPr>
              <w:t>Spokesperson</w:t>
            </w:r>
            <w:proofErr w:type="spellEnd"/>
            <w:r w:rsidRPr="006C197A">
              <w:rPr>
                <w:rFonts w:cs="Arial"/>
                <w:b/>
                <w:sz w:val="20"/>
              </w:rPr>
              <w:t xml:space="preserve"> for the </w:t>
            </w:r>
            <w:proofErr w:type="spellStart"/>
            <w:r w:rsidRPr="006C197A">
              <w:rPr>
                <w:rFonts w:cs="Arial"/>
                <w:b/>
                <w:sz w:val="20"/>
              </w:rPr>
              <w:t>President</w:t>
            </w:r>
            <w:proofErr w:type="spellEnd"/>
            <w:r w:rsidR="00FA4D6D">
              <w:rPr>
                <w:rFonts w:cs="Arial"/>
                <w:b/>
                <w:sz w:val="20"/>
              </w:rPr>
              <w:br/>
            </w:r>
            <w:r w:rsidRPr="006C197A">
              <w:rPr>
                <w:rFonts w:cs="Arial"/>
                <w:b/>
                <w:sz w:val="20"/>
              </w:rPr>
              <w:t xml:space="preserve">of </w:t>
            </w:r>
            <w:proofErr w:type="spellStart"/>
            <w:r w:rsidRPr="006C197A">
              <w:rPr>
                <w:rFonts w:cs="Arial"/>
                <w:b/>
                <w:sz w:val="20"/>
              </w:rPr>
              <w:t>Statistics</w:t>
            </w:r>
            <w:proofErr w:type="spellEnd"/>
            <w:r w:rsidRPr="006C197A">
              <w:rPr>
                <w:rFonts w:cs="Arial"/>
                <w:b/>
                <w:sz w:val="20"/>
              </w:rPr>
              <w:t xml:space="preserve"> Poland</w:t>
            </w:r>
          </w:p>
          <w:p w14:paraId="047A0FE3" w14:textId="77777777" w:rsidR="00DE2400" w:rsidRPr="004A1D19" w:rsidRDefault="00DE2400" w:rsidP="00747B8C">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9C02E89" w14:textId="4B34711C" w:rsidR="00DE2400" w:rsidRPr="004A1D19" w:rsidRDefault="006C197A" w:rsidP="00747B8C">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00DE2400" w:rsidRPr="004A1D19">
              <w:rPr>
                <w:rFonts w:ascii="Fira Sans" w:hAnsi="Fira Sans" w:cs="Arial"/>
                <w:color w:val="auto"/>
                <w:sz w:val="20"/>
                <w:lang w:val="fi-FI"/>
              </w:rPr>
              <w:t xml:space="preserve">: </w:t>
            </w:r>
            <w:r w:rsidR="00FA4D6D">
              <w:rPr>
                <w:rFonts w:ascii="Fira Sans" w:hAnsi="Fira Sans" w:cs="Arial"/>
                <w:color w:val="auto"/>
                <w:sz w:val="20"/>
                <w:lang w:val="fi-FI"/>
              </w:rPr>
              <w:t>(</w:t>
            </w:r>
            <w:r w:rsidR="002021A6">
              <w:rPr>
                <w:rFonts w:ascii="Fira Sans" w:hAnsi="Fira Sans" w:cs="Arial"/>
                <w:color w:val="auto"/>
                <w:sz w:val="20"/>
                <w:lang w:val="fi-FI"/>
              </w:rPr>
              <w:t>+48</w:t>
            </w:r>
            <w:r w:rsidR="00FA4D6D">
              <w:rPr>
                <w:rFonts w:ascii="Fira Sans" w:hAnsi="Fira Sans" w:cs="Arial"/>
                <w:color w:val="auto"/>
                <w:sz w:val="20"/>
                <w:lang w:val="fi-FI"/>
              </w:rPr>
              <w:t>)</w:t>
            </w:r>
            <w:r w:rsidR="002021A6">
              <w:rPr>
                <w:rFonts w:ascii="Fira Sans" w:hAnsi="Fira Sans" w:cs="Arial"/>
                <w:color w:val="auto"/>
                <w:sz w:val="20"/>
                <w:lang w:val="fi-FI"/>
              </w:rPr>
              <w:t xml:space="preserve"> </w:t>
            </w:r>
            <w:r w:rsidR="00DE2400" w:rsidRPr="004A1D19">
              <w:rPr>
                <w:rFonts w:ascii="Fira Sans" w:hAnsi="Fira Sans" w:cs="Arial"/>
                <w:color w:val="auto"/>
                <w:sz w:val="20"/>
                <w:lang w:val="fi-FI"/>
              </w:rPr>
              <w:t>695 255</w:t>
            </w:r>
            <w:r w:rsidR="00DE2400">
              <w:rPr>
                <w:rFonts w:ascii="Fira Sans" w:hAnsi="Fira Sans" w:cs="Arial"/>
                <w:color w:val="auto"/>
                <w:sz w:val="20"/>
                <w:lang w:val="fi-FI"/>
              </w:rPr>
              <w:t> </w:t>
            </w:r>
            <w:r w:rsidR="00DE2400" w:rsidRPr="004A1D19">
              <w:rPr>
                <w:rFonts w:ascii="Fira Sans" w:hAnsi="Fira Sans" w:cs="Arial"/>
                <w:color w:val="auto"/>
                <w:sz w:val="20"/>
                <w:lang w:val="fi-FI"/>
              </w:rPr>
              <w:t>011</w:t>
            </w:r>
          </w:p>
          <w:p w14:paraId="3CC62B04" w14:textId="77777777" w:rsidR="00DE2400" w:rsidRDefault="00DE2400" w:rsidP="00747B8C">
            <w:pPr>
              <w:rPr>
                <w:sz w:val="18"/>
              </w:rPr>
            </w:pPr>
          </w:p>
        </w:tc>
      </w:tr>
      <w:tr w:rsidR="00DE2400" w14:paraId="28647E7C" w14:textId="77777777" w:rsidTr="009E7D31">
        <w:trPr>
          <w:trHeight w:val="418"/>
        </w:trPr>
        <w:tc>
          <w:tcPr>
            <w:tcW w:w="4926" w:type="dxa"/>
            <w:vMerge w:val="restart"/>
          </w:tcPr>
          <w:p w14:paraId="076C640B" w14:textId="7E42948F" w:rsidR="00DE2400" w:rsidRPr="00C91687" w:rsidRDefault="002021A6" w:rsidP="00747B8C">
            <w:pPr>
              <w:rPr>
                <w:b/>
                <w:sz w:val="20"/>
              </w:rPr>
            </w:pPr>
            <w:r>
              <w:rPr>
                <w:b/>
                <w:sz w:val="20"/>
              </w:rPr>
              <w:t>Press Office</w:t>
            </w:r>
            <w:r w:rsidR="00DE2400" w:rsidRPr="00C91687">
              <w:rPr>
                <w:b/>
                <w:sz w:val="20"/>
              </w:rPr>
              <w:t xml:space="preserve"> </w:t>
            </w:r>
          </w:p>
          <w:p w14:paraId="6446B629" w14:textId="73966755" w:rsidR="00DE2400" w:rsidRPr="00C91687" w:rsidRDefault="002021A6" w:rsidP="00747B8C">
            <w:pPr>
              <w:rPr>
                <w:sz w:val="20"/>
              </w:rPr>
            </w:pPr>
            <w:r>
              <w:rPr>
                <w:sz w:val="20"/>
              </w:rPr>
              <w:t>Phone</w:t>
            </w:r>
            <w:r w:rsidR="00DE2400" w:rsidRPr="00674DE5">
              <w:rPr>
                <w:sz w:val="20"/>
              </w:rPr>
              <w:t xml:space="preserve">: </w:t>
            </w:r>
            <w:r w:rsidR="00FA4D6D">
              <w:rPr>
                <w:sz w:val="20"/>
              </w:rPr>
              <w:t xml:space="preserve">(+48 </w:t>
            </w:r>
            <w:r w:rsidR="00DE2400">
              <w:rPr>
                <w:sz w:val="20"/>
              </w:rPr>
              <w:t>22</w:t>
            </w:r>
            <w:r w:rsidR="00FA4D6D">
              <w:rPr>
                <w:sz w:val="20"/>
              </w:rPr>
              <w:t>)</w:t>
            </w:r>
            <w:r w:rsidR="00DE2400">
              <w:rPr>
                <w:sz w:val="20"/>
              </w:rPr>
              <w:t xml:space="preserve"> 608 3</w:t>
            </w:r>
            <w:r w:rsidR="00E95036">
              <w:rPr>
                <w:sz w:val="20"/>
              </w:rPr>
              <w:t>8 04</w:t>
            </w:r>
            <w:r w:rsidR="00DE2400" w:rsidRPr="00C91687">
              <w:rPr>
                <w:sz w:val="20"/>
              </w:rPr>
              <w:t xml:space="preserve"> </w:t>
            </w:r>
          </w:p>
          <w:p w14:paraId="07C73DA1" w14:textId="77777777" w:rsidR="00DE2400" w:rsidRPr="00F05FC7" w:rsidRDefault="00DE2400" w:rsidP="00747B8C">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1941133" w14:textId="55654176" w:rsidR="00DE2400" w:rsidRDefault="00DE2400" w:rsidP="00747B8C">
            <w:pPr>
              <w:ind w:firstLine="680"/>
              <w:rPr>
                <w:sz w:val="18"/>
              </w:rPr>
            </w:pPr>
            <w:r>
              <w:rPr>
                <w:noProof/>
                <w:sz w:val="20"/>
                <w:lang w:eastAsia="pl-PL"/>
              </w:rPr>
              <w:drawing>
                <wp:anchor distT="0" distB="0" distL="114300" distR="114300" simplePos="0" relativeHeight="251744256" behindDoc="0" locked="0" layoutInCell="1" allowOverlap="1" wp14:anchorId="5018E5AE" wp14:editId="01A3229C">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www.stat.gov.pl</w:t>
            </w:r>
            <w:r w:rsidR="002021A6">
              <w:rPr>
                <w:sz w:val="20"/>
              </w:rPr>
              <w:t>/en/</w:t>
            </w:r>
            <w:r>
              <w:rPr>
                <w:sz w:val="18"/>
              </w:rPr>
              <w:t xml:space="preserve">     </w:t>
            </w:r>
          </w:p>
        </w:tc>
      </w:tr>
      <w:tr w:rsidR="00DE1D0A" w14:paraId="36A99721" w14:textId="77777777" w:rsidTr="009E7D31">
        <w:trPr>
          <w:trHeight w:val="418"/>
        </w:trPr>
        <w:tc>
          <w:tcPr>
            <w:tcW w:w="4926" w:type="dxa"/>
            <w:vMerge/>
          </w:tcPr>
          <w:p w14:paraId="3255344A" w14:textId="77777777" w:rsidR="00DE1D0A" w:rsidRPr="00C91687" w:rsidRDefault="00DE1D0A" w:rsidP="00DE1D0A">
            <w:pPr>
              <w:rPr>
                <w:b/>
                <w:sz w:val="20"/>
              </w:rPr>
            </w:pPr>
          </w:p>
        </w:tc>
        <w:tc>
          <w:tcPr>
            <w:tcW w:w="4927" w:type="dxa"/>
            <w:vAlign w:val="center"/>
          </w:tcPr>
          <w:p w14:paraId="09C3C6AD" w14:textId="796F9F20" w:rsidR="00DE1D0A" w:rsidRDefault="00DE1D0A" w:rsidP="00DE1D0A">
            <w:pPr>
              <w:ind w:firstLine="680"/>
              <w:rPr>
                <w:sz w:val="18"/>
              </w:rPr>
            </w:pPr>
            <w:r>
              <w:rPr>
                <w:noProof/>
                <w:sz w:val="20"/>
                <w:lang w:eastAsia="pl-PL"/>
              </w:rPr>
              <w:drawing>
                <wp:anchor distT="0" distB="0" distL="114300" distR="114300" simplePos="0" relativeHeight="251753472" behindDoc="0" locked="0" layoutInCell="1" allowOverlap="1" wp14:anchorId="2A52F6BA" wp14:editId="04DB9F4F">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r w:rsidRPr="00DE1D0A">
              <w:rPr>
                <w:noProof/>
                <w:sz w:val="20"/>
                <w:lang w:eastAsia="pl-PL"/>
              </w:rPr>
              <w:t>StatPoland</w:t>
            </w:r>
          </w:p>
        </w:tc>
      </w:tr>
      <w:tr w:rsidR="00DE1D0A" w14:paraId="549C3B1C" w14:textId="77777777" w:rsidTr="009E7D31">
        <w:trPr>
          <w:trHeight w:val="480"/>
        </w:trPr>
        <w:tc>
          <w:tcPr>
            <w:tcW w:w="4926" w:type="dxa"/>
            <w:vMerge/>
          </w:tcPr>
          <w:p w14:paraId="231798A1" w14:textId="77777777" w:rsidR="00DE1D0A" w:rsidRPr="00C91687" w:rsidRDefault="00DE1D0A" w:rsidP="00DE1D0A">
            <w:pPr>
              <w:rPr>
                <w:b/>
                <w:sz w:val="20"/>
              </w:rPr>
            </w:pPr>
          </w:p>
        </w:tc>
        <w:tc>
          <w:tcPr>
            <w:tcW w:w="4927" w:type="dxa"/>
          </w:tcPr>
          <w:p w14:paraId="5B472D28" w14:textId="60C69F96" w:rsidR="00DE1D0A" w:rsidRDefault="00DE1D0A" w:rsidP="00DE1D0A">
            <w:pPr>
              <w:ind w:firstLine="680"/>
              <w:rPr>
                <w:sz w:val="18"/>
              </w:rPr>
            </w:pPr>
            <w:r>
              <w:rPr>
                <w:noProof/>
                <w:sz w:val="20"/>
                <w:lang w:eastAsia="pl-PL"/>
              </w:rPr>
              <w:drawing>
                <wp:anchor distT="0" distB="0" distL="114300" distR="114300" simplePos="0" relativeHeight="251754496" behindDoc="0" locked="0" layoutInCell="1" allowOverlap="1" wp14:anchorId="3EE52BA3" wp14:editId="56497573">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DE1D0A" w14:paraId="06D97269" w14:textId="77777777" w:rsidTr="009E7D31">
        <w:trPr>
          <w:trHeight w:val="480"/>
        </w:trPr>
        <w:tc>
          <w:tcPr>
            <w:tcW w:w="4926" w:type="dxa"/>
          </w:tcPr>
          <w:p w14:paraId="0DD5A4BE" w14:textId="77777777" w:rsidR="00DE1D0A" w:rsidRPr="00C91687" w:rsidRDefault="00DE1D0A" w:rsidP="00DE1D0A">
            <w:pPr>
              <w:rPr>
                <w:b/>
                <w:sz w:val="20"/>
              </w:rPr>
            </w:pPr>
          </w:p>
        </w:tc>
        <w:tc>
          <w:tcPr>
            <w:tcW w:w="4927" w:type="dxa"/>
          </w:tcPr>
          <w:p w14:paraId="581DB5EF" w14:textId="0374BF4E" w:rsidR="00DE1D0A" w:rsidRPr="003D5F42" w:rsidRDefault="00DE1D0A" w:rsidP="00DE1D0A">
            <w:pPr>
              <w:ind w:firstLine="680"/>
              <w:rPr>
                <w:sz w:val="20"/>
              </w:rPr>
            </w:pPr>
            <w:r>
              <w:rPr>
                <w:noProof/>
                <w:sz w:val="20"/>
                <w:lang w:eastAsia="pl-PL"/>
              </w:rPr>
              <w:drawing>
                <wp:anchor distT="0" distB="0" distL="114300" distR="114300" simplePos="0" relativeHeight="251755520" behindDoc="0" locked="0" layoutInCell="1" allowOverlap="1" wp14:anchorId="3FB8FF36" wp14:editId="5E0746E2">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DE1D0A" w14:paraId="2B34FEF8" w14:textId="77777777" w:rsidTr="009E7D31">
        <w:trPr>
          <w:trHeight w:val="480"/>
        </w:trPr>
        <w:tc>
          <w:tcPr>
            <w:tcW w:w="4926" w:type="dxa"/>
          </w:tcPr>
          <w:p w14:paraId="327B582C" w14:textId="77777777" w:rsidR="00DE1D0A" w:rsidRPr="00C91687" w:rsidRDefault="00DE1D0A" w:rsidP="00DE1D0A">
            <w:pPr>
              <w:rPr>
                <w:b/>
                <w:sz w:val="20"/>
              </w:rPr>
            </w:pPr>
          </w:p>
        </w:tc>
        <w:tc>
          <w:tcPr>
            <w:tcW w:w="4927" w:type="dxa"/>
          </w:tcPr>
          <w:p w14:paraId="40F251B2" w14:textId="699BCE57" w:rsidR="00DE1D0A" w:rsidRPr="003D5F42" w:rsidRDefault="00DE1D0A" w:rsidP="00DE1D0A">
            <w:pPr>
              <w:ind w:firstLine="680"/>
              <w:rPr>
                <w:sz w:val="20"/>
              </w:rPr>
            </w:pPr>
            <w:r>
              <w:rPr>
                <w:noProof/>
                <w:sz w:val="20"/>
                <w:lang w:eastAsia="pl-PL"/>
              </w:rPr>
              <w:drawing>
                <wp:anchor distT="0" distB="0" distL="114300" distR="114300" simplePos="0" relativeHeight="251756544" behindDoc="0" locked="0" layoutInCell="1" allowOverlap="1" wp14:anchorId="1947C968" wp14:editId="7AD70266">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DE1D0A" w14:paraId="16A5698A" w14:textId="77777777" w:rsidTr="009E7D31">
        <w:trPr>
          <w:trHeight w:val="953"/>
        </w:trPr>
        <w:tc>
          <w:tcPr>
            <w:tcW w:w="4926" w:type="dxa"/>
          </w:tcPr>
          <w:p w14:paraId="3605F212" w14:textId="77777777" w:rsidR="00DE1D0A" w:rsidRPr="00C91687" w:rsidRDefault="00DE1D0A" w:rsidP="00DE1D0A">
            <w:pPr>
              <w:rPr>
                <w:b/>
                <w:sz w:val="20"/>
              </w:rPr>
            </w:pPr>
          </w:p>
        </w:tc>
        <w:tc>
          <w:tcPr>
            <w:tcW w:w="4927" w:type="dxa"/>
          </w:tcPr>
          <w:p w14:paraId="1D245A35" w14:textId="79B26C17" w:rsidR="00DE1D0A" w:rsidRPr="003D5F42" w:rsidRDefault="00DE1D0A" w:rsidP="00DE1D0A">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4CE9A62A" wp14:editId="5FD5664F">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14:paraId="385E56CC" w14:textId="77777777" w:rsidTr="009E7D31">
        <w:trPr>
          <w:trHeight w:val="4114"/>
        </w:trPr>
        <w:tc>
          <w:tcPr>
            <w:tcW w:w="9853" w:type="dxa"/>
            <w:gridSpan w:val="2"/>
            <w:shd w:val="clear" w:color="auto" w:fill="D9D9D9" w:themeFill="background1" w:themeFillShade="D9"/>
          </w:tcPr>
          <w:p w14:paraId="08948A60" w14:textId="49BD2C24" w:rsidR="00DE2400" w:rsidRPr="00876479" w:rsidRDefault="00CA784C" w:rsidP="00747B8C">
            <w:pPr>
              <w:shd w:val="clear" w:color="auto" w:fill="D9D9D9" w:themeFill="background1" w:themeFillShade="D9"/>
              <w:rPr>
                <w:b/>
              </w:rPr>
            </w:pPr>
            <w:proofErr w:type="spellStart"/>
            <w:r>
              <w:rPr>
                <w:b/>
              </w:rPr>
              <w:t>Related</w:t>
            </w:r>
            <w:proofErr w:type="spellEnd"/>
            <w:r>
              <w:rPr>
                <w:b/>
              </w:rPr>
              <w:t xml:space="preserve"> </w:t>
            </w:r>
            <w:proofErr w:type="spellStart"/>
            <w:r>
              <w:rPr>
                <w:b/>
              </w:rPr>
              <w:t>information</w:t>
            </w:r>
            <w:proofErr w:type="spellEnd"/>
          </w:p>
          <w:p w14:paraId="208AF853" w14:textId="09DD60B6" w:rsidR="00404C4E" w:rsidRPr="00C9171B" w:rsidRDefault="00C9171B" w:rsidP="00404C4E">
            <w:pPr>
              <w:rPr>
                <w:rStyle w:val="Hipercze"/>
              </w:rPr>
            </w:pPr>
            <w:r>
              <w:rPr>
                <w:rFonts w:cs="Times New Roman"/>
              </w:rPr>
              <w:fldChar w:fldCharType="begin"/>
            </w:r>
            <w:r w:rsidR="000F4506">
              <w:rPr>
                <w:rFonts w:cs="Times New Roman"/>
              </w:rPr>
              <w:instrText>HYPERLINK "https://stat.gov.pl/en/topics/other-studies/informations-on-socio-economic-situation/statistical-bulletin-no-12022,4,135.html" \o "Statistical Bulletin"</w:instrText>
            </w:r>
            <w:r>
              <w:rPr>
                <w:rFonts w:cs="Times New Roman"/>
              </w:rPr>
              <w:fldChar w:fldCharType="separate"/>
            </w:r>
            <w:r w:rsidR="00404C4E" w:rsidRPr="00C9590A">
              <w:rPr>
                <w:rStyle w:val="Hipercze"/>
              </w:rPr>
              <w:t xml:space="preserve">Statistical </w:t>
            </w:r>
            <w:proofErr w:type="spellStart"/>
            <w:r w:rsidR="00404C4E" w:rsidRPr="00C9590A">
              <w:rPr>
                <w:rStyle w:val="Hipercze"/>
              </w:rPr>
              <w:t>Bulletin</w:t>
            </w:r>
            <w:proofErr w:type="spellEnd"/>
            <w:r w:rsidR="00404C4E" w:rsidRPr="00C9171B">
              <w:rPr>
                <w:rStyle w:val="Hipercze"/>
              </w:rPr>
              <w:t xml:space="preserve"> </w:t>
            </w:r>
          </w:p>
          <w:p w14:paraId="6102EF3D" w14:textId="696E9732" w:rsidR="00404C4E" w:rsidRPr="00C9171B" w:rsidRDefault="00C9171B" w:rsidP="00404C4E">
            <w:pPr>
              <w:rPr>
                <w:rStyle w:val="Hipercze"/>
              </w:rPr>
            </w:pPr>
            <w:r>
              <w:rPr>
                <w:rFonts w:cs="Times New Roman"/>
              </w:rPr>
              <w:fldChar w:fldCharType="end"/>
            </w:r>
            <w:r>
              <w:rPr>
                <w:rFonts w:cs="Times New Roman"/>
              </w:rPr>
              <w:fldChar w:fldCharType="begin"/>
            </w:r>
            <w:r w:rsidR="00A62C36">
              <w:rPr>
                <w:rFonts w:cs="Times New Roman"/>
              </w:rPr>
              <w:instrText>HYPERLINK "http://stat.gov.pl/en/latest-statistical-news/news-releases/" \o "News Releases"</w:instrText>
            </w:r>
            <w:r>
              <w:rPr>
                <w:rFonts w:cs="Times New Roman"/>
              </w:rPr>
              <w:fldChar w:fldCharType="separate"/>
            </w:r>
            <w:r w:rsidR="00404C4E" w:rsidRPr="00C9171B">
              <w:rPr>
                <w:rStyle w:val="Hipercze"/>
              </w:rPr>
              <w:t xml:space="preserve">News </w:t>
            </w:r>
            <w:proofErr w:type="spellStart"/>
            <w:r w:rsidR="00404C4E" w:rsidRPr="00C9171B">
              <w:rPr>
                <w:rStyle w:val="Hipercze"/>
              </w:rPr>
              <w:t>Releases</w:t>
            </w:r>
            <w:proofErr w:type="spellEnd"/>
          </w:p>
          <w:p w14:paraId="57E0BF57" w14:textId="3DDCDC7A" w:rsidR="00404C4E" w:rsidRPr="00404C4E" w:rsidRDefault="00C9171B" w:rsidP="00404C4E">
            <w:pPr>
              <w:rPr>
                <w:rStyle w:val="Hipercze"/>
              </w:rPr>
            </w:pPr>
            <w:r>
              <w:rPr>
                <w:rFonts w:cs="Times New Roman"/>
              </w:rPr>
              <w:fldChar w:fldCharType="end"/>
            </w:r>
          </w:p>
          <w:p w14:paraId="55DA24D0" w14:textId="6EBD31A1" w:rsidR="00DE2400" w:rsidRPr="00694D63" w:rsidRDefault="00D57787" w:rsidP="00404C4E">
            <w:pPr>
              <w:rPr>
                <w:b/>
                <w:color w:val="000000" w:themeColor="text1"/>
                <w:szCs w:val="24"/>
              </w:rPr>
            </w:pPr>
            <w:hyperlink r:id="rId24" w:tooltip="description hyperlink " w:history="1"/>
            <w:r w:rsidR="000F569C">
              <w:rPr>
                <w:b/>
                <w:color w:val="000000" w:themeColor="text1"/>
                <w:szCs w:val="24"/>
              </w:rPr>
              <w:t xml:space="preserve">Data </w:t>
            </w:r>
            <w:proofErr w:type="spellStart"/>
            <w:r w:rsidR="000F569C">
              <w:rPr>
                <w:b/>
                <w:color w:val="000000" w:themeColor="text1"/>
                <w:szCs w:val="24"/>
              </w:rPr>
              <w:t>available</w:t>
            </w:r>
            <w:proofErr w:type="spellEnd"/>
            <w:r w:rsidR="000F569C">
              <w:rPr>
                <w:b/>
                <w:color w:val="000000" w:themeColor="text1"/>
                <w:szCs w:val="24"/>
              </w:rPr>
              <w:t xml:space="preserve"> in </w:t>
            </w:r>
            <w:proofErr w:type="spellStart"/>
            <w:r w:rsidR="000F569C">
              <w:rPr>
                <w:b/>
                <w:color w:val="000000" w:themeColor="text1"/>
                <w:szCs w:val="24"/>
              </w:rPr>
              <w:t>databases</w:t>
            </w:r>
            <w:proofErr w:type="spellEnd"/>
          </w:p>
          <w:p w14:paraId="6A55C182" w14:textId="77777777" w:rsidR="00404C4E" w:rsidRPr="00404C4E" w:rsidRDefault="00D57787" w:rsidP="00404C4E">
            <w:pPr>
              <w:rPr>
                <w:rStyle w:val="Hipercze"/>
              </w:rPr>
            </w:pPr>
            <w:hyperlink r:id="rId25" w:history="1">
              <w:proofErr w:type="spellStart"/>
              <w:r w:rsidR="00404C4E" w:rsidRPr="00404C4E">
                <w:rPr>
                  <w:rStyle w:val="Hipercze"/>
                </w:rPr>
                <w:t>Analytical</w:t>
              </w:r>
              <w:proofErr w:type="spellEnd"/>
              <w:r w:rsidR="00404C4E" w:rsidRPr="00404C4E">
                <w:rPr>
                  <w:rStyle w:val="Hipercze"/>
                </w:rPr>
                <w:t xml:space="preserve"> Platform - Knowledge Databases</w:t>
              </w:r>
            </w:hyperlink>
          </w:p>
          <w:p w14:paraId="76ED74FC" w14:textId="77777777" w:rsidR="00404C4E" w:rsidRPr="00404C4E" w:rsidRDefault="00D57787" w:rsidP="00404C4E">
            <w:pPr>
              <w:rPr>
                <w:rStyle w:val="Hipercze"/>
              </w:rPr>
            </w:pPr>
            <w:hyperlink r:id="rId26" w:history="1">
              <w:proofErr w:type="spellStart"/>
              <w:r w:rsidR="00404C4E" w:rsidRPr="00404C4E">
                <w:rPr>
                  <w:rStyle w:val="Hipercze"/>
                </w:rPr>
                <w:t>Macroeconomic</w:t>
              </w:r>
              <w:proofErr w:type="spellEnd"/>
              <w:r w:rsidR="00404C4E" w:rsidRPr="00404C4E">
                <w:rPr>
                  <w:rStyle w:val="Hipercze"/>
                </w:rPr>
                <w:t xml:space="preserve"> Data Bank</w:t>
              </w:r>
            </w:hyperlink>
          </w:p>
          <w:p w14:paraId="0EADE2CF" w14:textId="77777777" w:rsidR="00404C4E" w:rsidRPr="00404C4E" w:rsidRDefault="00D57787" w:rsidP="00404C4E">
            <w:pPr>
              <w:rPr>
                <w:rStyle w:val="Hipercze"/>
              </w:rPr>
            </w:pPr>
            <w:hyperlink r:id="rId27" w:history="1">
              <w:proofErr w:type="spellStart"/>
              <w:r w:rsidR="00404C4E" w:rsidRPr="00404C4E">
                <w:rPr>
                  <w:rStyle w:val="Hipercze"/>
                </w:rPr>
                <w:t>Prices</w:t>
              </w:r>
              <w:proofErr w:type="spellEnd"/>
              <w:r w:rsidR="00404C4E" w:rsidRPr="00404C4E">
                <w:rPr>
                  <w:rStyle w:val="Hipercze"/>
                </w:rPr>
                <w:t xml:space="preserve"> </w:t>
              </w:r>
              <w:proofErr w:type="spellStart"/>
              <w:r w:rsidR="00404C4E" w:rsidRPr="00404C4E">
                <w:rPr>
                  <w:rStyle w:val="Hipercze"/>
                </w:rPr>
                <w:t>indices</w:t>
              </w:r>
              <w:proofErr w:type="spellEnd"/>
              <w:r w:rsidR="00404C4E" w:rsidRPr="00404C4E">
                <w:rPr>
                  <w:rStyle w:val="Hipercze"/>
                </w:rPr>
                <w:t xml:space="preserve"> (</w:t>
              </w:r>
              <w:proofErr w:type="spellStart"/>
              <w:r w:rsidR="00404C4E" w:rsidRPr="00404C4E">
                <w:rPr>
                  <w:rStyle w:val="Hipercze"/>
                </w:rPr>
                <w:t>Topics</w:t>
              </w:r>
              <w:proofErr w:type="spellEnd"/>
              <w:r w:rsidR="00404C4E" w:rsidRPr="00404C4E">
                <w:rPr>
                  <w:rStyle w:val="Hipercze"/>
                </w:rPr>
                <w:t xml:space="preserve">: </w:t>
              </w:r>
              <w:proofErr w:type="spellStart"/>
              <w:r w:rsidR="00404C4E" w:rsidRPr="00404C4E">
                <w:rPr>
                  <w:rStyle w:val="Hipercze"/>
                </w:rPr>
                <w:t>Prices</w:t>
              </w:r>
              <w:proofErr w:type="spellEnd"/>
              <w:r w:rsidR="00404C4E" w:rsidRPr="00404C4E">
                <w:rPr>
                  <w:rStyle w:val="Hipercze"/>
                </w:rPr>
                <w:t>, Trade)</w:t>
              </w:r>
            </w:hyperlink>
          </w:p>
          <w:p w14:paraId="6EC7A51E" w14:textId="334E9FD0" w:rsidR="00B16871" w:rsidRPr="00694D63" w:rsidRDefault="00CA784C" w:rsidP="00B16871">
            <w:pPr>
              <w:shd w:val="clear" w:color="auto" w:fill="D9D9D9" w:themeFill="background1" w:themeFillShade="D9"/>
              <w:spacing w:before="360"/>
              <w:rPr>
                <w:b/>
                <w:color w:val="000000" w:themeColor="text1"/>
                <w:szCs w:val="24"/>
              </w:rPr>
            </w:pPr>
            <w:proofErr w:type="spellStart"/>
            <w:r>
              <w:rPr>
                <w:b/>
                <w:color w:val="000000" w:themeColor="text1"/>
                <w:szCs w:val="24"/>
              </w:rPr>
              <w:t>Terms</w:t>
            </w:r>
            <w:proofErr w:type="spellEnd"/>
            <w:r>
              <w:rPr>
                <w:b/>
                <w:color w:val="000000" w:themeColor="text1"/>
                <w:szCs w:val="24"/>
              </w:rPr>
              <w:t xml:space="preserve"> </w:t>
            </w:r>
            <w:proofErr w:type="spellStart"/>
            <w:r>
              <w:rPr>
                <w:b/>
                <w:color w:val="000000" w:themeColor="text1"/>
                <w:szCs w:val="24"/>
              </w:rPr>
              <w:t>used</w:t>
            </w:r>
            <w:proofErr w:type="spellEnd"/>
            <w:r>
              <w:rPr>
                <w:b/>
                <w:color w:val="000000" w:themeColor="text1"/>
                <w:szCs w:val="24"/>
              </w:rPr>
              <w:t xml:space="preserve"> </w:t>
            </w:r>
            <w:proofErr w:type="spellStart"/>
            <w:r>
              <w:rPr>
                <w:b/>
                <w:color w:val="000000" w:themeColor="text1"/>
                <w:szCs w:val="24"/>
              </w:rPr>
              <w:t>inn</w:t>
            </w:r>
            <w:proofErr w:type="spellEnd"/>
            <w:r>
              <w:rPr>
                <w:b/>
                <w:color w:val="000000" w:themeColor="text1"/>
                <w:szCs w:val="24"/>
              </w:rPr>
              <w:t xml:space="preserve"> </w:t>
            </w:r>
            <w:proofErr w:type="spellStart"/>
            <w:r>
              <w:rPr>
                <w:b/>
                <w:color w:val="000000" w:themeColor="text1"/>
                <w:szCs w:val="24"/>
              </w:rPr>
              <w:t>official</w:t>
            </w:r>
            <w:proofErr w:type="spellEnd"/>
            <w:r>
              <w:rPr>
                <w:b/>
                <w:color w:val="000000" w:themeColor="text1"/>
                <w:szCs w:val="24"/>
              </w:rPr>
              <w:t xml:space="preserve"> </w:t>
            </w:r>
            <w:proofErr w:type="spellStart"/>
            <w:r>
              <w:rPr>
                <w:b/>
                <w:color w:val="000000" w:themeColor="text1"/>
                <w:szCs w:val="24"/>
              </w:rPr>
              <w:t>statistics</w:t>
            </w:r>
            <w:proofErr w:type="spellEnd"/>
          </w:p>
          <w:p w14:paraId="48486A92" w14:textId="77777777" w:rsidR="00D15983" w:rsidRPr="00D15983" w:rsidRDefault="009134AA" w:rsidP="00D15983">
            <w:pPr>
              <w:rPr>
                <w:rStyle w:val="Hipercze"/>
              </w:rPr>
            </w:pPr>
            <w:r>
              <w:rPr>
                <w:rStyle w:val="Hipercze"/>
              </w:rPr>
              <w:fldChar w:fldCharType="begin"/>
            </w:r>
            <w:r>
              <w:rPr>
                <w:rStyle w:val="Hipercze"/>
              </w:rPr>
              <w:instrText xml:space="preserve"> HYPERLINK "https://stat.gov.pl/" \o "description hyperlink " </w:instrText>
            </w:r>
            <w:r>
              <w:rPr>
                <w:rStyle w:val="Hipercze"/>
              </w:rPr>
              <w:fldChar w:fldCharType="separate"/>
            </w:r>
            <w:hyperlink r:id="rId28" w:history="1">
              <w:r w:rsidR="00D15983" w:rsidRPr="00D15983">
                <w:rPr>
                  <w:rStyle w:val="Hipercze"/>
                </w:rPr>
                <w:t>Price index of construction and assembly production</w:t>
              </w:r>
            </w:hyperlink>
          </w:p>
          <w:p w14:paraId="7C166DC6" w14:textId="66C9016C" w:rsidR="00B16871" w:rsidRPr="00B16871" w:rsidRDefault="00B16871" w:rsidP="00B16871">
            <w:pPr>
              <w:rPr>
                <w:rStyle w:val="Hipercze"/>
                <w:rFonts w:cstheme="minorBidi"/>
                <w:color w:val="auto"/>
                <w:u w:val="none"/>
              </w:rPr>
            </w:pPr>
            <w:r w:rsidRPr="00B16871">
              <w:rPr>
                <w:rStyle w:val="Hipercze"/>
              </w:rPr>
              <w:t xml:space="preserve"> </w:t>
            </w:r>
            <w:r>
              <w:rPr>
                <w:rStyle w:val="Hipercze"/>
              </w:rPr>
              <w:t xml:space="preserve"> </w:t>
            </w:r>
            <w:r w:rsidR="009134AA">
              <w:rPr>
                <w:rStyle w:val="Hipercze"/>
              </w:rPr>
              <w:fldChar w:fldCharType="end"/>
            </w:r>
          </w:p>
          <w:p w14:paraId="32159E9A" w14:textId="34A13829" w:rsidR="00DE2400" w:rsidRPr="00417835" w:rsidRDefault="00DE2400" w:rsidP="00747B8C">
            <w:pPr>
              <w:rPr>
                <w:rStyle w:val="Hipercze"/>
              </w:rPr>
            </w:pPr>
          </w:p>
          <w:p w14:paraId="74120B68" w14:textId="77777777" w:rsidR="00DE2400" w:rsidRDefault="00DE2400" w:rsidP="00747B8C">
            <w:pPr>
              <w:rPr>
                <w:b/>
                <w:color w:val="000000" w:themeColor="text1"/>
                <w:szCs w:val="24"/>
                <w:lang w:val="en-GB"/>
              </w:rPr>
            </w:pPr>
          </w:p>
          <w:p w14:paraId="734C8732" w14:textId="77777777" w:rsidR="00DE2400" w:rsidRDefault="00DE2400" w:rsidP="00747B8C">
            <w:pPr>
              <w:rPr>
                <w:b/>
                <w:color w:val="000000" w:themeColor="text1"/>
                <w:szCs w:val="24"/>
                <w:lang w:val="en-GB"/>
              </w:rPr>
            </w:pPr>
          </w:p>
          <w:p w14:paraId="59EB7117" w14:textId="77777777" w:rsidR="00DE2400" w:rsidRPr="00876479" w:rsidRDefault="00DE2400" w:rsidP="00747B8C">
            <w:pPr>
              <w:rPr>
                <w:b/>
                <w:color w:val="000000" w:themeColor="text1"/>
                <w:szCs w:val="24"/>
                <w:lang w:val="en-GB"/>
              </w:rPr>
            </w:pPr>
          </w:p>
        </w:tc>
      </w:tr>
    </w:tbl>
    <w:p w14:paraId="1634A8FA" w14:textId="77777777" w:rsidR="000470AA"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0470AA" w:rsidRPr="008F3638" w14:paraId="366352B6" w14:textId="77777777" w:rsidTr="00E23337">
        <w:trPr>
          <w:trHeight w:val="1912"/>
        </w:trPr>
        <w:tc>
          <w:tcPr>
            <w:tcW w:w="4379" w:type="dxa"/>
          </w:tcPr>
          <w:p w14:paraId="7D4342A1"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18600317" w14:textId="77777777" w:rsidR="000470AA" w:rsidRPr="004A1D19" w:rsidRDefault="000470AA" w:rsidP="00D00796">
            <w:pPr>
              <w:pStyle w:val="Nagwek3"/>
              <w:spacing w:before="0" w:line="240" w:lineRule="auto"/>
              <w:rPr>
                <w:rFonts w:ascii="Fira Sans" w:hAnsi="Fira Sans" w:cs="Arial"/>
                <w:color w:val="auto"/>
                <w:sz w:val="20"/>
                <w:szCs w:val="20"/>
                <w:lang w:val="en-US"/>
              </w:rPr>
            </w:pPr>
          </w:p>
        </w:tc>
      </w:tr>
    </w:tbl>
    <w:p w14:paraId="1B68E34A" w14:textId="77777777" w:rsidR="000470AA" w:rsidRDefault="000470AA" w:rsidP="000470AA">
      <w:pPr>
        <w:rPr>
          <w:sz w:val="20"/>
        </w:rPr>
      </w:pPr>
    </w:p>
    <w:p w14:paraId="21E45930" w14:textId="77777777" w:rsidR="000470AA" w:rsidRDefault="000470AA" w:rsidP="000470AA">
      <w:pPr>
        <w:rPr>
          <w:sz w:val="18"/>
        </w:rPr>
      </w:pPr>
    </w:p>
    <w:p w14:paraId="7C19EFAE" w14:textId="5AAD912C" w:rsidR="00D261A2" w:rsidRPr="00001C5B" w:rsidRDefault="00D261A2" w:rsidP="00AD0E56">
      <w:pPr>
        <w:rPr>
          <w:sz w:val="18"/>
        </w:rPr>
      </w:pPr>
    </w:p>
    <w:sectPr w:rsidR="00D261A2" w:rsidRPr="00001C5B" w:rsidSect="003B18B6">
      <w:headerReference w:type="default" r:id="rId29"/>
      <w:footerReference w:type="default" r:id="rId3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8F2E" w14:textId="77777777" w:rsidR="00D57787" w:rsidRDefault="00D57787" w:rsidP="000662E2">
      <w:pPr>
        <w:spacing w:after="0" w:line="240" w:lineRule="auto"/>
      </w:pPr>
      <w:r>
        <w:separator/>
      </w:r>
    </w:p>
  </w:endnote>
  <w:endnote w:type="continuationSeparator" w:id="0">
    <w:p w14:paraId="6D25D51A" w14:textId="77777777" w:rsidR="00D57787" w:rsidRDefault="00D5778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6E91F2FF" w14:textId="77777777" w:rsidR="00EB556D" w:rsidRDefault="00541E6E" w:rsidP="003B18B6">
        <w:pPr>
          <w:pStyle w:val="Stopka"/>
          <w:jc w:val="center"/>
        </w:pPr>
        <w:r>
          <w:fldChar w:fldCharType="begin"/>
        </w:r>
        <w:r>
          <w:instrText>PAGE   \* MERGEFORMAT</w:instrText>
        </w:r>
        <w:r>
          <w:fldChar w:fldCharType="separate"/>
        </w:r>
        <w:r w:rsidR="00E97244">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7A63DCE2" w14:textId="77777777" w:rsidR="00EB556D" w:rsidRDefault="00541E6E" w:rsidP="003B18B6">
        <w:pPr>
          <w:pStyle w:val="Stopka"/>
          <w:jc w:val="center"/>
        </w:pPr>
        <w:r>
          <w:fldChar w:fldCharType="begin"/>
        </w:r>
        <w:r>
          <w:instrText>PAGE   \* MERGEFORMAT</w:instrText>
        </w:r>
        <w:r>
          <w:fldChar w:fldCharType="separate"/>
        </w:r>
        <w:r w:rsidR="00E9724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E97244">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E55F" w14:textId="77777777" w:rsidR="00D57787" w:rsidRDefault="00D57787" w:rsidP="000662E2">
      <w:pPr>
        <w:spacing w:after="0" w:line="240" w:lineRule="auto"/>
      </w:pPr>
      <w:r>
        <w:separator/>
      </w:r>
    </w:p>
  </w:footnote>
  <w:footnote w:type="continuationSeparator" w:id="0">
    <w:p w14:paraId="465105B6" w14:textId="77777777" w:rsidR="00D57787" w:rsidRDefault="00D57787"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6DB" w14:textId="72C31978" w:rsidR="000662E2" w:rsidRDefault="00D972F6">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B30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4D8C" w14:textId="533A339B" w:rsidR="00003437" w:rsidRDefault="00416EAF">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601A7CD8" wp14:editId="6D156491">
          <wp:simplePos x="0" y="0"/>
          <wp:positionH relativeFrom="column">
            <wp:posOffset>8890</wp:posOffset>
          </wp:positionH>
          <wp:positionV relativeFrom="paragraph">
            <wp:posOffset>42545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39BCBEE3" wp14:editId="5C6AB42B">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207DEFBE" w:rsidR="00F37172" w:rsidRPr="003C6C8D" w:rsidRDefault="00962B00"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0"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207DEFBE" w:rsidR="00F37172" w:rsidRPr="003C6C8D" w:rsidRDefault="00962B00"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B3333">
      <w:rPr>
        <w:noProof/>
        <w:lang w:eastAsia="pl-PL"/>
      </w:rPr>
      <w:t xml:space="preserve"> </w:t>
    </w:r>
    <w:r w:rsidR="00540C5C" w:rsidRPr="00540C5C">
      <w:rPr>
        <w:noProof/>
      </w:rPr>
      <w:t xml:space="preserve"> </w:t>
    </w:r>
  </w:p>
  <w:p w14:paraId="5DF2C6CE" w14:textId="57EF9372" w:rsidR="00540C5C" w:rsidRDefault="00540C5C">
    <w:pPr>
      <w:pStyle w:val="Nagwek"/>
      <w:rPr>
        <w:noProof/>
        <w:lang w:eastAsia="pl-PL"/>
      </w:rPr>
    </w:pPr>
  </w:p>
  <w:p w14:paraId="45C1A999" w14:textId="77777777" w:rsidR="00540C5C" w:rsidRDefault="00540C5C">
    <w:pPr>
      <w:pStyle w:val="Nagwek"/>
      <w:rPr>
        <w:noProof/>
        <w:lang w:eastAsia="pl-PL"/>
      </w:rPr>
    </w:pPr>
  </w:p>
  <w:p w14:paraId="3194277A" w14:textId="5E6F66AE"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259850B9">
              <wp:simplePos x="0" y="0"/>
              <wp:positionH relativeFrom="column">
                <wp:posOffset>5287976</wp:posOffset>
              </wp:positionH>
              <wp:positionV relativeFrom="paragraph">
                <wp:posOffset>266065</wp:posOffset>
              </wp:positionV>
              <wp:extent cx="1432293" cy="336589"/>
              <wp:effectExtent l="0" t="0" r="0" b="6350"/>
              <wp:wrapNone/>
              <wp:docPr id="8" name="Pole tekstowe 2" descr="Publication data - 18.03.2022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5178B86F" w:rsidR="00F37172" w:rsidRPr="00A01B40" w:rsidRDefault="004D7E16" w:rsidP="00F049AB">
                          <w:pPr>
                            <w:pStyle w:val="Datainformacjisygnalnej"/>
                          </w:pPr>
                          <w:r>
                            <w:t>18</w:t>
                          </w:r>
                          <w:r w:rsidR="00DE6B58">
                            <w:t>.</w:t>
                          </w:r>
                          <w:r>
                            <w:t>0</w:t>
                          </w:r>
                          <w:r w:rsidR="00557517">
                            <w:t>3</w:t>
                          </w:r>
                          <w:r w:rsidR="00DE6B58">
                            <w:t>.</w:t>
                          </w:r>
                          <w: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31" type="#_x0000_t202" alt="Publication data - 18.03.2022 "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71967FEA" w14:textId="5178B86F" w:rsidR="00F37172" w:rsidRPr="00A01B40" w:rsidRDefault="004D7E16" w:rsidP="00F049AB">
                    <w:pPr>
                      <w:pStyle w:val="Datainformacjisygnalnej"/>
                    </w:pPr>
                    <w:r>
                      <w:t>18</w:t>
                    </w:r>
                    <w:r w:rsidR="00DE6B58">
                      <w:t>.</w:t>
                    </w:r>
                    <w:r>
                      <w:t>0</w:t>
                    </w:r>
                    <w:r w:rsidR="00557517">
                      <w:t>3</w:t>
                    </w:r>
                    <w:r w:rsidR="00DE6B58">
                      <w:t>.</w:t>
                    </w:r>
                    <w:r>
                      <w:t>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4.5pt;height:125.25pt;visibility:visible;mso-wrap-style:square" o:bullet="t">
        <v:imagedata r:id="rId1" o:title=""/>
      </v:shape>
    </w:pict>
  </w:numPicBullet>
  <w:numPicBullet w:numPicBulletId="1">
    <w:pict>
      <v:shape id="_x0000_i1053" type="#_x0000_t75" style="width:124.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862"/>
    <w:rsid w:val="00001C5B"/>
    <w:rsid w:val="00003437"/>
    <w:rsid w:val="000053CF"/>
    <w:rsid w:val="00006BDE"/>
    <w:rsid w:val="0000709F"/>
    <w:rsid w:val="000108B8"/>
    <w:rsid w:val="00013F13"/>
    <w:rsid w:val="000152F5"/>
    <w:rsid w:val="000167FA"/>
    <w:rsid w:val="00021CD0"/>
    <w:rsid w:val="0004582E"/>
    <w:rsid w:val="000470AA"/>
    <w:rsid w:val="00056B4F"/>
    <w:rsid w:val="00057CA1"/>
    <w:rsid w:val="00064496"/>
    <w:rsid w:val="000647A9"/>
    <w:rsid w:val="000662E2"/>
    <w:rsid w:val="0006644F"/>
    <w:rsid w:val="00066883"/>
    <w:rsid w:val="00071B39"/>
    <w:rsid w:val="00074DD8"/>
    <w:rsid w:val="00075759"/>
    <w:rsid w:val="000806F7"/>
    <w:rsid w:val="00090FFC"/>
    <w:rsid w:val="00097840"/>
    <w:rsid w:val="000A2500"/>
    <w:rsid w:val="000B0727"/>
    <w:rsid w:val="000C135D"/>
    <w:rsid w:val="000D1429"/>
    <w:rsid w:val="000D1D43"/>
    <w:rsid w:val="000D225C"/>
    <w:rsid w:val="000D2A5C"/>
    <w:rsid w:val="000D39F0"/>
    <w:rsid w:val="000D5E58"/>
    <w:rsid w:val="000E0918"/>
    <w:rsid w:val="000E79A9"/>
    <w:rsid w:val="000F4506"/>
    <w:rsid w:val="000F569C"/>
    <w:rsid w:val="001011C3"/>
    <w:rsid w:val="00106DA3"/>
    <w:rsid w:val="00110214"/>
    <w:rsid w:val="00110D87"/>
    <w:rsid w:val="00112399"/>
    <w:rsid w:val="00114DB9"/>
    <w:rsid w:val="00116087"/>
    <w:rsid w:val="00117711"/>
    <w:rsid w:val="00130296"/>
    <w:rsid w:val="00134145"/>
    <w:rsid w:val="00136736"/>
    <w:rsid w:val="00136740"/>
    <w:rsid w:val="00136D67"/>
    <w:rsid w:val="001423B6"/>
    <w:rsid w:val="001448A7"/>
    <w:rsid w:val="00146621"/>
    <w:rsid w:val="00156F04"/>
    <w:rsid w:val="00157603"/>
    <w:rsid w:val="001617E3"/>
    <w:rsid w:val="00162325"/>
    <w:rsid w:val="00184021"/>
    <w:rsid w:val="0019143D"/>
    <w:rsid w:val="001951DA"/>
    <w:rsid w:val="001B053D"/>
    <w:rsid w:val="001C3269"/>
    <w:rsid w:val="001C6CDD"/>
    <w:rsid w:val="001D19B6"/>
    <w:rsid w:val="001D1DB4"/>
    <w:rsid w:val="001D23F1"/>
    <w:rsid w:val="001D25F9"/>
    <w:rsid w:val="001D61ED"/>
    <w:rsid w:val="001E3DEE"/>
    <w:rsid w:val="001E5B2D"/>
    <w:rsid w:val="0020156C"/>
    <w:rsid w:val="002021A6"/>
    <w:rsid w:val="00216634"/>
    <w:rsid w:val="00225E2D"/>
    <w:rsid w:val="00242D31"/>
    <w:rsid w:val="0025481E"/>
    <w:rsid w:val="002574F9"/>
    <w:rsid w:val="00260F7D"/>
    <w:rsid w:val="00262B61"/>
    <w:rsid w:val="00262CC6"/>
    <w:rsid w:val="00263E08"/>
    <w:rsid w:val="00267ECD"/>
    <w:rsid w:val="00276811"/>
    <w:rsid w:val="00276F15"/>
    <w:rsid w:val="00280627"/>
    <w:rsid w:val="00282699"/>
    <w:rsid w:val="002926DF"/>
    <w:rsid w:val="002959DB"/>
    <w:rsid w:val="00296697"/>
    <w:rsid w:val="002A39A8"/>
    <w:rsid w:val="002B0472"/>
    <w:rsid w:val="002B42B2"/>
    <w:rsid w:val="002B545C"/>
    <w:rsid w:val="002B6B12"/>
    <w:rsid w:val="002C21F0"/>
    <w:rsid w:val="002D01DF"/>
    <w:rsid w:val="002E2973"/>
    <w:rsid w:val="002E3EB3"/>
    <w:rsid w:val="002E6140"/>
    <w:rsid w:val="002E6985"/>
    <w:rsid w:val="002E71B6"/>
    <w:rsid w:val="002F35F6"/>
    <w:rsid w:val="002F77C8"/>
    <w:rsid w:val="00304F22"/>
    <w:rsid w:val="00306C7C"/>
    <w:rsid w:val="00314F86"/>
    <w:rsid w:val="00317F4D"/>
    <w:rsid w:val="00322EDD"/>
    <w:rsid w:val="00325765"/>
    <w:rsid w:val="003309FA"/>
    <w:rsid w:val="00332320"/>
    <w:rsid w:val="00347D72"/>
    <w:rsid w:val="00351954"/>
    <w:rsid w:val="00353F45"/>
    <w:rsid w:val="00357611"/>
    <w:rsid w:val="0036432A"/>
    <w:rsid w:val="00364AF9"/>
    <w:rsid w:val="003660F6"/>
    <w:rsid w:val="00367237"/>
    <w:rsid w:val="0037077F"/>
    <w:rsid w:val="00372411"/>
    <w:rsid w:val="00373882"/>
    <w:rsid w:val="003748AE"/>
    <w:rsid w:val="003843DB"/>
    <w:rsid w:val="00393761"/>
    <w:rsid w:val="003949F3"/>
    <w:rsid w:val="00394E26"/>
    <w:rsid w:val="00396691"/>
    <w:rsid w:val="00397D18"/>
    <w:rsid w:val="003A1B36"/>
    <w:rsid w:val="003B1454"/>
    <w:rsid w:val="003B18B6"/>
    <w:rsid w:val="003C161B"/>
    <w:rsid w:val="003C59E0"/>
    <w:rsid w:val="003C5E54"/>
    <w:rsid w:val="003C6C8D"/>
    <w:rsid w:val="003D2656"/>
    <w:rsid w:val="003D4F95"/>
    <w:rsid w:val="003D5F42"/>
    <w:rsid w:val="003D60A9"/>
    <w:rsid w:val="003F4C97"/>
    <w:rsid w:val="003F666D"/>
    <w:rsid w:val="003F7FE6"/>
    <w:rsid w:val="00400193"/>
    <w:rsid w:val="00404C4E"/>
    <w:rsid w:val="00416EAF"/>
    <w:rsid w:val="004212E7"/>
    <w:rsid w:val="00423C88"/>
    <w:rsid w:val="0042446D"/>
    <w:rsid w:val="004260B3"/>
    <w:rsid w:val="00427BF8"/>
    <w:rsid w:val="00431C02"/>
    <w:rsid w:val="00437395"/>
    <w:rsid w:val="00445047"/>
    <w:rsid w:val="00446749"/>
    <w:rsid w:val="004470CD"/>
    <w:rsid w:val="00453EB7"/>
    <w:rsid w:val="00461A6A"/>
    <w:rsid w:val="00463E39"/>
    <w:rsid w:val="004657FC"/>
    <w:rsid w:val="00471CEB"/>
    <w:rsid w:val="004733F6"/>
    <w:rsid w:val="00474E69"/>
    <w:rsid w:val="004823DD"/>
    <w:rsid w:val="00483E9F"/>
    <w:rsid w:val="00485A2C"/>
    <w:rsid w:val="0049621B"/>
    <w:rsid w:val="004A1D19"/>
    <w:rsid w:val="004A36C6"/>
    <w:rsid w:val="004A6778"/>
    <w:rsid w:val="004C1895"/>
    <w:rsid w:val="004C682C"/>
    <w:rsid w:val="004C6D40"/>
    <w:rsid w:val="004D7E16"/>
    <w:rsid w:val="004E6AA8"/>
    <w:rsid w:val="004F0C3C"/>
    <w:rsid w:val="004F2280"/>
    <w:rsid w:val="004F23BB"/>
    <w:rsid w:val="004F63FC"/>
    <w:rsid w:val="0050299D"/>
    <w:rsid w:val="00505A92"/>
    <w:rsid w:val="00515650"/>
    <w:rsid w:val="00516119"/>
    <w:rsid w:val="005203F1"/>
    <w:rsid w:val="00521BC3"/>
    <w:rsid w:val="00533632"/>
    <w:rsid w:val="00534013"/>
    <w:rsid w:val="005369E8"/>
    <w:rsid w:val="00540C5C"/>
    <w:rsid w:val="00541E6E"/>
    <w:rsid w:val="0054251F"/>
    <w:rsid w:val="005520D8"/>
    <w:rsid w:val="00555CFB"/>
    <w:rsid w:val="00556CF1"/>
    <w:rsid w:val="00557517"/>
    <w:rsid w:val="005762A7"/>
    <w:rsid w:val="00587CEE"/>
    <w:rsid w:val="005916D7"/>
    <w:rsid w:val="0059427F"/>
    <w:rsid w:val="005A6370"/>
    <w:rsid w:val="005A698C"/>
    <w:rsid w:val="005C0CAC"/>
    <w:rsid w:val="005C4638"/>
    <w:rsid w:val="005D062E"/>
    <w:rsid w:val="005E0799"/>
    <w:rsid w:val="005E10F9"/>
    <w:rsid w:val="005E1200"/>
    <w:rsid w:val="005F45EE"/>
    <w:rsid w:val="005F5A80"/>
    <w:rsid w:val="006027A9"/>
    <w:rsid w:val="006044FF"/>
    <w:rsid w:val="00607CC5"/>
    <w:rsid w:val="0061179B"/>
    <w:rsid w:val="006125F9"/>
    <w:rsid w:val="00633014"/>
    <w:rsid w:val="00633FAC"/>
    <w:rsid w:val="0063437B"/>
    <w:rsid w:val="0064017E"/>
    <w:rsid w:val="00645EC2"/>
    <w:rsid w:val="006473E6"/>
    <w:rsid w:val="00653DC3"/>
    <w:rsid w:val="00654BB6"/>
    <w:rsid w:val="00663627"/>
    <w:rsid w:val="0066735E"/>
    <w:rsid w:val="006673CA"/>
    <w:rsid w:val="00673C26"/>
    <w:rsid w:val="00674DE5"/>
    <w:rsid w:val="00677ACA"/>
    <w:rsid w:val="006812AF"/>
    <w:rsid w:val="0068327D"/>
    <w:rsid w:val="00691278"/>
    <w:rsid w:val="00691534"/>
    <w:rsid w:val="00693880"/>
    <w:rsid w:val="00694AF0"/>
    <w:rsid w:val="006A4686"/>
    <w:rsid w:val="006A6828"/>
    <w:rsid w:val="006B0E9E"/>
    <w:rsid w:val="006B486D"/>
    <w:rsid w:val="006B5AE4"/>
    <w:rsid w:val="006C197A"/>
    <w:rsid w:val="006C2C0D"/>
    <w:rsid w:val="006D1507"/>
    <w:rsid w:val="006D4054"/>
    <w:rsid w:val="006E02EC"/>
    <w:rsid w:val="006E2997"/>
    <w:rsid w:val="006E3C4F"/>
    <w:rsid w:val="006E6F41"/>
    <w:rsid w:val="006E73E6"/>
    <w:rsid w:val="0070359A"/>
    <w:rsid w:val="007211B1"/>
    <w:rsid w:val="007267B0"/>
    <w:rsid w:val="007277DA"/>
    <w:rsid w:val="00731D27"/>
    <w:rsid w:val="00746187"/>
    <w:rsid w:val="0076254F"/>
    <w:rsid w:val="007801F5"/>
    <w:rsid w:val="00783CA4"/>
    <w:rsid w:val="007842FB"/>
    <w:rsid w:val="00786124"/>
    <w:rsid w:val="0079514B"/>
    <w:rsid w:val="00795252"/>
    <w:rsid w:val="007A2DC1"/>
    <w:rsid w:val="007D0869"/>
    <w:rsid w:val="007D14C4"/>
    <w:rsid w:val="007D3319"/>
    <w:rsid w:val="007D335D"/>
    <w:rsid w:val="007D605C"/>
    <w:rsid w:val="007E3314"/>
    <w:rsid w:val="007E3514"/>
    <w:rsid w:val="007E4B03"/>
    <w:rsid w:val="007F324B"/>
    <w:rsid w:val="00803031"/>
    <w:rsid w:val="0080553C"/>
    <w:rsid w:val="00805B46"/>
    <w:rsid w:val="00805DB4"/>
    <w:rsid w:val="008164EC"/>
    <w:rsid w:val="00823593"/>
    <w:rsid w:val="00825DC2"/>
    <w:rsid w:val="00834AD3"/>
    <w:rsid w:val="00843795"/>
    <w:rsid w:val="00847F0F"/>
    <w:rsid w:val="00850B7B"/>
    <w:rsid w:val="00852448"/>
    <w:rsid w:val="0085415C"/>
    <w:rsid w:val="0085534A"/>
    <w:rsid w:val="00865ED5"/>
    <w:rsid w:val="00877F6C"/>
    <w:rsid w:val="0088258A"/>
    <w:rsid w:val="00883B0F"/>
    <w:rsid w:val="00886332"/>
    <w:rsid w:val="008925F0"/>
    <w:rsid w:val="0089448A"/>
    <w:rsid w:val="00894C23"/>
    <w:rsid w:val="00897877"/>
    <w:rsid w:val="008A26D9"/>
    <w:rsid w:val="008A7B5B"/>
    <w:rsid w:val="008B12D2"/>
    <w:rsid w:val="008C0C29"/>
    <w:rsid w:val="008C5EAE"/>
    <w:rsid w:val="008D02DA"/>
    <w:rsid w:val="008D76BC"/>
    <w:rsid w:val="008E7DBA"/>
    <w:rsid w:val="008F0829"/>
    <w:rsid w:val="008F3638"/>
    <w:rsid w:val="008F4441"/>
    <w:rsid w:val="008F6B20"/>
    <w:rsid w:val="008F6F31"/>
    <w:rsid w:val="008F74DF"/>
    <w:rsid w:val="00902274"/>
    <w:rsid w:val="009127BA"/>
    <w:rsid w:val="009134AA"/>
    <w:rsid w:val="00915105"/>
    <w:rsid w:val="00920AAE"/>
    <w:rsid w:val="009227A6"/>
    <w:rsid w:val="009261D1"/>
    <w:rsid w:val="00933184"/>
    <w:rsid w:val="00933EC1"/>
    <w:rsid w:val="00942080"/>
    <w:rsid w:val="009446AD"/>
    <w:rsid w:val="00946E23"/>
    <w:rsid w:val="009530DB"/>
    <w:rsid w:val="00953676"/>
    <w:rsid w:val="00956F30"/>
    <w:rsid w:val="00962B00"/>
    <w:rsid w:val="00966C9A"/>
    <w:rsid w:val="009705EE"/>
    <w:rsid w:val="00972478"/>
    <w:rsid w:val="00977927"/>
    <w:rsid w:val="0098135C"/>
    <w:rsid w:val="0098156A"/>
    <w:rsid w:val="00981A49"/>
    <w:rsid w:val="00991BAC"/>
    <w:rsid w:val="00995124"/>
    <w:rsid w:val="009A6EA0"/>
    <w:rsid w:val="009B744C"/>
    <w:rsid w:val="009C1335"/>
    <w:rsid w:val="009C1AB2"/>
    <w:rsid w:val="009C5CFB"/>
    <w:rsid w:val="009C7251"/>
    <w:rsid w:val="009E2E91"/>
    <w:rsid w:val="009E7D31"/>
    <w:rsid w:val="00A01B40"/>
    <w:rsid w:val="00A139F5"/>
    <w:rsid w:val="00A32E16"/>
    <w:rsid w:val="00A365F4"/>
    <w:rsid w:val="00A4300D"/>
    <w:rsid w:val="00A47D80"/>
    <w:rsid w:val="00A53132"/>
    <w:rsid w:val="00A563F2"/>
    <w:rsid w:val="00A566E8"/>
    <w:rsid w:val="00A62C36"/>
    <w:rsid w:val="00A66347"/>
    <w:rsid w:val="00A7392B"/>
    <w:rsid w:val="00A810F9"/>
    <w:rsid w:val="00A820F1"/>
    <w:rsid w:val="00A82D31"/>
    <w:rsid w:val="00A85E7E"/>
    <w:rsid w:val="00A86ECC"/>
    <w:rsid w:val="00A86FCC"/>
    <w:rsid w:val="00A90659"/>
    <w:rsid w:val="00A90A6D"/>
    <w:rsid w:val="00A91617"/>
    <w:rsid w:val="00A971E5"/>
    <w:rsid w:val="00AA710D"/>
    <w:rsid w:val="00AB64F3"/>
    <w:rsid w:val="00AB6D25"/>
    <w:rsid w:val="00AB6FF1"/>
    <w:rsid w:val="00AD04AB"/>
    <w:rsid w:val="00AD0E56"/>
    <w:rsid w:val="00AD288F"/>
    <w:rsid w:val="00AE229B"/>
    <w:rsid w:val="00AE2D4B"/>
    <w:rsid w:val="00AE4F99"/>
    <w:rsid w:val="00AE67E5"/>
    <w:rsid w:val="00AF51E6"/>
    <w:rsid w:val="00B11B69"/>
    <w:rsid w:val="00B14952"/>
    <w:rsid w:val="00B16871"/>
    <w:rsid w:val="00B25B45"/>
    <w:rsid w:val="00B31E5A"/>
    <w:rsid w:val="00B32B56"/>
    <w:rsid w:val="00B47359"/>
    <w:rsid w:val="00B501DD"/>
    <w:rsid w:val="00B653AB"/>
    <w:rsid w:val="00B65F9E"/>
    <w:rsid w:val="00B66B19"/>
    <w:rsid w:val="00B71ACF"/>
    <w:rsid w:val="00B8557C"/>
    <w:rsid w:val="00B914E9"/>
    <w:rsid w:val="00B956EE"/>
    <w:rsid w:val="00BA2BA1"/>
    <w:rsid w:val="00BA3447"/>
    <w:rsid w:val="00BA3562"/>
    <w:rsid w:val="00BB4F09"/>
    <w:rsid w:val="00BB54B5"/>
    <w:rsid w:val="00BD4E33"/>
    <w:rsid w:val="00C030DE"/>
    <w:rsid w:val="00C051A8"/>
    <w:rsid w:val="00C22105"/>
    <w:rsid w:val="00C23656"/>
    <w:rsid w:val="00C244B6"/>
    <w:rsid w:val="00C27BF1"/>
    <w:rsid w:val="00C313B8"/>
    <w:rsid w:val="00C32DB4"/>
    <w:rsid w:val="00C3702F"/>
    <w:rsid w:val="00C4500A"/>
    <w:rsid w:val="00C60504"/>
    <w:rsid w:val="00C61A8B"/>
    <w:rsid w:val="00C62238"/>
    <w:rsid w:val="00C64A37"/>
    <w:rsid w:val="00C7158E"/>
    <w:rsid w:val="00C7250B"/>
    <w:rsid w:val="00C7346B"/>
    <w:rsid w:val="00C77C0E"/>
    <w:rsid w:val="00C91687"/>
    <w:rsid w:val="00C9171B"/>
    <w:rsid w:val="00C924A8"/>
    <w:rsid w:val="00C9354D"/>
    <w:rsid w:val="00C945FE"/>
    <w:rsid w:val="00C9590A"/>
    <w:rsid w:val="00C96FAA"/>
    <w:rsid w:val="00C97A04"/>
    <w:rsid w:val="00CA107B"/>
    <w:rsid w:val="00CA484D"/>
    <w:rsid w:val="00CA4F52"/>
    <w:rsid w:val="00CA4FB6"/>
    <w:rsid w:val="00CA784C"/>
    <w:rsid w:val="00CB2F90"/>
    <w:rsid w:val="00CB6AD4"/>
    <w:rsid w:val="00CC739E"/>
    <w:rsid w:val="00CD1E2E"/>
    <w:rsid w:val="00CD1EBB"/>
    <w:rsid w:val="00CD28CF"/>
    <w:rsid w:val="00CD58B7"/>
    <w:rsid w:val="00CD7967"/>
    <w:rsid w:val="00CF18EE"/>
    <w:rsid w:val="00CF304D"/>
    <w:rsid w:val="00CF30BD"/>
    <w:rsid w:val="00CF4099"/>
    <w:rsid w:val="00CF472B"/>
    <w:rsid w:val="00D00796"/>
    <w:rsid w:val="00D02363"/>
    <w:rsid w:val="00D107DE"/>
    <w:rsid w:val="00D15983"/>
    <w:rsid w:val="00D261A2"/>
    <w:rsid w:val="00D31B4A"/>
    <w:rsid w:val="00D57787"/>
    <w:rsid w:val="00D616D2"/>
    <w:rsid w:val="00D63B5F"/>
    <w:rsid w:val="00D70EF7"/>
    <w:rsid w:val="00D8397C"/>
    <w:rsid w:val="00D94BF7"/>
    <w:rsid w:val="00D94EED"/>
    <w:rsid w:val="00D96026"/>
    <w:rsid w:val="00D972F6"/>
    <w:rsid w:val="00DA331D"/>
    <w:rsid w:val="00DA5A71"/>
    <w:rsid w:val="00DA7C1C"/>
    <w:rsid w:val="00DB147A"/>
    <w:rsid w:val="00DB1B7A"/>
    <w:rsid w:val="00DB706E"/>
    <w:rsid w:val="00DC6708"/>
    <w:rsid w:val="00DD011A"/>
    <w:rsid w:val="00DE1D0A"/>
    <w:rsid w:val="00DE2262"/>
    <w:rsid w:val="00DE2400"/>
    <w:rsid w:val="00DE58F1"/>
    <w:rsid w:val="00DE6B58"/>
    <w:rsid w:val="00DF5E32"/>
    <w:rsid w:val="00E01436"/>
    <w:rsid w:val="00E03E79"/>
    <w:rsid w:val="00E045BD"/>
    <w:rsid w:val="00E04D6C"/>
    <w:rsid w:val="00E17B77"/>
    <w:rsid w:val="00E231AB"/>
    <w:rsid w:val="00E23337"/>
    <w:rsid w:val="00E259EA"/>
    <w:rsid w:val="00E25D33"/>
    <w:rsid w:val="00E269B9"/>
    <w:rsid w:val="00E32061"/>
    <w:rsid w:val="00E33F48"/>
    <w:rsid w:val="00E42FF9"/>
    <w:rsid w:val="00E43859"/>
    <w:rsid w:val="00E44790"/>
    <w:rsid w:val="00E4714C"/>
    <w:rsid w:val="00E5178D"/>
    <w:rsid w:val="00E51AEB"/>
    <w:rsid w:val="00E522A7"/>
    <w:rsid w:val="00E5330C"/>
    <w:rsid w:val="00E5349E"/>
    <w:rsid w:val="00E54452"/>
    <w:rsid w:val="00E60098"/>
    <w:rsid w:val="00E63B0C"/>
    <w:rsid w:val="00E664C5"/>
    <w:rsid w:val="00E671A2"/>
    <w:rsid w:val="00E76D26"/>
    <w:rsid w:val="00E76EE5"/>
    <w:rsid w:val="00E84CFC"/>
    <w:rsid w:val="00E93564"/>
    <w:rsid w:val="00E95036"/>
    <w:rsid w:val="00E95B8E"/>
    <w:rsid w:val="00E97244"/>
    <w:rsid w:val="00E97F8F"/>
    <w:rsid w:val="00EB1390"/>
    <w:rsid w:val="00EB2C71"/>
    <w:rsid w:val="00EB3333"/>
    <w:rsid w:val="00EB3A43"/>
    <w:rsid w:val="00EB4340"/>
    <w:rsid w:val="00EB556D"/>
    <w:rsid w:val="00EB5A7D"/>
    <w:rsid w:val="00EC6868"/>
    <w:rsid w:val="00ED55C0"/>
    <w:rsid w:val="00ED682B"/>
    <w:rsid w:val="00EE1852"/>
    <w:rsid w:val="00EE2DCF"/>
    <w:rsid w:val="00EE41D5"/>
    <w:rsid w:val="00F0166F"/>
    <w:rsid w:val="00F037A4"/>
    <w:rsid w:val="00F049AB"/>
    <w:rsid w:val="00F142DB"/>
    <w:rsid w:val="00F22BF3"/>
    <w:rsid w:val="00F27C8F"/>
    <w:rsid w:val="00F32749"/>
    <w:rsid w:val="00F368F2"/>
    <w:rsid w:val="00F37172"/>
    <w:rsid w:val="00F4477E"/>
    <w:rsid w:val="00F448B8"/>
    <w:rsid w:val="00F46269"/>
    <w:rsid w:val="00F4777A"/>
    <w:rsid w:val="00F53743"/>
    <w:rsid w:val="00F60BA8"/>
    <w:rsid w:val="00F6123B"/>
    <w:rsid w:val="00F67D8F"/>
    <w:rsid w:val="00F70C87"/>
    <w:rsid w:val="00F802BE"/>
    <w:rsid w:val="00F80E93"/>
    <w:rsid w:val="00F86024"/>
    <w:rsid w:val="00F8611A"/>
    <w:rsid w:val="00FA4D6D"/>
    <w:rsid w:val="00FA5128"/>
    <w:rsid w:val="00FB42D4"/>
    <w:rsid w:val="00FB5906"/>
    <w:rsid w:val="00FB762F"/>
    <w:rsid w:val="00FC1D74"/>
    <w:rsid w:val="00FC2AED"/>
    <w:rsid w:val="00FD5EA7"/>
    <w:rsid w:val="00FE36CF"/>
    <w:rsid w:val="00FE68D6"/>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character" w:customStyle="1" w:styleId="Nierozpoznanawzmianka2">
    <w:name w:val="Nierozpoznana wzmianka2"/>
    <w:basedOn w:val="Domylnaczcionkaakapitu"/>
    <w:uiPriority w:val="99"/>
    <w:semiHidden/>
    <w:unhideWhenUsed/>
    <w:rsid w:val="00C9171B"/>
    <w:rPr>
      <w:color w:val="605E5C"/>
      <w:shd w:val="clear" w:color="auto" w:fill="E1DFDD"/>
    </w:rPr>
  </w:style>
  <w:style w:type="character" w:styleId="UyteHipercze">
    <w:name w:val="FollowedHyperlink"/>
    <w:basedOn w:val="Domylnaczcionkaakapitu"/>
    <w:uiPriority w:val="99"/>
    <w:semiHidden/>
    <w:unhideWhenUsed/>
    <w:rsid w:val="006C2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bdm.stat.gov.p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mailto:obslugaprasowa@stat.gov.pl" TargetMode="External"/><Relationship Id="rId25" Type="http://schemas.openxmlformats.org/officeDocument/2006/relationships/hyperlink" Target="http://swaid.stat.gov.pl/EN/SitePagesDBW/Ceny.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hyperlink" Target="http://stat.gov.pl/en/metainformations/glossary/terms-used-in-official-statistics/709,term.html"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tat.gov.pl/en/topics/prices-trade/price-indices/"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Aga1\WA&#379;NE\WSTEPNA\2022\Internet\Luty2022\WYKRESY_ANG_serie%20od%202020\WSTANG02'22_nowy1_wyk.4_bu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328125"/>
          <c:y val="0.13957307060755336"/>
          <c:w val="0.78125"/>
          <c:h val="0.52298850574712641"/>
        </c:manualLayout>
      </c:layout>
      <c:barChart>
        <c:barDir val="col"/>
        <c:grouping val="clustered"/>
        <c:varyColors val="0"/>
        <c:ser>
          <c:idx val="0"/>
          <c:order val="0"/>
          <c:tx>
            <c:strRef>
              <c:f>wyk4_bud!$C$4</c:f>
              <c:strCache>
                <c:ptCount val="1"/>
                <c:pt idx="0">
                  <c:v> prices of construction and assembly production</c:v>
                </c:pt>
              </c:strCache>
            </c:strRef>
          </c:tx>
          <c:spPr>
            <a:solidFill>
              <a:srgbClr val="001D77"/>
            </a:solidFill>
            <a:ln w="12700">
              <a:solidFill>
                <a:srgbClr val="001D77"/>
              </a:solidFill>
              <a:prstDash val="solid"/>
            </a:ln>
          </c:spPr>
          <c:invertIfNegative val="0"/>
          <c:dLbls>
            <c:dLbl>
              <c:idx val="25"/>
              <c:layout>
                <c:manualLayout>
                  <c:x val="8.6039207369800683E-2"/>
                  <c:y val="-1.042164147622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2A-4927-98ED-655FF3DEEAFD}"/>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wyk4_bud!$A$8:$B$33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wyk4_bud!$C$8:$C$33</c:f>
              <c:numCache>
                <c:formatCode>0.0</c:formatCode>
                <c:ptCount val="26"/>
                <c:pt idx="0">
                  <c:v>0.3</c:v>
                </c:pt>
                <c:pt idx="1">
                  <c:v>0.6</c:v>
                </c:pt>
                <c:pt idx="2">
                  <c:v>0.8</c:v>
                </c:pt>
                <c:pt idx="3">
                  <c:v>1</c:v>
                </c:pt>
                <c:pt idx="4">
                  <c:v>1.2</c:v>
                </c:pt>
                <c:pt idx="5" formatCode="General">
                  <c:v>1.4</c:v>
                </c:pt>
                <c:pt idx="6" formatCode="General">
                  <c:v>1.6</c:v>
                </c:pt>
                <c:pt idx="7" formatCode="General">
                  <c:v>1.8</c:v>
                </c:pt>
                <c:pt idx="8">
                  <c:v>2.1</c:v>
                </c:pt>
                <c:pt idx="9" formatCode="General">
                  <c:v>2.2999999999999998</c:v>
                </c:pt>
                <c:pt idx="10" formatCode="General">
                  <c:v>2.5</c:v>
                </c:pt>
                <c:pt idx="11" formatCode="General">
                  <c:v>2.7</c:v>
                </c:pt>
                <c:pt idx="12">
                  <c:v>3</c:v>
                </c:pt>
                <c:pt idx="13">
                  <c:v>3.2</c:v>
                </c:pt>
                <c:pt idx="14" formatCode="General">
                  <c:v>3.6</c:v>
                </c:pt>
                <c:pt idx="15" formatCode="General">
                  <c:v>4.0999999999999996</c:v>
                </c:pt>
                <c:pt idx="16" formatCode="General">
                  <c:v>4.5999999999999996</c:v>
                </c:pt>
                <c:pt idx="17" formatCode="General">
                  <c:v>5.0999999999999996</c:v>
                </c:pt>
                <c:pt idx="18" formatCode="General">
                  <c:v>5.7</c:v>
                </c:pt>
                <c:pt idx="19" formatCode="General">
                  <c:v>6.4</c:v>
                </c:pt>
                <c:pt idx="20" formatCode="General">
                  <c:v>7.1</c:v>
                </c:pt>
                <c:pt idx="21">
                  <c:v>8.1</c:v>
                </c:pt>
                <c:pt idx="22" formatCode="General">
                  <c:v>9.3000000000000007</c:v>
                </c:pt>
                <c:pt idx="23" formatCode="General">
                  <c:v>10.4</c:v>
                </c:pt>
                <c:pt idx="24">
                  <c:v>11.6</c:v>
                </c:pt>
                <c:pt idx="25" formatCode="General">
                  <c:v>12.9</c:v>
                </c:pt>
              </c:numCache>
            </c:numRef>
          </c:val>
          <c:extLst>
            <c:ext xmlns:c16="http://schemas.microsoft.com/office/drawing/2014/chart" uri="{C3380CC4-5D6E-409C-BE32-E72D297353CC}">
              <c16:uniqueId val="{00000001-A92A-4927-98ED-655FF3DEEAFD}"/>
            </c:ext>
          </c:extLst>
        </c:ser>
        <c:dLbls>
          <c:showLegendKey val="0"/>
          <c:showVal val="0"/>
          <c:showCatName val="0"/>
          <c:showSerName val="0"/>
          <c:showPercent val="0"/>
          <c:showBubbleSize val="0"/>
        </c:dLbls>
        <c:gapWidth val="150"/>
        <c:axId val="474818424"/>
        <c:axId val="474812544"/>
      </c:barChart>
      <c:lineChart>
        <c:grouping val="standard"/>
        <c:varyColors val="0"/>
        <c:ser>
          <c:idx val="1"/>
          <c:order val="1"/>
          <c:tx>
            <c:strRef>
              <c:f>wyk4_bud!$D$4</c:f>
              <c:strCache>
                <c:ptCount val="1"/>
                <c:pt idx="0">
                  <c:v>construction of buildings</c:v>
                </c:pt>
              </c:strCache>
            </c:strRef>
          </c:tx>
          <c:spPr>
            <a:ln w="25400">
              <a:solidFill>
                <a:srgbClr val="99CEB3"/>
              </a:solidFill>
              <a:prstDash val="solid"/>
            </a:ln>
          </c:spPr>
          <c:marker>
            <c:symbol val="none"/>
          </c:marker>
          <c:dLbls>
            <c:dLbl>
              <c:idx val="25"/>
              <c:layout>
                <c:manualLayout>
                  <c:x val="5.0993895672490672E-2"/>
                  <c:y val="-5.4600501127241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2A-4927-98ED-655FF3DEEAFD}"/>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wyk4_bud!$A$8:$B$33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wyk4_bud!$D$8:$D$33</c:f>
              <c:numCache>
                <c:formatCode>0.0</c:formatCode>
                <c:ptCount val="26"/>
                <c:pt idx="0">
                  <c:v>0.3</c:v>
                </c:pt>
                <c:pt idx="1">
                  <c:v>0.6</c:v>
                </c:pt>
                <c:pt idx="2">
                  <c:v>0.8</c:v>
                </c:pt>
                <c:pt idx="3">
                  <c:v>1</c:v>
                </c:pt>
                <c:pt idx="4">
                  <c:v>1.2</c:v>
                </c:pt>
                <c:pt idx="5">
                  <c:v>1.4</c:v>
                </c:pt>
                <c:pt idx="6">
                  <c:v>1.6</c:v>
                </c:pt>
                <c:pt idx="7">
                  <c:v>1.8</c:v>
                </c:pt>
                <c:pt idx="8">
                  <c:v>2.1</c:v>
                </c:pt>
                <c:pt idx="9">
                  <c:v>2.2999999999999998</c:v>
                </c:pt>
                <c:pt idx="10">
                  <c:v>2.5</c:v>
                </c:pt>
                <c:pt idx="11">
                  <c:v>2.8</c:v>
                </c:pt>
                <c:pt idx="12">
                  <c:v>3.2</c:v>
                </c:pt>
                <c:pt idx="13">
                  <c:v>3.5</c:v>
                </c:pt>
                <c:pt idx="14">
                  <c:v>3.9</c:v>
                </c:pt>
                <c:pt idx="15">
                  <c:v>4.4000000000000004</c:v>
                </c:pt>
                <c:pt idx="16">
                  <c:v>4.9000000000000004</c:v>
                </c:pt>
                <c:pt idx="17">
                  <c:v>5.4</c:v>
                </c:pt>
                <c:pt idx="18">
                  <c:v>6</c:v>
                </c:pt>
                <c:pt idx="19">
                  <c:v>6.7</c:v>
                </c:pt>
                <c:pt idx="20">
                  <c:v>7.4</c:v>
                </c:pt>
                <c:pt idx="21">
                  <c:v>8.4</c:v>
                </c:pt>
                <c:pt idx="22">
                  <c:v>9.6</c:v>
                </c:pt>
                <c:pt idx="23">
                  <c:v>10.6</c:v>
                </c:pt>
                <c:pt idx="24">
                  <c:v>11.8</c:v>
                </c:pt>
                <c:pt idx="25">
                  <c:v>13.1</c:v>
                </c:pt>
              </c:numCache>
            </c:numRef>
          </c:val>
          <c:smooth val="0"/>
          <c:extLst>
            <c:ext xmlns:c16="http://schemas.microsoft.com/office/drawing/2014/chart" uri="{C3380CC4-5D6E-409C-BE32-E72D297353CC}">
              <c16:uniqueId val="{00000003-A92A-4927-98ED-655FF3DEEAFD}"/>
            </c:ext>
          </c:extLst>
        </c:ser>
        <c:ser>
          <c:idx val="2"/>
          <c:order val="2"/>
          <c:tx>
            <c:strRef>
              <c:f>wyk4_bud!$E$4</c:f>
              <c:strCache>
                <c:ptCount val="1"/>
                <c:pt idx="0">
                  <c:v>civil engineering</c:v>
                </c:pt>
              </c:strCache>
            </c:strRef>
          </c:tx>
          <c:spPr>
            <a:ln w="25400">
              <a:solidFill>
                <a:srgbClr val="99A5C9"/>
              </a:solidFill>
              <a:prstDash val="solid"/>
            </a:ln>
          </c:spPr>
          <c:marker>
            <c:symbol val="none"/>
          </c:marker>
          <c:dLbls>
            <c:dLbl>
              <c:idx val="25"/>
              <c:layout>
                <c:manualLayout>
                  <c:x val="4.8672093954357398E-2"/>
                  <c:y val="-6.91100380456429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2A-4927-98ED-655FF3DEEAFD}"/>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wyk4_bud!$A$8:$B$33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wyk4_bud!$E$8:$E$33</c:f>
              <c:numCache>
                <c:formatCode>0.0</c:formatCode>
                <c:ptCount val="26"/>
                <c:pt idx="0">
                  <c:v>0.2</c:v>
                </c:pt>
                <c:pt idx="1">
                  <c:v>0.5</c:v>
                </c:pt>
                <c:pt idx="2">
                  <c:v>0.7</c:v>
                </c:pt>
                <c:pt idx="3">
                  <c:v>0.9</c:v>
                </c:pt>
                <c:pt idx="4">
                  <c:v>1.1000000000000001</c:v>
                </c:pt>
                <c:pt idx="5">
                  <c:v>1.3</c:v>
                </c:pt>
                <c:pt idx="6">
                  <c:v>1.6</c:v>
                </c:pt>
                <c:pt idx="7">
                  <c:v>1.8</c:v>
                </c:pt>
                <c:pt idx="8">
                  <c:v>2</c:v>
                </c:pt>
                <c:pt idx="9">
                  <c:v>2.2000000000000002</c:v>
                </c:pt>
                <c:pt idx="10">
                  <c:v>2.2999999999999998</c:v>
                </c:pt>
                <c:pt idx="11">
                  <c:v>2.5</c:v>
                </c:pt>
                <c:pt idx="12">
                  <c:v>2.7</c:v>
                </c:pt>
                <c:pt idx="13">
                  <c:v>3</c:v>
                </c:pt>
                <c:pt idx="14">
                  <c:v>3.4</c:v>
                </c:pt>
                <c:pt idx="15">
                  <c:v>3.9</c:v>
                </c:pt>
                <c:pt idx="16">
                  <c:v>4.5</c:v>
                </c:pt>
                <c:pt idx="17">
                  <c:v>5.0999999999999996</c:v>
                </c:pt>
                <c:pt idx="18">
                  <c:v>5.6</c:v>
                </c:pt>
                <c:pt idx="19">
                  <c:v>6.3</c:v>
                </c:pt>
                <c:pt idx="20">
                  <c:v>7</c:v>
                </c:pt>
                <c:pt idx="21">
                  <c:v>7.9</c:v>
                </c:pt>
                <c:pt idx="22">
                  <c:v>9.1</c:v>
                </c:pt>
                <c:pt idx="23">
                  <c:v>10.199999999999999</c:v>
                </c:pt>
                <c:pt idx="24">
                  <c:v>11.5</c:v>
                </c:pt>
                <c:pt idx="25">
                  <c:v>12.8</c:v>
                </c:pt>
              </c:numCache>
            </c:numRef>
          </c:val>
          <c:smooth val="0"/>
          <c:extLst>
            <c:ext xmlns:c16="http://schemas.microsoft.com/office/drawing/2014/chart" uri="{C3380CC4-5D6E-409C-BE32-E72D297353CC}">
              <c16:uniqueId val="{00000005-A92A-4927-98ED-655FF3DEEAFD}"/>
            </c:ext>
          </c:extLst>
        </c:ser>
        <c:ser>
          <c:idx val="3"/>
          <c:order val="3"/>
          <c:tx>
            <c:strRef>
              <c:f>wyk4_bud!$F$4</c:f>
              <c:strCache>
                <c:ptCount val="1"/>
                <c:pt idx="0">
                  <c:v>specialised construction activities</c:v>
                </c:pt>
              </c:strCache>
            </c:strRef>
          </c:tx>
          <c:spPr>
            <a:ln w="38100">
              <a:solidFill>
                <a:srgbClr val="009942"/>
              </a:solidFill>
              <a:prstDash val="solid"/>
            </a:ln>
          </c:spPr>
          <c:marker>
            <c:symbol val="none"/>
          </c:marker>
          <c:dLbls>
            <c:dLbl>
              <c:idx val="25"/>
              <c:layout>
                <c:manualLayout>
                  <c:x val="4.8672050465634553E-2"/>
                  <c:y val="-3.2284100080710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2A-4927-98ED-655FF3DEEAFD}"/>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wyk4_bud!$A$8:$B$33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wyk4_bud!$F$8:$F$33</c:f>
              <c:numCache>
                <c:formatCode>0.0</c:formatCode>
                <c:ptCount val="26"/>
                <c:pt idx="0">
                  <c:v>0.3</c:v>
                </c:pt>
                <c:pt idx="1">
                  <c:v>0.5</c:v>
                </c:pt>
                <c:pt idx="2">
                  <c:v>0.7</c:v>
                </c:pt>
                <c:pt idx="3">
                  <c:v>0.8</c:v>
                </c:pt>
                <c:pt idx="4">
                  <c:v>0.9</c:v>
                </c:pt>
                <c:pt idx="5">
                  <c:v>1</c:v>
                </c:pt>
                <c:pt idx="6">
                  <c:v>1.2</c:v>
                </c:pt>
                <c:pt idx="7">
                  <c:v>1.4</c:v>
                </c:pt>
                <c:pt idx="8">
                  <c:v>1.6</c:v>
                </c:pt>
                <c:pt idx="9">
                  <c:v>1.8</c:v>
                </c:pt>
                <c:pt idx="10">
                  <c:v>2</c:v>
                </c:pt>
                <c:pt idx="11">
                  <c:v>2.2000000000000002</c:v>
                </c:pt>
                <c:pt idx="12">
                  <c:v>2.4</c:v>
                </c:pt>
                <c:pt idx="13">
                  <c:v>2.5</c:v>
                </c:pt>
                <c:pt idx="14">
                  <c:v>2.7</c:v>
                </c:pt>
                <c:pt idx="15">
                  <c:v>3.1</c:v>
                </c:pt>
                <c:pt idx="16">
                  <c:v>3.5</c:v>
                </c:pt>
                <c:pt idx="17">
                  <c:v>3.9</c:v>
                </c:pt>
                <c:pt idx="18">
                  <c:v>4.5</c:v>
                </c:pt>
                <c:pt idx="19">
                  <c:v>5.0999999999999996</c:v>
                </c:pt>
                <c:pt idx="20">
                  <c:v>5.8</c:v>
                </c:pt>
                <c:pt idx="21">
                  <c:v>6.8</c:v>
                </c:pt>
                <c:pt idx="22">
                  <c:v>7.9</c:v>
                </c:pt>
                <c:pt idx="23">
                  <c:v>8.8000000000000007</c:v>
                </c:pt>
                <c:pt idx="24">
                  <c:v>10</c:v>
                </c:pt>
                <c:pt idx="25">
                  <c:v>11.2</c:v>
                </c:pt>
              </c:numCache>
            </c:numRef>
          </c:val>
          <c:smooth val="0"/>
          <c:extLst>
            <c:ext xmlns:c16="http://schemas.microsoft.com/office/drawing/2014/chart" uri="{C3380CC4-5D6E-409C-BE32-E72D297353CC}">
              <c16:uniqueId val="{00000007-A92A-4927-98ED-655FF3DEEAFD}"/>
            </c:ext>
          </c:extLst>
        </c:ser>
        <c:dLbls>
          <c:showLegendKey val="0"/>
          <c:showVal val="0"/>
          <c:showCatName val="0"/>
          <c:showSerName val="0"/>
          <c:showPercent val="0"/>
          <c:showBubbleSize val="0"/>
        </c:dLbls>
        <c:marker val="1"/>
        <c:smooth val="0"/>
        <c:axId val="474818424"/>
        <c:axId val="474812544"/>
      </c:lineChart>
      <c:catAx>
        <c:axId val="474818424"/>
        <c:scaling>
          <c:orientation val="minMax"/>
        </c:scaling>
        <c:delete val="0"/>
        <c:axPos val="b"/>
        <c:numFmt formatCode="General" sourceLinked="1"/>
        <c:majorTickMark val="in"/>
        <c:minorTickMark val="none"/>
        <c:tickLblPos val="low"/>
        <c:spPr>
          <a:solidFill>
            <a:srgbClr val="FFFFFF"/>
          </a:solidFill>
          <a:ln w="3175">
            <a:solidFill>
              <a:srgbClr val="000000">
                <a:alpha val="88000"/>
              </a:srgbClr>
            </a:solidFill>
            <a:prstDash val="solid"/>
          </a:ln>
        </c:spPr>
        <c:txPr>
          <a:bodyPr rot="0" vert="horz"/>
          <a:lstStyle/>
          <a:p>
            <a:pPr>
              <a:defRPr sz="790" b="0" i="0" u="none" strike="noStrike" baseline="0">
                <a:solidFill>
                  <a:srgbClr val="000000"/>
                </a:solidFill>
                <a:latin typeface="Fira Sans"/>
                <a:ea typeface="Fira Sans"/>
                <a:cs typeface="Fira Sans"/>
              </a:defRPr>
            </a:pPr>
            <a:endParaRPr lang="pl-PL"/>
          </a:p>
        </c:txPr>
        <c:crossAx val="474812544"/>
        <c:crossesAt val="0"/>
        <c:auto val="1"/>
        <c:lblAlgn val="ctr"/>
        <c:lblOffset val="100"/>
        <c:tickLblSkip val="1"/>
        <c:tickMarkSkip val="1"/>
        <c:noMultiLvlLbl val="0"/>
      </c:catAx>
      <c:valAx>
        <c:axId val="474812544"/>
        <c:scaling>
          <c:orientation val="minMax"/>
        </c:scaling>
        <c:delete val="0"/>
        <c:axPos val="l"/>
        <c:majorGridlines>
          <c:spPr>
            <a:ln w="3175">
              <a:solidFill>
                <a:srgbClr val="000000"/>
              </a:solidFill>
              <a:prstDash val="sysDash"/>
            </a:ln>
          </c:spPr>
        </c:majorGridlines>
        <c:numFmt formatCode="0.0" sourceLinked="0"/>
        <c:majorTickMark val="out"/>
        <c:minorTickMark val="none"/>
        <c:tickLblPos val="low"/>
        <c:spPr>
          <a:ln w="9525">
            <a:solidFill>
              <a:schemeClr val="tx1"/>
            </a:solidFill>
          </a:ln>
        </c:spPr>
        <c:txPr>
          <a:bodyPr rot="0" vert="horz"/>
          <a:lstStyle/>
          <a:p>
            <a:pPr>
              <a:defRPr sz="800" b="0" i="0" u="none" strike="noStrike" baseline="0">
                <a:solidFill>
                  <a:srgbClr val="000000"/>
                </a:solidFill>
                <a:latin typeface="Fira Sans"/>
                <a:ea typeface="Fira Sans"/>
                <a:cs typeface="Fira Sans"/>
              </a:defRPr>
            </a:pPr>
            <a:endParaRPr lang="pl-PL"/>
          </a:p>
        </c:txPr>
        <c:crossAx val="474818424"/>
        <c:crosses val="autoZero"/>
        <c:crossBetween val="between"/>
      </c:valAx>
      <c:spPr>
        <a:noFill/>
        <a:ln w="25400">
          <a:noFill/>
        </a:ln>
      </c:spPr>
    </c:plotArea>
    <c:legend>
      <c:legendPos val="b"/>
      <c:layout>
        <c:manualLayout>
          <c:xMode val="edge"/>
          <c:yMode val="edge"/>
          <c:x val="6.7116340547981768E-2"/>
          <c:y val="0.77588961235614784"/>
          <c:w val="0.91719029084679948"/>
          <c:h val="0.11806001413284872"/>
        </c:manualLayout>
      </c:layout>
      <c:overlay val="0"/>
      <c:spPr>
        <a:solidFill>
          <a:srgbClr val="FFFFFF"/>
        </a:solidFill>
        <a:ln w="25400">
          <a:noFill/>
        </a:ln>
      </c:spPr>
      <c:txPr>
        <a:bodyPr/>
        <a:lstStyle/>
        <a:p>
          <a:pPr>
            <a:defRPr sz="900" b="0" i="0" u="none" strike="noStrike" baseline="0">
              <a:solidFill>
                <a:srgbClr val="000000"/>
              </a:solidFill>
              <a:latin typeface="Fira Sans"/>
              <a:ea typeface="Fira Sans"/>
              <a:cs typeface="Fira Sans"/>
            </a:defRPr>
          </a:pPr>
          <a:endParaRPr lang="pl-PL"/>
        </a:p>
      </c:txPr>
    </c:legend>
    <c:plotVisOnly val="0"/>
    <c:dispBlanksAs val="gap"/>
    <c:showDLblsOverMax val="0"/>
  </c:chart>
  <c:spPr>
    <a:solidFill>
      <a:srgbClr val="FFFFFF"/>
    </a:solidFill>
    <a:ln w="9525">
      <a:noFill/>
    </a:ln>
  </c:spPr>
  <c:txPr>
    <a:bodyPr/>
    <a:lstStyle/>
    <a:p>
      <a:pPr>
        <a:defRPr sz="1000" b="0" i="0" u="none" strike="noStrike" baseline="0">
          <a:solidFill>
            <a:srgbClr val="000000"/>
          </a:solidFill>
          <a:latin typeface="Fira Sans"/>
          <a:ea typeface="Fira Sans"/>
          <a:cs typeface="Fira Sans"/>
        </a:defRPr>
      </a:pPr>
      <a:endParaRPr lang="pl-PL"/>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0.08451</cdr:x>
      <cdr:y>0.04301</cdr:y>
    </cdr:from>
    <cdr:to>
      <cdr:x>0.10689</cdr:x>
      <cdr:y>0.10705</cdr:y>
    </cdr:to>
    <cdr:sp macro="" textlink="">
      <cdr:nvSpPr>
        <cdr:cNvPr id="5121" name="Tekst 1"/>
        <cdr:cNvSpPr txBox="1">
          <a:spLocks xmlns:a="http://schemas.openxmlformats.org/drawingml/2006/main" noChangeArrowheads="1"/>
        </cdr:cNvSpPr>
      </cdr:nvSpPr>
      <cdr:spPr bwMode="auto">
        <a:xfrm xmlns:a="http://schemas.openxmlformats.org/drawingml/2006/main">
          <a:off x="790653" y="221449"/>
          <a:ext cx="209472" cy="329738"/>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endParaRPr lang="pl-PL" sz="900" b="0" i="0" strike="noStrike">
            <a:solidFill>
              <a:srgbClr val="000000"/>
            </a:solidFill>
            <a:latin typeface="Arial CE"/>
          </a:endParaRPr>
        </a:p>
      </cdr:txBody>
    </cdr:sp>
  </cdr:relSizeAnchor>
  <cdr:relSizeAnchor xmlns:cdr="http://schemas.openxmlformats.org/drawingml/2006/chartDrawing">
    <cdr:from>
      <cdr:x>0.88313</cdr:x>
      <cdr:y>0.66314</cdr:y>
    </cdr:from>
    <cdr:to>
      <cdr:x>0.99025</cdr:x>
      <cdr:y>0.72508</cdr:y>
    </cdr:to>
    <cdr:sp macro="" textlink="">
      <cdr:nvSpPr>
        <cdr:cNvPr id="54275" name="Tekst 3"/>
        <cdr:cNvSpPr txBox="1">
          <a:spLocks xmlns:a="http://schemas.openxmlformats.org/drawingml/2006/main" noChangeArrowheads="1"/>
        </cdr:cNvSpPr>
      </cdr:nvSpPr>
      <cdr:spPr bwMode="auto">
        <a:xfrm xmlns:a="http://schemas.openxmlformats.org/drawingml/2006/main">
          <a:off x="4318450" y="2573956"/>
          <a:ext cx="523425" cy="24012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pl-PL" sz="800" b="0" i="0" u="none" strike="noStrike" baseline="0">
            <a:solidFill>
              <a:srgbClr val="000000"/>
            </a:solidFill>
            <a:latin typeface="Arial CE"/>
            <a:cs typeface="Arial CE"/>
          </a:endParaRPr>
        </a:p>
      </cdr:txBody>
    </cdr:sp>
  </cdr:relSizeAnchor>
  <cdr:relSizeAnchor xmlns:cdr="http://schemas.openxmlformats.org/drawingml/2006/chartDrawing">
    <cdr:from>
      <cdr:x>0.05524</cdr:x>
      <cdr:y>0.0545</cdr:y>
    </cdr:from>
    <cdr:to>
      <cdr:x>0.09693</cdr:x>
      <cdr:y>0.11248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2149" y="277760"/>
          <a:ext cx="228037" cy="295495"/>
        </a:xfrm>
        <a:prstGeom xmlns:a="http://schemas.openxmlformats.org/drawingml/2006/main" prst="rect">
          <a:avLst/>
        </a:prstGeom>
      </cdr:spPr>
    </cdr:pic>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Wzór sygnalna_GUS_eng.docx.docx</NazwaPliku>
    <_SourceUrl xmlns="http://schemas.microsoft.com/sharepoint/v3" xsi:nil="true"/>
    <Odbiorcy2 xmlns="8C029B3F-2CC4-4A59-AF0D-A90575FA3373" xsi:nil="true"/>
    <xd_ProgID xmlns="http://schemas.microsoft.com/sharepoint/v3" xsi:nil="true"/>
    <Osoba xmlns="8C029B3F-2CC4-4A59-AF0D-A90575FA3373">STAT\BOLESLAWSKAE</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3936-6643-45DB-8AD4-649BDAB6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3BC846F1-62EE-486B-B685-79D852A9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496</Words>
  <Characters>2981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indices of  construction and assembly production in February 2022</dc:title>
  <dc:subject>Price indices of  construction and assembly production</dc:subject>
  <dc:creator>Statistics Poland</dc:creator>
  <cp:keywords>Price indices</cp:keywords>
  <dc:description/>
  <cp:lastPrinted>2019-02-21T09:45:00Z</cp:lastPrinted>
  <dcterms:created xsi:type="dcterms:W3CDTF">2022-03-18T07:21:00Z</dcterms:created>
  <dcterms:modified xsi:type="dcterms:W3CDTF">2022-03-18T07:21:00Z</dcterms:modified>
  <cp:category>Price indices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