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AF3AB" w14:textId="44622215" w:rsidR="0098135C" w:rsidRPr="002D265E" w:rsidRDefault="009659B8" w:rsidP="007A7664">
      <w:pPr>
        <w:pStyle w:val="tytuinformacji"/>
        <w:keepNext/>
        <w:suppressAutoHyphens/>
        <w:rPr>
          <w:shd w:val="clear" w:color="auto" w:fill="FFFFFF"/>
          <w:lang w:val="en-GB"/>
        </w:rPr>
      </w:pPr>
      <w:r w:rsidRPr="002D265E">
        <w:rPr>
          <w:shd w:val="clear" w:color="auto" w:fill="FFFFFF"/>
          <w:lang w:val="en-GB"/>
        </w:rPr>
        <w:t>Cultural and creative industries in</w:t>
      </w:r>
      <w:r w:rsidR="00027C22" w:rsidRPr="002D265E">
        <w:rPr>
          <w:shd w:val="clear" w:color="auto" w:fill="FFFFFF"/>
          <w:lang w:val="en-GB"/>
        </w:rPr>
        <w:t xml:space="preserve"> </w:t>
      </w:r>
      <w:r w:rsidR="00DA590C" w:rsidRPr="002D265E">
        <w:rPr>
          <w:shd w:val="clear" w:color="auto" w:fill="FFFFFF"/>
          <w:lang w:val="en-GB"/>
        </w:rPr>
        <w:t>2019</w:t>
      </w:r>
    </w:p>
    <w:p w14:paraId="5962EB12" w14:textId="7AADF2B7" w:rsidR="00393761" w:rsidRPr="002D265E" w:rsidRDefault="009659B8" w:rsidP="007A7664">
      <w:pPr>
        <w:pStyle w:val="tytuinformacji"/>
        <w:keepNext/>
        <w:suppressAutoHyphens/>
        <w:rPr>
          <w:sz w:val="32"/>
          <w:lang w:val="en-GB"/>
        </w:rPr>
      </w:pPr>
      <w:r w:rsidRPr="002D265E">
        <w:rPr>
          <w:noProof/>
          <w:lang w:eastAsia="pl-PL"/>
        </w:rPr>
        <mc:AlternateContent>
          <mc:Choice Requires="wps">
            <w:drawing>
              <wp:anchor distT="45720" distB="45720" distL="114300" distR="114300" simplePos="0" relativeHeight="251676672" behindDoc="0" locked="0" layoutInCell="1" allowOverlap="1" wp14:anchorId="30BF04E0" wp14:editId="5DED3BB7">
                <wp:simplePos x="0" y="0"/>
                <wp:positionH relativeFrom="margin">
                  <wp:posOffset>47625</wp:posOffset>
                </wp:positionH>
                <wp:positionV relativeFrom="paragraph">
                  <wp:posOffset>247650</wp:posOffset>
                </wp:positionV>
                <wp:extent cx="1828800" cy="1495425"/>
                <wp:effectExtent l="0" t="0" r="0"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95425"/>
                        </a:xfrm>
                        <a:prstGeom prst="rect">
                          <a:avLst/>
                        </a:prstGeom>
                        <a:solidFill>
                          <a:srgbClr val="001D77"/>
                        </a:solidFill>
                        <a:ln w="9525">
                          <a:noFill/>
                          <a:miter lim="800000"/>
                          <a:headEnd/>
                          <a:tailEnd/>
                        </a:ln>
                      </wps:spPr>
                      <wps:txbx>
                        <w:txbxContent>
                          <w:p w14:paraId="47899A45" w14:textId="4CB0DE98" w:rsidR="00725BCA" w:rsidRPr="007A7664" w:rsidRDefault="00725BCA" w:rsidP="00633014">
                            <w:pPr>
                              <w:spacing w:after="0" w:line="240" w:lineRule="auto"/>
                              <w:rPr>
                                <w:rFonts w:ascii="Fira Sans SemiBold" w:hAnsi="Fira Sans SemiBold"/>
                                <w:color w:val="FFFFFF" w:themeColor="background1"/>
                                <w:sz w:val="72"/>
                                <w:lang w:val="en-US"/>
                              </w:rPr>
                            </w:pPr>
                            <w:r>
                              <w:rPr>
                                <w:rFonts w:asciiTheme="minorHAnsi" w:hAnsiTheme="minorHAnsi"/>
                                <w:noProof/>
                                <w:color w:val="001D77"/>
                                <w:sz w:val="22"/>
                                <w:lang w:eastAsia="pl-PL"/>
                              </w:rPr>
                              <w:drawing>
                                <wp:inline distT="0" distB="0" distL="0" distR="0" wp14:anchorId="36BDDA01" wp14:editId="650866C9">
                                  <wp:extent cx="333375" cy="333375"/>
                                  <wp:effectExtent l="0" t="0" r="9525" b="9525"/>
                                  <wp:docPr id="46"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7A7664">
                              <w:rPr>
                                <w:noProof/>
                                <w:color w:val="001D77"/>
                                <w:lang w:val="en-US" w:eastAsia="pl-PL"/>
                              </w:rPr>
                              <w:t xml:space="preserve"> </w:t>
                            </w:r>
                            <w:r w:rsidRPr="007A7664">
                              <w:rPr>
                                <w:rFonts w:ascii="Fira Sans SemiBold" w:hAnsi="Fira Sans SemiBold"/>
                                <w:color w:val="FFFFFF" w:themeColor="background1"/>
                                <w:sz w:val="72"/>
                                <w:lang w:val="en-US"/>
                              </w:rPr>
                              <w:t>3</w:t>
                            </w:r>
                            <w:r w:rsidR="007A7664" w:rsidRPr="007A7664">
                              <w:rPr>
                                <w:rFonts w:ascii="Fira Sans SemiBold" w:hAnsi="Fira Sans SemiBold"/>
                                <w:color w:val="FFFFFF" w:themeColor="background1"/>
                                <w:sz w:val="72"/>
                                <w:lang w:val="en-US"/>
                              </w:rPr>
                              <w:t>.</w:t>
                            </w:r>
                            <w:r w:rsidRPr="007A7664">
                              <w:rPr>
                                <w:rFonts w:ascii="Fira Sans SemiBold" w:hAnsi="Fira Sans SemiBold"/>
                                <w:color w:val="FFFFFF" w:themeColor="background1"/>
                                <w:sz w:val="72"/>
                                <w:lang w:val="en-US"/>
                              </w:rPr>
                              <w:t>6%</w:t>
                            </w:r>
                          </w:p>
                          <w:p w14:paraId="0C01E9C0" w14:textId="67695C58" w:rsidR="00725BCA" w:rsidRPr="009659B8" w:rsidRDefault="007A7664" w:rsidP="00F06557">
                            <w:pPr>
                              <w:pStyle w:val="tekstnaniebieskimtle"/>
                              <w:suppressAutoHyphens/>
                              <w:rPr>
                                <w:color w:val="FFFFFF" w:themeColor="background1"/>
                                <w:sz w:val="18"/>
                                <w:szCs w:val="20"/>
                                <w:lang w:val="en-US"/>
                              </w:rPr>
                            </w:pPr>
                            <w:r>
                              <w:rPr>
                                <w:lang w:val="en-GB"/>
                              </w:rPr>
                              <w:t>The i</w:t>
                            </w:r>
                            <w:r w:rsidR="00725BCA" w:rsidRPr="00C12012">
                              <w:rPr>
                                <w:lang w:val="en-GB"/>
                              </w:rPr>
                              <w:t>ncrease in the number of enterprises belonging to the cultural and creative industries</w:t>
                            </w:r>
                            <w:r w:rsidR="00C50A4B">
                              <w:rPr>
                                <w:lang w:val="en-GB"/>
                              </w:rPr>
                              <w:t xml:space="preserve"> as compared with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BF04E0" id="_x0000_t202" coordsize="21600,21600" o:spt="202" path="m,l,21600r21600,l21600,xe">
                <v:stroke joinstyle="miter"/>
                <v:path gradientshapeok="t" o:connecttype="rect"/>
              </v:shapetype>
              <v:shape id="Pole tekstowe 2" o:spid="_x0000_s1026" type="#_x0000_t202" style="position:absolute;margin-left:3.75pt;margin-top:19.5pt;width:2in;height:117.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" fillcolor="#001d77" stroked="f">
                <v:textbox>
                  <w:txbxContent>
                    <w:p w14:paraId="47899A45" w14:textId="4CB0DE98" w:rsidR="00725BCA" w:rsidRPr="007A7664" w:rsidRDefault="00725BCA" w:rsidP="00633014">
                      <w:pPr>
                        <w:spacing w:after="0" w:line="240" w:lineRule="auto"/>
                        <w:rPr>
                          <w:rFonts w:ascii="Fira Sans SemiBold" w:hAnsi="Fira Sans SemiBold"/>
                          <w:color w:val="FFFFFF" w:themeColor="background1"/>
                          <w:sz w:val="72"/>
                          <w:lang w:val="en-US"/>
                        </w:rPr>
                      </w:pPr>
                      <w:r>
                        <w:rPr>
                          <w:rFonts w:asciiTheme="minorHAnsi" w:hAnsiTheme="minorHAnsi"/>
                          <w:noProof/>
                          <w:color w:val="001D77"/>
                          <w:sz w:val="22"/>
                          <w:lang w:eastAsia="pl-PL"/>
                        </w:rPr>
                        <w:drawing>
                          <wp:inline distT="0" distB="0" distL="0" distR="0" wp14:anchorId="36BDDA01" wp14:editId="650866C9">
                            <wp:extent cx="333375" cy="333375"/>
                            <wp:effectExtent l="0" t="0" r="9525" b="9525"/>
                            <wp:docPr id="46"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sidRPr="007A7664">
                        <w:rPr>
                          <w:noProof/>
                          <w:color w:val="001D77"/>
                          <w:lang w:val="en-US" w:eastAsia="pl-PL"/>
                        </w:rPr>
                        <w:t xml:space="preserve"> </w:t>
                      </w:r>
                      <w:r w:rsidRPr="007A7664">
                        <w:rPr>
                          <w:rFonts w:ascii="Fira Sans SemiBold" w:hAnsi="Fira Sans SemiBold"/>
                          <w:color w:val="FFFFFF" w:themeColor="background1"/>
                          <w:sz w:val="72"/>
                          <w:lang w:val="en-US"/>
                        </w:rPr>
                        <w:t>3</w:t>
                      </w:r>
                      <w:r w:rsidR="007A7664" w:rsidRPr="007A7664">
                        <w:rPr>
                          <w:rFonts w:ascii="Fira Sans SemiBold" w:hAnsi="Fira Sans SemiBold"/>
                          <w:color w:val="FFFFFF" w:themeColor="background1"/>
                          <w:sz w:val="72"/>
                          <w:lang w:val="en-US"/>
                        </w:rPr>
                        <w:t>.</w:t>
                      </w:r>
                      <w:r w:rsidRPr="007A7664">
                        <w:rPr>
                          <w:rFonts w:ascii="Fira Sans SemiBold" w:hAnsi="Fira Sans SemiBold"/>
                          <w:color w:val="FFFFFF" w:themeColor="background1"/>
                          <w:sz w:val="72"/>
                          <w:lang w:val="en-US"/>
                        </w:rPr>
                        <w:t>6%</w:t>
                      </w:r>
                    </w:p>
                    <w:p w14:paraId="0C01E9C0" w14:textId="67695C58" w:rsidR="00725BCA" w:rsidRPr="009659B8" w:rsidRDefault="007A7664" w:rsidP="00F06557">
                      <w:pPr>
                        <w:pStyle w:val="tekstnaniebieskimtle"/>
                        <w:suppressAutoHyphens/>
                        <w:rPr>
                          <w:color w:val="FFFFFF" w:themeColor="background1"/>
                          <w:sz w:val="18"/>
                          <w:szCs w:val="20"/>
                          <w:lang w:val="en-US"/>
                        </w:rPr>
                      </w:pPr>
                      <w:r>
                        <w:rPr>
                          <w:lang w:val="en-GB"/>
                        </w:rPr>
                        <w:t>The i</w:t>
                      </w:r>
                      <w:r w:rsidR="00725BCA" w:rsidRPr="00C12012">
                        <w:rPr>
                          <w:lang w:val="en-GB"/>
                        </w:rPr>
                        <w:t>ncrease in the number of enterprises belonging to the cultural and creative industries</w:t>
                      </w:r>
                      <w:r w:rsidR="00C50A4B">
                        <w:rPr>
                          <w:lang w:val="en-GB"/>
                        </w:rPr>
                        <w:t xml:space="preserve"> as compared with 2018</w:t>
                      </w:r>
                    </w:p>
                  </w:txbxContent>
                </v:textbox>
                <w10:wrap type="square" anchorx="margin"/>
              </v:shape>
            </w:pict>
          </mc:Fallback>
        </mc:AlternateContent>
      </w:r>
    </w:p>
    <w:p w14:paraId="5A53DB45" w14:textId="54A56D36" w:rsidR="009659B8" w:rsidRPr="002D265E" w:rsidRDefault="009659B8" w:rsidP="007A7664">
      <w:pPr>
        <w:pStyle w:val="Nagwek1"/>
        <w:suppressAutoHyphens/>
        <w:spacing w:before="0"/>
        <w:rPr>
          <w:color w:val="auto"/>
          <w:lang w:val="en-GB"/>
        </w:rPr>
      </w:pPr>
      <w:r w:rsidRPr="002D265E">
        <w:rPr>
          <w:color w:val="auto"/>
          <w:lang w:val="en-GB"/>
        </w:rPr>
        <w:t>In 2019 121.5 thousand enterprises belonging to the cultural and creative industries carried out the activity. The overwhelming majority of entities (99</w:t>
      </w:r>
      <w:r w:rsidR="009E5D50">
        <w:rPr>
          <w:color w:val="auto"/>
          <w:lang w:val="en-GB"/>
        </w:rPr>
        <w:t>.0</w:t>
      </w:r>
      <w:r w:rsidRPr="002D265E">
        <w:rPr>
          <w:color w:val="auto"/>
          <w:lang w:val="en-GB"/>
        </w:rPr>
        <w:t>%) were microenterprises, comprising 72.7% of those working in the area of cultural and creative industries. Gross monthly salary per employee amounted to 6</w:t>
      </w:r>
      <w:r w:rsidR="00A331A4">
        <w:rPr>
          <w:color w:val="auto"/>
          <w:lang w:val="en-GB"/>
        </w:rPr>
        <w:t>,</w:t>
      </w:r>
      <w:r w:rsidRPr="002D265E">
        <w:rPr>
          <w:color w:val="auto"/>
          <w:lang w:val="en-GB"/>
        </w:rPr>
        <w:t xml:space="preserve">458 </w:t>
      </w:r>
      <w:r w:rsidR="005835F4" w:rsidRPr="002D265E">
        <w:rPr>
          <w:color w:val="auto"/>
          <w:lang w:val="en-GB"/>
        </w:rPr>
        <w:t xml:space="preserve">PLN </w:t>
      </w:r>
      <w:r w:rsidRPr="002D265E">
        <w:rPr>
          <w:color w:val="auto"/>
          <w:lang w:val="en-GB"/>
        </w:rPr>
        <w:t>and was higher by 1</w:t>
      </w:r>
      <w:r w:rsidR="00A331A4">
        <w:rPr>
          <w:color w:val="auto"/>
          <w:lang w:val="en-GB"/>
        </w:rPr>
        <w:t>,</w:t>
      </w:r>
      <w:r w:rsidRPr="002D265E">
        <w:rPr>
          <w:color w:val="auto"/>
          <w:lang w:val="en-GB"/>
        </w:rPr>
        <w:t xml:space="preserve">290 </w:t>
      </w:r>
      <w:r w:rsidR="005835F4" w:rsidRPr="002D265E">
        <w:rPr>
          <w:color w:val="auto"/>
          <w:lang w:val="en-GB"/>
        </w:rPr>
        <w:t xml:space="preserve">PLN </w:t>
      </w:r>
      <w:r w:rsidRPr="002D265E">
        <w:rPr>
          <w:color w:val="auto"/>
          <w:lang w:val="en-GB"/>
        </w:rPr>
        <w:t xml:space="preserve">in comparison with all </w:t>
      </w:r>
      <w:r w:rsidR="002D265E" w:rsidRPr="002D265E">
        <w:rPr>
          <w:color w:val="auto"/>
          <w:lang w:val="en-GB"/>
        </w:rPr>
        <w:t>non</w:t>
      </w:r>
      <w:r w:rsidR="00DE6230">
        <w:rPr>
          <w:color w:val="auto"/>
          <w:lang w:val="en-GB"/>
        </w:rPr>
        <w:t>-</w:t>
      </w:r>
      <w:r w:rsidR="002D265E" w:rsidRPr="002D265E">
        <w:rPr>
          <w:color w:val="auto"/>
          <w:lang w:val="en-GB"/>
        </w:rPr>
        <w:t>financial</w:t>
      </w:r>
      <w:r w:rsidRPr="002D265E">
        <w:rPr>
          <w:color w:val="auto"/>
          <w:lang w:val="en-GB"/>
        </w:rPr>
        <w:t xml:space="preserve"> enterprises. The foreign trade in cultural and creative goods and services was characterised by a positive turnover balance.</w:t>
      </w:r>
    </w:p>
    <w:p w14:paraId="01CE16F8" w14:textId="426F690F" w:rsidR="009659B8" w:rsidRPr="002D265E" w:rsidRDefault="009659B8" w:rsidP="007A7664">
      <w:pPr>
        <w:pStyle w:val="LID"/>
        <w:keepNext/>
        <w:suppressAutoHyphens/>
        <w:rPr>
          <w:noProof w:val="0"/>
          <w:lang w:val="en-GB"/>
        </w:rPr>
      </w:pPr>
    </w:p>
    <w:p w14:paraId="48F50272" w14:textId="6EF7A3E6" w:rsidR="00923EA8" w:rsidRPr="002D265E" w:rsidRDefault="00EF0255" w:rsidP="007A7664">
      <w:pPr>
        <w:pStyle w:val="Nagwek1"/>
        <w:suppressAutoHyphens/>
        <w:rPr>
          <w:lang w:val="en-GB"/>
        </w:rPr>
      </w:pPr>
      <w:r w:rsidRPr="002D265E">
        <w:rPr>
          <w:noProof/>
        </w:rPr>
        <mc:AlternateContent>
          <mc:Choice Requires="wps">
            <w:drawing>
              <wp:anchor distT="45720" distB="45720" distL="114300" distR="114300" simplePos="0" relativeHeight="251737088" behindDoc="1" locked="0" layoutInCell="1" allowOverlap="1" wp14:anchorId="2B2AC12B" wp14:editId="47BED256">
                <wp:simplePos x="0" y="0"/>
                <wp:positionH relativeFrom="column">
                  <wp:posOffset>5229225</wp:posOffset>
                </wp:positionH>
                <wp:positionV relativeFrom="paragraph">
                  <wp:posOffset>158750</wp:posOffset>
                </wp:positionV>
                <wp:extent cx="1725295" cy="971550"/>
                <wp:effectExtent l="0" t="0" r="0" b="0"/>
                <wp:wrapTight wrapText="bothSides">
                  <wp:wrapPolygon edited="0">
                    <wp:start x="715" y="0"/>
                    <wp:lineTo x="715" y="21176"/>
                    <wp:lineTo x="20749" y="21176"/>
                    <wp:lineTo x="20749" y="0"/>
                    <wp:lineTo x="715"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5295" cy="971550"/>
                        </a:xfrm>
                        <a:prstGeom prst="rect">
                          <a:avLst/>
                        </a:prstGeom>
                        <a:noFill/>
                        <a:ln w="9360">
                          <a:noFill/>
                        </a:ln>
                      </wps:spPr>
                      <wps:style>
                        <a:lnRef idx="0">
                          <a:scrgbClr r="0" g="0" b="0"/>
                        </a:lnRef>
                        <a:fillRef idx="0">
                          <a:scrgbClr r="0" g="0" b="0"/>
                        </a:fillRef>
                        <a:effectRef idx="0">
                          <a:scrgbClr r="0" g="0" b="0"/>
                        </a:effectRef>
                        <a:fontRef idx="minor"/>
                      </wps:style>
                      <wps:txbx>
                        <w:txbxContent>
                          <w:p w14:paraId="4DAA33DD" w14:textId="6850F980" w:rsidR="00725BCA" w:rsidRPr="009659B8" w:rsidRDefault="00725BCA" w:rsidP="00F06557">
                            <w:pPr>
                              <w:pStyle w:val="tekstzboku"/>
                              <w:suppressAutoHyphens/>
                              <w:rPr>
                                <w:lang w:val="en-US"/>
                              </w:rPr>
                            </w:pPr>
                            <w:r>
                              <w:rPr>
                                <w:lang w:val="en-US"/>
                              </w:rPr>
                              <w:t xml:space="preserve">The largest number of enterprises belonging to the cultural and creative industries operated in the domain of </w:t>
                            </w:r>
                            <w:r w:rsidRPr="009659B8">
                              <w:rPr>
                                <w:i/>
                                <w:iCs/>
                                <w:lang w:val="en-US"/>
                              </w:rPr>
                              <w:t>Visual arts</w:t>
                            </w:r>
                            <w:r>
                              <w:rPr>
                                <w:lang w:val="en-US"/>
                              </w:rPr>
                              <w:t xml:space="preserve"> </w:t>
                            </w:r>
                            <w:r w:rsidRPr="009659B8">
                              <w:rPr>
                                <w:i/>
                                <w:lang w:val="en-US"/>
                              </w:rPr>
                              <w:t>(</w:t>
                            </w:r>
                            <w:r w:rsidRPr="009659B8">
                              <w:rPr>
                                <w:lang w:val="en-US"/>
                              </w:rPr>
                              <w:t>23</w:t>
                            </w:r>
                            <w:r>
                              <w:rPr>
                                <w:lang w:val="en-US"/>
                              </w:rPr>
                              <w:t>.</w:t>
                            </w:r>
                            <w:r w:rsidRPr="009659B8">
                              <w:rPr>
                                <w:lang w:val="en-US"/>
                              </w:rPr>
                              <w:t>6%)</w:t>
                            </w:r>
                          </w:p>
                        </w:txbxContent>
                      </wps:txbx>
                      <wps:bodyPr wrap="square">
                        <a:noAutofit/>
                      </wps:bodyPr>
                    </wps:wsp>
                  </a:graphicData>
                </a:graphic>
                <wp14:sizeRelH relativeFrom="page">
                  <wp14:pctWidth>0</wp14:pctWidth>
                </wp14:sizeRelH>
                <wp14:sizeRelV relativeFrom="margin">
                  <wp14:pctHeight>0</wp14:pctHeight>
                </wp14:sizeRelV>
              </wp:anchor>
            </w:drawing>
          </mc:Choice>
          <mc:Fallback>
            <w:pict>
              <v:rect w14:anchorId="2B2AC12B" id="_x0000_s1027" style="position:absolute;margin-left:411.75pt;margin-top:12.5pt;width:135.85pt;height:76.5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" filled="f" stroked="f" strokeweight=".26mm">
                <v:textbox>
                  <w:txbxContent>
                    <w:p w14:paraId="4DAA33DD" w14:textId="6850F980" w:rsidR="00725BCA" w:rsidRPr="009659B8" w:rsidRDefault="00725BCA" w:rsidP="00F06557">
                      <w:pPr>
                        <w:pStyle w:val="tekstzboku"/>
                        <w:suppressAutoHyphens/>
                        <w:rPr>
                          <w:lang w:val="en-US"/>
                        </w:rPr>
                      </w:pPr>
                      <w:r>
                        <w:rPr>
                          <w:lang w:val="en-US"/>
                        </w:rPr>
                        <w:t xml:space="preserve">The largest number of enterprises belonging to the cultural and creative industries operated in the domain of </w:t>
                      </w:r>
                      <w:r w:rsidRPr="009659B8">
                        <w:rPr>
                          <w:i/>
                          <w:iCs/>
                          <w:lang w:val="en-US"/>
                        </w:rPr>
                        <w:t>Visual arts</w:t>
                      </w:r>
                      <w:r>
                        <w:rPr>
                          <w:lang w:val="en-US"/>
                        </w:rPr>
                        <w:t xml:space="preserve"> </w:t>
                      </w:r>
                      <w:r w:rsidRPr="009659B8">
                        <w:rPr>
                          <w:i/>
                          <w:lang w:val="en-US"/>
                        </w:rPr>
                        <w:t>(</w:t>
                      </w:r>
                      <w:r w:rsidRPr="009659B8">
                        <w:rPr>
                          <w:lang w:val="en-US"/>
                        </w:rPr>
                        <w:t>23</w:t>
                      </w:r>
                      <w:r>
                        <w:rPr>
                          <w:lang w:val="en-US"/>
                        </w:rPr>
                        <w:t>.</w:t>
                      </w:r>
                      <w:r w:rsidRPr="009659B8">
                        <w:rPr>
                          <w:lang w:val="en-US"/>
                        </w:rPr>
                        <w:t>6%)</w:t>
                      </w:r>
                    </w:p>
                  </w:txbxContent>
                </v:textbox>
                <w10:wrap type="tight"/>
              </v:rect>
            </w:pict>
          </mc:Fallback>
        </mc:AlternateContent>
      </w:r>
      <w:r w:rsidR="009659B8" w:rsidRPr="002D265E">
        <w:rPr>
          <w:lang w:val="en-GB"/>
        </w:rPr>
        <w:t xml:space="preserve">The number and types of enterprises belonging to the cultural and creative industries </w:t>
      </w:r>
    </w:p>
    <w:p w14:paraId="3262DA0F" w14:textId="35182442" w:rsidR="009659B8" w:rsidRPr="002D265E" w:rsidRDefault="009659B8" w:rsidP="007A7664">
      <w:pPr>
        <w:keepNext/>
        <w:suppressAutoHyphens/>
        <w:rPr>
          <w:shd w:val="clear" w:color="auto" w:fill="FFFFFF"/>
          <w:lang w:val="en-GB"/>
        </w:rPr>
      </w:pPr>
      <w:r w:rsidRPr="002D265E">
        <w:rPr>
          <w:shd w:val="clear" w:color="auto" w:fill="FFFFFF"/>
          <w:lang w:val="en-GB"/>
        </w:rPr>
        <w:t xml:space="preserve">In recent years, the number of enterprises which activities are classified as cultural and creative industries has been growing systematically. In 2019, it reached the level of 121.5 thousands entities operating in various fields of broadly understood culture. The </w:t>
      </w:r>
      <w:r w:rsidR="002D265E" w:rsidRPr="002D265E">
        <w:rPr>
          <w:shd w:val="clear" w:color="auto" w:fill="FFFFFF"/>
          <w:lang w:val="en-GB"/>
        </w:rPr>
        <w:t>most represented</w:t>
      </w:r>
      <w:r w:rsidRPr="002D265E">
        <w:rPr>
          <w:shd w:val="clear" w:color="auto" w:fill="FFFFFF"/>
          <w:lang w:val="en-GB"/>
        </w:rPr>
        <w:t xml:space="preserve"> domains of culture in 2019 were: </w:t>
      </w:r>
      <w:r w:rsidRPr="00DE6230">
        <w:rPr>
          <w:i/>
          <w:shd w:val="clear" w:color="auto" w:fill="FFFFFF"/>
          <w:lang w:val="en-GB"/>
        </w:rPr>
        <w:t>Visual arts</w:t>
      </w:r>
      <w:r w:rsidR="007677F6">
        <w:rPr>
          <w:shd w:val="clear" w:color="auto" w:fill="FFFFFF"/>
          <w:lang w:val="en-GB"/>
        </w:rPr>
        <w:t xml:space="preserve"> </w:t>
      </w:r>
      <w:r w:rsidRPr="002D265E">
        <w:rPr>
          <w:shd w:val="clear" w:color="auto" w:fill="FFFFFF"/>
          <w:lang w:val="en-GB"/>
        </w:rPr>
        <w:t xml:space="preserve">(28.7 thousand entities) followed by </w:t>
      </w:r>
      <w:proofErr w:type="spellStart"/>
      <w:r w:rsidRPr="00DE6230">
        <w:rPr>
          <w:i/>
          <w:shd w:val="clear" w:color="auto" w:fill="FFFFFF"/>
          <w:lang w:val="en-GB"/>
        </w:rPr>
        <w:t>Audiovisual</w:t>
      </w:r>
      <w:proofErr w:type="spellEnd"/>
      <w:r w:rsidRPr="00DE6230">
        <w:rPr>
          <w:i/>
          <w:shd w:val="clear" w:color="auto" w:fill="FFFFFF"/>
          <w:lang w:val="en-GB"/>
        </w:rPr>
        <w:t xml:space="preserve"> arts and multimedia</w:t>
      </w:r>
      <w:r w:rsidRPr="002D265E">
        <w:rPr>
          <w:shd w:val="clear" w:color="auto" w:fill="FFFFFF"/>
          <w:lang w:val="en-GB"/>
        </w:rPr>
        <w:t xml:space="preserve"> (20.4 thousand entities) and </w:t>
      </w:r>
      <w:r w:rsidRPr="00DE6230">
        <w:rPr>
          <w:i/>
          <w:shd w:val="clear" w:color="auto" w:fill="FFFFFF"/>
          <w:lang w:val="en-GB"/>
        </w:rPr>
        <w:t xml:space="preserve">Books and </w:t>
      </w:r>
      <w:r w:rsidR="002D265E" w:rsidRPr="00DE6230">
        <w:rPr>
          <w:i/>
          <w:shd w:val="clear" w:color="auto" w:fill="FFFFFF"/>
          <w:lang w:val="en-GB"/>
        </w:rPr>
        <w:t>press</w:t>
      </w:r>
      <w:r w:rsidRPr="002D265E">
        <w:rPr>
          <w:shd w:val="clear" w:color="auto" w:fill="FFFFFF"/>
          <w:lang w:val="en-GB"/>
        </w:rPr>
        <w:t xml:space="preserve"> (19.9 thousand entities).</w:t>
      </w:r>
    </w:p>
    <w:p w14:paraId="409B1059" w14:textId="3D224E18" w:rsidR="009659B8" w:rsidRPr="002D265E" w:rsidRDefault="009659B8" w:rsidP="007A7664">
      <w:pPr>
        <w:keepNext/>
        <w:suppressAutoHyphens/>
        <w:rPr>
          <w:lang w:val="en-GB"/>
        </w:rPr>
      </w:pPr>
      <w:r w:rsidRPr="002D265E">
        <w:rPr>
          <w:lang w:val="en-GB"/>
        </w:rPr>
        <w:t xml:space="preserve">As compared </w:t>
      </w:r>
      <w:r w:rsidR="002D265E" w:rsidRPr="002D265E">
        <w:rPr>
          <w:lang w:val="en-GB"/>
        </w:rPr>
        <w:t>to</w:t>
      </w:r>
      <w:r w:rsidRPr="002D265E">
        <w:rPr>
          <w:lang w:val="en-GB"/>
        </w:rPr>
        <w:t xml:space="preserve"> </w:t>
      </w:r>
      <w:r w:rsidR="002D265E" w:rsidRPr="002D265E">
        <w:rPr>
          <w:lang w:val="en-GB"/>
        </w:rPr>
        <w:t>2018,</w:t>
      </w:r>
      <w:r w:rsidRPr="002D265E">
        <w:rPr>
          <w:lang w:val="en-GB"/>
        </w:rPr>
        <w:t xml:space="preserve"> the highest rise in the number of </w:t>
      </w:r>
      <w:r w:rsidR="00882FD9" w:rsidRPr="002D265E">
        <w:rPr>
          <w:lang w:val="en-GB"/>
        </w:rPr>
        <w:t xml:space="preserve">operating </w:t>
      </w:r>
      <w:r w:rsidR="002D265E" w:rsidRPr="002D265E">
        <w:rPr>
          <w:lang w:val="en-GB"/>
        </w:rPr>
        <w:t>enterprises</w:t>
      </w:r>
      <w:r w:rsidR="00882FD9" w:rsidRPr="002D265E">
        <w:rPr>
          <w:lang w:val="en-GB"/>
        </w:rPr>
        <w:t xml:space="preserve"> was observed in the domain </w:t>
      </w:r>
      <w:r w:rsidR="00882FD9" w:rsidRPr="002D265E">
        <w:rPr>
          <w:i/>
          <w:iCs/>
          <w:lang w:val="en-GB"/>
        </w:rPr>
        <w:t>Visual arts</w:t>
      </w:r>
      <w:r w:rsidR="007677F6">
        <w:rPr>
          <w:lang w:val="en-GB"/>
        </w:rPr>
        <w:t xml:space="preserve"> (</w:t>
      </w:r>
      <w:r w:rsidR="00882FD9" w:rsidRPr="002D265E">
        <w:rPr>
          <w:lang w:val="en-GB"/>
        </w:rPr>
        <w:t xml:space="preserve">by 8.6 percentage points). A relatively </w:t>
      </w:r>
      <w:r w:rsidR="00F06557" w:rsidRPr="002D265E">
        <w:rPr>
          <w:lang w:val="en-GB"/>
        </w:rPr>
        <w:t>major</w:t>
      </w:r>
      <w:r w:rsidR="00882FD9" w:rsidRPr="002D265E">
        <w:rPr>
          <w:lang w:val="en-GB"/>
        </w:rPr>
        <w:t xml:space="preserve"> increase was also seen among </w:t>
      </w:r>
      <w:r w:rsidR="007A7664" w:rsidRPr="002D265E">
        <w:rPr>
          <w:lang w:val="en-GB"/>
        </w:rPr>
        <w:t>enterprises</w:t>
      </w:r>
      <w:r w:rsidR="00882FD9" w:rsidRPr="002D265E">
        <w:rPr>
          <w:lang w:val="en-GB"/>
        </w:rPr>
        <w:t xml:space="preserve"> pertaining to </w:t>
      </w:r>
      <w:proofErr w:type="spellStart"/>
      <w:r w:rsidR="00882FD9" w:rsidRPr="002D265E">
        <w:rPr>
          <w:i/>
          <w:iCs/>
          <w:lang w:val="en-GB"/>
        </w:rPr>
        <w:t>Audiovisual</w:t>
      </w:r>
      <w:proofErr w:type="spellEnd"/>
      <w:r w:rsidR="00882FD9" w:rsidRPr="002D265E">
        <w:rPr>
          <w:i/>
          <w:iCs/>
          <w:lang w:val="en-GB"/>
        </w:rPr>
        <w:t xml:space="preserve"> arts and multimedia</w:t>
      </w:r>
      <w:r w:rsidR="00882FD9" w:rsidRPr="002D265E">
        <w:rPr>
          <w:lang w:val="en-GB"/>
        </w:rPr>
        <w:t xml:space="preserve"> </w:t>
      </w:r>
      <w:r w:rsidR="002D265E" w:rsidRPr="002D265E">
        <w:rPr>
          <w:lang w:val="en-GB"/>
        </w:rPr>
        <w:t>domains</w:t>
      </w:r>
      <w:r w:rsidR="00882FD9" w:rsidRPr="002D265E">
        <w:rPr>
          <w:lang w:val="en-GB"/>
        </w:rPr>
        <w:t xml:space="preserve"> (by 4.0 percentage points). </w:t>
      </w:r>
      <w:r w:rsidR="00F06557" w:rsidRPr="002D265E">
        <w:rPr>
          <w:lang w:val="en-GB"/>
        </w:rPr>
        <w:t xml:space="preserve">By </w:t>
      </w:r>
      <w:r w:rsidR="002D265E" w:rsidRPr="002D265E">
        <w:rPr>
          <w:lang w:val="en-GB"/>
        </w:rPr>
        <w:t>contrast,</w:t>
      </w:r>
      <w:r w:rsidR="00F06557" w:rsidRPr="002D265E">
        <w:rPr>
          <w:lang w:val="en-GB"/>
        </w:rPr>
        <w:t xml:space="preserve"> the sharpest decrease was recorded in the domain </w:t>
      </w:r>
      <w:r w:rsidR="00F06557" w:rsidRPr="002D265E">
        <w:rPr>
          <w:i/>
          <w:iCs/>
          <w:lang w:val="en-GB"/>
        </w:rPr>
        <w:t>Books and the press</w:t>
      </w:r>
      <w:r w:rsidR="00F06557" w:rsidRPr="002D265E">
        <w:rPr>
          <w:lang w:val="en-GB"/>
        </w:rPr>
        <w:t xml:space="preserve"> (by 6.7 percentage points). </w:t>
      </w:r>
    </w:p>
    <w:p w14:paraId="37D0F9B0" w14:textId="77777777" w:rsidR="00A346D2" w:rsidRPr="00303016" w:rsidRDefault="00A346D2" w:rsidP="007A7664">
      <w:pPr>
        <w:keepNext/>
        <w:suppressAutoHyphens/>
        <w:rPr>
          <w:b/>
          <w:spacing w:val="-2"/>
          <w:sz w:val="18"/>
          <w:highlight w:val="yellow"/>
          <w:shd w:val="clear" w:color="auto" w:fill="FFFFFF"/>
          <w:lang w:val="en-GB"/>
        </w:rPr>
      </w:pPr>
    </w:p>
    <w:p w14:paraId="2CAFE9F8" w14:textId="049B0B53" w:rsidR="00F06557" w:rsidRPr="002D265E" w:rsidRDefault="00F06557" w:rsidP="007A7664">
      <w:pPr>
        <w:pStyle w:val="tytuwykresu"/>
        <w:keepNext/>
        <w:suppressAutoHyphens/>
        <w:jc w:val="both"/>
        <w:rPr>
          <w:lang w:val="en-GB"/>
        </w:rPr>
      </w:pPr>
      <w:r w:rsidRPr="002D265E">
        <w:rPr>
          <w:noProof/>
          <w:lang w:eastAsia="pl-PL"/>
        </w:rPr>
        <w:drawing>
          <wp:anchor distT="0" distB="0" distL="114300" distR="114300" simplePos="0" relativeHeight="251752448" behindDoc="0" locked="0" layoutInCell="1" allowOverlap="1" wp14:anchorId="42068BE7" wp14:editId="0F86C07D">
            <wp:simplePos x="0" y="0"/>
            <wp:positionH relativeFrom="column">
              <wp:posOffset>219075</wp:posOffset>
            </wp:positionH>
            <wp:positionV relativeFrom="paragraph">
              <wp:posOffset>455792</wp:posOffset>
            </wp:positionV>
            <wp:extent cx="4572000" cy="2400300"/>
            <wp:effectExtent l="0" t="0" r="0" b="0"/>
            <wp:wrapTopAndBottom/>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Pr="002D265E">
        <w:rPr>
          <w:shd w:val="clear" w:color="auto" w:fill="FFFFFF"/>
          <w:lang w:val="en-GB"/>
        </w:rPr>
        <w:t>C</w:t>
      </w:r>
      <w:r w:rsidRPr="002D265E">
        <w:rPr>
          <w:lang w:val="en-GB"/>
        </w:rPr>
        <w:t>hart 1.</w:t>
      </w:r>
      <w:r w:rsidRPr="002D265E">
        <w:rPr>
          <w:shd w:val="clear" w:color="auto" w:fill="FFFFFF"/>
          <w:lang w:val="en-GB"/>
        </w:rPr>
        <w:tab/>
        <w:t>Number of enterprises belonging to the cultural and creative industries</w:t>
      </w:r>
    </w:p>
    <w:p w14:paraId="670799B8" w14:textId="74310B1F" w:rsidR="00923EA8" w:rsidRPr="002D265E" w:rsidRDefault="00F06557" w:rsidP="007A7664">
      <w:pPr>
        <w:keepNext/>
        <w:suppressAutoHyphens/>
        <w:rPr>
          <w:b/>
          <w:spacing w:val="-2"/>
          <w:sz w:val="18"/>
          <w:lang w:val="en-GB"/>
        </w:rPr>
      </w:pPr>
      <w:r w:rsidRPr="002D265E">
        <w:rPr>
          <w:noProof/>
          <w:lang w:eastAsia="pl-PL"/>
        </w:rPr>
        <mc:AlternateContent>
          <mc:Choice Requires="wps">
            <w:drawing>
              <wp:anchor distT="0" distB="0" distL="114300" distR="114300" simplePos="0" relativeHeight="251758592" behindDoc="0" locked="0" layoutInCell="1" allowOverlap="1" wp14:anchorId="30C6DBDC" wp14:editId="0E07472A">
                <wp:simplePos x="0" y="0"/>
                <wp:positionH relativeFrom="column">
                  <wp:posOffset>262393</wp:posOffset>
                </wp:positionH>
                <wp:positionV relativeFrom="paragraph">
                  <wp:posOffset>41330</wp:posOffset>
                </wp:positionV>
                <wp:extent cx="773723" cy="238125"/>
                <wp:effectExtent l="0" t="0" r="0" b="0"/>
                <wp:wrapNone/>
                <wp:docPr id="2" name="Pole tekstowe 2"/>
                <wp:cNvGraphicFramePr/>
                <a:graphic xmlns:a="http://schemas.openxmlformats.org/drawingml/2006/main">
                  <a:graphicData uri="http://schemas.microsoft.com/office/word/2010/wordprocessingShape">
                    <wps:wsp>
                      <wps:cNvSpPr txBox="1"/>
                      <wps:spPr>
                        <a:xfrm>
                          <a:off x="0" y="0"/>
                          <a:ext cx="773723" cy="238125"/>
                        </a:xfrm>
                        <a:prstGeom prst="rect">
                          <a:avLst/>
                        </a:prstGeom>
                        <a:noFill/>
                        <a:ln w="6350">
                          <a:noFill/>
                        </a:ln>
                      </wps:spPr>
                      <wps:txbx>
                        <w:txbxContent>
                          <w:p w14:paraId="5F7DCD45" w14:textId="77777777" w:rsidR="00725BCA" w:rsidRPr="00A26E73" w:rsidRDefault="00725BCA" w:rsidP="00F06557">
                            <w:pPr>
                              <w:spacing w:before="0" w:after="0" w:line="240" w:lineRule="auto"/>
                              <w:rPr>
                                <w:szCs w:val="19"/>
                              </w:rPr>
                            </w:pPr>
                            <w:proofErr w:type="spellStart"/>
                            <w:r w:rsidRPr="00A26E73">
                              <w:rPr>
                                <w:szCs w:val="19"/>
                              </w:rPr>
                              <w:t>thousand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6DBDC" id="_x0000_s1028" type="#_x0000_t202" style="position:absolute;margin-left:20.65pt;margin-top:3.25pt;width:60.9pt;height:18.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" filled="f" stroked="f" strokeweight=".5pt">
                <v:textbox>
                  <w:txbxContent>
                    <w:p w14:paraId="5F7DCD45" w14:textId="77777777" w:rsidR="00725BCA" w:rsidRPr="00A26E73" w:rsidRDefault="00725BCA" w:rsidP="00F06557">
                      <w:pPr>
                        <w:spacing w:before="0" w:after="0" w:line="240" w:lineRule="auto"/>
                        <w:rPr>
                          <w:szCs w:val="19"/>
                        </w:rPr>
                      </w:pPr>
                      <w:proofErr w:type="spellStart"/>
                      <w:r w:rsidRPr="00A26E73">
                        <w:rPr>
                          <w:szCs w:val="19"/>
                        </w:rPr>
                        <w:t>thousand</w:t>
                      </w:r>
                      <w:proofErr w:type="spellEnd"/>
                    </w:p>
                  </w:txbxContent>
                </v:textbox>
              </v:shape>
            </w:pict>
          </mc:Fallback>
        </mc:AlternateContent>
      </w:r>
      <w:r w:rsidR="00027C22" w:rsidRPr="002D265E">
        <w:rPr>
          <w:b/>
          <w:spacing w:val="-2"/>
          <w:sz w:val="18"/>
          <w:lang w:val="en-GB"/>
        </w:rPr>
        <w:t xml:space="preserve"> </w:t>
      </w:r>
    </w:p>
    <w:p w14:paraId="29A11E4F" w14:textId="77777777" w:rsidR="00E14080" w:rsidRPr="002D265E" w:rsidRDefault="00E14080" w:rsidP="007A7664">
      <w:pPr>
        <w:keepNext/>
        <w:suppressAutoHyphens/>
        <w:rPr>
          <w:b/>
          <w:spacing w:val="-2"/>
          <w:sz w:val="18"/>
          <w:highlight w:val="yellow"/>
          <w:lang w:val="en-GB"/>
        </w:rPr>
      </w:pPr>
    </w:p>
    <w:p w14:paraId="5848E23C" w14:textId="684D5372" w:rsidR="00F06557" w:rsidRPr="002D265E" w:rsidRDefault="00F06557" w:rsidP="007A7664">
      <w:pPr>
        <w:keepNext/>
        <w:suppressAutoHyphens/>
        <w:rPr>
          <w:shd w:val="clear" w:color="auto" w:fill="FFFFFF"/>
          <w:lang w:val="en-GB"/>
        </w:rPr>
      </w:pPr>
      <w:r w:rsidRPr="002D265E">
        <w:rPr>
          <w:shd w:val="clear" w:color="auto" w:fill="FFFFFF"/>
          <w:lang w:val="en-GB"/>
        </w:rPr>
        <w:t xml:space="preserve">The majority of </w:t>
      </w:r>
      <w:r w:rsidR="002D265E" w:rsidRPr="002D265E">
        <w:rPr>
          <w:shd w:val="clear" w:color="auto" w:fill="FFFFFF"/>
          <w:lang w:val="en-GB"/>
        </w:rPr>
        <w:t>the entities</w:t>
      </w:r>
      <w:r w:rsidRPr="002D265E">
        <w:rPr>
          <w:shd w:val="clear" w:color="auto" w:fill="FFFFFF"/>
          <w:lang w:val="en-GB"/>
        </w:rPr>
        <w:t xml:space="preserve"> were organised in the form of microenterprises (99% of all entities classified as cultural and creative industries). In total, in 2019 there were 120.3 thousand of them, which accounted for 5.6% of all </w:t>
      </w:r>
      <w:r w:rsidR="002D265E" w:rsidRPr="002D265E">
        <w:rPr>
          <w:shd w:val="clear" w:color="auto" w:fill="FFFFFF"/>
          <w:lang w:val="en-GB"/>
        </w:rPr>
        <w:t>non</w:t>
      </w:r>
      <w:r w:rsidR="00DE6230">
        <w:rPr>
          <w:shd w:val="clear" w:color="auto" w:fill="FFFFFF"/>
          <w:lang w:val="en-GB"/>
        </w:rPr>
        <w:t>-</w:t>
      </w:r>
      <w:r w:rsidR="002D265E" w:rsidRPr="002D265E">
        <w:rPr>
          <w:shd w:val="clear" w:color="auto" w:fill="FFFFFF"/>
          <w:lang w:val="en-GB"/>
        </w:rPr>
        <w:t>financial</w:t>
      </w:r>
      <w:r w:rsidRPr="002D265E">
        <w:rPr>
          <w:shd w:val="clear" w:color="auto" w:fill="FFFFFF"/>
          <w:lang w:val="en-GB"/>
        </w:rPr>
        <w:t xml:space="preserve"> microenterprises. In the </w:t>
      </w:r>
      <w:r w:rsidRPr="002D265E">
        <w:rPr>
          <w:shd w:val="clear" w:color="auto" w:fill="FFFFFF"/>
          <w:lang w:val="en-GB"/>
        </w:rPr>
        <w:lastRenderedPageBreak/>
        <w:t xml:space="preserve">remaining enterprise size classes, the share of cultural and creative industries in the group of </w:t>
      </w:r>
      <w:r w:rsidR="002D265E" w:rsidRPr="002D265E">
        <w:rPr>
          <w:shd w:val="clear" w:color="auto" w:fill="FFFFFF"/>
          <w:lang w:val="en-GB"/>
        </w:rPr>
        <w:t>non</w:t>
      </w:r>
      <w:r w:rsidR="00DE6230">
        <w:rPr>
          <w:shd w:val="clear" w:color="auto" w:fill="FFFFFF"/>
          <w:lang w:val="en-GB"/>
        </w:rPr>
        <w:t>-</w:t>
      </w:r>
      <w:r w:rsidR="002D265E" w:rsidRPr="002D265E">
        <w:rPr>
          <w:shd w:val="clear" w:color="auto" w:fill="FFFFFF"/>
          <w:lang w:val="en-GB"/>
        </w:rPr>
        <w:t>financial</w:t>
      </w:r>
      <w:r w:rsidRPr="002D265E">
        <w:rPr>
          <w:shd w:val="clear" w:color="auto" w:fill="FFFFFF"/>
          <w:lang w:val="en-GB"/>
        </w:rPr>
        <w:t xml:space="preserve"> enterprises was as follows: small – 1.9%, medium – 1.2%, large – 1.2%.</w:t>
      </w:r>
    </w:p>
    <w:p w14:paraId="1D201483" w14:textId="77777777" w:rsidR="00A346D2" w:rsidRPr="00303016" w:rsidRDefault="00A346D2" w:rsidP="007A7664">
      <w:pPr>
        <w:keepNext/>
        <w:suppressAutoHyphens/>
        <w:rPr>
          <w:highlight w:val="yellow"/>
          <w:shd w:val="clear" w:color="auto" w:fill="FFFFFF"/>
          <w:lang w:val="en-GB"/>
        </w:rPr>
      </w:pPr>
    </w:p>
    <w:p w14:paraId="72BFA979" w14:textId="4E97D1B6" w:rsidR="00923EA8" w:rsidRPr="002D265E" w:rsidRDefault="003367AE" w:rsidP="007A7664">
      <w:pPr>
        <w:keepNext/>
        <w:suppressAutoHyphens/>
        <w:ind w:left="709" w:hanging="709"/>
        <w:jc w:val="both"/>
        <w:rPr>
          <w:b/>
          <w:spacing w:val="-2"/>
          <w:sz w:val="18"/>
          <w:lang w:val="en-GB"/>
        </w:rPr>
      </w:pPr>
      <w:r>
        <w:rPr>
          <w:noProof/>
          <w:lang w:eastAsia="pl-PL"/>
        </w:rPr>
        <w:drawing>
          <wp:anchor distT="0" distB="0" distL="114300" distR="114300" simplePos="0" relativeHeight="251784192" behindDoc="0" locked="0" layoutInCell="1" allowOverlap="1" wp14:anchorId="6E460AFD" wp14:editId="02787F0D">
            <wp:simplePos x="0" y="0"/>
            <wp:positionH relativeFrom="margin">
              <wp:align>right</wp:align>
            </wp:positionH>
            <wp:positionV relativeFrom="paragraph">
              <wp:posOffset>339725</wp:posOffset>
            </wp:positionV>
            <wp:extent cx="5122545" cy="3481070"/>
            <wp:effectExtent l="0" t="0" r="0" b="5080"/>
            <wp:wrapTopAndBottom/>
            <wp:docPr id="12" name="Wykres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A7664" w:rsidRPr="002D265E">
        <w:rPr>
          <w:noProof/>
          <w:highlight w:val="yellow"/>
          <w:lang w:eastAsia="pl-PL"/>
        </w:rPr>
        <mc:AlternateContent>
          <mc:Choice Requires="wps">
            <w:drawing>
              <wp:anchor distT="45720" distB="45720" distL="114300" distR="114300" simplePos="0" relativeHeight="251738112" behindDoc="1" locked="0" layoutInCell="1" allowOverlap="1" wp14:anchorId="669250A2" wp14:editId="12E10F53">
                <wp:simplePos x="0" y="0"/>
                <wp:positionH relativeFrom="column">
                  <wp:posOffset>5259705</wp:posOffset>
                </wp:positionH>
                <wp:positionV relativeFrom="paragraph">
                  <wp:posOffset>493395</wp:posOffset>
                </wp:positionV>
                <wp:extent cx="1726565" cy="1438910"/>
                <wp:effectExtent l="0" t="0" r="0" b="0"/>
                <wp:wrapTight wrapText="bothSides">
                  <wp:wrapPolygon edited="0">
                    <wp:start x="715" y="0"/>
                    <wp:lineTo x="715" y="21162"/>
                    <wp:lineTo x="20734" y="21162"/>
                    <wp:lineTo x="20734" y="0"/>
                    <wp:lineTo x="715" y="0"/>
                  </wp:wrapPolygon>
                </wp:wrapTight>
                <wp:docPr id="7"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5" cy="1438910"/>
                        </a:xfrm>
                        <a:prstGeom prst="rect">
                          <a:avLst/>
                        </a:prstGeom>
                        <a:noFill/>
                        <a:ln w="9360">
                          <a:noFill/>
                        </a:ln>
                      </wps:spPr>
                      <wps:style>
                        <a:lnRef idx="0">
                          <a:scrgbClr r="0" g="0" b="0"/>
                        </a:lnRef>
                        <a:fillRef idx="0">
                          <a:scrgbClr r="0" g="0" b="0"/>
                        </a:fillRef>
                        <a:effectRef idx="0">
                          <a:scrgbClr r="0" g="0" b="0"/>
                        </a:effectRef>
                        <a:fontRef idx="minor"/>
                      </wps:style>
                      <wps:txbx>
                        <w:txbxContent>
                          <w:p w14:paraId="7D48992B" w14:textId="7142E4DC" w:rsidR="00725BCA" w:rsidRPr="00F06557" w:rsidRDefault="00725BCA" w:rsidP="00F06557">
                            <w:pPr>
                              <w:pStyle w:val="Zawartoramki"/>
                              <w:suppressAutoHyphens/>
                              <w:spacing w:before="0" w:after="0"/>
                              <w:rPr>
                                <w:lang w:val="en-US"/>
                              </w:rPr>
                            </w:pPr>
                            <w:r>
                              <w:rPr>
                                <w:rFonts w:eastAsia="Times New Roman" w:cs="Times New Roman"/>
                                <w:bCs/>
                                <w:color w:val="001D77"/>
                                <w:sz w:val="18"/>
                                <w:szCs w:val="18"/>
                                <w:lang w:val="en-US" w:eastAsia="pl-PL"/>
                              </w:rPr>
                              <w:t xml:space="preserve">The most of the entities classified as cultural and creative industries </w:t>
                            </w:r>
                            <w:r w:rsidR="007A7664">
                              <w:rPr>
                                <w:rFonts w:eastAsia="Times New Roman" w:cs="Times New Roman"/>
                                <w:bCs/>
                                <w:color w:val="001D77"/>
                                <w:sz w:val="18"/>
                                <w:szCs w:val="18"/>
                                <w:lang w:val="en-US" w:eastAsia="pl-PL"/>
                              </w:rPr>
                              <w:t>we</w:t>
                            </w:r>
                            <w:r>
                              <w:rPr>
                                <w:rFonts w:eastAsia="Times New Roman" w:cs="Times New Roman"/>
                                <w:bCs/>
                                <w:color w:val="001D77"/>
                                <w:sz w:val="18"/>
                                <w:szCs w:val="18"/>
                                <w:lang w:val="en-US" w:eastAsia="pl-PL"/>
                              </w:rPr>
                              <w:t>re microenterprises. They accounted for 5.6% of all</w:t>
                            </w:r>
                            <w:r w:rsidR="00C50A4B">
                              <w:rPr>
                                <w:rFonts w:eastAsia="Times New Roman" w:cs="Times New Roman"/>
                                <w:bCs/>
                                <w:color w:val="001D77"/>
                                <w:sz w:val="18"/>
                                <w:szCs w:val="18"/>
                                <w:lang w:val="en-US" w:eastAsia="pl-PL"/>
                              </w:rPr>
                              <w:t xml:space="preserve"> non-financial microenterprises</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69250A2" id="Pole tekstowe 16" o:spid="_x0000_s1029" style="position:absolute;left:0;text-align:left;margin-left:414.15pt;margin-top:38.85pt;width:135.95pt;height:113.3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" filled="f" stroked="f" strokeweight=".26mm">
                <v:textbox>
                  <w:txbxContent>
                    <w:p w14:paraId="7D48992B" w14:textId="7142E4DC" w:rsidR="00725BCA" w:rsidRPr="00F06557" w:rsidRDefault="00725BCA" w:rsidP="00F06557">
                      <w:pPr>
                        <w:pStyle w:val="Zawartoramki"/>
                        <w:suppressAutoHyphens/>
                        <w:spacing w:before="0" w:after="0"/>
                        <w:rPr>
                          <w:lang w:val="en-US"/>
                        </w:rPr>
                      </w:pPr>
                      <w:r>
                        <w:rPr>
                          <w:rFonts w:eastAsia="Times New Roman" w:cs="Times New Roman"/>
                          <w:bCs/>
                          <w:color w:val="001D77"/>
                          <w:sz w:val="18"/>
                          <w:szCs w:val="18"/>
                          <w:lang w:val="en-US" w:eastAsia="pl-PL"/>
                        </w:rPr>
                        <w:t xml:space="preserve">The most of the entities classified as cultural and creative industries </w:t>
                      </w:r>
                      <w:r w:rsidR="007A7664">
                        <w:rPr>
                          <w:rFonts w:eastAsia="Times New Roman" w:cs="Times New Roman"/>
                          <w:bCs/>
                          <w:color w:val="001D77"/>
                          <w:sz w:val="18"/>
                          <w:szCs w:val="18"/>
                          <w:lang w:val="en-US" w:eastAsia="pl-PL"/>
                        </w:rPr>
                        <w:t>we</w:t>
                      </w:r>
                      <w:r>
                        <w:rPr>
                          <w:rFonts w:eastAsia="Times New Roman" w:cs="Times New Roman"/>
                          <w:bCs/>
                          <w:color w:val="001D77"/>
                          <w:sz w:val="18"/>
                          <w:szCs w:val="18"/>
                          <w:lang w:val="en-US" w:eastAsia="pl-PL"/>
                        </w:rPr>
                        <w:t>re microenterprises. They accounted for 5.6% of all</w:t>
                      </w:r>
                      <w:r w:rsidR="00C50A4B">
                        <w:rPr>
                          <w:rFonts w:eastAsia="Times New Roman" w:cs="Times New Roman"/>
                          <w:bCs/>
                          <w:color w:val="001D77"/>
                          <w:sz w:val="18"/>
                          <w:szCs w:val="18"/>
                          <w:lang w:val="en-US" w:eastAsia="pl-PL"/>
                        </w:rPr>
                        <w:t xml:space="preserve"> non-financial microenterprises</w:t>
                      </w:r>
                    </w:p>
                  </w:txbxContent>
                </v:textbox>
                <w10:wrap type="tight"/>
              </v:rect>
            </w:pict>
          </mc:Fallback>
        </mc:AlternateContent>
      </w:r>
      <w:r w:rsidR="0014095E" w:rsidRPr="002D265E">
        <w:rPr>
          <w:b/>
          <w:noProof/>
          <w:sz w:val="18"/>
          <w:shd w:val="clear" w:color="auto" w:fill="FFFFFF"/>
          <w:lang w:eastAsia="pl-PL"/>
        </w:rPr>
        <mc:AlternateContent>
          <mc:Choice Requires="wps">
            <w:drawing>
              <wp:anchor distT="45720" distB="45720" distL="114300" distR="114300" simplePos="0" relativeHeight="251776000" behindDoc="0" locked="0" layoutInCell="1" allowOverlap="1" wp14:anchorId="4E4F8875" wp14:editId="3E8407FD">
                <wp:simplePos x="0" y="0"/>
                <wp:positionH relativeFrom="column">
                  <wp:posOffset>3065145</wp:posOffset>
                </wp:positionH>
                <wp:positionV relativeFrom="paragraph">
                  <wp:posOffset>927100</wp:posOffset>
                </wp:positionV>
                <wp:extent cx="421005" cy="317500"/>
                <wp:effectExtent l="0" t="0" r="0" b="6350"/>
                <wp:wrapSquare wrapText="bothSides"/>
                <wp:docPr id="3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317500"/>
                        </a:xfrm>
                        <a:prstGeom prst="rect">
                          <a:avLst/>
                        </a:prstGeom>
                        <a:noFill/>
                        <a:ln w="9525">
                          <a:noFill/>
                          <a:miter lim="800000"/>
                          <a:headEnd/>
                          <a:tailEnd/>
                        </a:ln>
                      </wps:spPr>
                      <wps:txbx>
                        <w:txbxContent>
                          <w:p w14:paraId="3AC32356" w14:textId="4A022F87" w:rsidR="00725BCA" w:rsidRPr="0014095E" w:rsidRDefault="00725BCA" w:rsidP="0014095E">
                            <w:pPr>
                              <w:rPr>
                                <w:color w:val="FFFFFF" w:themeColor="background1"/>
                                <w:sz w:val="18"/>
                                <w:szCs w:val="18"/>
                              </w:rPr>
                            </w:pPr>
                            <w:r w:rsidRPr="0014095E">
                              <w:rPr>
                                <w:color w:val="FFFFFF" w:themeColor="background1"/>
                                <w:sz w:val="18"/>
                                <w:szCs w:val="18"/>
                              </w:rP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F8875" id="_x0000_s1030" type="#_x0000_t202" style="position:absolute;left:0;text-align:left;margin-left:241.35pt;margin-top:73pt;width:33.15pt;height:2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" filled="f" stroked="f">
                <v:textbox>
                  <w:txbxContent>
                    <w:p w14:paraId="3AC32356" w14:textId="4A022F87" w:rsidR="00725BCA" w:rsidRPr="0014095E" w:rsidRDefault="00725BCA" w:rsidP="0014095E">
                      <w:pPr>
                        <w:rPr>
                          <w:color w:val="FFFFFF" w:themeColor="background1"/>
                          <w:sz w:val="18"/>
                          <w:szCs w:val="18"/>
                        </w:rPr>
                      </w:pPr>
                      <w:r w:rsidRPr="0014095E">
                        <w:rPr>
                          <w:color w:val="FFFFFF" w:themeColor="background1"/>
                          <w:sz w:val="18"/>
                          <w:szCs w:val="18"/>
                        </w:rPr>
                        <w:t>4.1</w:t>
                      </w:r>
                    </w:p>
                  </w:txbxContent>
                </v:textbox>
                <w10:wrap type="square"/>
              </v:shape>
            </w:pict>
          </mc:Fallback>
        </mc:AlternateContent>
      </w:r>
      <w:r w:rsidR="0014095E" w:rsidRPr="002D265E">
        <w:rPr>
          <w:b/>
          <w:noProof/>
          <w:sz w:val="18"/>
          <w:shd w:val="clear" w:color="auto" w:fill="FFFFFF"/>
          <w:lang w:eastAsia="pl-PL"/>
        </w:rPr>
        <mc:AlternateContent>
          <mc:Choice Requires="wps">
            <w:drawing>
              <wp:anchor distT="45720" distB="45720" distL="114300" distR="114300" simplePos="0" relativeHeight="251771904" behindDoc="0" locked="0" layoutInCell="1" allowOverlap="1" wp14:anchorId="6312E927" wp14:editId="40EF11A7">
                <wp:simplePos x="0" y="0"/>
                <wp:positionH relativeFrom="column">
                  <wp:posOffset>3258820</wp:posOffset>
                </wp:positionH>
                <wp:positionV relativeFrom="paragraph">
                  <wp:posOffset>1107440</wp:posOffset>
                </wp:positionV>
                <wp:extent cx="421005" cy="373380"/>
                <wp:effectExtent l="0" t="0" r="0" b="0"/>
                <wp:wrapSquare wrapText="bothSides"/>
                <wp:docPr id="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373380"/>
                        </a:xfrm>
                        <a:prstGeom prst="rect">
                          <a:avLst/>
                        </a:prstGeom>
                        <a:noFill/>
                        <a:ln w="9525">
                          <a:noFill/>
                          <a:miter lim="800000"/>
                          <a:headEnd/>
                          <a:tailEnd/>
                        </a:ln>
                      </wps:spPr>
                      <wps:txbx>
                        <w:txbxContent>
                          <w:p w14:paraId="3CBB3027" w14:textId="36DF64FE" w:rsidR="00725BCA" w:rsidRPr="0014095E" w:rsidRDefault="00725BCA" w:rsidP="0014095E">
                            <w:pPr>
                              <w:rPr>
                                <w:color w:val="FFFFFF" w:themeColor="background1"/>
                                <w:sz w:val="18"/>
                                <w:szCs w:val="18"/>
                              </w:rPr>
                            </w:pPr>
                            <w:r w:rsidRPr="0014095E">
                              <w:rPr>
                                <w:color w:val="FFFFFF" w:themeColor="background1"/>
                                <w:sz w:val="18"/>
                                <w:szCs w:val="18"/>
                              </w:rPr>
                              <w:t>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2E927" id="_x0000_s1031" type="#_x0000_t202" style="position:absolute;left:0;text-align:left;margin-left:256.6pt;margin-top:87.2pt;width:33.15pt;height:29.4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" filled="f" stroked="f">
                <v:textbox>
                  <w:txbxContent>
                    <w:p w14:paraId="3CBB3027" w14:textId="36DF64FE" w:rsidR="00725BCA" w:rsidRPr="0014095E" w:rsidRDefault="00725BCA" w:rsidP="0014095E">
                      <w:pPr>
                        <w:rPr>
                          <w:color w:val="FFFFFF" w:themeColor="background1"/>
                          <w:sz w:val="18"/>
                          <w:szCs w:val="18"/>
                        </w:rPr>
                      </w:pPr>
                      <w:r w:rsidRPr="0014095E">
                        <w:rPr>
                          <w:color w:val="FFFFFF" w:themeColor="background1"/>
                          <w:sz w:val="18"/>
                          <w:szCs w:val="18"/>
                        </w:rPr>
                        <w:t>2.8</w:t>
                      </w:r>
                    </w:p>
                  </w:txbxContent>
                </v:textbox>
                <w10:wrap type="square"/>
              </v:shape>
            </w:pict>
          </mc:Fallback>
        </mc:AlternateContent>
      </w:r>
      <w:r w:rsidR="0014095E" w:rsidRPr="002D265E">
        <w:rPr>
          <w:b/>
          <w:noProof/>
          <w:sz w:val="18"/>
          <w:shd w:val="clear" w:color="auto" w:fill="FFFFFF"/>
          <w:lang w:eastAsia="pl-PL"/>
        </w:rPr>
        <mc:AlternateContent>
          <mc:Choice Requires="wps">
            <w:drawing>
              <wp:anchor distT="45720" distB="45720" distL="114300" distR="114300" simplePos="0" relativeHeight="251778048" behindDoc="0" locked="0" layoutInCell="1" allowOverlap="1" wp14:anchorId="773EBBCC" wp14:editId="49EF7D8A">
                <wp:simplePos x="0" y="0"/>
                <wp:positionH relativeFrom="column">
                  <wp:posOffset>2539890</wp:posOffset>
                </wp:positionH>
                <wp:positionV relativeFrom="paragraph">
                  <wp:posOffset>927735</wp:posOffset>
                </wp:positionV>
                <wp:extent cx="421005" cy="349250"/>
                <wp:effectExtent l="0" t="0" r="0" b="0"/>
                <wp:wrapSquare wrapText="bothSides"/>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349250"/>
                        </a:xfrm>
                        <a:prstGeom prst="rect">
                          <a:avLst/>
                        </a:prstGeom>
                        <a:noFill/>
                        <a:ln w="9525">
                          <a:noFill/>
                          <a:miter lim="800000"/>
                          <a:headEnd/>
                          <a:tailEnd/>
                        </a:ln>
                      </wps:spPr>
                      <wps:txbx>
                        <w:txbxContent>
                          <w:p w14:paraId="26E1572B" w14:textId="639A2435" w:rsidR="00725BCA" w:rsidRPr="0014095E" w:rsidRDefault="00725BCA" w:rsidP="0014095E">
                            <w:pPr>
                              <w:rPr>
                                <w:color w:val="FFFFFF" w:themeColor="background1"/>
                                <w:sz w:val="18"/>
                                <w:szCs w:val="18"/>
                              </w:rPr>
                            </w:pPr>
                            <w:r w:rsidRPr="0014095E">
                              <w:rPr>
                                <w:color w:val="FFFFFF" w:themeColor="background1"/>
                                <w:sz w:val="18"/>
                                <w:szCs w:val="18"/>
                              </w:rPr>
                              <w:t>12.9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EBBCC" id="_x0000_s1032" type="#_x0000_t202" style="position:absolute;left:0;text-align:left;margin-left:200pt;margin-top:73.05pt;width:33.15pt;height:27.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" filled="f" stroked="f">
                <v:textbox>
                  <w:txbxContent>
                    <w:p w14:paraId="26E1572B" w14:textId="639A2435" w:rsidR="00725BCA" w:rsidRPr="0014095E" w:rsidRDefault="00725BCA" w:rsidP="0014095E">
                      <w:pPr>
                        <w:rPr>
                          <w:color w:val="FFFFFF" w:themeColor="background1"/>
                          <w:sz w:val="18"/>
                          <w:szCs w:val="18"/>
                        </w:rPr>
                      </w:pPr>
                      <w:r w:rsidRPr="0014095E">
                        <w:rPr>
                          <w:color w:val="FFFFFF" w:themeColor="background1"/>
                          <w:sz w:val="18"/>
                          <w:szCs w:val="18"/>
                        </w:rPr>
                        <w:t>12.9</w:t>
                      </w:r>
                    </w:p>
                  </w:txbxContent>
                </v:textbox>
                <w10:wrap type="square"/>
              </v:shape>
            </w:pict>
          </mc:Fallback>
        </mc:AlternateContent>
      </w:r>
      <w:r w:rsidR="00F06557" w:rsidRPr="002D265E">
        <w:rPr>
          <w:b/>
          <w:sz w:val="18"/>
          <w:shd w:val="clear" w:color="auto" w:fill="FFFFFF"/>
          <w:lang w:val="en-GB"/>
        </w:rPr>
        <w:t>Chart 2.</w:t>
      </w:r>
      <w:r w:rsidR="00F06557" w:rsidRPr="002D265E">
        <w:rPr>
          <w:b/>
          <w:sz w:val="18"/>
          <w:shd w:val="clear" w:color="auto" w:fill="FFFFFF"/>
          <w:lang w:val="en-GB"/>
        </w:rPr>
        <w:tab/>
        <w:t xml:space="preserve">The structure of entities belonging to the cultural and creative industries by </w:t>
      </w:r>
      <w:r w:rsidR="002D265E" w:rsidRPr="002D265E">
        <w:rPr>
          <w:b/>
          <w:sz w:val="18"/>
          <w:shd w:val="clear" w:color="auto" w:fill="FFFFFF"/>
          <w:lang w:val="en-GB"/>
        </w:rPr>
        <w:t>domain</w:t>
      </w:r>
      <w:r w:rsidR="00F06557" w:rsidRPr="002D265E">
        <w:rPr>
          <w:b/>
          <w:sz w:val="18"/>
          <w:shd w:val="clear" w:color="auto" w:fill="FFFFFF"/>
          <w:lang w:val="en-GB"/>
        </w:rPr>
        <w:t xml:space="preserve"> of culture in 2019</w:t>
      </w:r>
    </w:p>
    <w:p w14:paraId="3DD57687" w14:textId="7F006E63" w:rsidR="00C808CE" w:rsidRPr="002D265E" w:rsidRDefault="00C808CE" w:rsidP="007A7664">
      <w:pPr>
        <w:keepNext/>
        <w:suppressAutoHyphens/>
        <w:rPr>
          <w:b/>
          <w:spacing w:val="-2"/>
          <w:sz w:val="18"/>
          <w:highlight w:val="yellow"/>
          <w:lang w:val="en-GB"/>
        </w:rPr>
      </w:pPr>
    </w:p>
    <w:p w14:paraId="0ACEFD36" w14:textId="3E0FC6AD" w:rsidR="00923EA8" w:rsidRDefault="002E1180" w:rsidP="007A7664">
      <w:pPr>
        <w:pStyle w:val="Nagwek1"/>
        <w:suppressAutoHyphens/>
        <w:spacing w:before="120" w:after="240"/>
        <w:rPr>
          <w:lang w:val="en-GB"/>
        </w:rPr>
      </w:pPr>
      <w:r w:rsidRPr="002D265E">
        <w:rPr>
          <w:lang w:val="en-GB"/>
        </w:rPr>
        <w:t>Employed persons, average employment and salaries</w:t>
      </w:r>
    </w:p>
    <w:p w14:paraId="572CC6E7" w14:textId="7D1B7193" w:rsidR="00740E50" w:rsidRPr="002D265E" w:rsidRDefault="002E1180" w:rsidP="007A7664">
      <w:pPr>
        <w:keepNext/>
        <w:suppressAutoHyphens/>
        <w:rPr>
          <w:shd w:val="clear" w:color="auto" w:fill="FFFFFF"/>
          <w:lang w:val="en-GB"/>
        </w:rPr>
      </w:pPr>
      <w:r w:rsidRPr="002D265E">
        <w:rPr>
          <w:shd w:val="clear" w:color="auto" w:fill="FFFFFF"/>
          <w:lang w:val="en-GB"/>
        </w:rPr>
        <w:t>As of 31</w:t>
      </w:r>
      <w:r w:rsidR="007A7664" w:rsidRPr="00C50A4B">
        <w:rPr>
          <w:shd w:val="clear" w:color="auto" w:fill="FFFFFF"/>
          <w:lang w:val="en-GB"/>
        </w:rPr>
        <w:t xml:space="preserve">st </w:t>
      </w:r>
      <w:r w:rsidR="007A7664">
        <w:rPr>
          <w:shd w:val="clear" w:color="auto" w:fill="FFFFFF"/>
          <w:lang w:val="en-GB"/>
        </w:rPr>
        <w:t xml:space="preserve">of </w:t>
      </w:r>
      <w:r w:rsidR="007A7664" w:rsidRPr="002D265E">
        <w:rPr>
          <w:shd w:val="clear" w:color="auto" w:fill="FFFFFF"/>
          <w:lang w:val="en-GB"/>
        </w:rPr>
        <w:t>December</w:t>
      </w:r>
      <w:r w:rsidRPr="002D265E">
        <w:rPr>
          <w:shd w:val="clear" w:color="auto" w:fill="FFFFFF"/>
          <w:lang w:val="en-GB"/>
        </w:rPr>
        <w:t xml:space="preserve"> 2019, </w:t>
      </w:r>
      <w:r w:rsidR="00740E50" w:rsidRPr="002D265E">
        <w:rPr>
          <w:shd w:val="clear" w:color="auto" w:fill="FFFFFF"/>
          <w:lang w:val="en-GB"/>
        </w:rPr>
        <w:t>237.7</w:t>
      </w:r>
      <w:r w:rsidRPr="002D265E">
        <w:rPr>
          <w:shd w:val="clear" w:color="auto" w:fill="FFFFFF"/>
          <w:lang w:val="en-GB"/>
        </w:rPr>
        <w:t xml:space="preserve"> thousand employees worked in enterprises belonging to the cultural and creative industries (</w:t>
      </w:r>
      <w:r w:rsidR="00740E50" w:rsidRPr="002D265E">
        <w:rPr>
          <w:shd w:val="clear" w:color="auto" w:fill="FFFFFF"/>
          <w:lang w:val="en-GB"/>
        </w:rPr>
        <w:t>3.8</w:t>
      </w:r>
      <w:r w:rsidRPr="002D265E">
        <w:rPr>
          <w:shd w:val="clear" w:color="auto" w:fill="FFFFFF"/>
          <w:lang w:val="en-GB"/>
        </w:rPr>
        <w:t xml:space="preserve"> thousand people </w:t>
      </w:r>
      <w:r w:rsidR="00740E50" w:rsidRPr="002D265E">
        <w:rPr>
          <w:shd w:val="clear" w:color="auto" w:fill="FFFFFF"/>
          <w:lang w:val="en-GB"/>
        </w:rPr>
        <w:t>less</w:t>
      </w:r>
      <w:r w:rsidRPr="002D265E">
        <w:rPr>
          <w:shd w:val="clear" w:color="auto" w:fill="FFFFFF"/>
          <w:lang w:val="en-GB"/>
        </w:rPr>
        <w:t xml:space="preserve"> than in 201</w:t>
      </w:r>
      <w:r w:rsidR="00740E50" w:rsidRPr="002D265E">
        <w:rPr>
          <w:shd w:val="clear" w:color="auto" w:fill="FFFFFF"/>
          <w:lang w:val="en-GB"/>
        </w:rPr>
        <w:t>8</w:t>
      </w:r>
      <w:r w:rsidRPr="002D265E">
        <w:rPr>
          <w:shd w:val="clear" w:color="auto" w:fill="FFFFFF"/>
          <w:lang w:val="en-GB"/>
        </w:rPr>
        <w:t xml:space="preserve">), which accounted for 2.4% of the total number of employees in </w:t>
      </w:r>
      <w:r w:rsidR="002D265E" w:rsidRPr="002D265E">
        <w:rPr>
          <w:shd w:val="clear" w:color="auto" w:fill="FFFFFF"/>
          <w:lang w:val="en-GB"/>
        </w:rPr>
        <w:t>non</w:t>
      </w:r>
      <w:r w:rsidR="00DE6230">
        <w:rPr>
          <w:shd w:val="clear" w:color="auto" w:fill="FFFFFF"/>
          <w:lang w:val="en-GB"/>
        </w:rPr>
        <w:t>-</w:t>
      </w:r>
      <w:r w:rsidR="002D265E" w:rsidRPr="002D265E">
        <w:rPr>
          <w:shd w:val="clear" w:color="auto" w:fill="FFFFFF"/>
          <w:lang w:val="en-GB"/>
        </w:rPr>
        <w:t>financial</w:t>
      </w:r>
      <w:r w:rsidRPr="002D265E">
        <w:rPr>
          <w:shd w:val="clear" w:color="auto" w:fill="FFFFFF"/>
          <w:lang w:val="en-GB"/>
        </w:rPr>
        <w:t xml:space="preserve"> enterprises. </w:t>
      </w:r>
      <w:r w:rsidR="00740E50" w:rsidRPr="002D265E">
        <w:rPr>
          <w:shd w:val="clear" w:color="auto" w:fill="FFFFFF"/>
          <w:lang w:val="en-GB"/>
        </w:rPr>
        <w:t>72.7</w:t>
      </w:r>
      <w:r w:rsidRPr="002D265E">
        <w:rPr>
          <w:shd w:val="clear" w:color="auto" w:fill="FFFFFF"/>
          <w:lang w:val="en-GB"/>
        </w:rPr>
        <w:t>% of employed persons were employed in microenterprises, 1</w:t>
      </w:r>
      <w:r w:rsidR="00740E50" w:rsidRPr="002D265E">
        <w:rPr>
          <w:shd w:val="clear" w:color="auto" w:fill="FFFFFF"/>
          <w:lang w:val="en-GB"/>
        </w:rPr>
        <w:t xml:space="preserve">2.0 </w:t>
      </w:r>
      <w:r w:rsidRPr="002D265E">
        <w:rPr>
          <w:shd w:val="clear" w:color="auto" w:fill="FFFFFF"/>
          <w:lang w:val="en-GB"/>
        </w:rPr>
        <w:t xml:space="preserve">% – in large </w:t>
      </w:r>
      <w:r w:rsidR="002D265E" w:rsidRPr="002D265E">
        <w:rPr>
          <w:shd w:val="clear" w:color="auto" w:fill="FFFFFF"/>
          <w:lang w:val="en-GB"/>
        </w:rPr>
        <w:t>enterprises,</w:t>
      </w:r>
      <w:r w:rsidRPr="002D265E">
        <w:rPr>
          <w:shd w:val="clear" w:color="auto" w:fill="FFFFFF"/>
          <w:lang w:val="en-GB"/>
        </w:rPr>
        <w:t xml:space="preserve"> </w:t>
      </w:r>
      <w:r w:rsidR="00740E50" w:rsidRPr="002D265E">
        <w:rPr>
          <w:shd w:val="clear" w:color="auto" w:fill="FFFFFF"/>
          <w:lang w:val="en-GB"/>
        </w:rPr>
        <w:t>7.9</w:t>
      </w:r>
      <w:r w:rsidRPr="002D265E">
        <w:rPr>
          <w:shd w:val="clear" w:color="auto" w:fill="FFFFFF"/>
          <w:lang w:val="en-GB"/>
        </w:rPr>
        <w:t xml:space="preserve">% – in small enterprises and </w:t>
      </w:r>
      <w:r w:rsidR="00740E50" w:rsidRPr="002D265E">
        <w:rPr>
          <w:shd w:val="clear" w:color="auto" w:fill="FFFFFF"/>
          <w:lang w:val="en-GB"/>
        </w:rPr>
        <w:t>7.3</w:t>
      </w:r>
      <w:r w:rsidRPr="002D265E">
        <w:rPr>
          <w:shd w:val="clear" w:color="auto" w:fill="FFFFFF"/>
          <w:lang w:val="en-GB"/>
        </w:rPr>
        <w:t xml:space="preserve">% – in medium enterprises. </w:t>
      </w:r>
      <w:r w:rsidR="00DE6230">
        <w:rPr>
          <w:shd w:val="clear" w:color="auto" w:fill="FFFFFF"/>
          <w:lang w:val="en-GB"/>
        </w:rPr>
        <w:t>A</w:t>
      </w:r>
      <w:r w:rsidR="00DE6230" w:rsidRPr="002D265E">
        <w:rPr>
          <w:shd w:val="clear" w:color="auto" w:fill="FFFFFF"/>
          <w:lang w:val="en-GB"/>
        </w:rPr>
        <w:t xml:space="preserve">nalysis </w:t>
      </w:r>
      <w:r w:rsidR="00DE6230">
        <w:rPr>
          <w:shd w:val="clear" w:color="auto" w:fill="FFFFFF"/>
          <w:lang w:val="en-GB"/>
        </w:rPr>
        <w:t>of a</w:t>
      </w:r>
      <w:r w:rsidR="00740E50" w:rsidRPr="002D265E">
        <w:rPr>
          <w:shd w:val="clear" w:color="auto" w:fill="FFFFFF"/>
          <w:lang w:val="en-GB"/>
        </w:rPr>
        <w:t xml:space="preserve">verage employment showed that the employment </w:t>
      </w:r>
      <w:r w:rsidR="00740E50" w:rsidRPr="00061DCB">
        <w:rPr>
          <w:shd w:val="clear" w:color="auto" w:fill="FFFFFF"/>
          <w:lang w:val="en-GB"/>
        </w:rPr>
        <w:t xml:space="preserve">structure was slightly more balanced: </w:t>
      </w:r>
      <w:r w:rsidR="007A7664" w:rsidRPr="00061DCB">
        <w:rPr>
          <w:shd w:val="clear" w:color="auto" w:fill="FFFFFF"/>
          <w:lang w:val="en-GB"/>
        </w:rPr>
        <w:t>microenterprises</w:t>
      </w:r>
      <w:r w:rsidR="00740E50" w:rsidRPr="00061DCB">
        <w:rPr>
          <w:shd w:val="clear" w:color="auto" w:fill="FFFFFF"/>
          <w:lang w:val="en-GB"/>
        </w:rPr>
        <w:t xml:space="preserve"> – 38.7 thousand (38.8%), large </w:t>
      </w:r>
      <w:r w:rsidR="007A7664" w:rsidRPr="00061DCB">
        <w:rPr>
          <w:shd w:val="clear" w:color="auto" w:fill="FFFFFF"/>
          <w:lang w:val="en-GB"/>
        </w:rPr>
        <w:t>enterprises</w:t>
      </w:r>
      <w:r w:rsidR="00740E50" w:rsidRPr="00061DCB">
        <w:rPr>
          <w:shd w:val="clear" w:color="auto" w:fill="FFFFFF"/>
          <w:lang w:val="en-GB"/>
        </w:rPr>
        <w:t xml:space="preserve"> – 27.3 thousand (27.3%), small – 17.5 thousand (17.5%), and medium – 16.4 thousand (16.4%).</w:t>
      </w:r>
    </w:p>
    <w:p w14:paraId="6DCDFF66" w14:textId="75CFB315" w:rsidR="00740E50" w:rsidRPr="002D265E" w:rsidRDefault="00471DB6" w:rsidP="007A7664">
      <w:pPr>
        <w:keepNext/>
        <w:suppressAutoHyphens/>
        <w:rPr>
          <w:shd w:val="clear" w:color="auto" w:fill="FFFFFF"/>
          <w:lang w:val="en-GB"/>
        </w:rPr>
      </w:pPr>
      <w:r w:rsidRPr="002D265E">
        <w:rPr>
          <w:noProof/>
          <w:shd w:val="clear" w:color="auto" w:fill="FFFFFF"/>
          <w:lang w:eastAsia="pl-PL"/>
        </w:rPr>
        <mc:AlternateContent>
          <mc:Choice Requires="wps">
            <w:drawing>
              <wp:anchor distT="45720" distB="45720" distL="114300" distR="114300" simplePos="0" relativeHeight="251749376" behindDoc="1" locked="0" layoutInCell="1" allowOverlap="1" wp14:anchorId="764897C0" wp14:editId="44AC96AD">
                <wp:simplePos x="0" y="0"/>
                <wp:positionH relativeFrom="column">
                  <wp:posOffset>5259705</wp:posOffset>
                </wp:positionH>
                <wp:positionV relativeFrom="paragraph">
                  <wp:posOffset>688975</wp:posOffset>
                </wp:positionV>
                <wp:extent cx="1726565" cy="1025525"/>
                <wp:effectExtent l="0" t="0" r="0" b="3175"/>
                <wp:wrapTight wrapText="bothSides">
                  <wp:wrapPolygon edited="0">
                    <wp:start x="715" y="0"/>
                    <wp:lineTo x="715" y="21266"/>
                    <wp:lineTo x="20734" y="21266"/>
                    <wp:lineTo x="20734" y="0"/>
                    <wp:lineTo x="715" y="0"/>
                  </wp:wrapPolygon>
                </wp:wrapTight>
                <wp:docPr id="11" name="Pole tekstow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5" cy="1025525"/>
                        </a:xfrm>
                        <a:prstGeom prst="rect">
                          <a:avLst/>
                        </a:prstGeom>
                        <a:noFill/>
                        <a:ln w="9360">
                          <a:noFill/>
                        </a:ln>
                      </wps:spPr>
                      <wps:style>
                        <a:lnRef idx="0">
                          <a:scrgbClr r="0" g="0" b="0"/>
                        </a:lnRef>
                        <a:fillRef idx="0">
                          <a:scrgbClr r="0" g="0" b="0"/>
                        </a:fillRef>
                        <a:effectRef idx="0">
                          <a:scrgbClr r="0" g="0" b="0"/>
                        </a:effectRef>
                        <a:fontRef idx="minor"/>
                      </wps:style>
                      <wps:txbx>
                        <w:txbxContent>
                          <w:p w14:paraId="2C178D5A" w14:textId="2E52AD54" w:rsidR="00725BCA" w:rsidRPr="00065B47" w:rsidRDefault="007A7664" w:rsidP="002E6EB9">
                            <w:pPr>
                              <w:pStyle w:val="Zawartoramki"/>
                              <w:spacing w:before="0" w:after="0"/>
                              <w:rPr>
                                <w:rFonts w:eastAsia="Times New Roman" w:cs="Times New Roman"/>
                                <w:bCs/>
                                <w:color w:val="001D77"/>
                                <w:sz w:val="18"/>
                                <w:szCs w:val="18"/>
                                <w:lang w:val="en-US" w:eastAsia="pl-PL"/>
                              </w:rPr>
                            </w:pPr>
                            <w:r>
                              <w:rPr>
                                <w:rFonts w:eastAsia="Times New Roman" w:cs="Times New Roman"/>
                                <w:bCs/>
                                <w:color w:val="001D77"/>
                                <w:sz w:val="18"/>
                                <w:szCs w:val="18"/>
                                <w:lang w:val="en-US" w:eastAsia="pl-PL"/>
                              </w:rPr>
                              <w:t>The e</w:t>
                            </w:r>
                            <w:r w:rsidR="00725BCA" w:rsidRPr="00065B47">
                              <w:rPr>
                                <w:rFonts w:eastAsia="Times New Roman" w:cs="Times New Roman"/>
                                <w:bCs/>
                                <w:color w:val="001D77"/>
                                <w:sz w:val="18"/>
                                <w:szCs w:val="18"/>
                                <w:lang w:val="en-US" w:eastAsia="pl-PL"/>
                              </w:rPr>
                              <w:t xml:space="preserve">nterprises </w:t>
                            </w:r>
                            <w:r w:rsidR="00725BCA">
                              <w:rPr>
                                <w:rFonts w:eastAsia="Times New Roman" w:cs="Times New Roman"/>
                                <w:bCs/>
                                <w:color w:val="001D77"/>
                                <w:sz w:val="18"/>
                                <w:szCs w:val="18"/>
                                <w:lang w:val="en-US" w:eastAsia="pl-PL"/>
                              </w:rPr>
                              <w:t>classified as</w:t>
                            </w:r>
                            <w:r w:rsidR="00725BCA" w:rsidRPr="00065B47">
                              <w:rPr>
                                <w:rFonts w:eastAsia="Times New Roman" w:cs="Times New Roman"/>
                                <w:bCs/>
                                <w:color w:val="001D77"/>
                                <w:sz w:val="18"/>
                                <w:szCs w:val="18"/>
                                <w:lang w:val="en-US" w:eastAsia="pl-PL"/>
                              </w:rPr>
                              <w:t xml:space="preserve"> cultural and creative industries had a higher gross monthly salary per 1 employee than non-financial enterprises in total</w:t>
                            </w: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764897C0" id="Pole tekstowe 14" o:spid="_x0000_s1033" style="position:absolute;margin-left:414.15pt;margin-top:54.25pt;width:135.95pt;height:80.7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" filled="f" stroked="f" strokeweight=".26mm">
                <v:textbox>
                  <w:txbxContent>
                    <w:p w14:paraId="2C178D5A" w14:textId="2E52AD54" w:rsidR="00725BCA" w:rsidRPr="00065B47" w:rsidRDefault="007A7664" w:rsidP="002E6EB9">
                      <w:pPr>
                        <w:pStyle w:val="Zawartoramki"/>
                        <w:spacing w:before="0" w:after="0"/>
                        <w:rPr>
                          <w:rFonts w:eastAsia="Times New Roman" w:cs="Times New Roman"/>
                          <w:bCs/>
                          <w:color w:val="001D77"/>
                          <w:sz w:val="18"/>
                          <w:szCs w:val="18"/>
                          <w:lang w:val="en-US" w:eastAsia="pl-PL"/>
                        </w:rPr>
                      </w:pPr>
                      <w:r>
                        <w:rPr>
                          <w:rFonts w:eastAsia="Times New Roman" w:cs="Times New Roman"/>
                          <w:bCs/>
                          <w:color w:val="001D77"/>
                          <w:sz w:val="18"/>
                          <w:szCs w:val="18"/>
                          <w:lang w:val="en-US" w:eastAsia="pl-PL"/>
                        </w:rPr>
                        <w:t>The e</w:t>
                      </w:r>
                      <w:r w:rsidR="00725BCA" w:rsidRPr="00065B47">
                        <w:rPr>
                          <w:rFonts w:eastAsia="Times New Roman" w:cs="Times New Roman"/>
                          <w:bCs/>
                          <w:color w:val="001D77"/>
                          <w:sz w:val="18"/>
                          <w:szCs w:val="18"/>
                          <w:lang w:val="en-US" w:eastAsia="pl-PL"/>
                        </w:rPr>
                        <w:t xml:space="preserve">nterprises </w:t>
                      </w:r>
                      <w:r w:rsidR="00725BCA">
                        <w:rPr>
                          <w:rFonts w:eastAsia="Times New Roman" w:cs="Times New Roman"/>
                          <w:bCs/>
                          <w:color w:val="001D77"/>
                          <w:sz w:val="18"/>
                          <w:szCs w:val="18"/>
                          <w:lang w:val="en-US" w:eastAsia="pl-PL"/>
                        </w:rPr>
                        <w:t>classified as</w:t>
                      </w:r>
                      <w:r w:rsidR="00725BCA" w:rsidRPr="00065B47">
                        <w:rPr>
                          <w:rFonts w:eastAsia="Times New Roman" w:cs="Times New Roman"/>
                          <w:bCs/>
                          <w:color w:val="001D77"/>
                          <w:sz w:val="18"/>
                          <w:szCs w:val="18"/>
                          <w:lang w:val="en-US" w:eastAsia="pl-PL"/>
                        </w:rPr>
                        <w:t xml:space="preserve"> cultural and creative industries had a higher gross monthly salary per 1 employee than non-financial enterprises in total</w:t>
                      </w:r>
                    </w:p>
                  </w:txbxContent>
                </v:textbox>
                <w10:wrap type="tight"/>
              </v:rect>
            </w:pict>
          </mc:Fallback>
        </mc:AlternateContent>
      </w:r>
      <w:r w:rsidR="00740E50" w:rsidRPr="002D265E">
        <w:rPr>
          <w:shd w:val="clear" w:color="auto" w:fill="FFFFFF"/>
          <w:lang w:val="en-GB"/>
        </w:rPr>
        <w:t xml:space="preserve">Enterprises belonging to the cultural and creative industries, irrespective of the size class, were characterised by the higher gross monthly salary per employee than in all </w:t>
      </w:r>
      <w:r w:rsidR="002D265E" w:rsidRPr="002D265E">
        <w:rPr>
          <w:shd w:val="clear" w:color="auto" w:fill="FFFFFF"/>
          <w:lang w:val="en-GB"/>
        </w:rPr>
        <w:t>non</w:t>
      </w:r>
      <w:r w:rsidR="00A331A4">
        <w:rPr>
          <w:shd w:val="clear" w:color="auto" w:fill="FFFFFF"/>
          <w:lang w:val="en-GB"/>
        </w:rPr>
        <w:t>-</w:t>
      </w:r>
      <w:r w:rsidR="002D265E" w:rsidRPr="002D265E">
        <w:rPr>
          <w:shd w:val="clear" w:color="auto" w:fill="FFFFFF"/>
          <w:lang w:val="en-GB"/>
        </w:rPr>
        <w:t>financial</w:t>
      </w:r>
      <w:r w:rsidR="00740E50" w:rsidRPr="002D265E">
        <w:rPr>
          <w:shd w:val="clear" w:color="auto" w:fill="FFFFFF"/>
          <w:lang w:val="en-GB"/>
        </w:rPr>
        <w:t xml:space="preserve"> enterprises. In 2019, the gross monthly salary per employee in all </w:t>
      </w:r>
      <w:r w:rsidR="002D265E" w:rsidRPr="002D265E">
        <w:rPr>
          <w:shd w:val="clear" w:color="auto" w:fill="FFFFFF"/>
          <w:lang w:val="en-GB"/>
        </w:rPr>
        <w:t>non</w:t>
      </w:r>
      <w:r w:rsidR="00A331A4">
        <w:rPr>
          <w:shd w:val="clear" w:color="auto" w:fill="FFFFFF"/>
          <w:lang w:val="en-GB"/>
        </w:rPr>
        <w:t>-</w:t>
      </w:r>
      <w:r w:rsidR="002D265E" w:rsidRPr="002D265E">
        <w:rPr>
          <w:shd w:val="clear" w:color="auto" w:fill="FFFFFF"/>
          <w:lang w:val="en-GB"/>
        </w:rPr>
        <w:t>financial</w:t>
      </w:r>
      <w:r w:rsidR="00740E50" w:rsidRPr="002D265E">
        <w:rPr>
          <w:shd w:val="clear" w:color="auto" w:fill="FFFFFF"/>
          <w:lang w:val="en-GB"/>
        </w:rPr>
        <w:t xml:space="preserve"> enterprises amounted to </w:t>
      </w:r>
      <w:r w:rsidR="00065B47" w:rsidRPr="002D265E">
        <w:rPr>
          <w:shd w:val="clear" w:color="auto" w:fill="FFFFFF"/>
          <w:lang w:val="en-GB"/>
        </w:rPr>
        <w:t>5,168</w:t>
      </w:r>
      <w:r w:rsidR="00061DCB" w:rsidRPr="00061DCB">
        <w:rPr>
          <w:shd w:val="clear" w:color="auto" w:fill="FFFFFF"/>
          <w:lang w:val="en-GB"/>
        </w:rPr>
        <w:t xml:space="preserve"> </w:t>
      </w:r>
      <w:r w:rsidR="00061DCB" w:rsidRPr="002D265E">
        <w:rPr>
          <w:shd w:val="clear" w:color="auto" w:fill="FFFFFF"/>
          <w:lang w:val="en-GB"/>
        </w:rPr>
        <w:t>PLN</w:t>
      </w:r>
      <w:r w:rsidR="00740E50" w:rsidRPr="002D265E">
        <w:rPr>
          <w:shd w:val="clear" w:color="auto" w:fill="FFFFFF"/>
          <w:lang w:val="en-GB"/>
        </w:rPr>
        <w:t>, while in the cultural and creative industries 6,</w:t>
      </w:r>
      <w:r w:rsidR="00065B47" w:rsidRPr="002D265E">
        <w:rPr>
          <w:shd w:val="clear" w:color="auto" w:fill="FFFFFF"/>
          <w:lang w:val="en-GB"/>
        </w:rPr>
        <w:t xml:space="preserve">458 </w:t>
      </w:r>
      <w:r w:rsidR="00061DCB" w:rsidRPr="002D265E">
        <w:rPr>
          <w:shd w:val="clear" w:color="auto" w:fill="FFFFFF"/>
          <w:lang w:val="en-GB"/>
        </w:rPr>
        <w:t xml:space="preserve">PLN </w:t>
      </w:r>
      <w:r w:rsidR="00065B47" w:rsidRPr="002D265E">
        <w:rPr>
          <w:shd w:val="clear" w:color="auto" w:fill="FFFFFF"/>
          <w:lang w:val="en-GB"/>
        </w:rPr>
        <w:t xml:space="preserve">(429 </w:t>
      </w:r>
      <w:r w:rsidR="00061DCB" w:rsidRPr="002D265E">
        <w:rPr>
          <w:shd w:val="clear" w:color="auto" w:fill="FFFFFF"/>
          <w:lang w:val="en-GB"/>
        </w:rPr>
        <w:t xml:space="preserve">PLN </w:t>
      </w:r>
      <w:r w:rsidR="00065B47" w:rsidRPr="002D265E">
        <w:rPr>
          <w:shd w:val="clear" w:color="auto" w:fill="FFFFFF"/>
          <w:lang w:val="en-GB"/>
        </w:rPr>
        <w:t>more than a year before).</w:t>
      </w:r>
    </w:p>
    <w:p w14:paraId="1BB6A509" w14:textId="5FD7D33D" w:rsidR="00065B47" w:rsidRPr="002D265E" w:rsidRDefault="00065B47" w:rsidP="007A7664">
      <w:pPr>
        <w:keepNext/>
        <w:suppressAutoHyphens/>
        <w:rPr>
          <w:shd w:val="clear" w:color="auto" w:fill="FFFFFF"/>
          <w:lang w:val="en-GB"/>
        </w:rPr>
      </w:pPr>
      <w:r w:rsidRPr="002D265E">
        <w:rPr>
          <w:shd w:val="clear" w:color="auto" w:fill="FFFFFF"/>
          <w:lang w:val="en-GB"/>
        </w:rPr>
        <w:t>In microenterprises classified as cultural and creative industries, the monthly gross salary per employee was 3</w:t>
      </w:r>
      <w:r w:rsidR="004C5BC7" w:rsidRPr="002D265E">
        <w:rPr>
          <w:shd w:val="clear" w:color="auto" w:fill="FFFFFF"/>
          <w:lang w:val="en-GB"/>
        </w:rPr>
        <w:t>,</w:t>
      </w:r>
      <w:r w:rsidRPr="002D265E">
        <w:rPr>
          <w:shd w:val="clear" w:color="auto" w:fill="FFFFFF"/>
          <w:lang w:val="en-GB"/>
        </w:rPr>
        <w:t xml:space="preserve">788 </w:t>
      </w:r>
      <w:r w:rsidR="00061DCB" w:rsidRPr="002D265E">
        <w:rPr>
          <w:shd w:val="clear" w:color="auto" w:fill="FFFFFF"/>
          <w:lang w:val="en-GB"/>
        </w:rPr>
        <w:t xml:space="preserve">PLN </w:t>
      </w:r>
      <w:r w:rsidR="002D265E" w:rsidRPr="002D265E">
        <w:rPr>
          <w:shd w:val="clear" w:color="auto" w:fill="FFFFFF"/>
          <w:lang w:val="en-GB"/>
        </w:rPr>
        <w:t>compared to</w:t>
      </w:r>
      <w:r w:rsidRPr="002D265E">
        <w:rPr>
          <w:shd w:val="clear" w:color="auto" w:fill="FFFFFF"/>
          <w:lang w:val="en-GB"/>
        </w:rPr>
        <w:t xml:space="preserve"> 3</w:t>
      </w:r>
      <w:r w:rsidR="004C5BC7" w:rsidRPr="002D265E">
        <w:rPr>
          <w:shd w:val="clear" w:color="auto" w:fill="FFFFFF"/>
          <w:lang w:val="en-GB"/>
        </w:rPr>
        <w:t>,373</w:t>
      </w:r>
      <w:r w:rsidRPr="002D265E">
        <w:rPr>
          <w:shd w:val="clear" w:color="auto" w:fill="FFFFFF"/>
          <w:lang w:val="en-GB"/>
        </w:rPr>
        <w:t xml:space="preserve"> </w:t>
      </w:r>
      <w:r w:rsidR="00061DCB" w:rsidRPr="002D265E">
        <w:rPr>
          <w:shd w:val="clear" w:color="auto" w:fill="FFFFFF"/>
          <w:lang w:val="en-GB"/>
        </w:rPr>
        <w:t xml:space="preserve">PLN </w:t>
      </w:r>
      <w:r w:rsidRPr="002D265E">
        <w:rPr>
          <w:shd w:val="clear" w:color="auto" w:fill="FFFFFF"/>
          <w:lang w:val="en-GB"/>
        </w:rPr>
        <w:t xml:space="preserve">in all </w:t>
      </w:r>
      <w:r w:rsidR="002D265E" w:rsidRPr="002D265E">
        <w:rPr>
          <w:shd w:val="clear" w:color="auto" w:fill="FFFFFF"/>
          <w:lang w:val="en-GB"/>
        </w:rPr>
        <w:t>non</w:t>
      </w:r>
      <w:r w:rsidR="00A331A4">
        <w:rPr>
          <w:shd w:val="clear" w:color="auto" w:fill="FFFFFF"/>
          <w:lang w:val="en-GB"/>
        </w:rPr>
        <w:t>-</w:t>
      </w:r>
      <w:r w:rsidR="002D265E" w:rsidRPr="002D265E">
        <w:rPr>
          <w:shd w:val="clear" w:color="auto" w:fill="FFFFFF"/>
          <w:lang w:val="en-GB"/>
        </w:rPr>
        <w:t>financial</w:t>
      </w:r>
      <w:r w:rsidRPr="002D265E">
        <w:rPr>
          <w:shd w:val="clear" w:color="auto" w:fill="FFFFFF"/>
          <w:lang w:val="en-GB"/>
        </w:rPr>
        <w:t xml:space="preserve"> microenterprises. Similar differences were seen in the remaining size classes of enterprises: small entities –6</w:t>
      </w:r>
      <w:r w:rsidR="004C5BC7" w:rsidRPr="002D265E">
        <w:rPr>
          <w:shd w:val="clear" w:color="auto" w:fill="FFFFFF"/>
          <w:lang w:val="en-GB"/>
        </w:rPr>
        <w:t>,925</w:t>
      </w:r>
      <w:r w:rsidRPr="002D265E">
        <w:rPr>
          <w:shd w:val="clear" w:color="auto" w:fill="FFFFFF"/>
          <w:lang w:val="en-GB"/>
        </w:rPr>
        <w:t xml:space="preserve"> </w:t>
      </w:r>
      <w:r w:rsidR="00061DCB" w:rsidRPr="002D265E">
        <w:rPr>
          <w:shd w:val="clear" w:color="auto" w:fill="FFFFFF"/>
          <w:lang w:val="en-GB"/>
        </w:rPr>
        <w:t xml:space="preserve">PLN </w:t>
      </w:r>
      <w:r w:rsidRPr="002D265E">
        <w:rPr>
          <w:shd w:val="clear" w:color="auto" w:fill="FFFFFF"/>
          <w:lang w:val="en-GB"/>
        </w:rPr>
        <w:t xml:space="preserve">versus </w:t>
      </w:r>
      <w:r w:rsidR="004C5BC7" w:rsidRPr="002D265E">
        <w:rPr>
          <w:shd w:val="clear" w:color="auto" w:fill="FFFFFF"/>
          <w:lang w:val="en-GB"/>
        </w:rPr>
        <w:t>4,769</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 medium –</w:t>
      </w:r>
      <w:r w:rsidR="00266475">
        <w:rPr>
          <w:shd w:val="clear" w:color="auto" w:fill="FFFFFF"/>
          <w:lang w:val="en-GB"/>
        </w:rPr>
        <w:t xml:space="preserve"> </w:t>
      </w:r>
      <w:r w:rsidR="004C5BC7" w:rsidRPr="002D265E">
        <w:rPr>
          <w:shd w:val="clear" w:color="auto" w:fill="FFFFFF"/>
          <w:lang w:val="en-GB"/>
        </w:rPr>
        <w:t xml:space="preserve">8,100 </w:t>
      </w:r>
      <w:r w:rsidR="00061DCB" w:rsidRPr="002D265E">
        <w:rPr>
          <w:shd w:val="clear" w:color="auto" w:fill="FFFFFF"/>
          <w:lang w:val="en-GB"/>
        </w:rPr>
        <w:t xml:space="preserve">PLN </w:t>
      </w:r>
      <w:r w:rsidRPr="002D265E">
        <w:rPr>
          <w:shd w:val="clear" w:color="auto" w:fill="FFFFFF"/>
          <w:lang w:val="en-GB"/>
        </w:rPr>
        <w:t>versus 5</w:t>
      </w:r>
      <w:r w:rsidR="004C5BC7" w:rsidRPr="002D265E">
        <w:rPr>
          <w:shd w:val="clear" w:color="auto" w:fill="FFFFFF"/>
          <w:lang w:val="en-GB"/>
        </w:rPr>
        <w:t>,382</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 large enterprises –</w:t>
      </w:r>
      <w:r w:rsidR="00266475">
        <w:rPr>
          <w:shd w:val="clear" w:color="auto" w:fill="FFFFFF"/>
          <w:lang w:val="en-GB"/>
        </w:rPr>
        <w:t xml:space="preserve"> </w:t>
      </w:r>
      <w:r w:rsidR="004C5BC7" w:rsidRPr="002D265E">
        <w:rPr>
          <w:shd w:val="clear" w:color="auto" w:fill="FFFFFF"/>
          <w:lang w:val="en-GB"/>
        </w:rPr>
        <w:t>8,962</w:t>
      </w:r>
      <w:r w:rsidRPr="002D265E">
        <w:rPr>
          <w:shd w:val="clear" w:color="auto" w:fill="FFFFFF"/>
          <w:lang w:val="en-GB"/>
        </w:rPr>
        <w:t xml:space="preserve"> </w:t>
      </w:r>
      <w:r w:rsidR="00061DCB" w:rsidRPr="002D265E">
        <w:rPr>
          <w:shd w:val="clear" w:color="auto" w:fill="FFFFFF"/>
          <w:lang w:val="en-GB"/>
        </w:rPr>
        <w:t xml:space="preserve">PLN </w:t>
      </w:r>
      <w:r w:rsidRPr="002D265E">
        <w:rPr>
          <w:shd w:val="clear" w:color="auto" w:fill="FFFFFF"/>
          <w:lang w:val="en-GB"/>
        </w:rPr>
        <w:t xml:space="preserve">versus </w:t>
      </w:r>
      <w:r w:rsidR="004C5BC7" w:rsidRPr="002D265E">
        <w:rPr>
          <w:shd w:val="clear" w:color="auto" w:fill="FFFFFF"/>
          <w:lang w:val="en-GB"/>
        </w:rPr>
        <w:t>6,048</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 xml:space="preserve">. The share of gross wages and salaries in total costs in the case of enterprises belonging to the cultural and creative industries amounted to </w:t>
      </w:r>
      <w:r w:rsidR="004C5BC7" w:rsidRPr="002D265E">
        <w:rPr>
          <w:shd w:val="clear" w:color="auto" w:fill="FFFFFF"/>
          <w:lang w:val="en-GB"/>
        </w:rPr>
        <w:t>10.5</w:t>
      </w:r>
      <w:r w:rsidRPr="002D265E">
        <w:rPr>
          <w:shd w:val="clear" w:color="auto" w:fill="FFFFFF"/>
          <w:lang w:val="en-GB"/>
        </w:rPr>
        <w:t>% (8.</w:t>
      </w:r>
      <w:r w:rsidR="004C5BC7" w:rsidRPr="002D265E">
        <w:rPr>
          <w:shd w:val="clear" w:color="auto" w:fill="FFFFFF"/>
          <w:lang w:val="en-GB"/>
        </w:rPr>
        <w:t>9</w:t>
      </w:r>
      <w:r w:rsidRPr="002D265E">
        <w:rPr>
          <w:shd w:val="clear" w:color="auto" w:fill="FFFFFF"/>
          <w:lang w:val="en-GB"/>
        </w:rPr>
        <w:t xml:space="preserve">% for </w:t>
      </w:r>
      <w:r w:rsidR="002D265E" w:rsidRPr="002D265E">
        <w:rPr>
          <w:shd w:val="clear" w:color="auto" w:fill="FFFFFF"/>
          <w:lang w:val="en-GB"/>
        </w:rPr>
        <w:t>non</w:t>
      </w:r>
      <w:r w:rsidR="00A331A4">
        <w:rPr>
          <w:shd w:val="clear" w:color="auto" w:fill="FFFFFF"/>
          <w:lang w:val="en-GB"/>
        </w:rPr>
        <w:t>-</w:t>
      </w:r>
      <w:r w:rsidR="002D265E" w:rsidRPr="002D265E">
        <w:rPr>
          <w:shd w:val="clear" w:color="auto" w:fill="FFFFFF"/>
          <w:lang w:val="en-GB"/>
        </w:rPr>
        <w:t>financial</w:t>
      </w:r>
      <w:r w:rsidRPr="002D265E">
        <w:rPr>
          <w:shd w:val="clear" w:color="auto" w:fill="FFFFFF"/>
          <w:lang w:val="en-GB"/>
        </w:rPr>
        <w:t xml:space="preserve"> enterprises). </w:t>
      </w:r>
    </w:p>
    <w:p w14:paraId="290878FA" w14:textId="7B35FFB3" w:rsidR="00A82B4F" w:rsidRPr="002D265E" w:rsidRDefault="004C5BC7" w:rsidP="007A7664">
      <w:pPr>
        <w:keepNext/>
        <w:suppressAutoHyphens/>
        <w:rPr>
          <w:highlight w:val="yellow"/>
          <w:shd w:val="clear" w:color="auto" w:fill="FFFFFF"/>
          <w:lang w:val="en-GB"/>
        </w:rPr>
      </w:pPr>
      <w:r w:rsidRPr="002D265E">
        <w:rPr>
          <w:shd w:val="clear" w:color="auto" w:fill="FFFFFF"/>
          <w:lang w:val="en-GB"/>
        </w:rPr>
        <w:t xml:space="preserve">Compared to 2018, there is a visible increase in gross monthly salary per 1 employee in the cultural and creative industries in each size class of enterprises. In </w:t>
      </w:r>
      <w:r w:rsidR="002D265E" w:rsidRPr="002D265E">
        <w:rPr>
          <w:shd w:val="clear" w:color="auto" w:fill="FFFFFF"/>
          <w:lang w:val="en-GB"/>
        </w:rPr>
        <w:t>microenterprises,</w:t>
      </w:r>
      <w:r w:rsidRPr="002D265E">
        <w:rPr>
          <w:shd w:val="clear" w:color="auto" w:fill="FFFFFF"/>
          <w:lang w:val="en-GB"/>
        </w:rPr>
        <w:t xml:space="preserve"> this increase amounted to 218</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 xml:space="preserve">, in small enterprises </w:t>
      </w:r>
      <w:r w:rsidR="007A7664">
        <w:rPr>
          <w:shd w:val="clear" w:color="auto" w:fill="FFFFFF"/>
          <w:lang w:val="en-GB"/>
        </w:rPr>
        <w:t>–</w:t>
      </w:r>
      <w:r w:rsidR="00DE6230">
        <w:rPr>
          <w:shd w:val="clear" w:color="auto" w:fill="FFFFFF"/>
          <w:lang w:val="en-GB"/>
        </w:rPr>
        <w:t xml:space="preserve"> </w:t>
      </w:r>
      <w:r w:rsidRPr="002D265E">
        <w:rPr>
          <w:shd w:val="clear" w:color="auto" w:fill="FFFFFF"/>
          <w:lang w:val="en-GB"/>
        </w:rPr>
        <w:t>886</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 xml:space="preserve">, in medium enterprises </w:t>
      </w:r>
      <w:r w:rsidR="007A7664">
        <w:rPr>
          <w:shd w:val="clear" w:color="auto" w:fill="FFFFFF"/>
          <w:lang w:val="en-GB"/>
        </w:rPr>
        <w:t>–</w:t>
      </w:r>
      <w:r w:rsidR="00DE6230">
        <w:rPr>
          <w:shd w:val="clear" w:color="auto" w:fill="FFFFFF"/>
          <w:lang w:val="en-GB"/>
        </w:rPr>
        <w:t xml:space="preserve"> </w:t>
      </w:r>
      <w:r w:rsidRPr="002D265E">
        <w:rPr>
          <w:shd w:val="clear" w:color="auto" w:fill="FFFFFF"/>
          <w:lang w:val="en-GB"/>
        </w:rPr>
        <w:t>106</w:t>
      </w:r>
      <w:r w:rsidR="00061DCB" w:rsidRPr="00061DCB">
        <w:rPr>
          <w:shd w:val="clear" w:color="auto" w:fill="FFFFFF"/>
          <w:lang w:val="en-GB"/>
        </w:rPr>
        <w:t xml:space="preserve"> </w:t>
      </w:r>
      <w:r w:rsidR="00061DCB" w:rsidRPr="002D265E">
        <w:rPr>
          <w:shd w:val="clear" w:color="auto" w:fill="FFFFFF"/>
          <w:lang w:val="en-GB"/>
        </w:rPr>
        <w:lastRenderedPageBreak/>
        <w:t>PLN</w:t>
      </w:r>
      <w:r w:rsidRPr="002D265E">
        <w:rPr>
          <w:shd w:val="clear" w:color="auto" w:fill="FFFFFF"/>
          <w:lang w:val="en-GB"/>
        </w:rPr>
        <w:t xml:space="preserve">, and in large enterprises </w:t>
      </w:r>
      <w:r w:rsidR="007A7664">
        <w:rPr>
          <w:shd w:val="clear" w:color="auto" w:fill="FFFFFF"/>
          <w:lang w:val="en-GB"/>
        </w:rPr>
        <w:t>–</w:t>
      </w:r>
      <w:r w:rsidR="00DE6230">
        <w:rPr>
          <w:shd w:val="clear" w:color="auto" w:fill="FFFFFF"/>
          <w:lang w:val="en-GB"/>
        </w:rPr>
        <w:t xml:space="preserve"> </w:t>
      </w:r>
      <w:r w:rsidRPr="002D265E">
        <w:rPr>
          <w:shd w:val="clear" w:color="auto" w:fill="FFFFFF"/>
          <w:lang w:val="en-GB"/>
        </w:rPr>
        <w:t>1</w:t>
      </w:r>
      <w:r w:rsidR="007A7664">
        <w:rPr>
          <w:shd w:val="clear" w:color="auto" w:fill="FFFFFF"/>
          <w:lang w:val="en-GB"/>
        </w:rPr>
        <w:t>,</w:t>
      </w:r>
      <w:r w:rsidRPr="002D265E">
        <w:rPr>
          <w:shd w:val="clear" w:color="auto" w:fill="FFFFFF"/>
          <w:lang w:val="en-GB"/>
        </w:rPr>
        <w:t>157</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 xml:space="preserve">. In the case of small and large </w:t>
      </w:r>
      <w:r w:rsidR="002D265E" w:rsidRPr="002D265E">
        <w:rPr>
          <w:shd w:val="clear" w:color="auto" w:fill="FFFFFF"/>
          <w:lang w:val="en-GB"/>
        </w:rPr>
        <w:t>enterprises,</w:t>
      </w:r>
      <w:r w:rsidRPr="002D265E">
        <w:rPr>
          <w:shd w:val="clear" w:color="auto" w:fill="FFFFFF"/>
          <w:lang w:val="en-GB"/>
        </w:rPr>
        <w:t xml:space="preserve"> it was </w:t>
      </w:r>
      <w:r w:rsidR="00DE6230">
        <w:rPr>
          <w:shd w:val="clear" w:color="auto" w:fill="FFFFFF"/>
          <w:lang w:val="en-GB"/>
        </w:rPr>
        <w:t xml:space="preserve">an increase </w:t>
      </w:r>
      <w:r w:rsidR="002D265E" w:rsidRPr="002D265E">
        <w:rPr>
          <w:shd w:val="clear" w:color="auto" w:fill="FFFFFF"/>
          <w:lang w:val="en-GB"/>
        </w:rPr>
        <w:t>of</w:t>
      </w:r>
      <w:r w:rsidRPr="002D265E">
        <w:rPr>
          <w:shd w:val="clear" w:color="auto" w:fill="FFFFFF"/>
          <w:lang w:val="en-GB"/>
        </w:rPr>
        <w:t xml:space="preserve"> almost 15.0%, while in microenterprises the increase was 6.1%.</w:t>
      </w:r>
    </w:p>
    <w:p w14:paraId="5A26B5FE" w14:textId="05C7E2B5" w:rsidR="00923EA8" w:rsidRPr="002D265E" w:rsidRDefault="004C5BC7" w:rsidP="007A7664">
      <w:pPr>
        <w:keepNext/>
        <w:suppressAutoHyphens/>
        <w:ind w:left="709" w:hanging="709"/>
        <w:jc w:val="both"/>
        <w:rPr>
          <w:b/>
          <w:sz w:val="18"/>
          <w:shd w:val="clear" w:color="auto" w:fill="FFFFFF"/>
          <w:lang w:val="en-GB"/>
        </w:rPr>
      </w:pPr>
      <w:r w:rsidRPr="002D265E">
        <w:rPr>
          <w:b/>
          <w:sz w:val="18"/>
          <w:shd w:val="clear" w:color="auto" w:fill="FFFFFF"/>
          <w:lang w:val="en-GB"/>
        </w:rPr>
        <w:t>Table 1.</w:t>
      </w:r>
      <w:r w:rsidRPr="002D265E">
        <w:rPr>
          <w:b/>
          <w:sz w:val="18"/>
          <w:shd w:val="clear" w:color="auto" w:fill="FFFFFF"/>
          <w:lang w:val="en-GB"/>
        </w:rPr>
        <w:tab/>
        <w:t xml:space="preserve">Employed persons, average paid employment, gross </w:t>
      </w:r>
      <w:r w:rsidR="002D265E" w:rsidRPr="002D265E">
        <w:rPr>
          <w:b/>
          <w:sz w:val="18"/>
          <w:shd w:val="clear" w:color="auto" w:fill="FFFFFF"/>
          <w:lang w:val="en-GB"/>
        </w:rPr>
        <w:t>wages,</w:t>
      </w:r>
      <w:r w:rsidRPr="002D265E">
        <w:rPr>
          <w:b/>
          <w:sz w:val="18"/>
          <w:shd w:val="clear" w:color="auto" w:fill="FFFFFF"/>
          <w:lang w:val="en-GB"/>
        </w:rPr>
        <w:t xml:space="preserve"> and salaries in the cultural and creative industries in 2019</w:t>
      </w:r>
    </w:p>
    <w:tbl>
      <w:tblPr>
        <w:tblStyle w:val="Siatkatabelijasna1"/>
        <w:tblpPr w:leftFromText="141" w:rightFromText="141" w:vertAnchor="text" w:horzAnchor="margin" w:tblpY="136"/>
        <w:tblW w:w="8067" w:type="dxa"/>
        <w:tblCellMar>
          <w:top w:w="57" w:type="dxa"/>
          <w:bottom w:w="57" w:type="dxa"/>
        </w:tblCellMar>
        <w:tblLook w:val="0000" w:firstRow="0" w:lastRow="0" w:firstColumn="0" w:lastColumn="0" w:noHBand="0" w:noVBand="0"/>
      </w:tblPr>
      <w:tblGrid>
        <w:gridCol w:w="2127"/>
        <w:gridCol w:w="1485"/>
        <w:gridCol w:w="1485"/>
        <w:gridCol w:w="1485"/>
        <w:gridCol w:w="1485"/>
      </w:tblGrid>
      <w:tr w:rsidR="004C5BC7" w:rsidRPr="009E5D50" w14:paraId="6D670A01" w14:textId="77777777" w:rsidTr="00A958BB">
        <w:trPr>
          <w:trHeight w:val="933"/>
        </w:trPr>
        <w:tc>
          <w:tcPr>
            <w:tcW w:w="2127" w:type="dxa"/>
            <w:tcBorders>
              <w:top w:val="nil"/>
              <w:left w:val="nil"/>
              <w:bottom w:val="single" w:sz="18" w:space="0" w:color="001D77"/>
              <w:right w:val="single" w:sz="2" w:space="0" w:color="001D77"/>
            </w:tcBorders>
            <w:shd w:val="clear" w:color="auto" w:fill="auto"/>
            <w:vAlign w:val="center"/>
          </w:tcPr>
          <w:p w14:paraId="1A20C304" w14:textId="1EBAE133" w:rsidR="004C5BC7" w:rsidRPr="002D265E" w:rsidRDefault="004C5BC7" w:rsidP="007A7664">
            <w:pPr>
              <w:pStyle w:val="Nagwek1"/>
              <w:tabs>
                <w:tab w:val="right" w:leader="dot" w:pos="4139"/>
              </w:tabs>
              <w:suppressAutoHyphens/>
              <w:spacing w:before="0" w:after="0" w:line="240" w:lineRule="exact"/>
              <w:jc w:val="center"/>
              <w:outlineLvl w:val="0"/>
              <w:rPr>
                <w:rFonts w:ascii="Fira Sans" w:hAnsi="Fira Sans" w:cs="Arial"/>
                <w:color w:val="00000A"/>
                <w:sz w:val="16"/>
                <w:szCs w:val="16"/>
                <w:lang w:val="en-GB"/>
              </w:rPr>
            </w:pPr>
            <w:r w:rsidRPr="002D265E">
              <w:rPr>
                <w:rFonts w:ascii="Fira Sans" w:hAnsi="Fira Sans" w:cs="Arial"/>
                <w:color w:val="000000" w:themeColor="text1"/>
                <w:sz w:val="16"/>
                <w:szCs w:val="16"/>
                <w:lang w:val="en-GB"/>
              </w:rPr>
              <w:t>SPECIFICATION</w:t>
            </w:r>
          </w:p>
        </w:tc>
        <w:tc>
          <w:tcPr>
            <w:tcW w:w="1485" w:type="dxa"/>
            <w:tcBorders>
              <w:top w:val="nil"/>
              <w:left w:val="single" w:sz="2" w:space="0" w:color="001D77"/>
              <w:bottom w:val="single" w:sz="18" w:space="0" w:color="001D77"/>
              <w:right w:val="single" w:sz="2" w:space="0" w:color="001D77"/>
            </w:tcBorders>
            <w:shd w:val="clear" w:color="auto" w:fill="auto"/>
            <w:tcMar>
              <w:left w:w="102" w:type="dxa"/>
            </w:tcMar>
            <w:vAlign w:val="center"/>
          </w:tcPr>
          <w:p w14:paraId="75E63FF3" w14:textId="1E5C04F8" w:rsidR="004C5BC7" w:rsidRPr="002D265E" w:rsidRDefault="004C5BC7" w:rsidP="007A7664">
            <w:pPr>
              <w:keepNext/>
              <w:suppressAutoHyphens/>
              <w:spacing w:before="0" w:after="0"/>
              <w:jc w:val="center"/>
              <w:rPr>
                <w:bCs/>
                <w:sz w:val="16"/>
                <w:szCs w:val="16"/>
                <w:lang w:val="en-GB"/>
              </w:rPr>
            </w:pPr>
            <w:r w:rsidRPr="002D265E">
              <w:rPr>
                <w:rFonts w:eastAsia="Times New Roman" w:cs="Arial"/>
                <w:bCs/>
                <w:color w:val="000000" w:themeColor="text1"/>
                <w:sz w:val="16"/>
                <w:szCs w:val="16"/>
                <w:lang w:val="en-GB" w:eastAsia="pl-PL"/>
              </w:rPr>
              <w:t xml:space="preserve">Number of persons </w:t>
            </w:r>
            <w:r w:rsidR="007A7664" w:rsidRPr="002D265E">
              <w:rPr>
                <w:rFonts w:eastAsia="Times New Roman" w:cs="Arial"/>
                <w:bCs/>
                <w:color w:val="000000" w:themeColor="text1"/>
                <w:sz w:val="16"/>
                <w:szCs w:val="16"/>
                <w:lang w:val="en-GB" w:eastAsia="pl-PL"/>
              </w:rPr>
              <w:t>employed</w:t>
            </w:r>
          </w:p>
        </w:tc>
        <w:tc>
          <w:tcPr>
            <w:tcW w:w="1485" w:type="dxa"/>
            <w:tcBorders>
              <w:top w:val="nil"/>
              <w:left w:val="single" w:sz="2" w:space="0" w:color="001D77"/>
              <w:bottom w:val="single" w:sz="18" w:space="0" w:color="001D77"/>
              <w:right w:val="single" w:sz="2" w:space="0" w:color="001D77"/>
            </w:tcBorders>
            <w:shd w:val="clear" w:color="auto" w:fill="auto"/>
            <w:tcMar>
              <w:left w:w="102" w:type="dxa"/>
            </w:tcMar>
            <w:vAlign w:val="center"/>
          </w:tcPr>
          <w:p w14:paraId="1D3042C4" w14:textId="1DE49995" w:rsidR="004C5BC7" w:rsidRPr="002D265E" w:rsidRDefault="004C5BC7" w:rsidP="007A7664">
            <w:pPr>
              <w:keepNext/>
              <w:suppressAutoHyphens/>
              <w:spacing w:before="0" w:after="0"/>
              <w:jc w:val="center"/>
              <w:rPr>
                <w:bCs/>
                <w:sz w:val="16"/>
                <w:szCs w:val="16"/>
                <w:lang w:val="en-GB"/>
              </w:rPr>
            </w:pPr>
            <w:r w:rsidRPr="002D265E">
              <w:rPr>
                <w:rFonts w:eastAsia="Times New Roman" w:cs="Arial"/>
                <w:bCs/>
                <w:color w:val="000000" w:themeColor="text1"/>
                <w:sz w:val="16"/>
                <w:szCs w:val="16"/>
                <w:lang w:val="en-GB" w:eastAsia="pl-PL"/>
              </w:rPr>
              <w:t>Average paid employment</w:t>
            </w:r>
          </w:p>
        </w:tc>
        <w:tc>
          <w:tcPr>
            <w:tcW w:w="1485" w:type="dxa"/>
            <w:tcBorders>
              <w:top w:val="nil"/>
              <w:left w:val="single" w:sz="2" w:space="0" w:color="001D77"/>
              <w:bottom w:val="single" w:sz="18" w:space="0" w:color="001D77"/>
              <w:right w:val="single" w:sz="2" w:space="0" w:color="001D77"/>
            </w:tcBorders>
            <w:shd w:val="clear" w:color="auto" w:fill="auto"/>
            <w:tcMar>
              <w:left w:w="102" w:type="dxa"/>
            </w:tcMar>
            <w:vAlign w:val="center"/>
          </w:tcPr>
          <w:p w14:paraId="5F7E2BD9" w14:textId="0DDD1D8B" w:rsidR="004C5BC7" w:rsidRPr="002D265E" w:rsidRDefault="004C5BC7" w:rsidP="007A7664">
            <w:pPr>
              <w:keepNext/>
              <w:suppressAutoHyphens/>
              <w:spacing w:before="0" w:after="0"/>
              <w:jc w:val="center"/>
              <w:rPr>
                <w:bCs/>
                <w:sz w:val="16"/>
                <w:szCs w:val="16"/>
                <w:lang w:val="en-GB"/>
              </w:rPr>
            </w:pPr>
            <w:r w:rsidRPr="002D265E">
              <w:rPr>
                <w:rFonts w:eastAsia="Times New Roman" w:cs="Arial"/>
                <w:bCs/>
                <w:color w:val="000000" w:themeColor="text1"/>
                <w:sz w:val="16"/>
                <w:szCs w:val="16"/>
                <w:lang w:val="en-GB" w:eastAsia="pl-PL"/>
              </w:rPr>
              <w:t>Gross wages and salaries in thousands PLN</w:t>
            </w:r>
          </w:p>
        </w:tc>
        <w:tc>
          <w:tcPr>
            <w:tcW w:w="1485" w:type="dxa"/>
            <w:tcBorders>
              <w:top w:val="nil"/>
              <w:left w:val="single" w:sz="2" w:space="0" w:color="001D77"/>
              <w:bottom w:val="single" w:sz="18" w:space="0" w:color="001D77"/>
              <w:right w:val="nil"/>
            </w:tcBorders>
            <w:shd w:val="clear" w:color="auto" w:fill="auto"/>
            <w:tcMar>
              <w:left w:w="102" w:type="dxa"/>
            </w:tcMar>
            <w:vAlign w:val="center"/>
          </w:tcPr>
          <w:p w14:paraId="06650B16" w14:textId="6050F6F8" w:rsidR="004C5BC7" w:rsidRPr="002D265E" w:rsidRDefault="004C5BC7" w:rsidP="007A7664">
            <w:pPr>
              <w:keepNext/>
              <w:suppressAutoHyphens/>
              <w:spacing w:before="0" w:after="0"/>
              <w:jc w:val="center"/>
              <w:rPr>
                <w:bCs/>
                <w:sz w:val="16"/>
                <w:szCs w:val="16"/>
                <w:lang w:val="en-GB"/>
              </w:rPr>
            </w:pPr>
            <w:r w:rsidRPr="002D265E">
              <w:rPr>
                <w:rFonts w:eastAsia="Times New Roman" w:cs="Arial"/>
                <w:bCs/>
                <w:color w:val="000000" w:themeColor="text1"/>
                <w:sz w:val="16"/>
                <w:szCs w:val="16"/>
                <w:lang w:val="en-GB" w:eastAsia="pl-PL"/>
              </w:rPr>
              <w:t xml:space="preserve">Monthly gross wages and </w:t>
            </w:r>
            <w:r w:rsidR="002D265E" w:rsidRPr="002D265E">
              <w:rPr>
                <w:rFonts w:eastAsia="Times New Roman" w:cs="Arial"/>
                <w:bCs/>
                <w:color w:val="000000" w:themeColor="text1"/>
                <w:sz w:val="16"/>
                <w:szCs w:val="16"/>
                <w:lang w:val="en-GB" w:eastAsia="pl-PL"/>
              </w:rPr>
              <w:t>salary</w:t>
            </w:r>
            <w:r w:rsidRPr="002D265E">
              <w:rPr>
                <w:rFonts w:eastAsia="Times New Roman" w:cs="Arial"/>
                <w:bCs/>
                <w:color w:val="000000" w:themeColor="text1"/>
                <w:sz w:val="16"/>
                <w:szCs w:val="16"/>
                <w:lang w:val="en-GB" w:eastAsia="pl-PL"/>
              </w:rPr>
              <w:t xml:space="preserve"> per 1 paid employee in PLN</w:t>
            </w:r>
          </w:p>
        </w:tc>
      </w:tr>
      <w:tr w:rsidR="004C5BC7" w:rsidRPr="002D265E" w14:paraId="6876F9C0" w14:textId="77777777" w:rsidTr="00725BCA">
        <w:trPr>
          <w:trHeight w:val="20"/>
        </w:trPr>
        <w:tc>
          <w:tcPr>
            <w:tcW w:w="2127" w:type="dxa"/>
            <w:tcBorders>
              <w:top w:val="single" w:sz="18" w:space="0" w:color="001D77"/>
              <w:left w:val="nil"/>
              <w:bottom w:val="single" w:sz="2" w:space="0" w:color="001D77"/>
              <w:right w:val="single" w:sz="2" w:space="0" w:color="001D77"/>
            </w:tcBorders>
            <w:shd w:val="clear" w:color="auto" w:fill="auto"/>
            <w:vAlign w:val="center"/>
          </w:tcPr>
          <w:p w14:paraId="24F7BF5A" w14:textId="60C2A89D" w:rsidR="004C5BC7" w:rsidRPr="002D265E" w:rsidRDefault="004C5BC7" w:rsidP="007A7664">
            <w:pPr>
              <w:pStyle w:val="Nagwek5"/>
              <w:keepLines w:val="0"/>
              <w:tabs>
                <w:tab w:val="right" w:leader="dot" w:pos="4156"/>
              </w:tabs>
              <w:suppressAutoHyphens/>
              <w:spacing w:before="120" w:after="120"/>
              <w:contextualSpacing/>
              <w:outlineLvl w:val="4"/>
              <w:rPr>
                <w:rFonts w:ascii="Fira Sans" w:hAnsi="Fira Sans"/>
                <w:b/>
                <w:color w:val="000000" w:themeColor="text1"/>
                <w:sz w:val="16"/>
                <w:szCs w:val="16"/>
                <w:lang w:val="en-GB"/>
              </w:rPr>
            </w:pPr>
            <w:r w:rsidRPr="002D265E">
              <w:rPr>
                <w:rFonts w:ascii="Fira Sans" w:hAnsi="Fira Sans"/>
                <w:b/>
                <w:color w:val="000000" w:themeColor="text1"/>
                <w:sz w:val="16"/>
                <w:szCs w:val="16"/>
                <w:lang w:val="en-GB"/>
              </w:rPr>
              <w:t>TOTAL</w:t>
            </w:r>
          </w:p>
        </w:tc>
        <w:tc>
          <w:tcPr>
            <w:tcW w:w="1485" w:type="dxa"/>
            <w:tcBorders>
              <w:top w:val="single" w:sz="18" w:space="0" w:color="001D77"/>
              <w:left w:val="single" w:sz="2" w:space="0" w:color="001D77"/>
              <w:bottom w:val="single" w:sz="2" w:space="0" w:color="001D77"/>
              <w:right w:val="single" w:sz="2" w:space="0" w:color="001D77"/>
            </w:tcBorders>
            <w:shd w:val="clear" w:color="auto" w:fill="auto"/>
            <w:tcMar>
              <w:left w:w="102" w:type="dxa"/>
            </w:tcMar>
          </w:tcPr>
          <w:p w14:paraId="4F74A441" w14:textId="48CC5689" w:rsidR="004C5BC7" w:rsidRPr="002D265E" w:rsidRDefault="004C5BC7" w:rsidP="007A7664">
            <w:pPr>
              <w:keepNext/>
              <w:suppressAutoHyphens/>
              <w:jc w:val="right"/>
              <w:rPr>
                <w:rFonts w:eastAsiaTheme="majorEastAsia" w:cstheme="majorBidi"/>
                <w:b/>
                <w:color w:val="000000" w:themeColor="text1"/>
                <w:sz w:val="16"/>
                <w:szCs w:val="16"/>
                <w:lang w:val="en-GB"/>
              </w:rPr>
            </w:pPr>
            <w:r w:rsidRPr="002D265E">
              <w:rPr>
                <w:rFonts w:eastAsia="Times New Roman" w:cs="Arial"/>
                <w:b/>
                <w:bCs/>
                <w:color w:val="000000"/>
                <w:sz w:val="16"/>
                <w:szCs w:val="16"/>
                <w:lang w:val="en-GB" w:eastAsia="pl-PL"/>
              </w:rPr>
              <w:t>237</w:t>
            </w:r>
            <w:r w:rsidR="006A14E8" w:rsidRPr="002D265E">
              <w:rPr>
                <w:rFonts w:eastAsia="Times New Roman" w:cs="Arial"/>
                <w:b/>
                <w:bCs/>
                <w:color w:val="000000"/>
                <w:sz w:val="16"/>
                <w:szCs w:val="16"/>
                <w:lang w:val="en-GB" w:eastAsia="pl-PL"/>
              </w:rPr>
              <w:t>,</w:t>
            </w:r>
            <w:r w:rsidRPr="002D265E">
              <w:rPr>
                <w:rFonts w:eastAsia="Times New Roman" w:cs="Arial"/>
                <w:b/>
                <w:bCs/>
                <w:color w:val="000000"/>
                <w:sz w:val="16"/>
                <w:szCs w:val="16"/>
                <w:lang w:val="en-GB" w:eastAsia="pl-PL"/>
              </w:rPr>
              <w:t>693</w:t>
            </w:r>
          </w:p>
        </w:tc>
        <w:tc>
          <w:tcPr>
            <w:tcW w:w="1485" w:type="dxa"/>
            <w:tcBorders>
              <w:top w:val="single" w:sz="18" w:space="0" w:color="001D77"/>
              <w:left w:val="single" w:sz="2" w:space="0" w:color="001D77"/>
              <w:bottom w:val="single" w:sz="2" w:space="0" w:color="001D77"/>
              <w:right w:val="single" w:sz="2" w:space="0" w:color="001D77"/>
            </w:tcBorders>
            <w:shd w:val="clear" w:color="auto" w:fill="auto"/>
            <w:tcMar>
              <w:left w:w="102" w:type="dxa"/>
            </w:tcMar>
          </w:tcPr>
          <w:p w14:paraId="48CE332B" w14:textId="4F5B94CF" w:rsidR="004C5BC7" w:rsidRPr="002D265E" w:rsidRDefault="004C5BC7" w:rsidP="007A7664">
            <w:pPr>
              <w:keepNext/>
              <w:suppressAutoHyphens/>
              <w:jc w:val="right"/>
              <w:rPr>
                <w:rFonts w:eastAsiaTheme="majorEastAsia" w:cstheme="majorBidi"/>
                <w:b/>
                <w:color w:val="000000" w:themeColor="text1"/>
                <w:sz w:val="16"/>
                <w:szCs w:val="16"/>
                <w:lang w:val="en-GB"/>
              </w:rPr>
            </w:pPr>
            <w:r w:rsidRPr="002D265E">
              <w:rPr>
                <w:rFonts w:eastAsia="Times New Roman" w:cs="Arial"/>
                <w:b/>
                <w:bCs/>
                <w:color w:val="000000"/>
                <w:sz w:val="16"/>
                <w:szCs w:val="16"/>
                <w:lang w:val="en-GB" w:eastAsia="pl-PL"/>
              </w:rPr>
              <w:t>99</w:t>
            </w:r>
            <w:r w:rsidR="006A14E8" w:rsidRPr="002D265E">
              <w:rPr>
                <w:rFonts w:eastAsia="Times New Roman" w:cs="Arial"/>
                <w:b/>
                <w:bCs/>
                <w:color w:val="000000"/>
                <w:sz w:val="16"/>
                <w:szCs w:val="16"/>
                <w:lang w:val="en-GB" w:eastAsia="pl-PL"/>
              </w:rPr>
              <w:t>,</w:t>
            </w:r>
            <w:r w:rsidRPr="002D265E">
              <w:rPr>
                <w:rFonts w:eastAsia="Times New Roman" w:cs="Arial"/>
                <w:b/>
                <w:bCs/>
                <w:color w:val="000000"/>
                <w:sz w:val="16"/>
                <w:szCs w:val="16"/>
                <w:lang w:val="en-GB" w:eastAsia="pl-PL"/>
              </w:rPr>
              <w:t>909</w:t>
            </w:r>
          </w:p>
        </w:tc>
        <w:tc>
          <w:tcPr>
            <w:tcW w:w="1485" w:type="dxa"/>
            <w:tcBorders>
              <w:top w:val="single" w:sz="18" w:space="0" w:color="001D77"/>
              <w:left w:val="single" w:sz="2" w:space="0" w:color="001D77"/>
              <w:bottom w:val="single" w:sz="2" w:space="0" w:color="001D77"/>
              <w:right w:val="single" w:sz="2" w:space="0" w:color="001D77"/>
            </w:tcBorders>
            <w:shd w:val="clear" w:color="auto" w:fill="auto"/>
            <w:tcMar>
              <w:left w:w="102" w:type="dxa"/>
            </w:tcMar>
          </w:tcPr>
          <w:p w14:paraId="298DE57E" w14:textId="21B4D9ED" w:rsidR="004C5BC7" w:rsidRPr="002D265E" w:rsidRDefault="004C5BC7" w:rsidP="007A7664">
            <w:pPr>
              <w:keepNext/>
              <w:suppressAutoHyphens/>
              <w:jc w:val="right"/>
              <w:rPr>
                <w:rFonts w:eastAsiaTheme="majorEastAsia" w:cstheme="majorBidi"/>
                <w:b/>
                <w:color w:val="000000" w:themeColor="text1"/>
                <w:sz w:val="16"/>
                <w:szCs w:val="16"/>
                <w:lang w:val="en-GB"/>
              </w:rPr>
            </w:pPr>
            <w:r w:rsidRPr="002D265E">
              <w:rPr>
                <w:rFonts w:eastAsia="Times New Roman" w:cs="Arial"/>
                <w:b/>
                <w:bCs/>
                <w:color w:val="000000"/>
                <w:sz w:val="16"/>
                <w:szCs w:val="16"/>
                <w:lang w:val="en-GB" w:eastAsia="pl-PL"/>
              </w:rPr>
              <w:t>7</w:t>
            </w:r>
            <w:r w:rsidR="006A14E8" w:rsidRPr="002D265E">
              <w:rPr>
                <w:rFonts w:eastAsia="Times New Roman" w:cs="Arial"/>
                <w:b/>
                <w:bCs/>
                <w:color w:val="000000"/>
                <w:sz w:val="16"/>
                <w:szCs w:val="16"/>
                <w:lang w:val="en-GB" w:eastAsia="pl-PL"/>
              </w:rPr>
              <w:t>,</w:t>
            </w:r>
            <w:r w:rsidRPr="002D265E">
              <w:rPr>
                <w:rFonts w:eastAsia="Times New Roman" w:cs="Arial"/>
                <w:b/>
                <w:bCs/>
                <w:color w:val="000000"/>
                <w:sz w:val="16"/>
                <w:szCs w:val="16"/>
                <w:lang w:val="en-GB" w:eastAsia="pl-PL"/>
              </w:rPr>
              <w:t>742</w:t>
            </w:r>
            <w:r w:rsidR="006A14E8" w:rsidRPr="002D265E">
              <w:rPr>
                <w:rFonts w:eastAsia="Times New Roman" w:cs="Arial"/>
                <w:b/>
                <w:bCs/>
                <w:color w:val="000000"/>
                <w:sz w:val="16"/>
                <w:szCs w:val="16"/>
                <w:lang w:val="en-GB" w:eastAsia="pl-PL"/>
              </w:rPr>
              <w:t>,</w:t>
            </w:r>
            <w:r w:rsidRPr="002D265E">
              <w:rPr>
                <w:rFonts w:eastAsia="Times New Roman" w:cs="Arial"/>
                <w:b/>
                <w:bCs/>
                <w:color w:val="000000"/>
                <w:sz w:val="16"/>
                <w:szCs w:val="16"/>
                <w:lang w:val="en-GB" w:eastAsia="pl-PL"/>
              </w:rPr>
              <w:t>868</w:t>
            </w:r>
          </w:p>
        </w:tc>
        <w:tc>
          <w:tcPr>
            <w:tcW w:w="1485" w:type="dxa"/>
            <w:tcBorders>
              <w:top w:val="single" w:sz="18" w:space="0" w:color="001D77"/>
              <w:left w:val="single" w:sz="2" w:space="0" w:color="001D77"/>
              <w:bottom w:val="single" w:sz="2" w:space="0" w:color="001D77"/>
              <w:right w:val="nil"/>
            </w:tcBorders>
            <w:shd w:val="clear" w:color="auto" w:fill="auto"/>
            <w:tcMar>
              <w:left w:w="102" w:type="dxa"/>
            </w:tcMar>
          </w:tcPr>
          <w:p w14:paraId="43A9E9B1" w14:textId="27FDD7EB" w:rsidR="004C5BC7" w:rsidRPr="002D265E" w:rsidRDefault="004C5BC7" w:rsidP="007A7664">
            <w:pPr>
              <w:keepNext/>
              <w:suppressAutoHyphens/>
              <w:jc w:val="right"/>
              <w:rPr>
                <w:rFonts w:eastAsiaTheme="majorEastAsia" w:cstheme="majorBidi"/>
                <w:b/>
                <w:color w:val="000000" w:themeColor="text1"/>
                <w:sz w:val="16"/>
                <w:szCs w:val="16"/>
                <w:lang w:val="en-GB"/>
              </w:rPr>
            </w:pPr>
            <w:r w:rsidRPr="002D265E">
              <w:rPr>
                <w:rFonts w:eastAsia="Times New Roman" w:cs="Arial"/>
                <w:b/>
                <w:bCs/>
                <w:color w:val="000000"/>
                <w:sz w:val="16"/>
                <w:szCs w:val="16"/>
                <w:lang w:val="en-GB" w:eastAsia="pl-PL"/>
              </w:rPr>
              <w:t>6</w:t>
            </w:r>
            <w:r w:rsidR="006A14E8" w:rsidRPr="002D265E">
              <w:rPr>
                <w:rFonts w:eastAsia="Times New Roman" w:cs="Arial"/>
                <w:b/>
                <w:bCs/>
                <w:color w:val="000000"/>
                <w:sz w:val="16"/>
                <w:szCs w:val="16"/>
                <w:lang w:val="en-GB" w:eastAsia="pl-PL"/>
              </w:rPr>
              <w:t>,</w:t>
            </w:r>
            <w:r w:rsidRPr="002D265E">
              <w:rPr>
                <w:rFonts w:eastAsia="Times New Roman" w:cs="Arial"/>
                <w:b/>
                <w:bCs/>
                <w:color w:val="000000"/>
                <w:sz w:val="16"/>
                <w:szCs w:val="16"/>
                <w:lang w:val="en-GB" w:eastAsia="pl-PL"/>
              </w:rPr>
              <w:t>458</w:t>
            </w:r>
          </w:p>
        </w:tc>
      </w:tr>
      <w:tr w:rsidR="004C5BC7" w:rsidRPr="002D265E" w14:paraId="5B01B16F" w14:textId="77777777" w:rsidTr="00725BCA">
        <w:trPr>
          <w:trHeight w:val="20"/>
        </w:trPr>
        <w:tc>
          <w:tcPr>
            <w:tcW w:w="2127" w:type="dxa"/>
            <w:tcBorders>
              <w:top w:val="single" w:sz="2" w:space="0" w:color="001D77"/>
              <w:left w:val="nil"/>
              <w:bottom w:val="single" w:sz="2" w:space="0" w:color="001D77"/>
              <w:right w:val="single" w:sz="2" w:space="0" w:color="001D77"/>
            </w:tcBorders>
            <w:shd w:val="clear" w:color="auto" w:fill="auto"/>
            <w:vAlign w:val="center"/>
          </w:tcPr>
          <w:p w14:paraId="37581B69" w14:textId="68BBFA6B" w:rsidR="004C5BC7" w:rsidRPr="002D265E" w:rsidRDefault="004C5BC7" w:rsidP="007A7664">
            <w:pPr>
              <w:pStyle w:val="Nagwek8"/>
              <w:keepLines w:val="0"/>
              <w:tabs>
                <w:tab w:val="right" w:leader="dot" w:pos="4156"/>
              </w:tabs>
              <w:suppressAutoHyphens/>
              <w:spacing w:before="120" w:after="120"/>
              <w:contextualSpacing/>
              <w:outlineLvl w:val="7"/>
              <w:rPr>
                <w:rFonts w:ascii="Fira Sans" w:hAnsi="Fira Sans"/>
                <w:color w:val="00000A"/>
                <w:sz w:val="16"/>
                <w:szCs w:val="16"/>
                <w:lang w:val="en-GB"/>
              </w:rPr>
            </w:pPr>
            <w:r w:rsidRPr="002D265E">
              <w:rPr>
                <w:rFonts w:ascii="Fira Sans" w:hAnsi="Fira Sans"/>
                <w:color w:val="00000A"/>
                <w:sz w:val="16"/>
                <w:szCs w:val="16"/>
                <w:lang w:val="en-GB"/>
              </w:rPr>
              <w:t>Microenterprises</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4A204AC2" w14:textId="198F2A39"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172</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789</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53E0D67B" w14:textId="533DF413"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38</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738</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73911D00" w14:textId="2FE0EA0D"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1</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761</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121</w:t>
            </w:r>
          </w:p>
        </w:tc>
        <w:tc>
          <w:tcPr>
            <w:tcW w:w="1485" w:type="dxa"/>
            <w:tcBorders>
              <w:top w:val="single" w:sz="2" w:space="0" w:color="001D77"/>
              <w:left w:val="single" w:sz="2" w:space="0" w:color="001D77"/>
              <w:bottom w:val="single" w:sz="2" w:space="0" w:color="001D77"/>
              <w:right w:val="nil"/>
            </w:tcBorders>
            <w:shd w:val="clear" w:color="auto" w:fill="auto"/>
            <w:tcMar>
              <w:left w:w="102" w:type="dxa"/>
            </w:tcMar>
          </w:tcPr>
          <w:p w14:paraId="21126D8E" w14:textId="3C89DA3D"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3</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788</w:t>
            </w:r>
          </w:p>
        </w:tc>
      </w:tr>
      <w:tr w:rsidR="004C5BC7" w:rsidRPr="002D265E" w14:paraId="7EAA0A8E" w14:textId="77777777" w:rsidTr="00725BCA">
        <w:trPr>
          <w:trHeight w:val="20"/>
        </w:trPr>
        <w:tc>
          <w:tcPr>
            <w:tcW w:w="2127" w:type="dxa"/>
            <w:tcBorders>
              <w:top w:val="single" w:sz="2" w:space="0" w:color="001D77"/>
              <w:left w:val="nil"/>
              <w:bottom w:val="single" w:sz="2" w:space="0" w:color="001D77"/>
              <w:right w:val="single" w:sz="2" w:space="0" w:color="001D77"/>
            </w:tcBorders>
            <w:shd w:val="clear" w:color="auto" w:fill="auto"/>
            <w:vAlign w:val="center"/>
          </w:tcPr>
          <w:p w14:paraId="6B00C8C9" w14:textId="4ACB1437" w:rsidR="004C5BC7" w:rsidRPr="002D265E" w:rsidRDefault="004C5BC7" w:rsidP="007A7664">
            <w:pPr>
              <w:pStyle w:val="Nagwek8"/>
              <w:keepLines w:val="0"/>
              <w:tabs>
                <w:tab w:val="right" w:leader="dot" w:pos="4156"/>
              </w:tabs>
              <w:suppressAutoHyphens/>
              <w:spacing w:before="120" w:after="120"/>
              <w:contextualSpacing/>
              <w:outlineLvl w:val="7"/>
              <w:rPr>
                <w:rFonts w:ascii="Fira Sans" w:hAnsi="Fira Sans"/>
                <w:color w:val="00000A"/>
                <w:sz w:val="16"/>
                <w:szCs w:val="16"/>
                <w:lang w:val="en-GB"/>
              </w:rPr>
            </w:pPr>
            <w:r w:rsidRPr="002D265E">
              <w:rPr>
                <w:rFonts w:ascii="Fira Sans" w:hAnsi="Fira Sans"/>
                <w:color w:val="00000A"/>
                <w:sz w:val="16"/>
                <w:szCs w:val="16"/>
                <w:lang w:val="en-GB"/>
              </w:rPr>
              <w:t xml:space="preserve">Small enterprises </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1823C294" w14:textId="36B92B16"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18</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857</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2EEC6F79" w14:textId="67B5B857"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17</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496</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3F7D4847" w14:textId="09495487"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1</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454</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008</w:t>
            </w:r>
          </w:p>
        </w:tc>
        <w:tc>
          <w:tcPr>
            <w:tcW w:w="1485" w:type="dxa"/>
            <w:tcBorders>
              <w:top w:val="single" w:sz="2" w:space="0" w:color="001D77"/>
              <w:left w:val="single" w:sz="2" w:space="0" w:color="001D77"/>
              <w:bottom w:val="single" w:sz="2" w:space="0" w:color="001D77"/>
              <w:right w:val="nil"/>
            </w:tcBorders>
            <w:shd w:val="clear" w:color="auto" w:fill="auto"/>
            <w:tcMar>
              <w:left w:w="102" w:type="dxa"/>
            </w:tcMar>
          </w:tcPr>
          <w:p w14:paraId="444AA508" w14:textId="0611CD2F"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6</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925</w:t>
            </w:r>
          </w:p>
        </w:tc>
      </w:tr>
      <w:tr w:rsidR="004C5BC7" w:rsidRPr="002D265E" w14:paraId="6E5031AD" w14:textId="77777777" w:rsidTr="00725BCA">
        <w:trPr>
          <w:trHeight w:val="20"/>
        </w:trPr>
        <w:tc>
          <w:tcPr>
            <w:tcW w:w="2127" w:type="dxa"/>
            <w:tcBorders>
              <w:top w:val="single" w:sz="2" w:space="0" w:color="001D77"/>
              <w:left w:val="nil"/>
              <w:bottom w:val="single" w:sz="2" w:space="0" w:color="001D77"/>
              <w:right w:val="single" w:sz="2" w:space="0" w:color="001D77"/>
            </w:tcBorders>
            <w:shd w:val="clear" w:color="auto" w:fill="auto"/>
            <w:vAlign w:val="center"/>
          </w:tcPr>
          <w:p w14:paraId="5C63E3F1" w14:textId="2722D134" w:rsidR="004C5BC7" w:rsidRPr="002D265E" w:rsidRDefault="004C5BC7" w:rsidP="007A7664">
            <w:pPr>
              <w:pStyle w:val="Nagwek8"/>
              <w:keepLines w:val="0"/>
              <w:tabs>
                <w:tab w:val="right" w:leader="dot" w:pos="4156"/>
              </w:tabs>
              <w:suppressAutoHyphens/>
              <w:spacing w:before="120" w:after="120"/>
              <w:contextualSpacing/>
              <w:outlineLvl w:val="7"/>
              <w:rPr>
                <w:rFonts w:ascii="Fira Sans" w:hAnsi="Fira Sans"/>
                <w:color w:val="00000A"/>
                <w:sz w:val="16"/>
                <w:szCs w:val="16"/>
                <w:lang w:val="en-GB"/>
              </w:rPr>
            </w:pPr>
            <w:r w:rsidRPr="002D265E">
              <w:rPr>
                <w:rFonts w:ascii="Fira Sans" w:hAnsi="Fira Sans"/>
                <w:color w:val="00000A"/>
                <w:sz w:val="16"/>
                <w:szCs w:val="16"/>
                <w:lang w:val="en-GB"/>
              </w:rPr>
              <w:t>Medium enterprises</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7F2C8637" w14:textId="1528C262"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17</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438</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6A25DADF" w14:textId="2F6874C7"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16</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370</w:t>
            </w:r>
          </w:p>
        </w:tc>
        <w:tc>
          <w:tcPr>
            <w:tcW w:w="1485" w:type="dxa"/>
            <w:tcBorders>
              <w:top w:val="single" w:sz="2" w:space="0" w:color="001D77"/>
              <w:left w:val="single" w:sz="2" w:space="0" w:color="001D77"/>
              <w:bottom w:val="single" w:sz="2" w:space="0" w:color="001D77"/>
              <w:right w:val="single" w:sz="2" w:space="0" w:color="001D77"/>
            </w:tcBorders>
            <w:shd w:val="clear" w:color="auto" w:fill="auto"/>
            <w:tcMar>
              <w:left w:w="102" w:type="dxa"/>
            </w:tcMar>
          </w:tcPr>
          <w:p w14:paraId="494A969F" w14:textId="310A6B97"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1</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591</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209</w:t>
            </w:r>
          </w:p>
        </w:tc>
        <w:tc>
          <w:tcPr>
            <w:tcW w:w="1485" w:type="dxa"/>
            <w:tcBorders>
              <w:top w:val="single" w:sz="2" w:space="0" w:color="001D77"/>
              <w:left w:val="single" w:sz="2" w:space="0" w:color="001D77"/>
              <w:bottom w:val="single" w:sz="2" w:space="0" w:color="001D77"/>
              <w:right w:val="nil"/>
            </w:tcBorders>
            <w:shd w:val="clear" w:color="auto" w:fill="auto"/>
            <w:tcMar>
              <w:left w:w="102" w:type="dxa"/>
            </w:tcMar>
          </w:tcPr>
          <w:p w14:paraId="4D812408" w14:textId="2D89F1A9"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8</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100</w:t>
            </w:r>
          </w:p>
        </w:tc>
      </w:tr>
      <w:tr w:rsidR="004C5BC7" w:rsidRPr="002D265E" w14:paraId="6BD0EDAC" w14:textId="77777777" w:rsidTr="00725BCA">
        <w:trPr>
          <w:trHeight w:val="20"/>
        </w:trPr>
        <w:tc>
          <w:tcPr>
            <w:tcW w:w="2127" w:type="dxa"/>
            <w:tcBorders>
              <w:top w:val="single" w:sz="2" w:space="0" w:color="001D77"/>
              <w:left w:val="nil"/>
              <w:bottom w:val="nil"/>
              <w:right w:val="single" w:sz="2" w:space="0" w:color="001D77"/>
            </w:tcBorders>
            <w:shd w:val="clear" w:color="auto" w:fill="auto"/>
            <w:vAlign w:val="center"/>
          </w:tcPr>
          <w:p w14:paraId="158EB3D5" w14:textId="5D08A29C" w:rsidR="004C5BC7" w:rsidRPr="002D265E" w:rsidRDefault="004C5BC7" w:rsidP="007A7664">
            <w:pPr>
              <w:pStyle w:val="Nagwek8"/>
              <w:keepLines w:val="0"/>
              <w:tabs>
                <w:tab w:val="right" w:leader="dot" w:pos="4156"/>
              </w:tabs>
              <w:suppressAutoHyphens/>
              <w:spacing w:before="120" w:after="120"/>
              <w:contextualSpacing/>
              <w:outlineLvl w:val="7"/>
              <w:rPr>
                <w:rFonts w:ascii="Fira Sans" w:hAnsi="Fira Sans"/>
                <w:color w:val="00000A"/>
                <w:sz w:val="16"/>
                <w:szCs w:val="16"/>
                <w:lang w:val="en-GB"/>
              </w:rPr>
            </w:pPr>
            <w:r w:rsidRPr="002D265E">
              <w:rPr>
                <w:rFonts w:ascii="Fira Sans" w:hAnsi="Fira Sans"/>
                <w:color w:val="00000A"/>
                <w:sz w:val="16"/>
                <w:szCs w:val="16"/>
                <w:lang w:val="en-GB"/>
              </w:rPr>
              <w:t>Large enterprises</w:t>
            </w:r>
          </w:p>
        </w:tc>
        <w:tc>
          <w:tcPr>
            <w:tcW w:w="1485" w:type="dxa"/>
            <w:tcBorders>
              <w:top w:val="single" w:sz="2" w:space="0" w:color="001D77"/>
              <w:left w:val="single" w:sz="2" w:space="0" w:color="001D77"/>
              <w:bottom w:val="nil"/>
              <w:right w:val="single" w:sz="2" w:space="0" w:color="001D77"/>
            </w:tcBorders>
            <w:shd w:val="clear" w:color="auto" w:fill="auto"/>
            <w:tcMar>
              <w:left w:w="102" w:type="dxa"/>
            </w:tcMar>
          </w:tcPr>
          <w:p w14:paraId="1E95C122" w14:textId="79228096"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28</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609</w:t>
            </w:r>
          </w:p>
        </w:tc>
        <w:tc>
          <w:tcPr>
            <w:tcW w:w="1485" w:type="dxa"/>
            <w:tcBorders>
              <w:top w:val="single" w:sz="2" w:space="0" w:color="001D77"/>
              <w:left w:val="single" w:sz="2" w:space="0" w:color="001D77"/>
              <w:bottom w:val="nil"/>
              <w:right w:val="single" w:sz="2" w:space="0" w:color="001D77"/>
            </w:tcBorders>
            <w:shd w:val="clear" w:color="auto" w:fill="auto"/>
            <w:tcMar>
              <w:left w:w="102" w:type="dxa"/>
            </w:tcMar>
          </w:tcPr>
          <w:p w14:paraId="721EE527" w14:textId="30432B3A"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27</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305</w:t>
            </w:r>
          </w:p>
        </w:tc>
        <w:tc>
          <w:tcPr>
            <w:tcW w:w="1485" w:type="dxa"/>
            <w:tcBorders>
              <w:top w:val="single" w:sz="2" w:space="0" w:color="001D77"/>
              <w:left w:val="single" w:sz="2" w:space="0" w:color="001D77"/>
              <w:bottom w:val="nil"/>
              <w:right w:val="single" w:sz="2" w:space="0" w:color="001D77"/>
            </w:tcBorders>
            <w:shd w:val="clear" w:color="auto" w:fill="auto"/>
            <w:tcMar>
              <w:left w:w="102" w:type="dxa"/>
            </w:tcMar>
          </w:tcPr>
          <w:p w14:paraId="264A0507" w14:textId="55216E66"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2</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936</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530</w:t>
            </w:r>
          </w:p>
        </w:tc>
        <w:tc>
          <w:tcPr>
            <w:tcW w:w="1485" w:type="dxa"/>
            <w:tcBorders>
              <w:top w:val="single" w:sz="2" w:space="0" w:color="001D77"/>
              <w:left w:val="single" w:sz="2" w:space="0" w:color="001D77"/>
              <w:bottom w:val="nil"/>
              <w:right w:val="nil"/>
            </w:tcBorders>
            <w:shd w:val="clear" w:color="auto" w:fill="auto"/>
            <w:tcMar>
              <w:left w:w="102" w:type="dxa"/>
            </w:tcMar>
          </w:tcPr>
          <w:p w14:paraId="00AF9AC3" w14:textId="39E5CF7C" w:rsidR="004C5BC7" w:rsidRPr="002D265E" w:rsidRDefault="004C5BC7" w:rsidP="007A7664">
            <w:pPr>
              <w:pStyle w:val="tekstnaniebieskimtle"/>
              <w:keepNext/>
              <w:suppressAutoHyphens/>
              <w:spacing w:before="120" w:after="120" w:line="240" w:lineRule="exact"/>
              <w:jc w:val="right"/>
              <w:rPr>
                <w:lang w:val="en-GB"/>
              </w:rPr>
            </w:pPr>
            <w:r w:rsidRPr="002D265E">
              <w:rPr>
                <w:rFonts w:eastAsia="Times New Roman" w:cs="Arial"/>
                <w:color w:val="000000"/>
                <w:sz w:val="16"/>
                <w:szCs w:val="16"/>
                <w:lang w:val="en-GB" w:eastAsia="pl-PL"/>
              </w:rPr>
              <w:t>8</w:t>
            </w:r>
            <w:r w:rsidR="006A14E8" w:rsidRPr="002D265E">
              <w:rPr>
                <w:rFonts w:eastAsia="Times New Roman" w:cs="Arial"/>
                <w:color w:val="000000"/>
                <w:sz w:val="16"/>
                <w:szCs w:val="16"/>
                <w:lang w:val="en-GB" w:eastAsia="pl-PL"/>
              </w:rPr>
              <w:t>,</w:t>
            </w:r>
            <w:r w:rsidRPr="002D265E">
              <w:rPr>
                <w:rFonts w:eastAsia="Times New Roman" w:cs="Arial"/>
                <w:color w:val="000000"/>
                <w:sz w:val="16"/>
                <w:szCs w:val="16"/>
                <w:lang w:val="en-GB" w:eastAsia="pl-PL"/>
              </w:rPr>
              <w:t>962</w:t>
            </w:r>
          </w:p>
        </w:tc>
      </w:tr>
    </w:tbl>
    <w:p w14:paraId="3CD72B8A" w14:textId="4B376546" w:rsidR="004C5BC7" w:rsidRPr="002D265E" w:rsidRDefault="004C5BC7" w:rsidP="007A7664">
      <w:pPr>
        <w:pStyle w:val="Nagwek1"/>
        <w:suppressAutoHyphens/>
        <w:spacing w:before="120" w:after="0"/>
        <w:jc w:val="both"/>
        <w:rPr>
          <w:lang w:val="en-GB"/>
        </w:rPr>
      </w:pPr>
      <w:r w:rsidRPr="002D265E">
        <w:rPr>
          <w:rFonts w:ascii="Fira Sans" w:eastAsiaTheme="minorHAnsi" w:hAnsi="Fira Sans" w:cstheme="minorBidi"/>
          <w:bCs w:val="0"/>
          <w:color w:val="00000A"/>
          <w:sz w:val="16"/>
          <w:szCs w:val="16"/>
          <w:shd w:val="clear" w:color="auto" w:fill="FFFFFF"/>
          <w:lang w:val="en-GB" w:eastAsia="en-US"/>
        </w:rPr>
        <w:t xml:space="preserve">a As of </w:t>
      </w:r>
      <w:r w:rsidRPr="002D265E">
        <w:rPr>
          <w:rFonts w:ascii="Fira Sans" w:eastAsiaTheme="minorHAnsi" w:hAnsi="Fira Sans" w:cstheme="minorBidi"/>
          <w:bCs w:val="0"/>
          <w:color w:val="00000A"/>
          <w:sz w:val="16"/>
          <w:szCs w:val="16"/>
          <w:highlight w:val="white"/>
          <w:shd w:val="clear" w:color="auto" w:fill="FFFFFF"/>
          <w:lang w:val="en-GB" w:eastAsia="en-US"/>
        </w:rPr>
        <w:t>December 31</w:t>
      </w:r>
    </w:p>
    <w:p w14:paraId="493AE096" w14:textId="2A8D6EA4" w:rsidR="00923EA8" w:rsidRPr="002D265E" w:rsidRDefault="00923EA8" w:rsidP="007A7664">
      <w:pPr>
        <w:pStyle w:val="Nagwek1"/>
        <w:suppressAutoHyphens/>
        <w:spacing w:before="120" w:after="0"/>
        <w:rPr>
          <w:rFonts w:ascii="Fira Sans" w:eastAsiaTheme="minorHAnsi" w:hAnsi="Fira Sans" w:cstheme="minorBidi"/>
          <w:bCs w:val="0"/>
          <w:color w:val="00000A"/>
          <w:sz w:val="16"/>
          <w:szCs w:val="16"/>
          <w:lang w:val="en-GB" w:eastAsia="en-US"/>
        </w:rPr>
      </w:pPr>
    </w:p>
    <w:p w14:paraId="4D5AF986" w14:textId="42AB11EA" w:rsidR="000B056A" w:rsidRPr="002D265E" w:rsidRDefault="006A14E8" w:rsidP="007A7664">
      <w:pPr>
        <w:pStyle w:val="Nagwek1"/>
        <w:suppressAutoHyphens/>
        <w:spacing w:before="120" w:after="240"/>
        <w:rPr>
          <w:lang w:val="en-GB"/>
        </w:rPr>
      </w:pPr>
      <w:r w:rsidRPr="002D265E">
        <w:rPr>
          <w:lang w:val="en-GB"/>
        </w:rPr>
        <w:t>Financial results</w:t>
      </w:r>
    </w:p>
    <w:p w14:paraId="7E18C779" w14:textId="44F7DA87" w:rsidR="003351AE" w:rsidRDefault="003351AE" w:rsidP="00303016">
      <w:pPr>
        <w:suppressAutoHyphens/>
        <w:rPr>
          <w:shd w:val="clear" w:color="auto" w:fill="FFFFFF"/>
          <w:lang w:val="en-GB"/>
        </w:rPr>
      </w:pPr>
      <w:r w:rsidRPr="002D265E">
        <w:rPr>
          <w:shd w:val="clear" w:color="auto" w:fill="FFFFFF"/>
          <w:lang w:val="en-GB"/>
        </w:rPr>
        <w:t>In 2019, entities classified to the cultural and creative industries generated revenues of 86.6 billion</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 xml:space="preserve">, with total costs of 73.4 billion </w:t>
      </w:r>
      <w:r w:rsidR="00061DCB" w:rsidRPr="002D265E">
        <w:rPr>
          <w:shd w:val="clear" w:color="auto" w:fill="FFFFFF"/>
          <w:lang w:val="en-GB"/>
        </w:rPr>
        <w:t xml:space="preserve">PLN </w:t>
      </w:r>
      <w:r w:rsidRPr="002D265E">
        <w:rPr>
          <w:shd w:val="clear" w:color="auto" w:fill="FFFFFF"/>
          <w:lang w:val="en-GB"/>
        </w:rPr>
        <w:t>(</w:t>
      </w:r>
      <w:r w:rsidR="002D265E" w:rsidRPr="002D265E">
        <w:rPr>
          <w:shd w:val="clear" w:color="auto" w:fill="FFFFFF"/>
          <w:lang w:val="en-GB"/>
        </w:rPr>
        <w:t>compared</w:t>
      </w:r>
      <w:r w:rsidRPr="002D265E">
        <w:rPr>
          <w:shd w:val="clear" w:color="auto" w:fill="FFFFFF"/>
          <w:lang w:val="en-GB"/>
        </w:rPr>
        <w:t xml:space="preserve"> to the results for </w:t>
      </w:r>
      <w:r w:rsidR="002D265E" w:rsidRPr="002D265E">
        <w:rPr>
          <w:shd w:val="clear" w:color="auto" w:fill="FFFFFF"/>
          <w:lang w:val="en-GB"/>
        </w:rPr>
        <w:t>2018,</w:t>
      </w:r>
      <w:r w:rsidRPr="002D265E">
        <w:rPr>
          <w:shd w:val="clear" w:color="auto" w:fill="FFFFFF"/>
          <w:lang w:val="en-GB"/>
        </w:rPr>
        <w:t xml:space="preserve"> there was an increase of total </w:t>
      </w:r>
      <w:r w:rsidR="002D265E" w:rsidRPr="002D265E">
        <w:rPr>
          <w:shd w:val="clear" w:color="auto" w:fill="FFFFFF"/>
          <w:lang w:val="en-GB"/>
        </w:rPr>
        <w:t>revenue</w:t>
      </w:r>
      <w:r w:rsidRPr="002D265E">
        <w:rPr>
          <w:shd w:val="clear" w:color="auto" w:fill="FFFFFF"/>
          <w:lang w:val="en-GB"/>
        </w:rPr>
        <w:t xml:space="preserve"> </w:t>
      </w:r>
      <w:r w:rsidR="002D265E" w:rsidRPr="002D265E">
        <w:rPr>
          <w:shd w:val="clear" w:color="auto" w:fill="FFFFFF"/>
          <w:lang w:val="en-GB"/>
        </w:rPr>
        <w:t>of</w:t>
      </w:r>
      <w:r w:rsidRPr="002D265E">
        <w:rPr>
          <w:shd w:val="clear" w:color="auto" w:fill="FFFFFF"/>
          <w:lang w:val="en-GB"/>
        </w:rPr>
        <w:t xml:space="preserve"> 3.2 billion </w:t>
      </w:r>
      <w:r w:rsidR="00061DCB" w:rsidRPr="002D265E">
        <w:rPr>
          <w:shd w:val="clear" w:color="auto" w:fill="FFFFFF"/>
          <w:lang w:val="en-GB"/>
        </w:rPr>
        <w:t xml:space="preserve">PLN </w:t>
      </w:r>
      <w:r w:rsidRPr="002D265E">
        <w:rPr>
          <w:shd w:val="clear" w:color="auto" w:fill="FFFFFF"/>
          <w:lang w:val="en-GB"/>
        </w:rPr>
        <w:t>and a decrease in total costs of 1.2 billion</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 xml:space="preserve">). Therefore, as in previous years, the surplus of total revenues over total costs was recorded. The cost level indicator (ratio of total costs to total revenues) for all enterprises belonging to the cultural and creative industries amounted to 84.8%, which compared to the indicator for all </w:t>
      </w:r>
      <w:r w:rsidR="002D265E" w:rsidRPr="002D265E">
        <w:rPr>
          <w:shd w:val="clear" w:color="auto" w:fill="FFFFFF"/>
          <w:lang w:val="en-GB"/>
        </w:rPr>
        <w:t>non</w:t>
      </w:r>
      <w:r w:rsidR="00A331A4">
        <w:rPr>
          <w:shd w:val="clear" w:color="auto" w:fill="FFFFFF"/>
          <w:lang w:val="en-GB"/>
        </w:rPr>
        <w:t>-</w:t>
      </w:r>
      <w:r w:rsidR="002D265E" w:rsidRPr="002D265E">
        <w:rPr>
          <w:shd w:val="clear" w:color="auto" w:fill="FFFFFF"/>
          <w:lang w:val="en-GB"/>
        </w:rPr>
        <w:t>financial</w:t>
      </w:r>
      <w:r w:rsidRPr="002D265E">
        <w:rPr>
          <w:shd w:val="clear" w:color="auto" w:fill="FFFFFF"/>
          <w:lang w:val="en-GB"/>
        </w:rPr>
        <w:t xml:space="preserve"> enterprises is lower by 8.3 percentage points – cultural and creative activities were, therefore, less cost-intensive.</w:t>
      </w:r>
    </w:p>
    <w:p w14:paraId="101D8A9E" w14:textId="272FD887" w:rsidR="00303016" w:rsidRPr="002D265E" w:rsidRDefault="00303016" w:rsidP="00303016">
      <w:pPr>
        <w:keepNext/>
        <w:suppressAutoHyphens/>
        <w:rPr>
          <w:b/>
          <w:spacing w:val="-2"/>
          <w:sz w:val="18"/>
          <w:lang w:val="en-GB"/>
        </w:rPr>
      </w:pPr>
      <w:r w:rsidRPr="002D265E">
        <w:rPr>
          <w:shd w:val="clear" w:color="auto" w:fill="FFFFFF"/>
          <w:lang w:val="en-GB"/>
        </w:rPr>
        <w:t xml:space="preserve">Total costs per 1 entity belonging to cultural and creative industries amounted to 604.2 thousand </w:t>
      </w:r>
      <w:r w:rsidR="00061DCB" w:rsidRPr="002D265E">
        <w:rPr>
          <w:shd w:val="clear" w:color="auto" w:fill="FFFFFF"/>
          <w:lang w:val="en-GB"/>
        </w:rPr>
        <w:t xml:space="preserve">PLN </w:t>
      </w:r>
      <w:r w:rsidRPr="002D265E">
        <w:rPr>
          <w:shd w:val="clear" w:color="auto" w:fill="FFFFFF"/>
          <w:lang w:val="en-GB"/>
        </w:rPr>
        <w:t xml:space="preserve">(compared to 2,214.6 thousand </w:t>
      </w:r>
      <w:r w:rsidR="00061DCB" w:rsidRPr="002D265E">
        <w:rPr>
          <w:shd w:val="clear" w:color="auto" w:fill="FFFFFF"/>
          <w:lang w:val="en-GB"/>
        </w:rPr>
        <w:t xml:space="preserve">PLN </w:t>
      </w:r>
      <w:r w:rsidRPr="002D265E">
        <w:rPr>
          <w:shd w:val="clear" w:color="auto" w:fill="FFFFFF"/>
          <w:lang w:val="en-GB"/>
        </w:rPr>
        <w:t>for all non</w:t>
      </w:r>
      <w:r w:rsidR="00650322">
        <w:rPr>
          <w:shd w:val="clear" w:color="auto" w:fill="FFFFFF"/>
          <w:lang w:val="en-GB"/>
        </w:rPr>
        <w:t>-</w:t>
      </w:r>
      <w:r w:rsidRPr="002D265E">
        <w:rPr>
          <w:shd w:val="clear" w:color="auto" w:fill="FFFFFF"/>
          <w:lang w:val="en-GB"/>
        </w:rPr>
        <w:t>financial enterprises), while revenues –</w:t>
      </w:r>
      <w:r w:rsidR="003023AB">
        <w:rPr>
          <w:shd w:val="clear" w:color="auto" w:fill="FFFFFF"/>
          <w:lang w:val="en-GB"/>
        </w:rPr>
        <w:t xml:space="preserve"> </w:t>
      </w:r>
      <w:r w:rsidRPr="002D265E">
        <w:rPr>
          <w:shd w:val="clear" w:color="auto" w:fill="FFFFFF"/>
          <w:lang w:val="en-GB"/>
        </w:rPr>
        <w:t xml:space="preserve">712.9 thousand </w:t>
      </w:r>
      <w:r w:rsidR="00061DCB" w:rsidRPr="002D265E">
        <w:rPr>
          <w:shd w:val="clear" w:color="auto" w:fill="FFFFFF"/>
          <w:lang w:val="en-GB"/>
        </w:rPr>
        <w:t xml:space="preserve">PLN </w:t>
      </w:r>
      <w:r w:rsidRPr="002D265E">
        <w:rPr>
          <w:shd w:val="clear" w:color="auto" w:fill="FFFFFF"/>
          <w:lang w:val="en-GB"/>
        </w:rPr>
        <w:t>(compared to 2,379.5 thousand</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w:t>
      </w:r>
    </w:p>
    <w:p w14:paraId="585B89EB" w14:textId="48A48CAA" w:rsidR="00303016" w:rsidRPr="002D265E" w:rsidRDefault="00303016" w:rsidP="00303016">
      <w:pPr>
        <w:keepNext/>
        <w:suppressAutoHyphens/>
        <w:rPr>
          <w:lang w:val="en-GB"/>
        </w:rPr>
      </w:pPr>
      <w:r w:rsidRPr="002D265E">
        <w:rPr>
          <w:lang w:val="en-GB"/>
        </w:rPr>
        <w:t>The share of both total revenues and total costs generated by enterprises belonging to cultural and creative industries in total revenues and total costs achieved by all non</w:t>
      </w:r>
      <w:r w:rsidR="00650322">
        <w:rPr>
          <w:lang w:val="en-GB"/>
        </w:rPr>
        <w:t>-</w:t>
      </w:r>
      <w:r w:rsidRPr="002D265E">
        <w:rPr>
          <w:lang w:val="en-GB"/>
        </w:rPr>
        <w:t>financial enterprises was less than 2.0% (1.6% and 1.5%, respectively).</w:t>
      </w:r>
    </w:p>
    <w:p w14:paraId="3141474A" w14:textId="71AA361C" w:rsidR="00303016" w:rsidRPr="002D265E" w:rsidRDefault="00303016" w:rsidP="00303016">
      <w:pPr>
        <w:keepNext/>
        <w:suppressAutoHyphens/>
        <w:rPr>
          <w:lang w:val="en-GB"/>
        </w:rPr>
      </w:pPr>
      <w:r w:rsidRPr="002D265E">
        <w:rPr>
          <w:shd w:val="clear" w:color="auto" w:fill="FFFFFF"/>
          <w:lang w:val="en-GB"/>
        </w:rPr>
        <w:t xml:space="preserve">In 2019, enterprises classified as cultural and creative industries generated the value added of 26.9 billion </w:t>
      </w:r>
      <w:r w:rsidR="00061DCB" w:rsidRPr="002D265E">
        <w:rPr>
          <w:shd w:val="clear" w:color="auto" w:fill="FFFFFF"/>
          <w:lang w:val="en-GB"/>
        </w:rPr>
        <w:t xml:space="preserve">PLN </w:t>
      </w:r>
      <w:r w:rsidRPr="002D265E">
        <w:rPr>
          <w:shd w:val="clear" w:color="auto" w:fill="FFFFFF"/>
          <w:lang w:val="en-GB"/>
        </w:rPr>
        <w:t xml:space="preserve">(2.3 billion </w:t>
      </w:r>
      <w:r w:rsidR="00061DCB" w:rsidRPr="002D265E">
        <w:rPr>
          <w:shd w:val="clear" w:color="auto" w:fill="FFFFFF"/>
          <w:lang w:val="en-GB"/>
        </w:rPr>
        <w:t xml:space="preserve">PLN </w:t>
      </w:r>
      <w:r w:rsidRPr="002D265E">
        <w:rPr>
          <w:shd w:val="clear" w:color="auto" w:fill="FFFFFF"/>
          <w:lang w:val="en-GB"/>
        </w:rPr>
        <w:t>more than the year before), which represented 2.1% of the value added generated by all non</w:t>
      </w:r>
      <w:r w:rsidR="00650322">
        <w:rPr>
          <w:shd w:val="clear" w:color="auto" w:fill="FFFFFF"/>
          <w:lang w:val="en-GB"/>
        </w:rPr>
        <w:t>-</w:t>
      </w:r>
      <w:r w:rsidRPr="002D265E">
        <w:rPr>
          <w:shd w:val="clear" w:color="auto" w:fill="FFFFFF"/>
          <w:lang w:val="en-GB"/>
        </w:rPr>
        <w:t>financial enterprises in the year under review. Calculated per enterprise, the total value added of cultural and creative industries was 2.6 times lower compared to the value added for all non</w:t>
      </w:r>
      <w:r w:rsidR="00650322">
        <w:rPr>
          <w:shd w:val="clear" w:color="auto" w:fill="FFFFFF"/>
          <w:lang w:val="en-GB"/>
        </w:rPr>
        <w:t>-</w:t>
      </w:r>
      <w:r w:rsidRPr="002D265E">
        <w:rPr>
          <w:shd w:val="clear" w:color="auto" w:fill="FFFFFF"/>
          <w:lang w:val="en-GB"/>
        </w:rPr>
        <w:t>financial enterprises.</w:t>
      </w:r>
    </w:p>
    <w:p w14:paraId="63DC28FE" w14:textId="77777777" w:rsidR="00303016" w:rsidRPr="002D265E" w:rsidRDefault="00303016" w:rsidP="00303016">
      <w:pPr>
        <w:suppressAutoHyphens/>
        <w:rPr>
          <w:shd w:val="clear" w:color="auto" w:fill="FFFFFF"/>
          <w:lang w:val="en-GB"/>
        </w:rPr>
      </w:pPr>
    </w:p>
    <w:p w14:paraId="1F65450C" w14:textId="153E78C3" w:rsidR="00C708FC" w:rsidRPr="002D265E" w:rsidRDefault="00471DB6" w:rsidP="007A7664">
      <w:pPr>
        <w:keepNext/>
        <w:suppressAutoHyphens/>
        <w:ind w:left="709" w:hanging="709"/>
        <w:rPr>
          <w:sz w:val="18"/>
          <w:lang w:val="en-GB"/>
        </w:rPr>
      </w:pPr>
      <w:r w:rsidRPr="002D265E">
        <w:rPr>
          <w:noProof/>
          <w:lang w:eastAsia="pl-PL"/>
        </w:rPr>
        <w:lastRenderedPageBreak/>
        <mc:AlternateContent>
          <mc:Choice Requires="wps">
            <w:drawing>
              <wp:anchor distT="0" distB="0" distL="114300" distR="114300" simplePos="0" relativeHeight="251756544" behindDoc="0" locked="0" layoutInCell="1" allowOverlap="1" wp14:anchorId="4AE7B00B" wp14:editId="47E9F3E3">
                <wp:simplePos x="0" y="0"/>
                <wp:positionH relativeFrom="column">
                  <wp:posOffset>241300</wp:posOffset>
                </wp:positionH>
                <wp:positionV relativeFrom="paragraph">
                  <wp:posOffset>378460</wp:posOffset>
                </wp:positionV>
                <wp:extent cx="954156" cy="228600"/>
                <wp:effectExtent l="0" t="0" r="0" b="0"/>
                <wp:wrapNone/>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156" cy="228600"/>
                        </a:xfrm>
                        <a:prstGeom prst="rect">
                          <a:avLst/>
                        </a:prstGeom>
                        <a:noFill/>
                        <a:ln w="6350">
                          <a:noFill/>
                        </a:ln>
                      </wps:spPr>
                      <wps:txbx>
                        <w:txbxContent>
                          <w:p w14:paraId="74D7947B" w14:textId="2827C78D" w:rsidR="00725BCA" w:rsidRPr="00A26E73" w:rsidRDefault="00725BCA" w:rsidP="00D0618C">
                            <w:pPr>
                              <w:spacing w:before="0" w:after="0" w:line="240" w:lineRule="auto"/>
                              <w:rPr>
                                <w:szCs w:val="19"/>
                              </w:rPr>
                            </w:pPr>
                            <w:proofErr w:type="spellStart"/>
                            <w:r w:rsidRPr="00A26E73">
                              <w:rPr>
                                <w:szCs w:val="19"/>
                              </w:rPr>
                              <w:t>billion</w:t>
                            </w:r>
                            <w:proofErr w:type="spellEnd"/>
                            <w:r w:rsidRPr="00A26E73">
                              <w:rPr>
                                <w:szCs w:val="19"/>
                              </w:rPr>
                              <w:t xml:space="preserve"> PLN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B00B" id="Pole tekstowe 20" o:spid="_x0000_s1034" type="#_x0000_t202" style="position:absolute;left:0;text-align:left;margin-left:19pt;margin-top:29.8pt;width:75.1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" filled="f" stroked="f" strokeweight=".5pt">
                <v:textbox>
                  <w:txbxContent>
                    <w:p w14:paraId="74D7947B" w14:textId="2827C78D" w:rsidR="00725BCA" w:rsidRPr="00A26E73" w:rsidRDefault="00725BCA" w:rsidP="00D0618C">
                      <w:pPr>
                        <w:spacing w:before="0" w:after="0" w:line="240" w:lineRule="auto"/>
                        <w:rPr>
                          <w:szCs w:val="19"/>
                        </w:rPr>
                      </w:pPr>
                      <w:proofErr w:type="spellStart"/>
                      <w:r w:rsidRPr="00A26E73">
                        <w:rPr>
                          <w:szCs w:val="19"/>
                        </w:rPr>
                        <w:t>billion</w:t>
                      </w:r>
                      <w:proofErr w:type="spellEnd"/>
                      <w:r w:rsidRPr="00A26E73">
                        <w:rPr>
                          <w:szCs w:val="19"/>
                        </w:rPr>
                        <w:t xml:space="preserve"> PLN</w:t>
                      </w:r>
                    </w:p>
                  </w:txbxContent>
                </v:textbox>
              </v:shape>
            </w:pict>
          </mc:Fallback>
        </mc:AlternateContent>
      </w:r>
      <w:r>
        <w:rPr>
          <w:noProof/>
          <w:lang w:eastAsia="pl-PL"/>
        </w:rPr>
        <w:drawing>
          <wp:anchor distT="0" distB="0" distL="114300" distR="114300" simplePos="0" relativeHeight="251785216" behindDoc="0" locked="0" layoutInCell="1" allowOverlap="1" wp14:anchorId="1F1BB9B4" wp14:editId="18AB85E5">
            <wp:simplePos x="0" y="0"/>
            <wp:positionH relativeFrom="margin">
              <wp:align>right</wp:align>
            </wp:positionH>
            <wp:positionV relativeFrom="paragraph">
              <wp:posOffset>342900</wp:posOffset>
            </wp:positionV>
            <wp:extent cx="5122545" cy="3029585"/>
            <wp:effectExtent l="0" t="0" r="0" b="0"/>
            <wp:wrapTopAndBottom/>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EF0255" w:rsidRPr="002D265E">
        <w:rPr>
          <w:noProof/>
          <w:shd w:val="clear" w:color="auto" w:fill="FFFFFF"/>
          <w:lang w:eastAsia="pl-PL"/>
        </w:rPr>
        <mc:AlternateContent>
          <mc:Choice Requires="wps">
            <w:drawing>
              <wp:anchor distT="45720" distB="45720" distL="114300" distR="114300" simplePos="0" relativeHeight="251751424" behindDoc="1" locked="0" layoutInCell="1" allowOverlap="1" wp14:anchorId="59F29915" wp14:editId="776E41CD">
                <wp:simplePos x="0" y="0"/>
                <wp:positionH relativeFrom="column">
                  <wp:posOffset>5248275</wp:posOffset>
                </wp:positionH>
                <wp:positionV relativeFrom="paragraph">
                  <wp:posOffset>59690</wp:posOffset>
                </wp:positionV>
                <wp:extent cx="1726565" cy="1009650"/>
                <wp:effectExtent l="0" t="0" r="0" b="0"/>
                <wp:wrapTight wrapText="bothSides">
                  <wp:wrapPolygon edited="0">
                    <wp:start x="715" y="0"/>
                    <wp:lineTo x="715" y="21192"/>
                    <wp:lineTo x="20734" y="21192"/>
                    <wp:lineTo x="20734" y="0"/>
                    <wp:lineTo x="715" y="0"/>
                  </wp:wrapPolygon>
                </wp:wrapTight>
                <wp:docPr id="16"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6565" cy="1009650"/>
                        </a:xfrm>
                        <a:prstGeom prst="rect">
                          <a:avLst/>
                        </a:prstGeom>
                        <a:noFill/>
                        <a:ln w="9360">
                          <a:noFill/>
                        </a:ln>
                      </wps:spPr>
                      <wps:style>
                        <a:lnRef idx="0">
                          <a:scrgbClr r="0" g="0" b="0"/>
                        </a:lnRef>
                        <a:fillRef idx="0">
                          <a:scrgbClr r="0" g="0" b="0"/>
                        </a:fillRef>
                        <a:effectRef idx="0">
                          <a:scrgbClr r="0" g="0" b="0"/>
                        </a:effectRef>
                        <a:fontRef idx="minor"/>
                      </wps:style>
                      <wps:txbx>
                        <w:txbxContent>
                          <w:p w14:paraId="0F751ECF" w14:textId="34D04E73" w:rsidR="00725BCA" w:rsidRPr="006A14E8" w:rsidRDefault="00725BCA" w:rsidP="00AF7699">
                            <w:pPr>
                              <w:pStyle w:val="tekstzboku"/>
                              <w:spacing w:before="0" w:after="120"/>
                              <w:rPr>
                                <w:lang w:val="en-US"/>
                              </w:rPr>
                            </w:pPr>
                            <w:bookmarkStart w:id="0" w:name="tw-target-text"/>
                            <w:bookmarkEnd w:id="0"/>
                            <w:r>
                              <w:rPr>
                                <w:lang w:val="en-US"/>
                              </w:rPr>
                              <w:t xml:space="preserve">The surplus of total revenue over total cost for entities belonging to the cultural and creative industries amounted to </w:t>
                            </w:r>
                            <w:r w:rsidRPr="006A14E8">
                              <w:rPr>
                                <w:lang w:val="en-US"/>
                              </w:rPr>
                              <w:t>13</w:t>
                            </w:r>
                            <w:r>
                              <w:rPr>
                                <w:lang w:val="en-US"/>
                              </w:rPr>
                              <w:t>.</w:t>
                            </w:r>
                            <w:r w:rsidRPr="006A14E8">
                              <w:rPr>
                                <w:lang w:val="en-US"/>
                              </w:rPr>
                              <w:t>2</w:t>
                            </w:r>
                            <w:r>
                              <w:rPr>
                                <w:lang w:val="en-US"/>
                              </w:rPr>
                              <w:t xml:space="preserve"> billion</w:t>
                            </w:r>
                            <w:r w:rsidR="00061DCB" w:rsidRPr="00061DCB">
                              <w:rPr>
                                <w:lang w:val="en-US"/>
                              </w:rPr>
                              <w:t xml:space="preserve"> </w:t>
                            </w:r>
                            <w:r w:rsidR="00061DCB">
                              <w:rPr>
                                <w:lang w:val="en-US"/>
                              </w:rPr>
                              <w:t>PLN</w:t>
                            </w: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59F29915" id="Pole tekstowe 13" o:spid="_x0000_s1035" style="position:absolute;left:0;text-align:left;margin-left:413.25pt;margin-top:4.7pt;width:135.95pt;height:79.5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" filled="f" stroked="f" strokeweight=".26mm">
                <v:textbox>
                  <w:txbxContent>
                    <w:p w14:paraId="0F751ECF" w14:textId="34D04E73" w:rsidR="00725BCA" w:rsidRPr="006A14E8" w:rsidRDefault="00725BCA" w:rsidP="00AF7699">
                      <w:pPr>
                        <w:pStyle w:val="tekstzboku"/>
                        <w:spacing w:before="0" w:after="120"/>
                        <w:rPr>
                          <w:lang w:val="en-US"/>
                        </w:rPr>
                      </w:pPr>
                      <w:bookmarkStart w:id="1" w:name="tw-target-text"/>
                      <w:bookmarkEnd w:id="1"/>
                      <w:r>
                        <w:rPr>
                          <w:lang w:val="en-US"/>
                        </w:rPr>
                        <w:t xml:space="preserve">The surplus of total revenue over total cost for entities belonging to the cultural and creative industries amounted to </w:t>
                      </w:r>
                      <w:r w:rsidRPr="006A14E8">
                        <w:rPr>
                          <w:lang w:val="en-US"/>
                        </w:rPr>
                        <w:t>13</w:t>
                      </w:r>
                      <w:r>
                        <w:rPr>
                          <w:lang w:val="en-US"/>
                        </w:rPr>
                        <w:t>.</w:t>
                      </w:r>
                      <w:r w:rsidRPr="006A14E8">
                        <w:rPr>
                          <w:lang w:val="en-US"/>
                        </w:rPr>
                        <w:t>2</w:t>
                      </w:r>
                      <w:r>
                        <w:rPr>
                          <w:lang w:val="en-US"/>
                        </w:rPr>
                        <w:t xml:space="preserve"> billion</w:t>
                      </w:r>
                      <w:r w:rsidR="00061DCB" w:rsidRPr="00061DCB">
                        <w:rPr>
                          <w:lang w:val="en-US"/>
                        </w:rPr>
                        <w:t xml:space="preserve"> </w:t>
                      </w:r>
                      <w:r w:rsidR="00061DCB">
                        <w:rPr>
                          <w:lang w:val="en-US"/>
                        </w:rPr>
                        <w:t>PLN</w:t>
                      </w:r>
                    </w:p>
                  </w:txbxContent>
                </v:textbox>
                <w10:wrap type="tight"/>
              </v:rect>
            </w:pict>
          </mc:Fallback>
        </mc:AlternateContent>
      </w:r>
      <w:r w:rsidR="00C708FC" w:rsidRPr="002D265E">
        <w:rPr>
          <w:b/>
          <w:sz w:val="18"/>
          <w:shd w:val="clear" w:color="auto" w:fill="FFFFFF"/>
          <w:lang w:val="en-GB"/>
        </w:rPr>
        <w:t>Chart 3.</w:t>
      </w:r>
      <w:r w:rsidR="00C708FC" w:rsidRPr="002D265E">
        <w:rPr>
          <w:b/>
          <w:sz w:val="18"/>
          <w:shd w:val="clear" w:color="auto" w:fill="FFFFFF"/>
          <w:lang w:val="en-GB"/>
        </w:rPr>
        <w:tab/>
        <w:t>The surplus of total revenue</w:t>
      </w:r>
      <w:r w:rsidR="007A7664">
        <w:rPr>
          <w:b/>
          <w:sz w:val="18"/>
          <w:shd w:val="clear" w:color="auto" w:fill="FFFFFF"/>
          <w:lang w:val="en-GB"/>
        </w:rPr>
        <w:t>s</w:t>
      </w:r>
      <w:r w:rsidR="00C708FC" w:rsidRPr="002D265E">
        <w:rPr>
          <w:b/>
          <w:sz w:val="18"/>
          <w:shd w:val="clear" w:color="auto" w:fill="FFFFFF"/>
          <w:lang w:val="en-GB"/>
        </w:rPr>
        <w:t xml:space="preserve"> over total cost</w:t>
      </w:r>
      <w:r w:rsidR="007A7664">
        <w:rPr>
          <w:b/>
          <w:sz w:val="18"/>
          <w:shd w:val="clear" w:color="auto" w:fill="FFFFFF"/>
          <w:lang w:val="en-GB"/>
        </w:rPr>
        <w:t>s</w:t>
      </w:r>
      <w:r w:rsidR="00C708FC" w:rsidRPr="002D265E">
        <w:rPr>
          <w:b/>
          <w:sz w:val="18"/>
          <w:shd w:val="clear" w:color="auto" w:fill="FFFFFF"/>
          <w:lang w:val="en-GB"/>
        </w:rPr>
        <w:t xml:space="preserve"> in enterprises belonging to the cultural and creative industries by enterprise size class</w:t>
      </w:r>
    </w:p>
    <w:p w14:paraId="3EAD689C" w14:textId="77777777" w:rsidR="00471DB6" w:rsidRPr="002D265E" w:rsidRDefault="00471DB6" w:rsidP="007A7664">
      <w:pPr>
        <w:keepNext/>
        <w:suppressAutoHyphens/>
        <w:rPr>
          <w:b/>
          <w:spacing w:val="-2"/>
          <w:sz w:val="18"/>
          <w:lang w:val="en-GB"/>
        </w:rPr>
      </w:pPr>
    </w:p>
    <w:p w14:paraId="4679C46B" w14:textId="698872EB" w:rsidR="00923EA8" w:rsidRPr="002D265E" w:rsidRDefault="00EF0255" w:rsidP="007A7664">
      <w:pPr>
        <w:pStyle w:val="Nagwek1"/>
        <w:suppressAutoHyphens/>
        <w:spacing w:before="0" w:after="240"/>
        <w:rPr>
          <w:lang w:val="en-GB"/>
        </w:rPr>
      </w:pPr>
      <w:r w:rsidRPr="002D265E">
        <w:rPr>
          <w:rFonts w:cstheme="minorHAnsi"/>
          <w:noProof/>
          <w:szCs w:val="19"/>
        </w:rPr>
        <mc:AlternateContent>
          <mc:Choice Requires="wps">
            <w:drawing>
              <wp:anchor distT="45720" distB="45720" distL="114300" distR="114300" simplePos="0" relativeHeight="251739136" behindDoc="1" locked="0" layoutInCell="1" allowOverlap="1" wp14:anchorId="754C2C8F" wp14:editId="2F3BA170">
                <wp:simplePos x="0" y="0"/>
                <wp:positionH relativeFrom="page">
                  <wp:posOffset>5708650</wp:posOffset>
                </wp:positionH>
                <wp:positionV relativeFrom="paragraph">
                  <wp:posOffset>234315</wp:posOffset>
                </wp:positionV>
                <wp:extent cx="1805305" cy="930275"/>
                <wp:effectExtent l="0" t="0" r="0" b="3175"/>
                <wp:wrapTight wrapText="bothSides">
                  <wp:wrapPolygon edited="0">
                    <wp:start x="684" y="0"/>
                    <wp:lineTo x="684" y="21231"/>
                    <wp:lineTo x="20741" y="21231"/>
                    <wp:lineTo x="20741" y="0"/>
                    <wp:lineTo x="684" y="0"/>
                  </wp:wrapPolygon>
                </wp:wrapTight>
                <wp:docPr id="15"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5305" cy="930275"/>
                        </a:xfrm>
                        <a:prstGeom prst="rect">
                          <a:avLst/>
                        </a:prstGeom>
                        <a:noFill/>
                        <a:ln w="9360">
                          <a:noFill/>
                        </a:ln>
                      </wps:spPr>
                      <wps:style>
                        <a:lnRef idx="0">
                          <a:scrgbClr r="0" g="0" b="0"/>
                        </a:lnRef>
                        <a:fillRef idx="0">
                          <a:scrgbClr r="0" g="0" b="0"/>
                        </a:fillRef>
                        <a:effectRef idx="0">
                          <a:scrgbClr r="0" g="0" b="0"/>
                        </a:effectRef>
                        <a:fontRef idx="minor"/>
                      </wps:style>
                      <wps:txbx>
                        <w:txbxContent>
                          <w:p w14:paraId="3C16E9CF" w14:textId="365E70F0" w:rsidR="00725BCA" w:rsidRDefault="00725BCA" w:rsidP="00725BCA">
                            <w:pPr>
                              <w:pStyle w:val="tekstzboku"/>
                              <w:suppressAutoHyphens/>
                              <w:spacing w:before="0" w:after="120"/>
                              <w:rPr>
                                <w:lang w:val="en-GB"/>
                              </w:rPr>
                            </w:pPr>
                            <w:bookmarkStart w:id="2" w:name="tw-target-text8"/>
                            <w:bookmarkEnd w:id="2"/>
                            <w:r>
                              <w:rPr>
                                <w:lang w:val="en-US"/>
                              </w:rPr>
                              <w:t>In 2019, a positive balance of foreign trade in cultural and creative goods was recorded</w:t>
                            </w:r>
                            <w:r w:rsidR="007A7664">
                              <w:rPr>
                                <w:lang w:val="en-US"/>
                              </w:rPr>
                              <w:t>,</w:t>
                            </w:r>
                            <w:r>
                              <w:rPr>
                                <w:lang w:val="en-US"/>
                              </w:rPr>
                              <w:t xml:space="preserve"> amounting to 5,172.6 million</w:t>
                            </w:r>
                            <w:r w:rsidR="00DE6230" w:rsidRPr="00DE6230">
                              <w:rPr>
                                <w:lang w:val="en-US"/>
                              </w:rPr>
                              <w:t xml:space="preserve"> </w:t>
                            </w:r>
                            <w:r w:rsidR="00DE6230">
                              <w:rPr>
                                <w:lang w:val="en-US"/>
                              </w:rPr>
                              <w:t>PLN</w:t>
                            </w:r>
                          </w:p>
                          <w:p w14:paraId="5FBEF702" w14:textId="77777777" w:rsidR="00725BCA" w:rsidRPr="00725BCA" w:rsidRDefault="00725BCA" w:rsidP="00923EA8">
                            <w:pPr>
                              <w:pStyle w:val="tekstzboku"/>
                              <w:spacing w:before="0" w:after="120"/>
                              <w:rPr>
                                <w:lang w:val="en-GB"/>
                              </w:rPr>
                            </w:pPr>
                          </w:p>
                          <w:p w14:paraId="75D3A68F" w14:textId="77777777" w:rsidR="00725BCA" w:rsidRPr="00725BCA" w:rsidRDefault="00725BCA" w:rsidP="00923EA8">
                            <w:pPr>
                              <w:pStyle w:val="Zawartoramki"/>
                              <w:spacing w:after="0"/>
                              <w:rPr>
                                <w:lang w:val="en-US"/>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54C2C8F" id="Pole tekstowe 11" o:spid="_x0000_s1036" style="position:absolute;margin-left:449.5pt;margin-top:18.45pt;width:142.15pt;height:73.25pt;z-index:-2515773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" filled="f" stroked="f" strokeweight=".26mm">
                <v:textbox>
                  <w:txbxContent>
                    <w:p w14:paraId="3C16E9CF" w14:textId="365E70F0" w:rsidR="00725BCA" w:rsidRDefault="00725BCA" w:rsidP="00725BCA">
                      <w:pPr>
                        <w:pStyle w:val="tekstzboku"/>
                        <w:suppressAutoHyphens/>
                        <w:spacing w:before="0" w:after="120"/>
                        <w:rPr>
                          <w:lang w:val="en-GB"/>
                        </w:rPr>
                      </w:pPr>
                      <w:bookmarkStart w:id="3" w:name="tw-target-text8"/>
                      <w:bookmarkEnd w:id="3"/>
                      <w:r>
                        <w:rPr>
                          <w:lang w:val="en-US"/>
                        </w:rPr>
                        <w:t>In 2019, a positive balance of foreign trade in cultural and creative goods was recorded</w:t>
                      </w:r>
                      <w:r w:rsidR="007A7664">
                        <w:rPr>
                          <w:lang w:val="en-US"/>
                        </w:rPr>
                        <w:t>,</w:t>
                      </w:r>
                      <w:r>
                        <w:rPr>
                          <w:lang w:val="en-US"/>
                        </w:rPr>
                        <w:t xml:space="preserve"> amounting to 5,172.6 million</w:t>
                      </w:r>
                      <w:r w:rsidR="00DE6230" w:rsidRPr="00DE6230">
                        <w:rPr>
                          <w:lang w:val="en-US"/>
                        </w:rPr>
                        <w:t xml:space="preserve"> </w:t>
                      </w:r>
                      <w:r w:rsidR="00DE6230">
                        <w:rPr>
                          <w:lang w:val="en-US"/>
                        </w:rPr>
                        <w:t>PLN</w:t>
                      </w:r>
                    </w:p>
                    <w:p w14:paraId="5FBEF702" w14:textId="77777777" w:rsidR="00725BCA" w:rsidRPr="00725BCA" w:rsidRDefault="00725BCA" w:rsidP="00923EA8">
                      <w:pPr>
                        <w:pStyle w:val="tekstzboku"/>
                        <w:spacing w:before="0" w:after="120"/>
                        <w:rPr>
                          <w:lang w:val="en-GB"/>
                        </w:rPr>
                      </w:pPr>
                    </w:p>
                    <w:p w14:paraId="75D3A68F" w14:textId="77777777" w:rsidR="00725BCA" w:rsidRPr="00725BCA" w:rsidRDefault="00725BCA" w:rsidP="00923EA8">
                      <w:pPr>
                        <w:pStyle w:val="Zawartoramki"/>
                        <w:spacing w:after="0"/>
                        <w:rPr>
                          <w:lang w:val="en-US"/>
                        </w:rPr>
                      </w:pPr>
                    </w:p>
                  </w:txbxContent>
                </v:textbox>
                <w10:wrap type="tight" anchorx="page"/>
              </v:rect>
            </w:pict>
          </mc:Fallback>
        </mc:AlternateContent>
      </w:r>
      <w:r w:rsidR="00725BCA" w:rsidRPr="002D265E">
        <w:rPr>
          <w:lang w:val="en-GB"/>
        </w:rPr>
        <w:t>Foreign trade in cultural and creative goods and services</w:t>
      </w:r>
    </w:p>
    <w:p w14:paraId="5107E2C6" w14:textId="41F03943" w:rsidR="00725BCA" w:rsidRPr="002D265E" w:rsidRDefault="00725BCA" w:rsidP="007A7664">
      <w:pPr>
        <w:keepNext/>
        <w:suppressAutoHyphens/>
        <w:rPr>
          <w:rFonts w:cstheme="minorHAnsi"/>
          <w:szCs w:val="19"/>
          <w:lang w:val="en-GB"/>
        </w:rPr>
      </w:pPr>
      <w:r w:rsidRPr="002D265E">
        <w:rPr>
          <w:shd w:val="clear" w:color="auto" w:fill="FFFFFF"/>
          <w:lang w:val="en-GB"/>
        </w:rPr>
        <w:t>In 2019, cultural and creative goods worth 15,213.0 million</w:t>
      </w:r>
      <w:r w:rsidR="00061DCB" w:rsidRPr="00061DCB">
        <w:rPr>
          <w:shd w:val="clear" w:color="auto" w:fill="FFFFFF"/>
          <w:lang w:val="en-GB"/>
        </w:rPr>
        <w:t xml:space="preserve"> </w:t>
      </w:r>
      <w:r w:rsidR="00061DCB" w:rsidRPr="002D265E">
        <w:rPr>
          <w:shd w:val="clear" w:color="auto" w:fill="FFFFFF"/>
          <w:lang w:val="en-GB"/>
        </w:rPr>
        <w:t>PLN</w:t>
      </w:r>
      <w:r w:rsidRPr="002D265E">
        <w:rPr>
          <w:shd w:val="clear" w:color="auto" w:fill="FFFFFF"/>
          <w:lang w:val="en-GB"/>
        </w:rPr>
        <w:t>,</w:t>
      </w:r>
      <w:r w:rsidR="00650322">
        <w:rPr>
          <w:shd w:val="clear" w:color="auto" w:fill="FFFFFF"/>
          <w:lang w:val="en-GB"/>
        </w:rPr>
        <w:t xml:space="preserve"> </w:t>
      </w:r>
      <w:r w:rsidRPr="002D265E">
        <w:rPr>
          <w:shd w:val="clear" w:color="auto" w:fill="FFFFFF"/>
          <w:lang w:val="en-GB"/>
        </w:rPr>
        <w:t xml:space="preserve">0.4% more than in 2018, were sold abroad. In contrast, a decrease in the import of cultural and creative goods was observed – in 2019, cultural and creative goods worth 10,040.5 million </w:t>
      </w:r>
      <w:r w:rsidR="00061DCB" w:rsidRPr="002D265E">
        <w:rPr>
          <w:shd w:val="clear" w:color="auto" w:fill="FFFFFF"/>
          <w:lang w:val="en-GB"/>
        </w:rPr>
        <w:t xml:space="preserve">PLN </w:t>
      </w:r>
      <w:r w:rsidRPr="002D265E">
        <w:rPr>
          <w:shd w:val="clear" w:color="auto" w:fill="FFFFFF"/>
          <w:lang w:val="en-GB"/>
        </w:rPr>
        <w:t xml:space="preserve">were imported to Poland (a decrease by 5.4% </w:t>
      </w:r>
      <w:r w:rsidR="002D265E" w:rsidRPr="002D265E">
        <w:rPr>
          <w:shd w:val="clear" w:color="auto" w:fill="FFFFFF"/>
          <w:lang w:val="en-GB"/>
        </w:rPr>
        <w:t>compared to</w:t>
      </w:r>
      <w:r w:rsidRPr="002D265E">
        <w:rPr>
          <w:shd w:val="clear" w:color="auto" w:fill="FFFFFF"/>
          <w:lang w:val="en-GB"/>
        </w:rPr>
        <w:t xml:space="preserve"> 2018). The balance of trade in cultural and creative goods in 2019 was positive and amounted to 5,172.6 million </w:t>
      </w:r>
      <w:r w:rsidR="00061DCB" w:rsidRPr="002D265E">
        <w:rPr>
          <w:shd w:val="clear" w:color="auto" w:fill="FFFFFF"/>
          <w:lang w:val="en-GB"/>
        </w:rPr>
        <w:t xml:space="preserve">PLN </w:t>
      </w:r>
      <w:r w:rsidRPr="002D265E">
        <w:rPr>
          <w:shd w:val="clear" w:color="auto" w:fill="FFFFFF"/>
          <w:lang w:val="en-GB"/>
        </w:rPr>
        <w:t xml:space="preserve">(4,541.4 million </w:t>
      </w:r>
      <w:r w:rsidR="00061DCB" w:rsidRPr="002D265E">
        <w:rPr>
          <w:shd w:val="clear" w:color="auto" w:fill="FFFFFF"/>
          <w:lang w:val="en-GB"/>
        </w:rPr>
        <w:t xml:space="preserve">PLN </w:t>
      </w:r>
      <w:r w:rsidRPr="002D265E">
        <w:rPr>
          <w:shd w:val="clear" w:color="auto" w:fill="FFFFFF"/>
          <w:lang w:val="en-GB"/>
        </w:rPr>
        <w:t>in 2018). This amount confirms the growing positive trend in trade in cultural and creative goods observed in recent years.</w:t>
      </w:r>
    </w:p>
    <w:p w14:paraId="5A5C0E9E" w14:textId="2E4FC417" w:rsidR="00725BCA" w:rsidRPr="002D265E" w:rsidRDefault="00725BCA" w:rsidP="007A7664">
      <w:pPr>
        <w:pStyle w:val="Tekstwstpniesformatowany"/>
        <w:keepNext/>
        <w:suppressAutoHyphens/>
        <w:rPr>
          <w:lang w:val="en-GB"/>
        </w:rPr>
      </w:pPr>
      <w:r w:rsidRPr="002D265E">
        <w:rPr>
          <w:lang w:val="en-GB"/>
        </w:rPr>
        <w:t xml:space="preserve">Considering the domains of culture, the highest values of both the export and import of cultural and creative goods were recorded in two </w:t>
      </w:r>
      <w:r w:rsidR="003023AB">
        <w:rPr>
          <w:lang w:val="en-GB"/>
        </w:rPr>
        <w:t>domains</w:t>
      </w:r>
      <w:r w:rsidRPr="002D265E">
        <w:rPr>
          <w:lang w:val="en-GB"/>
        </w:rPr>
        <w:t xml:space="preserve">: </w:t>
      </w:r>
      <w:proofErr w:type="spellStart"/>
      <w:r w:rsidRPr="002D265E">
        <w:rPr>
          <w:i/>
          <w:iCs/>
          <w:lang w:val="en-GB"/>
        </w:rPr>
        <w:t>Audiovisual</w:t>
      </w:r>
      <w:proofErr w:type="spellEnd"/>
      <w:r w:rsidR="00303016">
        <w:rPr>
          <w:i/>
          <w:iCs/>
          <w:lang w:val="en-GB"/>
        </w:rPr>
        <w:t xml:space="preserve"> arts</w:t>
      </w:r>
      <w:r w:rsidRPr="002D265E">
        <w:rPr>
          <w:i/>
          <w:iCs/>
          <w:lang w:val="en-GB"/>
        </w:rPr>
        <w:t xml:space="preserve"> and multimedia</w:t>
      </w:r>
      <w:r w:rsidRPr="002D265E">
        <w:rPr>
          <w:lang w:val="en-GB"/>
        </w:rPr>
        <w:t xml:space="preserve"> (import – 7,181.9 million</w:t>
      </w:r>
      <w:r w:rsidR="00061DCB" w:rsidRPr="00061DCB">
        <w:rPr>
          <w:lang w:val="en-GB"/>
        </w:rPr>
        <w:t xml:space="preserve"> </w:t>
      </w:r>
      <w:r w:rsidR="00061DCB" w:rsidRPr="002D265E">
        <w:rPr>
          <w:lang w:val="en-GB"/>
        </w:rPr>
        <w:t>PLN</w:t>
      </w:r>
      <w:r w:rsidRPr="002D265E">
        <w:rPr>
          <w:lang w:val="en-GB"/>
        </w:rPr>
        <w:t>, export – 7,010.6 million</w:t>
      </w:r>
      <w:r w:rsidR="00061DCB" w:rsidRPr="00061DCB">
        <w:rPr>
          <w:lang w:val="en-GB"/>
        </w:rPr>
        <w:t xml:space="preserve"> </w:t>
      </w:r>
      <w:r w:rsidR="00061DCB" w:rsidRPr="002D265E">
        <w:rPr>
          <w:lang w:val="en-GB"/>
        </w:rPr>
        <w:t>PLN</w:t>
      </w:r>
      <w:r w:rsidRPr="002D265E">
        <w:rPr>
          <w:lang w:val="en-GB"/>
        </w:rPr>
        <w:t xml:space="preserve">) </w:t>
      </w:r>
      <w:r w:rsidR="00303016">
        <w:rPr>
          <w:lang w:val="en-GB"/>
        </w:rPr>
        <w:t>–</w:t>
      </w:r>
      <w:r w:rsidRPr="002D265E">
        <w:rPr>
          <w:lang w:val="en-GB"/>
        </w:rPr>
        <w:t xml:space="preserve"> most</w:t>
      </w:r>
      <w:r w:rsidR="00303016">
        <w:rPr>
          <w:lang w:val="en-GB"/>
        </w:rPr>
        <w:t xml:space="preserve"> </w:t>
      </w:r>
      <w:r w:rsidRPr="002D265E">
        <w:rPr>
          <w:lang w:val="en-GB"/>
        </w:rPr>
        <w:t>of the turnover was generated by trade in video game consoles and devices as well as recorded optical discs, incl</w:t>
      </w:r>
      <w:r w:rsidR="003023AB">
        <w:rPr>
          <w:lang w:val="en-GB"/>
        </w:rPr>
        <w:t>uding</w:t>
      </w:r>
      <w:r w:rsidRPr="002D265E">
        <w:rPr>
          <w:lang w:val="en-GB"/>
        </w:rPr>
        <w:t xml:space="preserve"> DVDs.</w:t>
      </w:r>
      <w:r w:rsidR="00697F52" w:rsidRPr="002D265E">
        <w:rPr>
          <w:lang w:val="en-GB"/>
        </w:rPr>
        <w:t xml:space="preserve"> </w:t>
      </w:r>
      <w:r w:rsidR="00697F52" w:rsidRPr="00650322">
        <w:rPr>
          <w:i/>
          <w:lang w:val="en-GB"/>
        </w:rPr>
        <w:t xml:space="preserve">Books and </w:t>
      </w:r>
      <w:r w:rsidR="002D265E" w:rsidRPr="00650322">
        <w:rPr>
          <w:i/>
          <w:lang w:val="en-GB"/>
        </w:rPr>
        <w:t>press</w:t>
      </w:r>
      <w:r w:rsidR="00697F52" w:rsidRPr="002D265E">
        <w:rPr>
          <w:lang w:val="en-GB"/>
        </w:rPr>
        <w:t xml:space="preserve"> (that included </w:t>
      </w:r>
      <w:proofErr w:type="spellStart"/>
      <w:r w:rsidR="00697F52" w:rsidRPr="002D265E">
        <w:rPr>
          <w:lang w:val="en-GB"/>
        </w:rPr>
        <w:t>i.a.</w:t>
      </w:r>
      <w:proofErr w:type="spellEnd"/>
      <w:r w:rsidR="00697F52" w:rsidRPr="002D265E">
        <w:rPr>
          <w:lang w:val="en-GB"/>
        </w:rPr>
        <w:t xml:space="preserve"> trade in books, newspapers, </w:t>
      </w:r>
      <w:r w:rsidR="002D265E" w:rsidRPr="002D265E">
        <w:rPr>
          <w:lang w:val="en-GB"/>
        </w:rPr>
        <w:t>dailies,</w:t>
      </w:r>
      <w:r w:rsidR="00697F52" w:rsidRPr="002D265E">
        <w:rPr>
          <w:lang w:val="en-GB"/>
        </w:rPr>
        <w:t xml:space="preserve"> and magazines) came second, presenting the highest positive balance of foreign trade in cultural and </w:t>
      </w:r>
      <w:r w:rsidR="002D265E" w:rsidRPr="002D265E">
        <w:rPr>
          <w:lang w:val="en-GB"/>
        </w:rPr>
        <w:t>created</w:t>
      </w:r>
      <w:r w:rsidR="00697F52" w:rsidRPr="002D265E">
        <w:rPr>
          <w:lang w:val="en-GB"/>
        </w:rPr>
        <w:t xml:space="preserve"> goods (4,401.8 million</w:t>
      </w:r>
      <w:r w:rsidR="00061DCB" w:rsidRPr="00061DCB">
        <w:rPr>
          <w:lang w:val="en-GB"/>
        </w:rPr>
        <w:t xml:space="preserve"> </w:t>
      </w:r>
      <w:r w:rsidR="00061DCB" w:rsidRPr="002D265E">
        <w:rPr>
          <w:lang w:val="en-GB"/>
        </w:rPr>
        <w:t>PLN</w:t>
      </w:r>
      <w:r w:rsidR="00697F52" w:rsidRPr="002D265E">
        <w:rPr>
          <w:lang w:val="en-GB"/>
        </w:rPr>
        <w:t xml:space="preserve">). </w:t>
      </w:r>
      <w:r w:rsidR="00697F52" w:rsidRPr="00650322">
        <w:rPr>
          <w:i/>
          <w:lang w:val="en-GB"/>
        </w:rPr>
        <w:t>Advertising</w:t>
      </w:r>
      <w:r w:rsidR="00697F52" w:rsidRPr="002D265E">
        <w:rPr>
          <w:lang w:val="en-GB"/>
        </w:rPr>
        <w:t xml:space="preserve"> (commercial </w:t>
      </w:r>
      <w:r w:rsidR="00303016" w:rsidRPr="002D265E">
        <w:rPr>
          <w:lang w:val="en-GB"/>
        </w:rPr>
        <w:t>catalogues</w:t>
      </w:r>
      <w:r w:rsidR="00697F52" w:rsidRPr="002D265E">
        <w:rPr>
          <w:lang w:val="en-GB"/>
        </w:rPr>
        <w:t xml:space="preserve">, other commercial advertisements) was third with the value of export 5.5 times higher </w:t>
      </w:r>
      <w:proofErr w:type="spellStart"/>
      <w:r w:rsidR="00697F52" w:rsidRPr="002D265E">
        <w:rPr>
          <w:lang w:val="en-GB"/>
        </w:rPr>
        <w:t>that</w:t>
      </w:r>
      <w:proofErr w:type="spellEnd"/>
      <w:r w:rsidR="00697F52" w:rsidRPr="002D265E">
        <w:rPr>
          <w:lang w:val="en-GB"/>
        </w:rPr>
        <w:t xml:space="preserve"> the value of import. Large surplus of experts were recorded also in the domains of </w:t>
      </w:r>
      <w:r w:rsidR="00697F52" w:rsidRPr="00650322">
        <w:rPr>
          <w:i/>
          <w:lang w:val="en-GB"/>
        </w:rPr>
        <w:t>Books</w:t>
      </w:r>
      <w:r w:rsidR="00697F52" w:rsidRPr="002D265E">
        <w:rPr>
          <w:lang w:val="en-GB"/>
        </w:rPr>
        <w:t xml:space="preserve"> </w:t>
      </w:r>
      <w:r w:rsidR="00697F52" w:rsidRPr="00650322">
        <w:rPr>
          <w:i/>
          <w:lang w:val="en-GB"/>
        </w:rPr>
        <w:t xml:space="preserve">and </w:t>
      </w:r>
      <w:r w:rsidR="002D265E" w:rsidRPr="00650322">
        <w:rPr>
          <w:i/>
          <w:lang w:val="en-GB"/>
        </w:rPr>
        <w:t>press</w:t>
      </w:r>
      <w:r w:rsidR="00697F52" w:rsidRPr="002D265E">
        <w:rPr>
          <w:lang w:val="en-GB"/>
        </w:rPr>
        <w:t xml:space="preserve"> (197.9%), </w:t>
      </w:r>
      <w:r w:rsidR="00697F52" w:rsidRPr="00650322">
        <w:rPr>
          <w:i/>
          <w:lang w:val="en-GB"/>
        </w:rPr>
        <w:t>Architecture</w:t>
      </w:r>
      <w:r w:rsidR="00697F52" w:rsidRPr="002D265E">
        <w:rPr>
          <w:lang w:val="en-GB"/>
        </w:rPr>
        <w:t xml:space="preserve"> </w:t>
      </w:r>
      <w:r w:rsidR="002D265E" w:rsidRPr="002D265E">
        <w:rPr>
          <w:lang w:val="en-GB"/>
        </w:rPr>
        <w:t>(149.6%),</w:t>
      </w:r>
      <w:r w:rsidR="00697F52" w:rsidRPr="002D265E">
        <w:rPr>
          <w:lang w:val="en-GB"/>
        </w:rPr>
        <w:t xml:space="preserve"> and </w:t>
      </w:r>
      <w:r w:rsidR="00697F52" w:rsidRPr="00650322">
        <w:rPr>
          <w:i/>
          <w:lang w:val="en-GB"/>
        </w:rPr>
        <w:t>Visual arts</w:t>
      </w:r>
      <w:r w:rsidR="00697F52" w:rsidRPr="002D265E">
        <w:rPr>
          <w:lang w:val="en-GB"/>
        </w:rPr>
        <w:t xml:space="preserve"> (63.0%). </w:t>
      </w:r>
      <w:r w:rsidRPr="002D265E">
        <w:rPr>
          <w:lang w:val="en-GB"/>
        </w:rPr>
        <w:t xml:space="preserve">Negative trade balance was recorded in the domains of: </w:t>
      </w:r>
      <w:proofErr w:type="spellStart"/>
      <w:r w:rsidRPr="002D265E">
        <w:rPr>
          <w:i/>
          <w:iCs/>
          <w:lang w:val="en-GB"/>
        </w:rPr>
        <w:t>Audiovisual</w:t>
      </w:r>
      <w:proofErr w:type="spellEnd"/>
      <w:r w:rsidRPr="002D265E">
        <w:rPr>
          <w:i/>
          <w:iCs/>
          <w:lang w:val="en-GB"/>
        </w:rPr>
        <w:t xml:space="preserve"> </w:t>
      </w:r>
      <w:r w:rsidR="00697F52" w:rsidRPr="002D265E">
        <w:rPr>
          <w:i/>
          <w:iCs/>
          <w:lang w:val="en-GB"/>
        </w:rPr>
        <w:t xml:space="preserve">arts </w:t>
      </w:r>
      <w:r w:rsidRPr="002D265E">
        <w:rPr>
          <w:i/>
          <w:iCs/>
          <w:lang w:val="en-GB"/>
        </w:rPr>
        <w:t xml:space="preserve">and multimedia </w:t>
      </w:r>
      <w:r w:rsidRPr="002D265E">
        <w:rPr>
          <w:lang w:val="en-GB"/>
        </w:rPr>
        <w:t>(</w:t>
      </w:r>
      <w:r w:rsidR="00697F52" w:rsidRPr="002D265E">
        <w:rPr>
          <w:lang w:val="en-GB"/>
        </w:rPr>
        <w:t>- 171.2</w:t>
      </w:r>
      <w:r w:rsidRPr="002D265E">
        <w:rPr>
          <w:lang w:val="en-GB"/>
        </w:rPr>
        <w:t xml:space="preserve"> million</w:t>
      </w:r>
      <w:r w:rsidR="00061DCB" w:rsidRPr="00061DCB">
        <w:rPr>
          <w:lang w:val="en-GB"/>
        </w:rPr>
        <w:t xml:space="preserve"> </w:t>
      </w:r>
      <w:r w:rsidR="00061DCB" w:rsidRPr="002D265E">
        <w:rPr>
          <w:lang w:val="en-GB"/>
        </w:rPr>
        <w:t>PLN</w:t>
      </w:r>
      <w:r w:rsidRPr="002D265E">
        <w:rPr>
          <w:lang w:val="en-GB"/>
        </w:rPr>
        <w:t xml:space="preserve">), </w:t>
      </w:r>
      <w:r w:rsidRPr="002D265E">
        <w:rPr>
          <w:i/>
          <w:iCs/>
          <w:lang w:val="en-GB"/>
        </w:rPr>
        <w:t>Performing arts</w:t>
      </w:r>
      <w:r w:rsidRPr="002D265E">
        <w:rPr>
          <w:lang w:val="en-GB"/>
        </w:rPr>
        <w:t xml:space="preserve"> (</w:t>
      </w:r>
      <w:r w:rsidR="00697F52" w:rsidRPr="002D265E">
        <w:rPr>
          <w:lang w:val="en-GB"/>
        </w:rPr>
        <w:t>-105.1</w:t>
      </w:r>
      <w:r w:rsidRPr="002D265E">
        <w:rPr>
          <w:lang w:val="en-GB"/>
        </w:rPr>
        <w:t xml:space="preserve"> million</w:t>
      </w:r>
      <w:r w:rsidR="00061DCB" w:rsidRPr="00061DCB">
        <w:rPr>
          <w:lang w:val="en-GB"/>
        </w:rPr>
        <w:t xml:space="preserve"> </w:t>
      </w:r>
      <w:r w:rsidR="00061DCB" w:rsidRPr="002D265E">
        <w:rPr>
          <w:lang w:val="en-GB"/>
        </w:rPr>
        <w:t>PLN</w:t>
      </w:r>
      <w:r w:rsidRPr="002D265E">
        <w:rPr>
          <w:lang w:val="en-GB"/>
        </w:rPr>
        <w:t xml:space="preserve">), </w:t>
      </w:r>
      <w:r w:rsidRPr="002D265E">
        <w:rPr>
          <w:i/>
          <w:iCs/>
          <w:lang w:val="en-GB"/>
        </w:rPr>
        <w:t>Cultural heritage</w:t>
      </w:r>
      <w:r w:rsidRPr="002D265E">
        <w:rPr>
          <w:lang w:val="en-GB"/>
        </w:rPr>
        <w:t xml:space="preserve"> (</w:t>
      </w:r>
      <w:r w:rsidR="00697F52" w:rsidRPr="002D265E">
        <w:rPr>
          <w:lang w:val="en-GB"/>
        </w:rPr>
        <w:t>-42.5</w:t>
      </w:r>
      <w:r w:rsidRPr="002D265E">
        <w:rPr>
          <w:lang w:val="en-GB"/>
        </w:rPr>
        <w:t xml:space="preserve"> </w:t>
      </w:r>
      <w:r w:rsidR="002D265E" w:rsidRPr="002D265E">
        <w:rPr>
          <w:lang w:val="en-GB"/>
        </w:rPr>
        <w:t>million</w:t>
      </w:r>
      <w:r w:rsidR="00061DCB" w:rsidRPr="00061DCB">
        <w:rPr>
          <w:lang w:val="en-GB"/>
        </w:rPr>
        <w:t xml:space="preserve"> </w:t>
      </w:r>
      <w:r w:rsidR="00061DCB" w:rsidRPr="002D265E">
        <w:rPr>
          <w:lang w:val="en-GB"/>
        </w:rPr>
        <w:t>PLN</w:t>
      </w:r>
      <w:r w:rsidR="002D265E" w:rsidRPr="002D265E">
        <w:rPr>
          <w:lang w:val="en-GB"/>
        </w:rPr>
        <w:t>),</w:t>
      </w:r>
      <w:r w:rsidRPr="002D265E">
        <w:rPr>
          <w:lang w:val="en-GB"/>
        </w:rPr>
        <w:t xml:space="preserve"> and </w:t>
      </w:r>
      <w:r w:rsidRPr="002D265E">
        <w:rPr>
          <w:i/>
          <w:iCs/>
          <w:lang w:val="en-GB"/>
        </w:rPr>
        <w:t>Arts and crafts</w:t>
      </w:r>
      <w:r w:rsidRPr="002D265E">
        <w:rPr>
          <w:lang w:val="en-GB"/>
        </w:rPr>
        <w:t xml:space="preserve"> (</w:t>
      </w:r>
      <w:r w:rsidR="00697F52" w:rsidRPr="002D265E">
        <w:rPr>
          <w:lang w:val="en-GB"/>
        </w:rPr>
        <w:t>-1.2</w:t>
      </w:r>
      <w:r w:rsidRPr="002D265E">
        <w:rPr>
          <w:lang w:val="en-GB"/>
        </w:rPr>
        <w:t xml:space="preserve"> million</w:t>
      </w:r>
      <w:r w:rsidR="00061DCB" w:rsidRPr="00061DCB">
        <w:rPr>
          <w:lang w:val="en-GB"/>
        </w:rPr>
        <w:t xml:space="preserve"> </w:t>
      </w:r>
      <w:r w:rsidR="00061DCB" w:rsidRPr="002D265E">
        <w:rPr>
          <w:lang w:val="en-GB"/>
        </w:rPr>
        <w:t>PLN</w:t>
      </w:r>
      <w:r w:rsidRPr="002D265E">
        <w:rPr>
          <w:lang w:val="en-GB"/>
        </w:rPr>
        <w:t>).</w:t>
      </w:r>
    </w:p>
    <w:p w14:paraId="5ABBFCD4" w14:textId="338CD81D" w:rsidR="00697F52" w:rsidRPr="002D265E" w:rsidRDefault="00697F52" w:rsidP="007A7664">
      <w:pPr>
        <w:keepNext/>
        <w:suppressAutoHyphens/>
        <w:spacing w:after="240"/>
        <w:rPr>
          <w:rFonts w:cstheme="minorHAnsi"/>
          <w:szCs w:val="19"/>
          <w:lang w:val="en-GB"/>
        </w:rPr>
      </w:pPr>
      <w:r w:rsidRPr="002D265E">
        <w:rPr>
          <w:lang w:val="en-GB"/>
        </w:rPr>
        <w:t>In the structure of Poland's foreign trade, trade in cultural and creative go</w:t>
      </w:r>
      <w:r w:rsidR="003023AB">
        <w:rPr>
          <w:lang w:val="en-GB"/>
        </w:rPr>
        <w:t xml:space="preserve">ods was not a significant item, </w:t>
      </w:r>
      <w:r w:rsidRPr="002D265E">
        <w:rPr>
          <w:lang w:val="en-GB"/>
        </w:rPr>
        <w:t>account</w:t>
      </w:r>
      <w:r w:rsidR="003023AB">
        <w:rPr>
          <w:lang w:val="en-GB"/>
        </w:rPr>
        <w:t>ing</w:t>
      </w:r>
      <w:r w:rsidRPr="002D265E">
        <w:rPr>
          <w:lang w:val="en-GB"/>
        </w:rPr>
        <w:t xml:space="preserve"> for 1.</w:t>
      </w:r>
      <w:r w:rsidR="00DE1F93" w:rsidRPr="002D265E">
        <w:rPr>
          <w:lang w:val="en-GB"/>
        </w:rPr>
        <w:t>5</w:t>
      </w:r>
      <w:r w:rsidRPr="002D265E">
        <w:rPr>
          <w:lang w:val="en-GB"/>
        </w:rPr>
        <w:t>% of exports and 1.</w:t>
      </w:r>
      <w:r w:rsidR="00DE1F93" w:rsidRPr="002D265E">
        <w:rPr>
          <w:lang w:val="en-GB"/>
        </w:rPr>
        <w:t>0</w:t>
      </w:r>
      <w:r w:rsidRPr="002D265E">
        <w:rPr>
          <w:lang w:val="en-GB"/>
        </w:rPr>
        <w:t xml:space="preserve">% of total imports of goods. As for the </w:t>
      </w:r>
      <w:r w:rsidR="002D265E" w:rsidRPr="002D265E">
        <w:rPr>
          <w:lang w:val="en-GB"/>
        </w:rPr>
        <w:t>direction</w:t>
      </w:r>
      <w:r w:rsidRPr="002D265E">
        <w:rPr>
          <w:lang w:val="en-GB"/>
        </w:rPr>
        <w:t xml:space="preserve"> of trade in cultural and creative goods, the largest recipients of Polish goods of this type were </w:t>
      </w:r>
      <w:r w:rsidR="00DE1F93" w:rsidRPr="002D265E">
        <w:rPr>
          <w:lang w:val="en-GB"/>
        </w:rPr>
        <w:t xml:space="preserve">the </w:t>
      </w:r>
      <w:r w:rsidRPr="002D265E">
        <w:rPr>
          <w:lang w:val="en-GB"/>
        </w:rPr>
        <w:t>EU countries (93.</w:t>
      </w:r>
      <w:r w:rsidR="00DE1F93" w:rsidRPr="002D265E">
        <w:rPr>
          <w:lang w:val="en-GB"/>
        </w:rPr>
        <w:t>1</w:t>
      </w:r>
      <w:r w:rsidRPr="002D265E">
        <w:rPr>
          <w:lang w:val="en-GB"/>
        </w:rPr>
        <w:t>% of exports). Poland imported the most cultural and creative goods</w:t>
      </w:r>
      <w:r w:rsidR="00DE1F93" w:rsidRPr="002D265E">
        <w:rPr>
          <w:lang w:val="en-GB"/>
        </w:rPr>
        <w:t xml:space="preserve"> also</w:t>
      </w:r>
      <w:r w:rsidRPr="002D265E">
        <w:rPr>
          <w:lang w:val="en-GB"/>
        </w:rPr>
        <w:t xml:space="preserve"> from</w:t>
      </w:r>
      <w:r w:rsidR="00DE1F93" w:rsidRPr="002D265E">
        <w:rPr>
          <w:lang w:val="en-GB"/>
        </w:rPr>
        <w:t xml:space="preserve"> the</w:t>
      </w:r>
      <w:r w:rsidRPr="002D265E">
        <w:rPr>
          <w:lang w:val="en-GB"/>
        </w:rPr>
        <w:t xml:space="preserve"> EU countries (</w:t>
      </w:r>
      <w:r w:rsidR="00DE1F93" w:rsidRPr="002D265E">
        <w:rPr>
          <w:lang w:val="en-GB"/>
        </w:rPr>
        <w:t>47.2</w:t>
      </w:r>
      <w:r w:rsidRPr="002D265E">
        <w:rPr>
          <w:lang w:val="en-GB"/>
        </w:rPr>
        <w:t xml:space="preserve">% of total imports), </w:t>
      </w:r>
      <w:r w:rsidR="00DE1F93" w:rsidRPr="002D265E">
        <w:rPr>
          <w:lang w:val="en-GB"/>
        </w:rPr>
        <w:t>as well as</w:t>
      </w:r>
      <w:r w:rsidRPr="002D265E">
        <w:rPr>
          <w:lang w:val="en-GB"/>
        </w:rPr>
        <w:t xml:space="preserve"> from developing countries (</w:t>
      </w:r>
      <w:r w:rsidR="00DE1F93" w:rsidRPr="002D265E">
        <w:rPr>
          <w:lang w:val="en-GB"/>
        </w:rPr>
        <w:t>24.2</w:t>
      </w:r>
      <w:r w:rsidRPr="002D265E">
        <w:rPr>
          <w:lang w:val="en-GB"/>
        </w:rPr>
        <w:t>%).</w:t>
      </w:r>
    </w:p>
    <w:p w14:paraId="07C4EDFF" w14:textId="372E7F10" w:rsidR="00E4308C" w:rsidRPr="002D265E" w:rsidRDefault="00DE1F93" w:rsidP="007A7664">
      <w:pPr>
        <w:pStyle w:val="Tekstwstpniesformatowany"/>
        <w:keepNext/>
        <w:suppressAutoHyphens/>
        <w:rPr>
          <w:shd w:val="clear" w:color="auto" w:fill="FFFFFF"/>
          <w:lang w:val="en-GB"/>
        </w:rPr>
      </w:pPr>
      <w:r w:rsidRPr="002D265E">
        <w:rPr>
          <w:shd w:val="clear" w:color="auto" w:fill="FFFFFF"/>
          <w:lang w:val="en-GB"/>
        </w:rPr>
        <w:t xml:space="preserve">In 2019, cultural and creative services worth 11,136.6 million </w:t>
      </w:r>
      <w:r w:rsidR="00061DCB" w:rsidRPr="002D265E">
        <w:rPr>
          <w:shd w:val="clear" w:color="auto" w:fill="FFFFFF"/>
          <w:lang w:val="en-GB"/>
        </w:rPr>
        <w:t xml:space="preserve">PLN </w:t>
      </w:r>
      <w:r w:rsidRPr="002D265E">
        <w:rPr>
          <w:shd w:val="clear" w:color="auto" w:fill="FFFFFF"/>
          <w:lang w:val="en-GB"/>
        </w:rPr>
        <w:t xml:space="preserve">were sold abroad, and cultural and creative services worth 10,327.9 million </w:t>
      </w:r>
      <w:r w:rsidR="00061DCB" w:rsidRPr="002D265E">
        <w:rPr>
          <w:shd w:val="clear" w:color="auto" w:fill="FFFFFF"/>
          <w:lang w:val="en-GB"/>
        </w:rPr>
        <w:t xml:space="preserve">PLN </w:t>
      </w:r>
      <w:r w:rsidRPr="002D265E">
        <w:rPr>
          <w:shd w:val="clear" w:color="auto" w:fill="FFFFFF"/>
          <w:lang w:val="en-GB"/>
        </w:rPr>
        <w:t xml:space="preserve">were purchased. The turnover of the international exchange of cultural and creative services increased more than the turnover of the exchange of cultural and creative goods. Compared to 2018, </w:t>
      </w:r>
      <w:r w:rsidR="00E4308C" w:rsidRPr="002D265E">
        <w:rPr>
          <w:shd w:val="clear" w:color="auto" w:fill="FFFFFF"/>
          <w:lang w:val="en-GB"/>
        </w:rPr>
        <w:t xml:space="preserve">the value of exported services increased by 1.6% while the value of imported services – by 1.7%. </w:t>
      </w:r>
      <w:r w:rsidRPr="002D265E">
        <w:rPr>
          <w:shd w:val="clear" w:color="auto" w:fill="FFFFFF"/>
          <w:lang w:val="en-GB"/>
        </w:rPr>
        <w:t>A positive service trade balance of 80</w:t>
      </w:r>
      <w:r w:rsidR="00E4308C" w:rsidRPr="002D265E">
        <w:rPr>
          <w:shd w:val="clear" w:color="auto" w:fill="FFFFFF"/>
          <w:lang w:val="en-GB"/>
        </w:rPr>
        <w:t>8</w:t>
      </w:r>
      <w:r w:rsidRPr="002D265E">
        <w:rPr>
          <w:shd w:val="clear" w:color="auto" w:fill="FFFFFF"/>
          <w:lang w:val="en-GB"/>
        </w:rPr>
        <w:t>.</w:t>
      </w:r>
      <w:r w:rsidR="00E4308C" w:rsidRPr="002D265E">
        <w:rPr>
          <w:shd w:val="clear" w:color="auto" w:fill="FFFFFF"/>
          <w:lang w:val="en-GB"/>
        </w:rPr>
        <w:t>7</w:t>
      </w:r>
      <w:r w:rsidRPr="002D265E">
        <w:rPr>
          <w:shd w:val="clear" w:color="auto" w:fill="FFFFFF"/>
          <w:lang w:val="en-GB"/>
        </w:rPr>
        <w:t xml:space="preserve"> million </w:t>
      </w:r>
      <w:r w:rsidR="00061DCB" w:rsidRPr="002D265E">
        <w:rPr>
          <w:shd w:val="clear" w:color="auto" w:fill="FFFFFF"/>
          <w:lang w:val="en-GB"/>
        </w:rPr>
        <w:t xml:space="preserve">PLN </w:t>
      </w:r>
      <w:r w:rsidRPr="002D265E">
        <w:rPr>
          <w:shd w:val="clear" w:color="auto" w:fill="FFFFFF"/>
          <w:lang w:val="en-GB"/>
        </w:rPr>
        <w:t>was recorded.</w:t>
      </w:r>
    </w:p>
    <w:p w14:paraId="40B8BFAE" w14:textId="19830943" w:rsidR="00DE1F93" w:rsidRPr="002D265E" w:rsidRDefault="00DE1F93" w:rsidP="007A7664">
      <w:pPr>
        <w:pStyle w:val="Tekstwstpniesformatowany"/>
        <w:keepNext/>
        <w:suppressAutoHyphens/>
        <w:rPr>
          <w:lang w:val="en-GB"/>
        </w:rPr>
      </w:pPr>
      <w:r w:rsidRPr="002D265E">
        <w:rPr>
          <w:shd w:val="clear" w:color="auto" w:fill="FFFFFF"/>
          <w:lang w:val="en-GB"/>
        </w:rPr>
        <w:t>The largest share in the export of cultural and creative services was recorded in</w:t>
      </w:r>
      <w:r w:rsidR="00303016">
        <w:rPr>
          <w:shd w:val="clear" w:color="auto" w:fill="FFFFFF"/>
          <w:lang w:val="en-GB"/>
        </w:rPr>
        <w:t xml:space="preserve"> the</w:t>
      </w:r>
      <w:r w:rsidRPr="002D265E">
        <w:rPr>
          <w:shd w:val="clear" w:color="auto" w:fill="FFFFFF"/>
          <w:lang w:val="en-GB"/>
        </w:rPr>
        <w:t xml:space="preserve"> domain </w:t>
      </w:r>
      <w:r w:rsidR="00303016">
        <w:rPr>
          <w:shd w:val="clear" w:color="auto" w:fill="FFFFFF"/>
          <w:lang w:val="en-GB"/>
        </w:rPr>
        <w:t xml:space="preserve">of </w:t>
      </w:r>
      <w:r w:rsidRPr="002D265E">
        <w:rPr>
          <w:i/>
          <w:iCs/>
          <w:shd w:val="clear" w:color="auto" w:fill="FFFFFF"/>
          <w:lang w:val="en-GB"/>
        </w:rPr>
        <w:t>Advertising</w:t>
      </w:r>
      <w:r w:rsidRPr="002D265E">
        <w:rPr>
          <w:shd w:val="clear" w:color="auto" w:fill="FFFFFF"/>
          <w:lang w:val="en-GB"/>
        </w:rPr>
        <w:t xml:space="preserve"> (8</w:t>
      </w:r>
      <w:r w:rsidR="00E4308C" w:rsidRPr="002D265E">
        <w:rPr>
          <w:shd w:val="clear" w:color="auto" w:fill="FFFFFF"/>
          <w:lang w:val="en-GB"/>
        </w:rPr>
        <w:t>5</w:t>
      </w:r>
      <w:r w:rsidRPr="002D265E">
        <w:rPr>
          <w:shd w:val="clear" w:color="auto" w:fill="FFFFFF"/>
          <w:lang w:val="en-GB"/>
        </w:rPr>
        <w:t>.5%)</w:t>
      </w:r>
      <w:r w:rsidR="00E4308C" w:rsidRPr="002D265E">
        <w:rPr>
          <w:shd w:val="clear" w:color="auto" w:fill="FFFFFF"/>
          <w:lang w:val="en-GB"/>
        </w:rPr>
        <w:t>, followed by</w:t>
      </w:r>
      <w:r w:rsidRPr="002D265E">
        <w:rPr>
          <w:shd w:val="clear" w:color="auto" w:fill="FFFFFF"/>
          <w:lang w:val="en-GB"/>
        </w:rPr>
        <w:t xml:space="preserve"> </w:t>
      </w:r>
      <w:proofErr w:type="spellStart"/>
      <w:r w:rsidRPr="002D265E">
        <w:rPr>
          <w:i/>
          <w:iCs/>
          <w:shd w:val="clear" w:color="auto" w:fill="FFFFFF"/>
          <w:lang w:val="en-GB"/>
        </w:rPr>
        <w:t>Audiovisual</w:t>
      </w:r>
      <w:proofErr w:type="spellEnd"/>
      <w:r w:rsidRPr="002D265E">
        <w:rPr>
          <w:i/>
          <w:iCs/>
          <w:shd w:val="clear" w:color="auto" w:fill="FFFFFF"/>
          <w:lang w:val="en-GB"/>
        </w:rPr>
        <w:t xml:space="preserve"> arts and multimedia</w:t>
      </w:r>
      <w:r w:rsidRPr="002D265E">
        <w:rPr>
          <w:shd w:val="clear" w:color="auto" w:fill="FFFFFF"/>
          <w:lang w:val="en-GB"/>
        </w:rPr>
        <w:t xml:space="preserve"> (6.</w:t>
      </w:r>
      <w:r w:rsidR="00E4308C" w:rsidRPr="002D265E">
        <w:rPr>
          <w:shd w:val="clear" w:color="auto" w:fill="FFFFFF"/>
          <w:lang w:val="en-GB"/>
        </w:rPr>
        <w:t>6</w:t>
      </w:r>
      <w:r w:rsidRPr="002D265E">
        <w:rPr>
          <w:shd w:val="clear" w:color="auto" w:fill="FFFFFF"/>
          <w:lang w:val="en-GB"/>
        </w:rPr>
        <w:t xml:space="preserve">%). The import </w:t>
      </w:r>
      <w:r w:rsidRPr="002D265E">
        <w:rPr>
          <w:shd w:val="clear" w:color="auto" w:fill="FFFFFF"/>
          <w:lang w:val="en-GB"/>
        </w:rPr>
        <w:lastRenderedPageBreak/>
        <w:t xml:space="preserve">structure was </w:t>
      </w:r>
      <w:r w:rsidR="00E4308C" w:rsidRPr="002D265E">
        <w:rPr>
          <w:shd w:val="clear" w:color="auto" w:fill="FFFFFF"/>
          <w:lang w:val="en-GB"/>
        </w:rPr>
        <w:t xml:space="preserve">slightly </w:t>
      </w:r>
      <w:r w:rsidRPr="002D265E">
        <w:rPr>
          <w:shd w:val="clear" w:color="auto" w:fill="FFFFFF"/>
          <w:lang w:val="en-GB"/>
        </w:rPr>
        <w:t>more balanced</w:t>
      </w:r>
      <w:r w:rsidR="00E4308C" w:rsidRPr="002D265E">
        <w:rPr>
          <w:shd w:val="clear" w:color="auto" w:fill="FFFFFF"/>
          <w:lang w:val="en-GB"/>
        </w:rPr>
        <w:t xml:space="preserve">: </w:t>
      </w:r>
      <w:r w:rsidRPr="002D265E">
        <w:rPr>
          <w:i/>
          <w:iCs/>
          <w:shd w:val="clear" w:color="auto" w:fill="FFFFFF"/>
          <w:lang w:val="en-GB"/>
        </w:rPr>
        <w:t>Advertising</w:t>
      </w:r>
      <w:r w:rsidRPr="002D265E">
        <w:rPr>
          <w:shd w:val="clear" w:color="auto" w:fill="FFFFFF"/>
          <w:lang w:val="en-GB"/>
        </w:rPr>
        <w:t xml:space="preserve"> </w:t>
      </w:r>
      <w:r w:rsidR="00E4308C" w:rsidRPr="002D265E">
        <w:rPr>
          <w:shd w:val="clear" w:color="auto" w:fill="FFFFFF"/>
          <w:lang w:val="en-GB"/>
        </w:rPr>
        <w:t xml:space="preserve">– </w:t>
      </w:r>
      <w:r w:rsidRPr="002D265E">
        <w:rPr>
          <w:shd w:val="clear" w:color="auto" w:fill="FFFFFF"/>
          <w:lang w:val="en-GB"/>
        </w:rPr>
        <w:t>5</w:t>
      </w:r>
      <w:r w:rsidR="00E4308C" w:rsidRPr="002D265E">
        <w:rPr>
          <w:shd w:val="clear" w:color="auto" w:fill="FFFFFF"/>
          <w:lang w:val="en-GB"/>
        </w:rPr>
        <w:t>8</w:t>
      </w:r>
      <w:r w:rsidRPr="002D265E">
        <w:rPr>
          <w:shd w:val="clear" w:color="auto" w:fill="FFFFFF"/>
          <w:lang w:val="en-GB"/>
        </w:rPr>
        <w:t>.</w:t>
      </w:r>
      <w:r w:rsidR="00E4308C" w:rsidRPr="002D265E">
        <w:rPr>
          <w:shd w:val="clear" w:color="auto" w:fill="FFFFFF"/>
          <w:lang w:val="en-GB"/>
        </w:rPr>
        <w:t>3</w:t>
      </w:r>
      <w:r w:rsidRPr="002D265E">
        <w:rPr>
          <w:shd w:val="clear" w:color="auto" w:fill="FFFFFF"/>
          <w:lang w:val="en-GB"/>
        </w:rPr>
        <w:t xml:space="preserve">%, </w:t>
      </w:r>
      <w:proofErr w:type="spellStart"/>
      <w:r w:rsidRPr="002D265E">
        <w:rPr>
          <w:i/>
          <w:iCs/>
          <w:shd w:val="clear" w:color="auto" w:fill="FFFFFF"/>
          <w:lang w:val="en-GB"/>
        </w:rPr>
        <w:t>Audiovisual</w:t>
      </w:r>
      <w:proofErr w:type="spellEnd"/>
      <w:r w:rsidRPr="002D265E">
        <w:rPr>
          <w:i/>
          <w:iCs/>
          <w:shd w:val="clear" w:color="auto" w:fill="FFFFFF"/>
          <w:lang w:val="en-GB"/>
        </w:rPr>
        <w:t xml:space="preserve"> </w:t>
      </w:r>
      <w:r w:rsidR="00303016">
        <w:rPr>
          <w:i/>
          <w:iCs/>
          <w:shd w:val="clear" w:color="auto" w:fill="FFFFFF"/>
          <w:lang w:val="en-GB"/>
        </w:rPr>
        <w:t xml:space="preserve">arts </w:t>
      </w:r>
      <w:r w:rsidRPr="002D265E">
        <w:rPr>
          <w:i/>
          <w:iCs/>
          <w:shd w:val="clear" w:color="auto" w:fill="FFFFFF"/>
          <w:lang w:val="en-GB"/>
        </w:rPr>
        <w:t xml:space="preserve">and </w:t>
      </w:r>
      <w:r w:rsidR="00303016">
        <w:rPr>
          <w:i/>
          <w:iCs/>
          <w:shd w:val="clear" w:color="auto" w:fill="FFFFFF"/>
          <w:lang w:val="en-GB"/>
        </w:rPr>
        <w:t>m</w:t>
      </w:r>
      <w:r w:rsidRPr="002D265E">
        <w:rPr>
          <w:i/>
          <w:iCs/>
          <w:shd w:val="clear" w:color="auto" w:fill="FFFFFF"/>
          <w:lang w:val="en-GB"/>
        </w:rPr>
        <w:t xml:space="preserve">ultimedia </w:t>
      </w:r>
      <w:r w:rsidR="00E4308C" w:rsidRPr="002D265E">
        <w:rPr>
          <w:shd w:val="clear" w:color="auto" w:fill="FFFFFF"/>
          <w:lang w:val="en-GB"/>
        </w:rPr>
        <w:t>– 28</w:t>
      </w:r>
      <w:r w:rsidRPr="002D265E">
        <w:rPr>
          <w:shd w:val="clear" w:color="auto" w:fill="FFFFFF"/>
          <w:lang w:val="en-GB"/>
        </w:rPr>
        <w:t>.7%.</w:t>
      </w:r>
    </w:p>
    <w:p w14:paraId="37CB22B8" w14:textId="1BC8699A" w:rsidR="00E4308C" w:rsidRPr="002D265E" w:rsidRDefault="00E4308C" w:rsidP="007A7664">
      <w:pPr>
        <w:pStyle w:val="Tekstwstpniesformatowany"/>
        <w:keepNext/>
        <w:suppressAutoHyphens/>
        <w:rPr>
          <w:lang w:val="en-GB"/>
        </w:rPr>
      </w:pPr>
      <w:r w:rsidRPr="002D265E">
        <w:rPr>
          <w:lang w:val="en-GB"/>
        </w:rPr>
        <w:t>Cultural and creative services had only a slightly greater significance in Poland's foreign trade balance than the trade of goods. Their value amounted to 4.1% and 6.2% of exports and imports of all services, respectively. Services included in the cultural and creative categories were mainly exported to the EU countries (67.3%); most of this type of services imported to Poland also came from there (82.8%).</w:t>
      </w:r>
    </w:p>
    <w:p w14:paraId="3FE727A9" w14:textId="77777777" w:rsidR="001450D1" w:rsidRPr="002D265E" w:rsidRDefault="001450D1" w:rsidP="007A7664">
      <w:pPr>
        <w:keepNext/>
        <w:suppressAutoHyphens/>
        <w:spacing w:after="240"/>
        <w:rPr>
          <w:b/>
          <w:szCs w:val="19"/>
          <w:lang w:val="en-GB" w:eastAsia="pl-PL"/>
        </w:rPr>
      </w:pPr>
    </w:p>
    <w:p w14:paraId="4C1A7FAD" w14:textId="5467A746" w:rsidR="00E4308C" w:rsidRPr="002D265E" w:rsidRDefault="00E4308C" w:rsidP="007A7664">
      <w:pPr>
        <w:keepNext/>
        <w:tabs>
          <w:tab w:val="left" w:pos="2136"/>
        </w:tabs>
        <w:suppressAutoHyphens/>
        <w:jc w:val="both"/>
        <w:rPr>
          <w:b/>
          <w:sz w:val="18"/>
          <w:highlight w:val="white"/>
          <w:lang w:val="en-GB"/>
        </w:rPr>
      </w:pPr>
      <w:r w:rsidRPr="002D265E">
        <w:rPr>
          <w:b/>
          <w:sz w:val="18"/>
          <w:shd w:val="clear" w:color="auto" w:fill="FFFFFF"/>
          <w:lang w:val="en-GB"/>
        </w:rPr>
        <w:t xml:space="preserve">Table 2. Foreign trade in cultural and creative goods and services by </w:t>
      </w:r>
      <w:r w:rsidR="002D265E" w:rsidRPr="002D265E">
        <w:rPr>
          <w:b/>
          <w:sz w:val="18"/>
          <w:shd w:val="clear" w:color="auto" w:fill="FFFFFF"/>
          <w:lang w:val="en-GB"/>
        </w:rPr>
        <w:t>domain</w:t>
      </w:r>
      <w:r w:rsidRPr="002D265E">
        <w:rPr>
          <w:b/>
          <w:sz w:val="18"/>
          <w:shd w:val="clear" w:color="auto" w:fill="FFFFFF"/>
          <w:lang w:val="en-GB"/>
        </w:rPr>
        <w:t xml:space="preserve"> of culture in 2019</w:t>
      </w:r>
    </w:p>
    <w:tbl>
      <w:tblPr>
        <w:tblStyle w:val="Siatkatabelijasna1"/>
        <w:tblpPr w:leftFromText="141" w:rightFromText="141" w:vertAnchor="text" w:horzAnchor="margin" w:tblpY="136"/>
        <w:tblW w:w="8067" w:type="dxa"/>
        <w:tblCellMar>
          <w:top w:w="57" w:type="dxa"/>
          <w:bottom w:w="57" w:type="dxa"/>
        </w:tblCellMar>
        <w:tblLook w:val="0000" w:firstRow="0" w:lastRow="0" w:firstColumn="0" w:lastColumn="0" w:noHBand="0" w:noVBand="0"/>
      </w:tblPr>
      <w:tblGrid>
        <w:gridCol w:w="2552"/>
        <w:gridCol w:w="1378"/>
        <w:gridCol w:w="1379"/>
        <w:gridCol w:w="1379"/>
        <w:gridCol w:w="1379"/>
      </w:tblGrid>
      <w:tr w:rsidR="00E4308C" w:rsidRPr="002D265E" w14:paraId="1353A8A7" w14:textId="77777777" w:rsidTr="00CE1707">
        <w:trPr>
          <w:trHeight w:val="57"/>
        </w:trPr>
        <w:tc>
          <w:tcPr>
            <w:tcW w:w="2552" w:type="dxa"/>
            <w:vMerge w:val="restart"/>
            <w:tcBorders>
              <w:top w:val="nil"/>
              <w:left w:val="nil"/>
              <w:bottom w:val="single" w:sz="2" w:space="0" w:color="001D77"/>
              <w:right w:val="single" w:sz="2" w:space="0" w:color="001D77"/>
            </w:tcBorders>
            <w:shd w:val="clear" w:color="auto" w:fill="auto"/>
            <w:vAlign w:val="center"/>
          </w:tcPr>
          <w:p w14:paraId="4C35E32B" w14:textId="2AFBB840" w:rsidR="00E4308C" w:rsidRPr="002D265E" w:rsidRDefault="00E4308C" w:rsidP="007A7664">
            <w:pPr>
              <w:pStyle w:val="Nagwek1"/>
              <w:tabs>
                <w:tab w:val="right" w:leader="dot" w:pos="4139"/>
              </w:tabs>
              <w:suppressAutoHyphens/>
              <w:jc w:val="center"/>
              <w:outlineLvl w:val="0"/>
              <w:rPr>
                <w:rFonts w:ascii="Fira Sans" w:hAnsi="Fira Sans" w:cs="Arial"/>
                <w:color w:val="000000" w:themeColor="text1"/>
                <w:sz w:val="16"/>
                <w:szCs w:val="16"/>
                <w:lang w:val="en-GB"/>
              </w:rPr>
            </w:pPr>
            <w:r w:rsidRPr="002D265E">
              <w:rPr>
                <w:rFonts w:ascii="Fira Sans" w:hAnsi="Fira Sans" w:cs="Arial"/>
                <w:color w:val="000000" w:themeColor="text1"/>
                <w:sz w:val="16"/>
                <w:szCs w:val="16"/>
                <w:lang w:val="en-GB"/>
              </w:rPr>
              <w:t>Cultural domains</w:t>
            </w:r>
          </w:p>
        </w:tc>
        <w:tc>
          <w:tcPr>
            <w:tcW w:w="2757" w:type="dxa"/>
            <w:gridSpan w:val="2"/>
            <w:tcBorders>
              <w:top w:val="nil"/>
              <w:left w:val="single" w:sz="2" w:space="0" w:color="001D77"/>
              <w:bottom w:val="single" w:sz="2" w:space="0" w:color="001D77"/>
              <w:right w:val="single" w:sz="2" w:space="0" w:color="001D77"/>
            </w:tcBorders>
            <w:shd w:val="clear" w:color="auto" w:fill="auto"/>
            <w:tcMar>
              <w:left w:w="102" w:type="dxa"/>
            </w:tcMar>
            <w:vAlign w:val="center"/>
          </w:tcPr>
          <w:p w14:paraId="4A58C30F" w14:textId="216B17B7" w:rsidR="00E4308C" w:rsidRPr="002D265E" w:rsidRDefault="00E4308C" w:rsidP="007A7664">
            <w:pPr>
              <w:keepNext/>
              <w:suppressAutoHyphens/>
              <w:spacing w:before="0" w:after="0"/>
              <w:jc w:val="center"/>
              <w:rPr>
                <w:color w:val="000000" w:themeColor="text1"/>
                <w:sz w:val="16"/>
                <w:szCs w:val="16"/>
                <w:lang w:val="en-GB"/>
              </w:rPr>
            </w:pPr>
            <w:r w:rsidRPr="002D265E">
              <w:rPr>
                <w:rFonts w:eastAsia="Times New Roman" w:cs="Arial"/>
                <w:bCs/>
                <w:color w:val="000000" w:themeColor="text1"/>
                <w:sz w:val="16"/>
                <w:szCs w:val="16"/>
                <w:lang w:val="en-GB" w:eastAsia="pl-PL"/>
              </w:rPr>
              <w:t>Cultural and creative goods</w:t>
            </w:r>
          </w:p>
        </w:tc>
        <w:tc>
          <w:tcPr>
            <w:tcW w:w="2758" w:type="dxa"/>
            <w:gridSpan w:val="2"/>
            <w:tcBorders>
              <w:top w:val="nil"/>
              <w:left w:val="single" w:sz="2" w:space="0" w:color="001D77"/>
              <w:bottom w:val="single" w:sz="2" w:space="0" w:color="001D77"/>
              <w:right w:val="nil"/>
            </w:tcBorders>
            <w:shd w:val="clear" w:color="auto" w:fill="auto"/>
            <w:tcMar>
              <w:left w:w="102" w:type="dxa"/>
            </w:tcMar>
            <w:vAlign w:val="center"/>
          </w:tcPr>
          <w:p w14:paraId="4A3FF981" w14:textId="67D887D9" w:rsidR="00E4308C" w:rsidRPr="002D265E" w:rsidRDefault="00E4308C" w:rsidP="007A7664">
            <w:pPr>
              <w:keepNext/>
              <w:suppressAutoHyphens/>
              <w:spacing w:before="0" w:after="0"/>
              <w:jc w:val="center"/>
              <w:rPr>
                <w:color w:val="000000" w:themeColor="text1"/>
                <w:sz w:val="16"/>
                <w:szCs w:val="16"/>
                <w:lang w:val="en-GB"/>
              </w:rPr>
            </w:pPr>
            <w:r w:rsidRPr="002D265E">
              <w:rPr>
                <w:rFonts w:eastAsia="Times New Roman" w:cs="Arial"/>
                <w:bCs/>
                <w:color w:val="000000" w:themeColor="text1"/>
                <w:sz w:val="16"/>
                <w:szCs w:val="16"/>
                <w:lang w:val="en-GB" w:eastAsia="pl-PL"/>
              </w:rPr>
              <w:t>Cultural and creative services</w:t>
            </w:r>
          </w:p>
        </w:tc>
      </w:tr>
      <w:tr w:rsidR="00E4308C" w:rsidRPr="002D265E" w14:paraId="3BDDCF05" w14:textId="77777777" w:rsidTr="00CE1707">
        <w:trPr>
          <w:trHeight w:val="57"/>
        </w:trPr>
        <w:tc>
          <w:tcPr>
            <w:tcW w:w="2552" w:type="dxa"/>
            <w:vMerge/>
            <w:tcBorders>
              <w:top w:val="single" w:sz="2" w:space="0" w:color="001D77"/>
              <w:left w:val="nil"/>
              <w:bottom w:val="single" w:sz="2" w:space="0" w:color="001D77"/>
              <w:right w:val="single" w:sz="2" w:space="0" w:color="001D77"/>
            </w:tcBorders>
            <w:shd w:val="clear" w:color="auto" w:fill="auto"/>
            <w:vAlign w:val="center"/>
          </w:tcPr>
          <w:p w14:paraId="0B79B988" w14:textId="77777777" w:rsidR="00E4308C" w:rsidRPr="002D265E" w:rsidRDefault="00E4308C" w:rsidP="007A7664">
            <w:pPr>
              <w:pStyle w:val="Nagwek1"/>
              <w:tabs>
                <w:tab w:val="right" w:leader="dot" w:pos="4139"/>
              </w:tabs>
              <w:suppressAutoHyphens/>
              <w:spacing w:before="120" w:line="240" w:lineRule="exact"/>
              <w:jc w:val="center"/>
              <w:outlineLvl w:val="0"/>
              <w:rPr>
                <w:rFonts w:ascii="Fira Sans" w:hAnsi="Fira Sans" w:cs="Arial"/>
                <w:color w:val="000000" w:themeColor="text1"/>
                <w:sz w:val="16"/>
                <w:szCs w:val="16"/>
                <w:lang w:val="en-GB"/>
              </w:rPr>
            </w:pPr>
          </w:p>
        </w:tc>
        <w:tc>
          <w:tcPr>
            <w:tcW w:w="1378"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center"/>
          </w:tcPr>
          <w:p w14:paraId="57CF45FC" w14:textId="58B22A12" w:rsidR="00E4308C" w:rsidRPr="002D265E" w:rsidRDefault="00E4308C" w:rsidP="007A7664">
            <w:pPr>
              <w:keepNext/>
              <w:suppressAutoHyphens/>
              <w:jc w:val="center"/>
              <w:rPr>
                <w:color w:val="000000" w:themeColor="text1"/>
                <w:sz w:val="16"/>
                <w:szCs w:val="16"/>
                <w:lang w:val="en-GB"/>
              </w:rPr>
            </w:pPr>
            <w:r w:rsidRPr="002D265E">
              <w:rPr>
                <w:rFonts w:eastAsia="Times New Roman" w:cs="Arial"/>
                <w:bCs/>
                <w:color w:val="000000" w:themeColor="text1"/>
                <w:sz w:val="16"/>
                <w:szCs w:val="16"/>
                <w:lang w:val="en-GB" w:eastAsia="pl-PL"/>
              </w:rPr>
              <w:t>export</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center"/>
          </w:tcPr>
          <w:p w14:paraId="45BCBB80" w14:textId="44A44BEC" w:rsidR="00E4308C" w:rsidRPr="002D265E" w:rsidRDefault="00E4308C" w:rsidP="007A7664">
            <w:pPr>
              <w:keepNext/>
              <w:suppressAutoHyphens/>
              <w:jc w:val="center"/>
              <w:rPr>
                <w:color w:val="000000" w:themeColor="text1"/>
                <w:sz w:val="16"/>
                <w:szCs w:val="16"/>
                <w:lang w:val="en-GB"/>
              </w:rPr>
            </w:pPr>
            <w:r w:rsidRPr="002D265E">
              <w:rPr>
                <w:rFonts w:eastAsia="Times New Roman" w:cs="Arial"/>
                <w:bCs/>
                <w:color w:val="000000" w:themeColor="text1"/>
                <w:sz w:val="16"/>
                <w:szCs w:val="16"/>
                <w:lang w:val="en-GB" w:eastAsia="pl-PL"/>
              </w:rPr>
              <w:t>import</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center"/>
          </w:tcPr>
          <w:p w14:paraId="7471E700" w14:textId="1093CB44" w:rsidR="00E4308C" w:rsidRPr="002D265E" w:rsidRDefault="00E4308C" w:rsidP="007A7664">
            <w:pPr>
              <w:keepNext/>
              <w:suppressAutoHyphens/>
              <w:jc w:val="center"/>
              <w:rPr>
                <w:color w:val="000000" w:themeColor="text1"/>
                <w:sz w:val="16"/>
                <w:szCs w:val="16"/>
                <w:lang w:val="en-GB"/>
              </w:rPr>
            </w:pPr>
            <w:r w:rsidRPr="002D265E">
              <w:rPr>
                <w:color w:val="000000" w:themeColor="text1"/>
                <w:sz w:val="16"/>
                <w:szCs w:val="16"/>
                <w:lang w:val="en-GB"/>
              </w:rPr>
              <w:t>e</w:t>
            </w:r>
            <w:r w:rsidR="00303016">
              <w:rPr>
                <w:color w:val="000000" w:themeColor="text1"/>
                <w:sz w:val="16"/>
                <w:szCs w:val="16"/>
                <w:lang w:val="en-GB"/>
              </w:rPr>
              <w:t>x</w:t>
            </w:r>
            <w:r w:rsidRPr="002D265E">
              <w:rPr>
                <w:color w:val="000000" w:themeColor="text1"/>
                <w:sz w:val="16"/>
                <w:szCs w:val="16"/>
                <w:lang w:val="en-GB"/>
              </w:rPr>
              <w:t>port</w:t>
            </w:r>
          </w:p>
        </w:tc>
        <w:tc>
          <w:tcPr>
            <w:tcW w:w="1379" w:type="dxa"/>
            <w:tcBorders>
              <w:top w:val="single" w:sz="2" w:space="0" w:color="001D77"/>
              <w:left w:val="single" w:sz="2" w:space="0" w:color="001D77"/>
              <w:bottom w:val="single" w:sz="2" w:space="0" w:color="001D77"/>
              <w:right w:val="nil"/>
            </w:tcBorders>
            <w:shd w:val="clear" w:color="auto" w:fill="auto"/>
            <w:tcMar>
              <w:left w:w="102" w:type="dxa"/>
            </w:tcMar>
            <w:vAlign w:val="center"/>
          </w:tcPr>
          <w:p w14:paraId="50B7F278" w14:textId="77777777" w:rsidR="00E4308C" w:rsidRPr="002D265E" w:rsidRDefault="00E4308C" w:rsidP="007A7664">
            <w:pPr>
              <w:keepNext/>
              <w:suppressAutoHyphens/>
              <w:jc w:val="center"/>
              <w:rPr>
                <w:color w:val="000000" w:themeColor="text1"/>
                <w:sz w:val="16"/>
                <w:szCs w:val="16"/>
                <w:lang w:val="en-GB"/>
              </w:rPr>
            </w:pPr>
            <w:r w:rsidRPr="002D265E">
              <w:rPr>
                <w:color w:val="000000" w:themeColor="text1"/>
                <w:sz w:val="16"/>
                <w:szCs w:val="16"/>
                <w:lang w:val="en-GB"/>
              </w:rPr>
              <w:t>import</w:t>
            </w:r>
          </w:p>
        </w:tc>
      </w:tr>
      <w:tr w:rsidR="00E4308C" w:rsidRPr="002D265E" w14:paraId="698EDAF1" w14:textId="77777777" w:rsidTr="00CE1707">
        <w:trPr>
          <w:trHeight w:val="258"/>
        </w:trPr>
        <w:tc>
          <w:tcPr>
            <w:tcW w:w="2552" w:type="dxa"/>
            <w:vMerge/>
            <w:tcBorders>
              <w:top w:val="single" w:sz="2" w:space="0" w:color="001D77"/>
              <w:left w:val="nil"/>
              <w:bottom w:val="single" w:sz="18" w:space="0" w:color="001D77"/>
              <w:right w:val="single" w:sz="2" w:space="0" w:color="001D77"/>
            </w:tcBorders>
            <w:shd w:val="clear" w:color="auto" w:fill="auto"/>
            <w:vAlign w:val="center"/>
          </w:tcPr>
          <w:p w14:paraId="475BBC19" w14:textId="77777777" w:rsidR="00E4308C" w:rsidRPr="002D265E" w:rsidRDefault="00E4308C" w:rsidP="007A7664">
            <w:pPr>
              <w:pStyle w:val="Nagwek1"/>
              <w:tabs>
                <w:tab w:val="right" w:leader="dot" w:pos="4139"/>
              </w:tabs>
              <w:suppressAutoHyphens/>
              <w:spacing w:before="120" w:line="240" w:lineRule="exact"/>
              <w:jc w:val="center"/>
              <w:outlineLvl w:val="0"/>
              <w:rPr>
                <w:rFonts w:ascii="Fira Sans" w:hAnsi="Fira Sans" w:cs="Arial"/>
                <w:color w:val="000000" w:themeColor="text1"/>
                <w:sz w:val="16"/>
                <w:szCs w:val="16"/>
                <w:lang w:val="en-GB"/>
              </w:rPr>
            </w:pPr>
          </w:p>
        </w:tc>
        <w:tc>
          <w:tcPr>
            <w:tcW w:w="5515" w:type="dxa"/>
            <w:gridSpan w:val="4"/>
            <w:tcBorders>
              <w:top w:val="single" w:sz="2" w:space="0" w:color="001D77"/>
              <w:left w:val="single" w:sz="2" w:space="0" w:color="001D77"/>
              <w:bottom w:val="single" w:sz="2" w:space="0" w:color="001D77"/>
              <w:right w:val="nil"/>
            </w:tcBorders>
            <w:shd w:val="clear" w:color="auto" w:fill="auto"/>
            <w:tcMar>
              <w:left w:w="102" w:type="dxa"/>
            </w:tcMar>
            <w:vAlign w:val="center"/>
          </w:tcPr>
          <w:p w14:paraId="254BD749" w14:textId="4AB5A57C" w:rsidR="00E4308C" w:rsidRPr="002D265E" w:rsidRDefault="00E4308C" w:rsidP="007A7664">
            <w:pPr>
              <w:keepNext/>
              <w:suppressAutoHyphens/>
              <w:jc w:val="center"/>
              <w:rPr>
                <w:color w:val="000000" w:themeColor="text1"/>
                <w:sz w:val="16"/>
                <w:szCs w:val="16"/>
                <w:lang w:val="en-GB"/>
              </w:rPr>
            </w:pPr>
            <w:r w:rsidRPr="002D265E">
              <w:rPr>
                <w:rFonts w:eastAsia="Times New Roman" w:cs="Arial"/>
                <w:bCs/>
                <w:color w:val="000000" w:themeColor="text1"/>
                <w:sz w:val="16"/>
                <w:szCs w:val="16"/>
                <w:lang w:val="en-GB" w:eastAsia="pl-PL"/>
              </w:rPr>
              <w:t xml:space="preserve">in million PLN </w:t>
            </w:r>
          </w:p>
        </w:tc>
      </w:tr>
      <w:tr w:rsidR="00E4308C" w:rsidRPr="002D265E" w14:paraId="39A9D8C3" w14:textId="77777777" w:rsidTr="006113F1">
        <w:trPr>
          <w:trHeight w:val="227"/>
        </w:trPr>
        <w:tc>
          <w:tcPr>
            <w:tcW w:w="2552" w:type="dxa"/>
            <w:tcBorders>
              <w:top w:val="single" w:sz="18" w:space="0" w:color="001D77"/>
              <w:left w:val="nil"/>
              <w:bottom w:val="single" w:sz="2" w:space="0" w:color="001D77"/>
              <w:right w:val="single" w:sz="2" w:space="0" w:color="001D77"/>
            </w:tcBorders>
            <w:shd w:val="clear" w:color="auto" w:fill="auto"/>
            <w:vAlign w:val="center"/>
          </w:tcPr>
          <w:p w14:paraId="28723E12" w14:textId="5B2436B5" w:rsidR="00E4308C" w:rsidRPr="002D265E" w:rsidRDefault="00E4308C" w:rsidP="007A7664">
            <w:pPr>
              <w:pStyle w:val="Nagwek5"/>
              <w:keepLines w:val="0"/>
              <w:tabs>
                <w:tab w:val="right" w:leader="dot" w:pos="4156"/>
              </w:tabs>
              <w:suppressAutoHyphens/>
              <w:spacing w:before="80" w:after="80"/>
              <w:contextualSpacing/>
              <w:outlineLvl w:val="4"/>
              <w:rPr>
                <w:rFonts w:ascii="Fira Sans" w:hAnsi="Fira Sans"/>
                <w:color w:val="000000" w:themeColor="text1"/>
                <w:sz w:val="16"/>
                <w:szCs w:val="16"/>
                <w:lang w:val="en-GB"/>
              </w:rPr>
            </w:pPr>
            <w:r w:rsidRPr="002D265E">
              <w:rPr>
                <w:rFonts w:ascii="Fira Sans" w:hAnsi="Fira Sans"/>
                <w:b/>
                <w:color w:val="000000" w:themeColor="text1"/>
                <w:sz w:val="16"/>
                <w:szCs w:val="16"/>
                <w:lang w:val="en-GB"/>
              </w:rPr>
              <w:t>TOTAL</w:t>
            </w:r>
          </w:p>
        </w:tc>
        <w:tc>
          <w:tcPr>
            <w:tcW w:w="1378" w:type="dxa"/>
            <w:tcBorders>
              <w:top w:val="single" w:sz="18" w:space="0" w:color="001D77"/>
              <w:left w:val="single" w:sz="2" w:space="0" w:color="001D77"/>
              <w:bottom w:val="single" w:sz="2" w:space="0" w:color="001D77"/>
              <w:right w:val="single" w:sz="2" w:space="0" w:color="001D77"/>
            </w:tcBorders>
            <w:shd w:val="clear" w:color="auto" w:fill="auto"/>
            <w:tcMar>
              <w:left w:w="102" w:type="dxa"/>
            </w:tcMar>
            <w:vAlign w:val="bottom"/>
          </w:tcPr>
          <w:p w14:paraId="41C40F4E" w14:textId="45DCB550" w:rsidR="00E4308C" w:rsidRPr="002D265E" w:rsidRDefault="00E4308C" w:rsidP="00650322">
            <w:pPr>
              <w:keepNext/>
              <w:suppressAutoHyphens/>
              <w:spacing w:before="80" w:after="80"/>
              <w:jc w:val="right"/>
              <w:rPr>
                <w:b/>
                <w:lang w:val="en-GB"/>
              </w:rPr>
            </w:pPr>
            <w:r w:rsidRPr="002D265E">
              <w:rPr>
                <w:rFonts w:cs="Arial"/>
                <w:b/>
                <w:bCs/>
                <w:color w:val="000000"/>
                <w:sz w:val="16"/>
                <w:szCs w:val="16"/>
                <w:lang w:val="en-GB"/>
              </w:rPr>
              <w:t xml:space="preserve">  15</w:t>
            </w:r>
            <w:r w:rsidR="00650322">
              <w:rPr>
                <w:rFonts w:cs="Arial"/>
                <w:b/>
                <w:bCs/>
                <w:color w:val="000000"/>
                <w:sz w:val="16"/>
                <w:szCs w:val="16"/>
                <w:lang w:val="en-GB"/>
              </w:rPr>
              <w:t>,</w:t>
            </w:r>
            <w:r w:rsidRPr="002D265E">
              <w:rPr>
                <w:rFonts w:cs="Arial"/>
                <w:b/>
                <w:bCs/>
                <w:color w:val="000000"/>
                <w:sz w:val="16"/>
                <w:szCs w:val="16"/>
                <w:lang w:val="en-GB"/>
              </w:rPr>
              <w:t>213</w:t>
            </w:r>
            <w:r w:rsidR="00650322">
              <w:rPr>
                <w:rFonts w:cs="Arial"/>
                <w:b/>
                <w:bCs/>
                <w:color w:val="000000"/>
                <w:sz w:val="16"/>
                <w:szCs w:val="16"/>
                <w:lang w:val="en-GB"/>
              </w:rPr>
              <w:t>.</w:t>
            </w:r>
            <w:r w:rsidRPr="002D265E">
              <w:rPr>
                <w:rFonts w:cs="Arial"/>
                <w:b/>
                <w:bCs/>
                <w:color w:val="000000"/>
                <w:sz w:val="16"/>
                <w:szCs w:val="16"/>
                <w:lang w:val="en-GB"/>
              </w:rPr>
              <w:t>0</w:t>
            </w:r>
          </w:p>
        </w:tc>
        <w:tc>
          <w:tcPr>
            <w:tcW w:w="1379" w:type="dxa"/>
            <w:tcBorders>
              <w:top w:val="single" w:sz="18" w:space="0" w:color="001D77"/>
              <w:left w:val="single" w:sz="2" w:space="0" w:color="001D77"/>
              <w:bottom w:val="single" w:sz="2" w:space="0" w:color="001D77"/>
              <w:right w:val="single" w:sz="2" w:space="0" w:color="001D77"/>
            </w:tcBorders>
            <w:shd w:val="clear" w:color="auto" w:fill="auto"/>
            <w:tcMar>
              <w:left w:w="102" w:type="dxa"/>
            </w:tcMar>
            <w:vAlign w:val="bottom"/>
          </w:tcPr>
          <w:p w14:paraId="198C0A37" w14:textId="0492B9DC" w:rsidR="00E4308C" w:rsidRPr="002D265E" w:rsidRDefault="00E4308C" w:rsidP="005835F4">
            <w:pPr>
              <w:keepNext/>
              <w:suppressAutoHyphens/>
              <w:spacing w:before="80" w:after="80"/>
              <w:jc w:val="right"/>
              <w:rPr>
                <w:b/>
                <w:lang w:val="en-GB"/>
              </w:rPr>
            </w:pPr>
            <w:r w:rsidRPr="002D265E">
              <w:rPr>
                <w:rFonts w:cs="Arial"/>
                <w:b/>
                <w:bCs/>
                <w:color w:val="000000"/>
                <w:sz w:val="16"/>
                <w:szCs w:val="16"/>
                <w:lang w:val="en-GB"/>
              </w:rPr>
              <w:t>10</w:t>
            </w:r>
            <w:r w:rsidR="005835F4">
              <w:rPr>
                <w:rFonts w:cs="Arial"/>
                <w:b/>
                <w:bCs/>
                <w:color w:val="000000"/>
                <w:sz w:val="16"/>
                <w:szCs w:val="16"/>
                <w:lang w:val="en-GB"/>
              </w:rPr>
              <w:t>,</w:t>
            </w:r>
            <w:r w:rsidRPr="002D265E">
              <w:rPr>
                <w:rFonts w:cs="Arial"/>
                <w:b/>
                <w:bCs/>
                <w:color w:val="000000"/>
                <w:sz w:val="16"/>
                <w:szCs w:val="16"/>
                <w:lang w:val="en-GB"/>
              </w:rPr>
              <w:t>040</w:t>
            </w:r>
            <w:r w:rsidR="00650322">
              <w:rPr>
                <w:rFonts w:cs="Arial"/>
                <w:b/>
                <w:bCs/>
                <w:color w:val="000000"/>
                <w:sz w:val="16"/>
                <w:szCs w:val="16"/>
                <w:lang w:val="en-GB"/>
              </w:rPr>
              <w:t>.</w:t>
            </w:r>
            <w:r w:rsidRPr="002D265E">
              <w:rPr>
                <w:rFonts w:cs="Arial"/>
                <w:b/>
                <w:bCs/>
                <w:color w:val="000000"/>
                <w:sz w:val="16"/>
                <w:szCs w:val="16"/>
                <w:lang w:val="en-GB"/>
              </w:rPr>
              <w:t>5</w:t>
            </w:r>
          </w:p>
        </w:tc>
        <w:tc>
          <w:tcPr>
            <w:tcW w:w="1379" w:type="dxa"/>
            <w:tcBorders>
              <w:top w:val="single" w:sz="18" w:space="0" w:color="001D77"/>
              <w:left w:val="single" w:sz="2" w:space="0" w:color="001D77"/>
              <w:bottom w:val="single" w:sz="2" w:space="0" w:color="001D77"/>
              <w:right w:val="single" w:sz="2" w:space="0" w:color="001D77"/>
            </w:tcBorders>
            <w:shd w:val="clear" w:color="auto" w:fill="auto"/>
            <w:tcMar>
              <w:left w:w="102" w:type="dxa"/>
            </w:tcMar>
            <w:vAlign w:val="bottom"/>
          </w:tcPr>
          <w:p w14:paraId="2C70A285" w14:textId="309BB4B9" w:rsidR="00E4308C" w:rsidRPr="002D265E" w:rsidRDefault="00E4308C" w:rsidP="005835F4">
            <w:pPr>
              <w:keepNext/>
              <w:suppressAutoHyphens/>
              <w:spacing w:before="80" w:after="80"/>
              <w:jc w:val="right"/>
              <w:rPr>
                <w:b/>
                <w:lang w:val="en-GB"/>
              </w:rPr>
            </w:pPr>
            <w:r w:rsidRPr="002D265E">
              <w:rPr>
                <w:rFonts w:cs="Arial"/>
                <w:b/>
                <w:bCs/>
                <w:color w:val="000000"/>
                <w:sz w:val="16"/>
                <w:szCs w:val="16"/>
                <w:lang w:val="en-GB"/>
              </w:rPr>
              <w:t>11</w:t>
            </w:r>
            <w:r w:rsidR="005835F4">
              <w:rPr>
                <w:rFonts w:cs="Arial"/>
                <w:b/>
                <w:bCs/>
                <w:color w:val="000000"/>
                <w:sz w:val="16"/>
                <w:szCs w:val="16"/>
                <w:lang w:val="en-GB"/>
              </w:rPr>
              <w:t>,</w:t>
            </w:r>
            <w:r w:rsidRPr="002D265E">
              <w:rPr>
                <w:rFonts w:cs="Arial"/>
                <w:b/>
                <w:bCs/>
                <w:color w:val="000000"/>
                <w:sz w:val="16"/>
                <w:szCs w:val="16"/>
                <w:lang w:val="en-GB"/>
              </w:rPr>
              <w:t>136</w:t>
            </w:r>
            <w:r w:rsidR="00650322">
              <w:rPr>
                <w:rFonts w:cs="Arial"/>
                <w:b/>
                <w:bCs/>
                <w:color w:val="000000"/>
                <w:sz w:val="16"/>
                <w:szCs w:val="16"/>
                <w:lang w:val="en-GB"/>
              </w:rPr>
              <w:t>.</w:t>
            </w:r>
            <w:r w:rsidRPr="002D265E">
              <w:rPr>
                <w:rFonts w:cs="Arial"/>
                <w:b/>
                <w:bCs/>
                <w:color w:val="000000"/>
                <w:sz w:val="16"/>
                <w:szCs w:val="16"/>
                <w:lang w:val="en-GB"/>
              </w:rPr>
              <w:t>6</w:t>
            </w:r>
          </w:p>
        </w:tc>
        <w:tc>
          <w:tcPr>
            <w:tcW w:w="1379" w:type="dxa"/>
            <w:tcBorders>
              <w:top w:val="single" w:sz="18" w:space="0" w:color="001D77"/>
              <w:left w:val="single" w:sz="2" w:space="0" w:color="001D77"/>
              <w:bottom w:val="single" w:sz="2" w:space="0" w:color="001D77"/>
              <w:right w:val="nil"/>
            </w:tcBorders>
            <w:shd w:val="clear" w:color="auto" w:fill="auto"/>
            <w:tcMar>
              <w:left w:w="102" w:type="dxa"/>
            </w:tcMar>
            <w:vAlign w:val="bottom"/>
          </w:tcPr>
          <w:p w14:paraId="7817872E" w14:textId="665854D6" w:rsidR="00E4308C" w:rsidRPr="002D265E" w:rsidRDefault="00E4308C" w:rsidP="005835F4">
            <w:pPr>
              <w:keepNext/>
              <w:suppressAutoHyphens/>
              <w:spacing w:before="80" w:after="80"/>
              <w:jc w:val="right"/>
              <w:rPr>
                <w:b/>
                <w:lang w:val="en-GB"/>
              </w:rPr>
            </w:pPr>
            <w:r w:rsidRPr="002D265E">
              <w:rPr>
                <w:b/>
                <w:bCs/>
                <w:color w:val="000000"/>
                <w:sz w:val="16"/>
                <w:szCs w:val="16"/>
                <w:lang w:val="en-GB"/>
              </w:rPr>
              <w:t>10</w:t>
            </w:r>
            <w:r w:rsidR="005835F4">
              <w:rPr>
                <w:b/>
                <w:bCs/>
                <w:color w:val="000000"/>
                <w:sz w:val="16"/>
                <w:szCs w:val="16"/>
                <w:lang w:val="en-GB"/>
              </w:rPr>
              <w:t>,</w:t>
            </w:r>
            <w:r w:rsidRPr="002D265E">
              <w:rPr>
                <w:b/>
                <w:bCs/>
                <w:color w:val="000000"/>
                <w:sz w:val="16"/>
                <w:szCs w:val="16"/>
                <w:lang w:val="en-GB"/>
              </w:rPr>
              <w:t>327</w:t>
            </w:r>
            <w:r w:rsidR="00650322">
              <w:rPr>
                <w:b/>
                <w:bCs/>
                <w:color w:val="000000"/>
                <w:sz w:val="16"/>
                <w:szCs w:val="16"/>
                <w:lang w:val="en-GB"/>
              </w:rPr>
              <w:t>.</w:t>
            </w:r>
            <w:r w:rsidRPr="002D265E">
              <w:rPr>
                <w:b/>
                <w:bCs/>
                <w:color w:val="000000"/>
                <w:sz w:val="16"/>
                <w:szCs w:val="16"/>
                <w:lang w:val="en-GB"/>
              </w:rPr>
              <w:t>9</w:t>
            </w:r>
          </w:p>
        </w:tc>
      </w:tr>
      <w:tr w:rsidR="00E4308C" w:rsidRPr="002D265E" w14:paraId="7DAC2C41" w14:textId="77777777" w:rsidTr="006113F1">
        <w:trPr>
          <w:trHeight w:val="227"/>
        </w:trPr>
        <w:tc>
          <w:tcPr>
            <w:tcW w:w="2552" w:type="dxa"/>
            <w:tcBorders>
              <w:top w:val="single" w:sz="2" w:space="0" w:color="001D77"/>
              <w:left w:val="nil"/>
              <w:bottom w:val="single" w:sz="2" w:space="0" w:color="001D77"/>
              <w:right w:val="single" w:sz="2" w:space="0" w:color="001D77"/>
            </w:tcBorders>
            <w:shd w:val="clear" w:color="auto" w:fill="auto"/>
            <w:vAlign w:val="center"/>
          </w:tcPr>
          <w:p w14:paraId="43ED7DCB" w14:textId="7E44645E" w:rsidR="00E4308C" w:rsidRPr="002D265E" w:rsidRDefault="00E4308C" w:rsidP="007A7664">
            <w:pPr>
              <w:pStyle w:val="Nagwek8"/>
              <w:keepLines w:val="0"/>
              <w:tabs>
                <w:tab w:val="right" w:leader="dot" w:pos="4156"/>
              </w:tabs>
              <w:suppressAutoHyphens/>
              <w:spacing w:before="80" w:after="80"/>
              <w:contextualSpacing/>
              <w:outlineLvl w:val="7"/>
              <w:rPr>
                <w:rFonts w:ascii="Fira Sans" w:hAnsi="Fira Sans"/>
                <w:color w:val="000000" w:themeColor="text1"/>
                <w:sz w:val="16"/>
                <w:szCs w:val="16"/>
                <w:lang w:val="en-GB"/>
              </w:rPr>
            </w:pPr>
            <w:r w:rsidRPr="002D265E">
              <w:rPr>
                <w:rFonts w:ascii="Fira Sans" w:hAnsi="Fira Sans"/>
                <w:color w:val="000000" w:themeColor="text1"/>
                <w:sz w:val="16"/>
                <w:szCs w:val="16"/>
                <w:lang w:val="en-GB"/>
              </w:rPr>
              <w:t xml:space="preserve">Cultural heritage </w:t>
            </w:r>
          </w:p>
        </w:tc>
        <w:tc>
          <w:tcPr>
            <w:tcW w:w="1378"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08FF9D21" w14:textId="6330133D" w:rsidR="00E4308C" w:rsidRPr="002D265E" w:rsidRDefault="00E4308C" w:rsidP="005835F4">
            <w:pPr>
              <w:pStyle w:val="tekstnaniebieskimtle"/>
              <w:keepNext/>
              <w:suppressAutoHyphens/>
              <w:spacing w:before="80" w:after="80" w:line="240" w:lineRule="exact"/>
              <w:jc w:val="right"/>
              <w:rPr>
                <w:lang w:val="en-GB"/>
              </w:rPr>
            </w:pPr>
            <w:r w:rsidRPr="002D265E">
              <w:rPr>
                <w:rFonts w:cs="Arial"/>
                <w:color w:val="000000" w:themeColor="text1"/>
                <w:sz w:val="16"/>
                <w:szCs w:val="16"/>
                <w:lang w:val="en-GB"/>
              </w:rPr>
              <w:t>16</w:t>
            </w:r>
            <w:r w:rsidR="005835F4">
              <w:rPr>
                <w:rFonts w:cs="Arial"/>
                <w:color w:val="000000" w:themeColor="text1"/>
                <w:sz w:val="16"/>
                <w:szCs w:val="16"/>
                <w:lang w:val="en-GB"/>
              </w:rPr>
              <w:t>.</w:t>
            </w:r>
            <w:r w:rsidRPr="002D265E">
              <w:rPr>
                <w:rFonts w:cs="Arial"/>
                <w:color w:val="000000" w:themeColor="text1"/>
                <w:sz w:val="16"/>
                <w:szCs w:val="16"/>
                <w:lang w:val="en-GB"/>
              </w:rPr>
              <w:t>4</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513BC04C" w14:textId="43A34A3B" w:rsidR="00E4308C" w:rsidRPr="002D265E" w:rsidRDefault="00E4308C" w:rsidP="005835F4">
            <w:pPr>
              <w:pStyle w:val="tekstnaniebieskimtle"/>
              <w:keepNext/>
              <w:suppressAutoHyphens/>
              <w:spacing w:before="80" w:after="80" w:line="240" w:lineRule="exact"/>
              <w:jc w:val="right"/>
              <w:rPr>
                <w:lang w:val="en-GB"/>
              </w:rPr>
            </w:pPr>
            <w:r w:rsidRPr="002D265E">
              <w:rPr>
                <w:rFonts w:cs="Arial"/>
                <w:color w:val="000000" w:themeColor="text1"/>
                <w:sz w:val="16"/>
                <w:szCs w:val="16"/>
                <w:lang w:val="en-GB"/>
              </w:rPr>
              <w:t>58</w:t>
            </w:r>
            <w:r w:rsidR="005835F4">
              <w:rPr>
                <w:rFonts w:cs="Arial"/>
                <w:color w:val="000000" w:themeColor="text1"/>
                <w:sz w:val="16"/>
                <w:szCs w:val="16"/>
                <w:lang w:val="en-GB"/>
              </w:rPr>
              <w:t>.</w:t>
            </w:r>
            <w:r w:rsidRPr="002D265E">
              <w:rPr>
                <w:rFonts w:cs="Arial"/>
                <w:color w:val="000000" w:themeColor="text1"/>
                <w:sz w:val="16"/>
                <w:szCs w:val="16"/>
                <w:lang w:val="en-GB"/>
              </w:rPr>
              <w:t>9</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7C4CFE1F" w14:textId="0746EAED" w:rsidR="00E4308C" w:rsidRPr="002D265E" w:rsidRDefault="00E4308C" w:rsidP="005835F4">
            <w:pPr>
              <w:pStyle w:val="tekstnaniebieskimtle"/>
              <w:keepNext/>
              <w:suppressAutoHyphens/>
              <w:spacing w:before="80" w:after="80" w:line="240" w:lineRule="exact"/>
              <w:jc w:val="right"/>
              <w:rPr>
                <w:lang w:val="en-GB"/>
              </w:rPr>
            </w:pPr>
            <w:r w:rsidRPr="002D265E">
              <w:rPr>
                <w:sz w:val="16"/>
                <w:szCs w:val="16"/>
                <w:lang w:val="en-GB"/>
              </w:rPr>
              <w:t>398</w:t>
            </w:r>
            <w:r w:rsidR="005835F4">
              <w:rPr>
                <w:sz w:val="16"/>
                <w:szCs w:val="16"/>
                <w:lang w:val="en-GB"/>
              </w:rPr>
              <w:t>.</w:t>
            </w:r>
            <w:r w:rsidRPr="002D265E">
              <w:rPr>
                <w:sz w:val="16"/>
                <w:szCs w:val="16"/>
                <w:lang w:val="en-GB"/>
              </w:rPr>
              <w:t>6</w:t>
            </w:r>
          </w:p>
        </w:tc>
        <w:tc>
          <w:tcPr>
            <w:tcW w:w="1379" w:type="dxa"/>
            <w:tcBorders>
              <w:top w:val="single" w:sz="2" w:space="0" w:color="001D77"/>
              <w:left w:val="single" w:sz="2" w:space="0" w:color="001D77"/>
              <w:bottom w:val="single" w:sz="2" w:space="0" w:color="001D77"/>
              <w:right w:val="nil"/>
            </w:tcBorders>
            <w:shd w:val="clear" w:color="auto" w:fill="auto"/>
            <w:tcMar>
              <w:left w:w="102" w:type="dxa"/>
            </w:tcMar>
            <w:vAlign w:val="bottom"/>
          </w:tcPr>
          <w:p w14:paraId="30BDD549" w14:textId="4CE15B52" w:rsidR="00E4308C" w:rsidRPr="002D265E" w:rsidRDefault="00E4308C" w:rsidP="005835F4">
            <w:pPr>
              <w:pStyle w:val="tekstnaniebieskimtle"/>
              <w:keepNext/>
              <w:suppressAutoHyphens/>
              <w:spacing w:before="80" w:after="80" w:line="240" w:lineRule="exact"/>
              <w:jc w:val="right"/>
              <w:rPr>
                <w:lang w:val="en-GB"/>
              </w:rPr>
            </w:pPr>
            <w:r w:rsidRPr="002D265E">
              <w:rPr>
                <w:sz w:val="16"/>
                <w:szCs w:val="16"/>
                <w:lang w:val="en-GB"/>
              </w:rPr>
              <w:t>190</w:t>
            </w:r>
            <w:r w:rsidR="005835F4">
              <w:rPr>
                <w:sz w:val="16"/>
                <w:szCs w:val="16"/>
                <w:lang w:val="en-GB"/>
              </w:rPr>
              <w:t>.</w:t>
            </w:r>
            <w:r w:rsidRPr="002D265E">
              <w:rPr>
                <w:sz w:val="16"/>
                <w:szCs w:val="16"/>
                <w:lang w:val="en-GB"/>
              </w:rPr>
              <w:t>4</w:t>
            </w:r>
          </w:p>
        </w:tc>
      </w:tr>
      <w:tr w:rsidR="00E4308C" w:rsidRPr="002D265E" w14:paraId="5A719411" w14:textId="77777777" w:rsidTr="006113F1">
        <w:trPr>
          <w:trHeight w:val="227"/>
        </w:trPr>
        <w:tc>
          <w:tcPr>
            <w:tcW w:w="2552" w:type="dxa"/>
            <w:tcBorders>
              <w:top w:val="single" w:sz="2" w:space="0" w:color="001D77"/>
              <w:left w:val="nil"/>
              <w:bottom w:val="single" w:sz="2" w:space="0" w:color="001D77"/>
              <w:right w:val="single" w:sz="2" w:space="0" w:color="001D77"/>
            </w:tcBorders>
            <w:shd w:val="clear" w:color="auto" w:fill="auto"/>
            <w:vAlign w:val="center"/>
          </w:tcPr>
          <w:p w14:paraId="512AB88B" w14:textId="5C8BFF0F" w:rsidR="00E4308C" w:rsidRPr="002D265E" w:rsidRDefault="00E4308C" w:rsidP="003023AB">
            <w:pPr>
              <w:pStyle w:val="Nagwek8"/>
              <w:keepLines w:val="0"/>
              <w:tabs>
                <w:tab w:val="right" w:leader="dot" w:pos="4156"/>
              </w:tabs>
              <w:suppressAutoHyphens/>
              <w:spacing w:before="80" w:after="80"/>
              <w:contextualSpacing/>
              <w:outlineLvl w:val="7"/>
              <w:rPr>
                <w:rFonts w:ascii="Fira Sans" w:hAnsi="Fira Sans"/>
                <w:color w:val="000000" w:themeColor="text1"/>
                <w:sz w:val="16"/>
                <w:szCs w:val="16"/>
                <w:lang w:val="en-GB"/>
              </w:rPr>
            </w:pPr>
            <w:r w:rsidRPr="002D265E">
              <w:rPr>
                <w:rFonts w:ascii="Fira Sans" w:hAnsi="Fira Sans"/>
                <w:color w:val="000000" w:themeColor="text1"/>
                <w:sz w:val="16"/>
                <w:szCs w:val="16"/>
                <w:lang w:val="en-GB"/>
              </w:rPr>
              <w:t xml:space="preserve">Books and </w:t>
            </w:r>
            <w:r w:rsidR="003023AB">
              <w:rPr>
                <w:rFonts w:ascii="Fira Sans" w:hAnsi="Fira Sans"/>
                <w:color w:val="000000" w:themeColor="text1"/>
                <w:sz w:val="16"/>
                <w:szCs w:val="16"/>
                <w:lang w:val="en-GB"/>
              </w:rPr>
              <w:t>p</w:t>
            </w:r>
            <w:r w:rsidRPr="002D265E">
              <w:rPr>
                <w:rFonts w:ascii="Fira Sans" w:hAnsi="Fira Sans"/>
                <w:color w:val="000000" w:themeColor="text1"/>
                <w:sz w:val="16"/>
                <w:szCs w:val="16"/>
                <w:lang w:val="en-GB"/>
              </w:rPr>
              <w:t>ress</w:t>
            </w:r>
          </w:p>
        </w:tc>
        <w:tc>
          <w:tcPr>
            <w:tcW w:w="1378"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6EF67AF2" w14:textId="0B8C00D4" w:rsidR="00E4308C" w:rsidRPr="002D265E" w:rsidRDefault="00E4308C" w:rsidP="005835F4">
            <w:pPr>
              <w:pStyle w:val="tekstnaniebieskimtle"/>
              <w:keepNext/>
              <w:suppressAutoHyphens/>
              <w:spacing w:before="80" w:after="80" w:line="240" w:lineRule="exact"/>
              <w:jc w:val="right"/>
              <w:rPr>
                <w:lang w:val="en-GB"/>
              </w:rPr>
            </w:pPr>
            <w:r w:rsidRPr="002D265E">
              <w:rPr>
                <w:rFonts w:cs="Arial"/>
                <w:color w:val="000000" w:themeColor="text1"/>
                <w:sz w:val="16"/>
                <w:szCs w:val="16"/>
                <w:lang w:val="en-GB"/>
              </w:rPr>
              <w:t>6</w:t>
            </w:r>
            <w:r w:rsidR="005835F4">
              <w:rPr>
                <w:rFonts w:cs="Arial"/>
                <w:color w:val="000000" w:themeColor="text1"/>
                <w:sz w:val="16"/>
                <w:szCs w:val="16"/>
                <w:lang w:val="en-GB"/>
              </w:rPr>
              <w:t>,</w:t>
            </w:r>
            <w:r w:rsidRPr="002D265E">
              <w:rPr>
                <w:rFonts w:cs="Arial"/>
                <w:color w:val="000000" w:themeColor="text1"/>
                <w:sz w:val="16"/>
                <w:szCs w:val="16"/>
                <w:lang w:val="en-GB"/>
              </w:rPr>
              <w:t>625</w:t>
            </w:r>
            <w:r w:rsidR="005835F4">
              <w:rPr>
                <w:rFonts w:cs="Arial"/>
                <w:color w:val="000000" w:themeColor="text1"/>
                <w:sz w:val="16"/>
                <w:szCs w:val="16"/>
                <w:lang w:val="en-GB"/>
              </w:rPr>
              <w:t>.</w:t>
            </w:r>
            <w:r w:rsidRPr="002D265E">
              <w:rPr>
                <w:rFonts w:cs="Arial"/>
                <w:color w:val="000000" w:themeColor="text1"/>
                <w:sz w:val="16"/>
                <w:szCs w:val="16"/>
                <w:lang w:val="en-GB"/>
              </w:rPr>
              <w:t>5</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00D77693" w14:textId="7D33C464" w:rsidR="00E4308C" w:rsidRPr="002D265E" w:rsidRDefault="00E4308C" w:rsidP="007A7664">
            <w:pPr>
              <w:pStyle w:val="tekstnaniebieskimtle"/>
              <w:keepNext/>
              <w:suppressAutoHyphens/>
              <w:spacing w:before="80" w:after="80" w:line="240" w:lineRule="exact"/>
              <w:jc w:val="right"/>
              <w:rPr>
                <w:lang w:val="en-GB"/>
              </w:rPr>
            </w:pPr>
            <w:r w:rsidRPr="002D265E">
              <w:rPr>
                <w:rFonts w:cs="Arial"/>
                <w:color w:val="000000" w:themeColor="text1"/>
                <w:sz w:val="16"/>
                <w:szCs w:val="16"/>
                <w:lang w:val="en-GB"/>
              </w:rPr>
              <w:t>2</w:t>
            </w:r>
            <w:r w:rsidR="005835F4">
              <w:rPr>
                <w:rFonts w:cs="Arial"/>
                <w:color w:val="000000" w:themeColor="text1"/>
                <w:sz w:val="16"/>
                <w:szCs w:val="16"/>
                <w:lang w:val="en-GB"/>
              </w:rPr>
              <w:t>,</w:t>
            </w:r>
            <w:r w:rsidRPr="002D265E">
              <w:rPr>
                <w:rFonts w:cs="Arial"/>
                <w:color w:val="000000" w:themeColor="text1"/>
                <w:sz w:val="16"/>
                <w:szCs w:val="16"/>
                <w:lang w:val="en-GB"/>
              </w:rPr>
              <w:t>223,7</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64ECA52A" w14:textId="1645464E" w:rsidR="00E4308C" w:rsidRPr="002D265E" w:rsidRDefault="005835F4" w:rsidP="007A7664">
            <w:pPr>
              <w:pStyle w:val="tekstnaniebieskimtle"/>
              <w:keepNext/>
              <w:suppressAutoHyphens/>
              <w:spacing w:before="80" w:after="80" w:line="240" w:lineRule="exact"/>
              <w:jc w:val="right"/>
              <w:rPr>
                <w:lang w:val="en-GB"/>
              </w:rPr>
            </w:pPr>
            <w:r>
              <w:rPr>
                <w:sz w:val="16"/>
                <w:szCs w:val="16"/>
                <w:lang w:val="en-GB"/>
              </w:rPr>
              <w:t>133.</w:t>
            </w:r>
            <w:r w:rsidR="00E4308C" w:rsidRPr="002D265E">
              <w:rPr>
                <w:sz w:val="16"/>
                <w:szCs w:val="16"/>
                <w:lang w:val="en-GB"/>
              </w:rPr>
              <w:t>7</w:t>
            </w:r>
          </w:p>
        </w:tc>
        <w:tc>
          <w:tcPr>
            <w:tcW w:w="1379" w:type="dxa"/>
            <w:tcBorders>
              <w:top w:val="single" w:sz="2" w:space="0" w:color="001D77"/>
              <w:left w:val="single" w:sz="2" w:space="0" w:color="001D77"/>
              <w:bottom w:val="single" w:sz="2" w:space="0" w:color="001D77"/>
              <w:right w:val="nil"/>
            </w:tcBorders>
            <w:shd w:val="clear" w:color="auto" w:fill="auto"/>
            <w:tcMar>
              <w:left w:w="102" w:type="dxa"/>
            </w:tcMar>
            <w:vAlign w:val="bottom"/>
          </w:tcPr>
          <w:p w14:paraId="65892C33" w14:textId="782AC440" w:rsidR="00E4308C" w:rsidRPr="002D265E" w:rsidRDefault="005835F4" w:rsidP="007A7664">
            <w:pPr>
              <w:pStyle w:val="tekstnaniebieskimtle"/>
              <w:keepNext/>
              <w:suppressAutoHyphens/>
              <w:spacing w:before="80" w:after="80" w:line="240" w:lineRule="exact"/>
              <w:jc w:val="right"/>
              <w:rPr>
                <w:lang w:val="en-GB"/>
              </w:rPr>
            </w:pPr>
            <w:r>
              <w:rPr>
                <w:sz w:val="16"/>
                <w:szCs w:val="16"/>
                <w:lang w:val="en-GB"/>
              </w:rPr>
              <w:t>479.</w:t>
            </w:r>
            <w:r w:rsidR="00E4308C" w:rsidRPr="002D265E">
              <w:rPr>
                <w:sz w:val="16"/>
                <w:szCs w:val="16"/>
                <w:lang w:val="en-GB"/>
              </w:rPr>
              <w:t>6</w:t>
            </w:r>
          </w:p>
        </w:tc>
      </w:tr>
      <w:tr w:rsidR="00E4308C" w:rsidRPr="002D265E" w14:paraId="1B6D2893" w14:textId="77777777" w:rsidTr="006113F1">
        <w:trPr>
          <w:trHeight w:val="227"/>
        </w:trPr>
        <w:tc>
          <w:tcPr>
            <w:tcW w:w="2552" w:type="dxa"/>
            <w:tcBorders>
              <w:top w:val="single" w:sz="2" w:space="0" w:color="001D77"/>
              <w:left w:val="nil"/>
              <w:bottom w:val="single" w:sz="2" w:space="0" w:color="001D77"/>
              <w:right w:val="single" w:sz="2" w:space="0" w:color="001D77"/>
            </w:tcBorders>
            <w:shd w:val="clear" w:color="auto" w:fill="auto"/>
            <w:vAlign w:val="center"/>
          </w:tcPr>
          <w:p w14:paraId="524A2D76" w14:textId="5898B363" w:rsidR="00E4308C" w:rsidRPr="002D265E" w:rsidRDefault="00E4308C" w:rsidP="007A7664">
            <w:pPr>
              <w:pStyle w:val="Nagwek8"/>
              <w:keepLines w:val="0"/>
              <w:tabs>
                <w:tab w:val="right" w:leader="dot" w:pos="4156"/>
              </w:tabs>
              <w:suppressAutoHyphens/>
              <w:spacing w:before="80" w:after="80"/>
              <w:contextualSpacing/>
              <w:outlineLvl w:val="7"/>
              <w:rPr>
                <w:rFonts w:ascii="Fira Sans" w:hAnsi="Fira Sans"/>
                <w:color w:val="000000" w:themeColor="text1"/>
                <w:sz w:val="16"/>
                <w:szCs w:val="16"/>
                <w:lang w:val="en-GB"/>
              </w:rPr>
            </w:pPr>
            <w:r w:rsidRPr="002D265E">
              <w:rPr>
                <w:rFonts w:ascii="Fira Sans" w:hAnsi="Fira Sans"/>
                <w:color w:val="000000" w:themeColor="text1"/>
                <w:sz w:val="16"/>
                <w:szCs w:val="16"/>
                <w:lang w:val="en-GB"/>
              </w:rPr>
              <w:t>Visual arts</w:t>
            </w:r>
          </w:p>
        </w:tc>
        <w:tc>
          <w:tcPr>
            <w:tcW w:w="1378"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02BEE72E" w14:textId="14C18598" w:rsidR="00E4308C" w:rsidRPr="002D265E" w:rsidRDefault="00E4308C" w:rsidP="005835F4">
            <w:pPr>
              <w:pStyle w:val="tekstnaniebieskimtle"/>
              <w:keepNext/>
              <w:suppressAutoHyphens/>
              <w:spacing w:before="80" w:after="80" w:line="240" w:lineRule="exact"/>
              <w:jc w:val="right"/>
              <w:rPr>
                <w:lang w:val="en-GB"/>
              </w:rPr>
            </w:pPr>
            <w:r w:rsidRPr="002D265E">
              <w:rPr>
                <w:rFonts w:cs="Arial"/>
                <w:color w:val="000000" w:themeColor="text1"/>
                <w:sz w:val="16"/>
                <w:szCs w:val="16"/>
                <w:lang w:val="en-GB"/>
              </w:rPr>
              <w:t>172</w:t>
            </w:r>
            <w:r w:rsidR="005835F4">
              <w:rPr>
                <w:rFonts w:cs="Arial"/>
                <w:color w:val="000000" w:themeColor="text1"/>
                <w:sz w:val="16"/>
                <w:szCs w:val="16"/>
                <w:lang w:val="en-GB"/>
              </w:rPr>
              <w:t>.</w:t>
            </w:r>
            <w:r w:rsidRPr="002D265E">
              <w:rPr>
                <w:rFonts w:cs="Arial"/>
                <w:color w:val="000000" w:themeColor="text1"/>
                <w:sz w:val="16"/>
                <w:szCs w:val="16"/>
                <w:lang w:val="en-GB"/>
              </w:rPr>
              <w:t>2</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70B784FB" w14:textId="00F4EC19" w:rsidR="00E4308C" w:rsidRPr="002D265E" w:rsidRDefault="00E4308C" w:rsidP="007A7664">
            <w:pPr>
              <w:pStyle w:val="tekstnaniebieskimtle"/>
              <w:keepNext/>
              <w:suppressAutoHyphens/>
              <w:spacing w:before="80" w:after="80" w:line="240" w:lineRule="exact"/>
              <w:jc w:val="right"/>
              <w:rPr>
                <w:lang w:val="en-GB"/>
              </w:rPr>
            </w:pPr>
            <w:r w:rsidRPr="002D265E">
              <w:rPr>
                <w:rFonts w:cs="Arial"/>
                <w:color w:val="000000" w:themeColor="text1"/>
                <w:sz w:val="16"/>
                <w:szCs w:val="16"/>
                <w:lang w:val="en-GB"/>
              </w:rPr>
              <w:t>1</w:t>
            </w:r>
            <w:r w:rsidR="005835F4">
              <w:rPr>
                <w:rFonts w:cs="Arial"/>
                <w:color w:val="000000" w:themeColor="text1"/>
                <w:sz w:val="16"/>
                <w:szCs w:val="16"/>
                <w:lang w:val="en-GB"/>
              </w:rPr>
              <w:t>05.</w:t>
            </w:r>
            <w:r w:rsidRPr="002D265E">
              <w:rPr>
                <w:rFonts w:cs="Arial"/>
                <w:color w:val="000000" w:themeColor="text1"/>
                <w:sz w:val="16"/>
                <w:szCs w:val="16"/>
                <w:lang w:val="en-GB"/>
              </w:rPr>
              <w:t>7</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4B759702" w14:textId="77777777" w:rsidR="00E4308C" w:rsidRPr="002D265E" w:rsidRDefault="00E4308C" w:rsidP="007A7664">
            <w:pPr>
              <w:pStyle w:val="tekstnaniebieskimtle"/>
              <w:keepNext/>
              <w:suppressAutoHyphens/>
              <w:spacing w:before="80" w:after="80" w:line="240" w:lineRule="exact"/>
              <w:jc w:val="right"/>
              <w:rPr>
                <w:lang w:val="en-GB"/>
              </w:rPr>
            </w:pPr>
            <w:r w:rsidRPr="002D265E">
              <w:rPr>
                <w:sz w:val="16"/>
                <w:szCs w:val="16"/>
                <w:lang w:val="en-GB"/>
              </w:rPr>
              <w:t>–</w:t>
            </w:r>
          </w:p>
        </w:tc>
        <w:tc>
          <w:tcPr>
            <w:tcW w:w="1379" w:type="dxa"/>
            <w:tcBorders>
              <w:top w:val="single" w:sz="2" w:space="0" w:color="001D77"/>
              <w:left w:val="single" w:sz="2" w:space="0" w:color="001D77"/>
              <w:bottom w:val="single" w:sz="2" w:space="0" w:color="001D77"/>
              <w:right w:val="nil"/>
            </w:tcBorders>
            <w:shd w:val="clear" w:color="auto" w:fill="auto"/>
            <w:tcMar>
              <w:left w:w="102" w:type="dxa"/>
            </w:tcMar>
            <w:vAlign w:val="bottom"/>
          </w:tcPr>
          <w:p w14:paraId="792F0203" w14:textId="77777777" w:rsidR="00E4308C" w:rsidRPr="002D265E" w:rsidRDefault="00E4308C" w:rsidP="007A7664">
            <w:pPr>
              <w:pStyle w:val="tekstnaniebieskimtle"/>
              <w:keepNext/>
              <w:suppressAutoHyphens/>
              <w:spacing w:before="80" w:after="80" w:line="240" w:lineRule="exact"/>
              <w:jc w:val="right"/>
              <w:rPr>
                <w:lang w:val="en-GB"/>
              </w:rPr>
            </w:pPr>
            <w:r w:rsidRPr="002D265E">
              <w:rPr>
                <w:sz w:val="16"/>
                <w:szCs w:val="16"/>
                <w:lang w:val="en-GB"/>
              </w:rPr>
              <w:t>–</w:t>
            </w:r>
          </w:p>
        </w:tc>
      </w:tr>
      <w:tr w:rsidR="00E4308C" w:rsidRPr="002D265E" w14:paraId="10251AD8" w14:textId="77777777" w:rsidTr="006113F1">
        <w:trPr>
          <w:trHeight w:val="227"/>
        </w:trPr>
        <w:tc>
          <w:tcPr>
            <w:tcW w:w="2552" w:type="dxa"/>
            <w:tcBorders>
              <w:top w:val="single" w:sz="2" w:space="0" w:color="001D77"/>
              <w:left w:val="nil"/>
              <w:bottom w:val="single" w:sz="2" w:space="0" w:color="001D77"/>
              <w:right w:val="single" w:sz="2" w:space="0" w:color="001D77"/>
            </w:tcBorders>
            <w:shd w:val="clear" w:color="auto" w:fill="auto"/>
            <w:vAlign w:val="center"/>
          </w:tcPr>
          <w:p w14:paraId="45BA5011" w14:textId="698D6B04" w:rsidR="00E4308C" w:rsidRPr="002D265E" w:rsidRDefault="00E4308C" w:rsidP="007A7664">
            <w:pPr>
              <w:pStyle w:val="Nagwek8"/>
              <w:keepLines w:val="0"/>
              <w:tabs>
                <w:tab w:val="right" w:leader="dot" w:pos="4156"/>
              </w:tabs>
              <w:suppressAutoHyphens/>
              <w:spacing w:before="80" w:after="80"/>
              <w:contextualSpacing/>
              <w:outlineLvl w:val="7"/>
              <w:rPr>
                <w:rFonts w:ascii="Fira Sans" w:hAnsi="Fira Sans"/>
                <w:color w:val="000000" w:themeColor="text1"/>
                <w:sz w:val="16"/>
                <w:szCs w:val="16"/>
                <w:lang w:val="en-GB"/>
              </w:rPr>
            </w:pPr>
            <w:r w:rsidRPr="002D265E">
              <w:rPr>
                <w:rFonts w:ascii="Fira Sans" w:hAnsi="Fira Sans"/>
                <w:color w:val="000000" w:themeColor="text1"/>
                <w:sz w:val="16"/>
                <w:szCs w:val="16"/>
                <w:lang w:val="en-GB"/>
              </w:rPr>
              <w:t>Architecture</w:t>
            </w:r>
          </w:p>
        </w:tc>
        <w:tc>
          <w:tcPr>
            <w:tcW w:w="1378"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179E6CA7" w14:textId="24993730"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4.</w:t>
            </w:r>
            <w:r w:rsidR="00E4308C" w:rsidRPr="002D265E">
              <w:rPr>
                <w:rFonts w:cs="Arial"/>
                <w:color w:val="000000" w:themeColor="text1"/>
                <w:sz w:val="16"/>
                <w:szCs w:val="16"/>
                <w:lang w:val="en-GB"/>
              </w:rPr>
              <w:t>0</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33BAF94B" w14:textId="04D6750D"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1.</w:t>
            </w:r>
            <w:r w:rsidR="00E4308C" w:rsidRPr="002D265E">
              <w:rPr>
                <w:rFonts w:cs="Arial"/>
                <w:color w:val="000000" w:themeColor="text1"/>
                <w:sz w:val="16"/>
                <w:szCs w:val="16"/>
                <w:lang w:val="en-GB"/>
              </w:rPr>
              <w:t>6</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26FA75AF" w14:textId="70F09A83" w:rsidR="00E4308C" w:rsidRPr="002D265E" w:rsidRDefault="005835F4" w:rsidP="007A7664">
            <w:pPr>
              <w:pStyle w:val="tekstnaniebieskimtle"/>
              <w:keepNext/>
              <w:suppressAutoHyphens/>
              <w:spacing w:before="80" w:after="80" w:line="240" w:lineRule="exact"/>
              <w:jc w:val="right"/>
              <w:rPr>
                <w:lang w:val="en-GB"/>
              </w:rPr>
            </w:pPr>
            <w:r>
              <w:rPr>
                <w:sz w:val="16"/>
                <w:szCs w:val="16"/>
                <w:lang w:val="en-GB"/>
              </w:rPr>
              <w:t>231.</w:t>
            </w:r>
            <w:r w:rsidR="00E4308C" w:rsidRPr="002D265E">
              <w:rPr>
                <w:sz w:val="16"/>
                <w:szCs w:val="16"/>
                <w:lang w:val="en-GB"/>
              </w:rPr>
              <w:t>3</w:t>
            </w:r>
          </w:p>
        </w:tc>
        <w:tc>
          <w:tcPr>
            <w:tcW w:w="1379" w:type="dxa"/>
            <w:tcBorders>
              <w:top w:val="single" w:sz="2" w:space="0" w:color="001D77"/>
              <w:left w:val="single" w:sz="2" w:space="0" w:color="001D77"/>
              <w:bottom w:val="single" w:sz="2" w:space="0" w:color="001D77"/>
              <w:right w:val="nil"/>
            </w:tcBorders>
            <w:shd w:val="clear" w:color="auto" w:fill="auto"/>
            <w:tcMar>
              <w:left w:w="102" w:type="dxa"/>
            </w:tcMar>
            <w:vAlign w:val="bottom"/>
          </w:tcPr>
          <w:p w14:paraId="71818054" w14:textId="71367EA7" w:rsidR="00E4308C" w:rsidRPr="002D265E" w:rsidRDefault="005835F4" w:rsidP="007A7664">
            <w:pPr>
              <w:pStyle w:val="tekstnaniebieskimtle"/>
              <w:keepNext/>
              <w:suppressAutoHyphens/>
              <w:spacing w:before="80" w:after="80" w:line="240" w:lineRule="exact"/>
              <w:jc w:val="right"/>
              <w:rPr>
                <w:lang w:val="en-GB"/>
              </w:rPr>
            </w:pPr>
            <w:r>
              <w:rPr>
                <w:sz w:val="16"/>
                <w:szCs w:val="16"/>
                <w:lang w:val="en-GB"/>
              </w:rPr>
              <w:t>130.</w:t>
            </w:r>
            <w:r w:rsidR="00E4308C" w:rsidRPr="002D265E">
              <w:rPr>
                <w:sz w:val="16"/>
                <w:szCs w:val="16"/>
                <w:lang w:val="en-GB"/>
              </w:rPr>
              <w:t>5</w:t>
            </w:r>
          </w:p>
        </w:tc>
      </w:tr>
      <w:tr w:rsidR="00E4308C" w:rsidRPr="002D265E" w14:paraId="585A2EED" w14:textId="77777777" w:rsidTr="006113F1">
        <w:trPr>
          <w:trHeight w:val="227"/>
        </w:trPr>
        <w:tc>
          <w:tcPr>
            <w:tcW w:w="2552" w:type="dxa"/>
            <w:tcBorders>
              <w:top w:val="single" w:sz="2" w:space="0" w:color="001D77"/>
              <w:left w:val="nil"/>
              <w:bottom w:val="single" w:sz="2" w:space="0" w:color="001D77"/>
              <w:right w:val="single" w:sz="2" w:space="0" w:color="001D77"/>
            </w:tcBorders>
            <w:shd w:val="clear" w:color="auto" w:fill="auto"/>
            <w:vAlign w:val="center"/>
          </w:tcPr>
          <w:p w14:paraId="7A837B8D" w14:textId="0B9912F9" w:rsidR="00E4308C" w:rsidRPr="002D265E" w:rsidRDefault="00E4308C" w:rsidP="007A7664">
            <w:pPr>
              <w:pStyle w:val="Nagwek8"/>
              <w:keepLines w:val="0"/>
              <w:tabs>
                <w:tab w:val="right" w:leader="dot" w:pos="4156"/>
              </w:tabs>
              <w:suppressAutoHyphens/>
              <w:spacing w:before="80" w:after="80"/>
              <w:contextualSpacing/>
              <w:outlineLvl w:val="7"/>
              <w:rPr>
                <w:rFonts w:ascii="Fira Sans" w:hAnsi="Fira Sans"/>
                <w:color w:val="000000" w:themeColor="text1"/>
                <w:sz w:val="16"/>
                <w:szCs w:val="16"/>
                <w:lang w:val="en-GB"/>
              </w:rPr>
            </w:pPr>
            <w:r w:rsidRPr="002D265E">
              <w:rPr>
                <w:rFonts w:ascii="Fira Sans" w:hAnsi="Fira Sans"/>
                <w:color w:val="000000" w:themeColor="text1"/>
                <w:sz w:val="16"/>
                <w:szCs w:val="16"/>
                <w:lang w:val="en-GB"/>
              </w:rPr>
              <w:t xml:space="preserve">Performing arts </w:t>
            </w:r>
          </w:p>
        </w:tc>
        <w:tc>
          <w:tcPr>
            <w:tcW w:w="1378"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2127BB13" w14:textId="49E0B1E4"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142.</w:t>
            </w:r>
            <w:r w:rsidR="00E4308C" w:rsidRPr="002D265E">
              <w:rPr>
                <w:rFonts w:cs="Arial"/>
                <w:color w:val="000000" w:themeColor="text1"/>
                <w:sz w:val="16"/>
                <w:szCs w:val="16"/>
                <w:lang w:val="en-GB"/>
              </w:rPr>
              <w:t>6</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0C407C48" w14:textId="0A0C8756"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247.</w:t>
            </w:r>
            <w:r w:rsidR="00E4308C" w:rsidRPr="002D265E">
              <w:rPr>
                <w:rFonts w:cs="Arial"/>
                <w:color w:val="000000" w:themeColor="text1"/>
                <w:sz w:val="16"/>
                <w:szCs w:val="16"/>
                <w:lang w:val="en-GB"/>
              </w:rPr>
              <w:t>6</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20EC885C" w14:textId="7ECC4F6D" w:rsidR="00E4308C" w:rsidRPr="002D265E" w:rsidRDefault="005835F4" w:rsidP="007A7664">
            <w:pPr>
              <w:pStyle w:val="tekstnaniebieskimtle"/>
              <w:keepNext/>
              <w:suppressAutoHyphens/>
              <w:spacing w:before="80" w:after="80" w:line="240" w:lineRule="exact"/>
              <w:jc w:val="right"/>
              <w:rPr>
                <w:lang w:val="en-GB"/>
              </w:rPr>
            </w:pPr>
            <w:r>
              <w:rPr>
                <w:sz w:val="16"/>
                <w:szCs w:val="16"/>
                <w:lang w:val="en-GB"/>
              </w:rPr>
              <w:t>115.</w:t>
            </w:r>
            <w:r w:rsidR="00E4308C" w:rsidRPr="002D265E">
              <w:rPr>
                <w:sz w:val="16"/>
                <w:szCs w:val="16"/>
                <w:lang w:val="en-GB"/>
              </w:rPr>
              <w:t>3</w:t>
            </w:r>
          </w:p>
        </w:tc>
        <w:tc>
          <w:tcPr>
            <w:tcW w:w="1379" w:type="dxa"/>
            <w:tcBorders>
              <w:top w:val="single" w:sz="2" w:space="0" w:color="001D77"/>
              <w:left w:val="single" w:sz="2" w:space="0" w:color="001D77"/>
              <w:bottom w:val="single" w:sz="2" w:space="0" w:color="001D77"/>
              <w:right w:val="nil"/>
            </w:tcBorders>
            <w:shd w:val="clear" w:color="auto" w:fill="auto"/>
            <w:tcMar>
              <w:left w:w="102" w:type="dxa"/>
            </w:tcMar>
            <w:vAlign w:val="bottom"/>
          </w:tcPr>
          <w:p w14:paraId="2D37FFB9" w14:textId="3A44A047" w:rsidR="00E4308C" w:rsidRPr="002D265E" w:rsidRDefault="005835F4" w:rsidP="007A7664">
            <w:pPr>
              <w:pStyle w:val="tekstnaniebieskimtle"/>
              <w:keepNext/>
              <w:suppressAutoHyphens/>
              <w:spacing w:before="80" w:after="80" w:line="240" w:lineRule="exact"/>
              <w:jc w:val="right"/>
              <w:rPr>
                <w:lang w:val="en-GB"/>
              </w:rPr>
            </w:pPr>
            <w:r>
              <w:rPr>
                <w:sz w:val="16"/>
                <w:szCs w:val="16"/>
                <w:lang w:val="en-GB"/>
              </w:rPr>
              <w:t>547.</w:t>
            </w:r>
            <w:r w:rsidR="00E4308C" w:rsidRPr="002D265E">
              <w:rPr>
                <w:sz w:val="16"/>
                <w:szCs w:val="16"/>
                <w:lang w:val="en-GB"/>
              </w:rPr>
              <w:t>3</w:t>
            </w:r>
          </w:p>
        </w:tc>
      </w:tr>
      <w:tr w:rsidR="00E4308C" w:rsidRPr="002D265E" w14:paraId="7E5E0A94" w14:textId="77777777" w:rsidTr="006113F1">
        <w:trPr>
          <w:trHeight w:val="227"/>
        </w:trPr>
        <w:tc>
          <w:tcPr>
            <w:tcW w:w="2552" w:type="dxa"/>
            <w:tcBorders>
              <w:top w:val="single" w:sz="2" w:space="0" w:color="001D77"/>
              <w:left w:val="nil"/>
              <w:bottom w:val="single" w:sz="2" w:space="0" w:color="001D77"/>
              <w:right w:val="single" w:sz="2" w:space="0" w:color="001D77"/>
            </w:tcBorders>
            <w:shd w:val="clear" w:color="auto" w:fill="auto"/>
            <w:vAlign w:val="center"/>
          </w:tcPr>
          <w:p w14:paraId="16C72852" w14:textId="04788C67" w:rsidR="00E4308C" w:rsidRPr="002D265E" w:rsidRDefault="00E4308C" w:rsidP="007A7664">
            <w:pPr>
              <w:pStyle w:val="Nagwek8"/>
              <w:keepLines w:val="0"/>
              <w:tabs>
                <w:tab w:val="right" w:leader="dot" w:pos="4156"/>
              </w:tabs>
              <w:suppressAutoHyphens/>
              <w:spacing w:before="80" w:after="80"/>
              <w:contextualSpacing/>
              <w:outlineLvl w:val="7"/>
              <w:rPr>
                <w:rFonts w:ascii="Fira Sans" w:hAnsi="Fira Sans"/>
                <w:color w:val="000000" w:themeColor="text1"/>
                <w:sz w:val="16"/>
                <w:szCs w:val="16"/>
                <w:lang w:val="en-GB"/>
              </w:rPr>
            </w:pPr>
            <w:proofErr w:type="spellStart"/>
            <w:r w:rsidRPr="002D265E">
              <w:rPr>
                <w:rFonts w:ascii="Fira Sans" w:hAnsi="Fira Sans"/>
                <w:color w:val="000000" w:themeColor="text1"/>
                <w:sz w:val="16"/>
                <w:szCs w:val="16"/>
                <w:lang w:val="en-GB"/>
              </w:rPr>
              <w:t>Audiovisual</w:t>
            </w:r>
            <w:proofErr w:type="spellEnd"/>
            <w:r w:rsidRPr="002D265E">
              <w:rPr>
                <w:rFonts w:ascii="Fira Sans" w:hAnsi="Fira Sans"/>
                <w:color w:val="000000" w:themeColor="text1"/>
                <w:sz w:val="16"/>
                <w:szCs w:val="16"/>
                <w:lang w:val="en-GB"/>
              </w:rPr>
              <w:t xml:space="preserve"> arts and multimedia</w:t>
            </w:r>
          </w:p>
        </w:tc>
        <w:tc>
          <w:tcPr>
            <w:tcW w:w="1378"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71628CAE" w14:textId="789CB521"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7,010.</w:t>
            </w:r>
            <w:r w:rsidR="00E4308C" w:rsidRPr="002D265E">
              <w:rPr>
                <w:rFonts w:cs="Arial"/>
                <w:color w:val="000000" w:themeColor="text1"/>
                <w:sz w:val="16"/>
                <w:szCs w:val="16"/>
                <w:lang w:val="en-GB"/>
              </w:rPr>
              <w:t>6</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6CBBE692" w14:textId="5C0FAE88"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7,181.</w:t>
            </w:r>
            <w:r w:rsidR="00E4308C" w:rsidRPr="002D265E">
              <w:rPr>
                <w:rFonts w:cs="Arial"/>
                <w:color w:val="000000" w:themeColor="text1"/>
                <w:sz w:val="16"/>
                <w:szCs w:val="16"/>
                <w:lang w:val="en-GB"/>
              </w:rPr>
              <w:t>9</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7F895683" w14:textId="243A1D4A" w:rsidR="00E4308C" w:rsidRPr="002D265E" w:rsidRDefault="005835F4" w:rsidP="007A7664">
            <w:pPr>
              <w:pStyle w:val="tekstnaniebieskimtle"/>
              <w:keepNext/>
              <w:suppressAutoHyphens/>
              <w:spacing w:before="80" w:after="80" w:line="240" w:lineRule="exact"/>
              <w:jc w:val="right"/>
              <w:rPr>
                <w:lang w:val="en-GB"/>
              </w:rPr>
            </w:pPr>
            <w:r>
              <w:rPr>
                <w:sz w:val="16"/>
                <w:szCs w:val="16"/>
                <w:lang w:val="en-GB"/>
              </w:rPr>
              <w:t>737.</w:t>
            </w:r>
            <w:r w:rsidR="00E4308C" w:rsidRPr="002D265E">
              <w:rPr>
                <w:sz w:val="16"/>
                <w:szCs w:val="16"/>
                <w:lang w:val="en-GB"/>
              </w:rPr>
              <w:t>2</w:t>
            </w:r>
          </w:p>
        </w:tc>
        <w:tc>
          <w:tcPr>
            <w:tcW w:w="1379" w:type="dxa"/>
            <w:tcBorders>
              <w:top w:val="single" w:sz="2" w:space="0" w:color="001D77"/>
              <w:left w:val="single" w:sz="2" w:space="0" w:color="001D77"/>
              <w:bottom w:val="single" w:sz="2" w:space="0" w:color="001D77"/>
              <w:right w:val="nil"/>
            </w:tcBorders>
            <w:shd w:val="clear" w:color="auto" w:fill="auto"/>
            <w:tcMar>
              <w:left w:w="102" w:type="dxa"/>
            </w:tcMar>
            <w:vAlign w:val="bottom"/>
          </w:tcPr>
          <w:p w14:paraId="52C8D9F2" w14:textId="1A41540C" w:rsidR="00E4308C" w:rsidRPr="002D265E" w:rsidRDefault="005835F4" w:rsidP="007A7664">
            <w:pPr>
              <w:pStyle w:val="tekstnaniebieskimtle"/>
              <w:keepNext/>
              <w:suppressAutoHyphens/>
              <w:spacing w:before="80" w:after="80" w:line="240" w:lineRule="exact"/>
              <w:jc w:val="right"/>
              <w:rPr>
                <w:lang w:val="en-GB"/>
              </w:rPr>
            </w:pPr>
            <w:r>
              <w:rPr>
                <w:sz w:val="16"/>
                <w:szCs w:val="16"/>
                <w:lang w:val="en-GB"/>
              </w:rPr>
              <w:t>2,961.</w:t>
            </w:r>
            <w:r w:rsidR="00E4308C" w:rsidRPr="002D265E">
              <w:rPr>
                <w:sz w:val="16"/>
                <w:szCs w:val="16"/>
                <w:lang w:val="en-GB"/>
              </w:rPr>
              <w:t>9</w:t>
            </w:r>
          </w:p>
        </w:tc>
      </w:tr>
      <w:tr w:rsidR="00E4308C" w:rsidRPr="002D265E" w14:paraId="299A4E28" w14:textId="77777777" w:rsidTr="006113F1">
        <w:trPr>
          <w:trHeight w:val="227"/>
        </w:trPr>
        <w:tc>
          <w:tcPr>
            <w:tcW w:w="2552" w:type="dxa"/>
            <w:tcBorders>
              <w:top w:val="single" w:sz="2" w:space="0" w:color="001D77"/>
              <w:left w:val="nil"/>
              <w:bottom w:val="single" w:sz="2" w:space="0" w:color="001D77"/>
              <w:right w:val="single" w:sz="2" w:space="0" w:color="001D77"/>
            </w:tcBorders>
            <w:shd w:val="clear" w:color="auto" w:fill="auto"/>
            <w:vAlign w:val="center"/>
          </w:tcPr>
          <w:p w14:paraId="78C8BEA8" w14:textId="00943E37" w:rsidR="00E4308C" w:rsidRPr="002D265E" w:rsidRDefault="00E4308C" w:rsidP="007A7664">
            <w:pPr>
              <w:pStyle w:val="Nagwek8"/>
              <w:keepLines w:val="0"/>
              <w:tabs>
                <w:tab w:val="right" w:leader="dot" w:pos="4156"/>
              </w:tabs>
              <w:suppressAutoHyphens/>
              <w:spacing w:before="80" w:after="80"/>
              <w:contextualSpacing/>
              <w:outlineLvl w:val="7"/>
              <w:rPr>
                <w:rFonts w:ascii="Fira Sans" w:hAnsi="Fira Sans"/>
                <w:color w:val="000000" w:themeColor="text1"/>
                <w:sz w:val="16"/>
                <w:szCs w:val="16"/>
                <w:lang w:val="en-GB"/>
              </w:rPr>
            </w:pPr>
            <w:r w:rsidRPr="002D265E">
              <w:rPr>
                <w:rFonts w:ascii="Fira Sans" w:hAnsi="Fira Sans"/>
                <w:color w:val="000000" w:themeColor="text1"/>
                <w:sz w:val="16"/>
                <w:szCs w:val="16"/>
                <w:lang w:val="en-GB"/>
              </w:rPr>
              <w:t>Advertising</w:t>
            </w:r>
          </w:p>
        </w:tc>
        <w:tc>
          <w:tcPr>
            <w:tcW w:w="1378"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48472CA4" w14:textId="25C062AC"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1,241.</w:t>
            </w:r>
            <w:r w:rsidR="00E4308C" w:rsidRPr="002D265E">
              <w:rPr>
                <w:rFonts w:cs="Arial"/>
                <w:color w:val="000000" w:themeColor="text1"/>
                <w:sz w:val="16"/>
                <w:szCs w:val="16"/>
                <w:lang w:val="en-GB"/>
              </w:rPr>
              <w:t>3</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6D8861EC" w14:textId="2AC9F9F4"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219.</w:t>
            </w:r>
            <w:r w:rsidR="00E4308C" w:rsidRPr="002D265E">
              <w:rPr>
                <w:rFonts w:cs="Arial"/>
                <w:color w:val="000000" w:themeColor="text1"/>
                <w:sz w:val="16"/>
                <w:szCs w:val="16"/>
                <w:lang w:val="en-GB"/>
              </w:rPr>
              <w:t>4</w:t>
            </w:r>
          </w:p>
        </w:tc>
        <w:tc>
          <w:tcPr>
            <w:tcW w:w="1379" w:type="dxa"/>
            <w:tcBorders>
              <w:top w:val="single" w:sz="2" w:space="0" w:color="001D77"/>
              <w:left w:val="single" w:sz="2" w:space="0" w:color="001D77"/>
              <w:bottom w:val="single" w:sz="2" w:space="0" w:color="001D77"/>
              <w:right w:val="single" w:sz="2" w:space="0" w:color="001D77"/>
            </w:tcBorders>
            <w:shd w:val="clear" w:color="auto" w:fill="auto"/>
            <w:tcMar>
              <w:left w:w="102" w:type="dxa"/>
            </w:tcMar>
            <w:vAlign w:val="bottom"/>
          </w:tcPr>
          <w:p w14:paraId="24218C7A" w14:textId="3519EBDE" w:rsidR="00E4308C" w:rsidRPr="002D265E" w:rsidRDefault="005835F4" w:rsidP="005835F4">
            <w:pPr>
              <w:pStyle w:val="tekstnaniebieskimtle"/>
              <w:keepNext/>
              <w:suppressAutoHyphens/>
              <w:spacing w:before="80" w:after="80" w:line="240" w:lineRule="exact"/>
              <w:jc w:val="right"/>
              <w:rPr>
                <w:lang w:val="en-GB"/>
              </w:rPr>
            </w:pPr>
            <w:r>
              <w:rPr>
                <w:sz w:val="16"/>
                <w:szCs w:val="16"/>
                <w:lang w:val="en-GB"/>
              </w:rPr>
              <w:t>9,520.</w:t>
            </w:r>
            <w:r w:rsidR="00E4308C" w:rsidRPr="002D265E">
              <w:rPr>
                <w:sz w:val="16"/>
                <w:szCs w:val="16"/>
                <w:lang w:val="en-GB"/>
              </w:rPr>
              <w:t>5</w:t>
            </w:r>
          </w:p>
        </w:tc>
        <w:tc>
          <w:tcPr>
            <w:tcW w:w="1379" w:type="dxa"/>
            <w:tcBorders>
              <w:top w:val="single" w:sz="2" w:space="0" w:color="001D77"/>
              <w:left w:val="single" w:sz="2" w:space="0" w:color="001D77"/>
              <w:bottom w:val="single" w:sz="2" w:space="0" w:color="001D77"/>
              <w:right w:val="nil"/>
            </w:tcBorders>
            <w:shd w:val="clear" w:color="auto" w:fill="auto"/>
            <w:tcMar>
              <w:left w:w="102" w:type="dxa"/>
            </w:tcMar>
            <w:vAlign w:val="bottom"/>
          </w:tcPr>
          <w:p w14:paraId="3616F3F8" w14:textId="1EE12925" w:rsidR="00E4308C" w:rsidRPr="002D265E" w:rsidRDefault="00E4308C" w:rsidP="007A7664">
            <w:pPr>
              <w:pStyle w:val="tekstnaniebieskimtle"/>
              <w:keepNext/>
              <w:suppressAutoHyphens/>
              <w:spacing w:before="80" w:after="80" w:line="240" w:lineRule="exact"/>
              <w:jc w:val="right"/>
              <w:rPr>
                <w:lang w:val="en-GB"/>
              </w:rPr>
            </w:pPr>
            <w:r w:rsidRPr="002D265E">
              <w:rPr>
                <w:sz w:val="16"/>
                <w:szCs w:val="16"/>
                <w:lang w:val="en-GB"/>
              </w:rPr>
              <w:t>6</w:t>
            </w:r>
            <w:r w:rsidR="005835F4">
              <w:rPr>
                <w:sz w:val="16"/>
                <w:szCs w:val="16"/>
                <w:lang w:val="en-GB"/>
              </w:rPr>
              <w:t>,018.</w:t>
            </w:r>
            <w:r w:rsidRPr="002D265E">
              <w:rPr>
                <w:sz w:val="16"/>
                <w:szCs w:val="16"/>
                <w:lang w:val="en-GB"/>
              </w:rPr>
              <w:t>3</w:t>
            </w:r>
          </w:p>
        </w:tc>
      </w:tr>
      <w:tr w:rsidR="00E4308C" w:rsidRPr="002D265E" w14:paraId="2AE04887" w14:textId="77777777" w:rsidTr="006113F1">
        <w:trPr>
          <w:trHeight w:val="227"/>
        </w:trPr>
        <w:tc>
          <w:tcPr>
            <w:tcW w:w="2552" w:type="dxa"/>
            <w:tcBorders>
              <w:top w:val="single" w:sz="2" w:space="0" w:color="001D77"/>
              <w:left w:val="nil"/>
              <w:bottom w:val="nil"/>
              <w:right w:val="single" w:sz="2" w:space="0" w:color="001D77"/>
            </w:tcBorders>
            <w:shd w:val="clear" w:color="auto" w:fill="auto"/>
            <w:vAlign w:val="center"/>
          </w:tcPr>
          <w:p w14:paraId="1FB51EF0" w14:textId="336E8EEA" w:rsidR="00E4308C" w:rsidRPr="002D265E" w:rsidRDefault="00E4308C" w:rsidP="007A7664">
            <w:pPr>
              <w:pStyle w:val="Nagwek2"/>
              <w:keepLines w:val="0"/>
              <w:tabs>
                <w:tab w:val="right" w:leader="dot" w:pos="4156"/>
              </w:tabs>
              <w:suppressAutoHyphens/>
              <w:spacing w:before="80" w:after="80"/>
              <w:contextualSpacing/>
              <w:outlineLvl w:val="1"/>
              <w:rPr>
                <w:rFonts w:ascii="Fira Sans" w:hAnsi="Fira Sans"/>
                <w:color w:val="000000" w:themeColor="text1"/>
                <w:sz w:val="16"/>
                <w:szCs w:val="16"/>
                <w:lang w:val="en-GB"/>
              </w:rPr>
            </w:pPr>
            <w:r w:rsidRPr="002D265E">
              <w:rPr>
                <w:rFonts w:ascii="Fira Sans" w:hAnsi="Fira Sans"/>
                <w:color w:val="000000" w:themeColor="text1"/>
                <w:sz w:val="16"/>
                <w:szCs w:val="16"/>
                <w:lang w:val="en-GB"/>
              </w:rPr>
              <w:t>Arts and crafts</w:t>
            </w:r>
          </w:p>
        </w:tc>
        <w:tc>
          <w:tcPr>
            <w:tcW w:w="1378" w:type="dxa"/>
            <w:tcBorders>
              <w:top w:val="single" w:sz="2" w:space="0" w:color="001D77"/>
              <w:left w:val="single" w:sz="2" w:space="0" w:color="001D77"/>
              <w:bottom w:val="nil"/>
              <w:right w:val="single" w:sz="2" w:space="0" w:color="001D77"/>
            </w:tcBorders>
            <w:shd w:val="clear" w:color="auto" w:fill="auto"/>
            <w:tcMar>
              <w:left w:w="102" w:type="dxa"/>
            </w:tcMar>
            <w:vAlign w:val="bottom"/>
          </w:tcPr>
          <w:p w14:paraId="02709ED4" w14:textId="222CB5C6"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0.</w:t>
            </w:r>
            <w:r w:rsidR="00E4308C" w:rsidRPr="002D265E">
              <w:rPr>
                <w:rFonts w:cs="Arial"/>
                <w:color w:val="000000" w:themeColor="text1"/>
                <w:sz w:val="16"/>
                <w:szCs w:val="16"/>
                <w:lang w:val="en-GB"/>
              </w:rPr>
              <w:t>5</w:t>
            </w:r>
          </w:p>
        </w:tc>
        <w:tc>
          <w:tcPr>
            <w:tcW w:w="1379" w:type="dxa"/>
            <w:tcBorders>
              <w:top w:val="single" w:sz="2" w:space="0" w:color="001D77"/>
              <w:left w:val="single" w:sz="2" w:space="0" w:color="001D77"/>
              <w:bottom w:val="nil"/>
              <w:right w:val="single" w:sz="2" w:space="0" w:color="001D77"/>
            </w:tcBorders>
            <w:shd w:val="clear" w:color="auto" w:fill="auto"/>
            <w:tcMar>
              <w:left w:w="102" w:type="dxa"/>
            </w:tcMar>
            <w:vAlign w:val="bottom"/>
          </w:tcPr>
          <w:p w14:paraId="3589E2FD" w14:textId="4BBFDFCF" w:rsidR="00E4308C" w:rsidRPr="002D265E" w:rsidRDefault="005835F4" w:rsidP="007A7664">
            <w:pPr>
              <w:pStyle w:val="tekstnaniebieskimtle"/>
              <w:keepNext/>
              <w:suppressAutoHyphens/>
              <w:spacing w:before="80" w:after="80" w:line="240" w:lineRule="exact"/>
              <w:jc w:val="right"/>
              <w:rPr>
                <w:lang w:val="en-GB"/>
              </w:rPr>
            </w:pPr>
            <w:r>
              <w:rPr>
                <w:rFonts w:cs="Arial"/>
                <w:color w:val="000000" w:themeColor="text1"/>
                <w:sz w:val="16"/>
                <w:szCs w:val="16"/>
                <w:lang w:val="en-GB"/>
              </w:rPr>
              <w:t>1.</w:t>
            </w:r>
            <w:r w:rsidR="00E4308C" w:rsidRPr="002D265E">
              <w:rPr>
                <w:rFonts w:cs="Arial"/>
                <w:color w:val="000000" w:themeColor="text1"/>
                <w:sz w:val="16"/>
                <w:szCs w:val="16"/>
                <w:lang w:val="en-GB"/>
              </w:rPr>
              <w:t>7</w:t>
            </w:r>
          </w:p>
        </w:tc>
        <w:tc>
          <w:tcPr>
            <w:tcW w:w="1379" w:type="dxa"/>
            <w:tcBorders>
              <w:top w:val="single" w:sz="2" w:space="0" w:color="001D77"/>
              <w:left w:val="single" w:sz="2" w:space="0" w:color="001D77"/>
              <w:bottom w:val="nil"/>
              <w:right w:val="single" w:sz="2" w:space="0" w:color="001D77"/>
            </w:tcBorders>
            <w:shd w:val="clear" w:color="auto" w:fill="auto"/>
            <w:tcMar>
              <w:left w:w="102" w:type="dxa"/>
            </w:tcMar>
            <w:vAlign w:val="bottom"/>
          </w:tcPr>
          <w:p w14:paraId="05D5D1B1" w14:textId="77777777" w:rsidR="00E4308C" w:rsidRPr="002D265E" w:rsidRDefault="00E4308C" w:rsidP="007A7664">
            <w:pPr>
              <w:pStyle w:val="tekstnaniebieskimtle"/>
              <w:keepNext/>
              <w:suppressAutoHyphens/>
              <w:spacing w:before="80" w:after="80" w:line="240" w:lineRule="exact"/>
              <w:jc w:val="right"/>
              <w:rPr>
                <w:sz w:val="16"/>
                <w:szCs w:val="16"/>
                <w:lang w:val="en-GB"/>
              </w:rPr>
            </w:pPr>
            <w:r w:rsidRPr="002D265E">
              <w:rPr>
                <w:sz w:val="16"/>
                <w:szCs w:val="16"/>
                <w:lang w:val="en-GB"/>
              </w:rPr>
              <w:t>–</w:t>
            </w:r>
          </w:p>
        </w:tc>
        <w:tc>
          <w:tcPr>
            <w:tcW w:w="1379" w:type="dxa"/>
            <w:tcBorders>
              <w:top w:val="single" w:sz="2" w:space="0" w:color="001D77"/>
              <w:left w:val="single" w:sz="2" w:space="0" w:color="001D77"/>
              <w:bottom w:val="nil"/>
              <w:right w:val="nil"/>
            </w:tcBorders>
            <w:shd w:val="clear" w:color="auto" w:fill="auto"/>
            <w:tcMar>
              <w:left w:w="102" w:type="dxa"/>
            </w:tcMar>
            <w:vAlign w:val="center"/>
          </w:tcPr>
          <w:p w14:paraId="76DA2C3E" w14:textId="77777777" w:rsidR="00E4308C" w:rsidRPr="002D265E" w:rsidRDefault="00E4308C" w:rsidP="007A7664">
            <w:pPr>
              <w:pStyle w:val="tekstnaniebieskimtle"/>
              <w:keepNext/>
              <w:suppressAutoHyphens/>
              <w:spacing w:before="80" w:after="80" w:line="240" w:lineRule="exact"/>
              <w:jc w:val="right"/>
              <w:rPr>
                <w:sz w:val="16"/>
                <w:szCs w:val="16"/>
                <w:lang w:val="en-GB"/>
              </w:rPr>
            </w:pPr>
            <w:r w:rsidRPr="002D265E">
              <w:rPr>
                <w:sz w:val="16"/>
                <w:szCs w:val="16"/>
                <w:lang w:val="en-GB"/>
              </w:rPr>
              <w:t>–</w:t>
            </w:r>
          </w:p>
        </w:tc>
      </w:tr>
    </w:tbl>
    <w:p w14:paraId="51863429" w14:textId="3D27FBA1" w:rsidR="00923EA8" w:rsidRPr="002D265E" w:rsidRDefault="00923EA8" w:rsidP="00303016">
      <w:pPr>
        <w:rPr>
          <w:lang w:val="en-GB"/>
        </w:rPr>
      </w:pPr>
    </w:p>
    <w:p w14:paraId="2C909173" w14:textId="77777777" w:rsidR="00DC2AB2" w:rsidRDefault="00DC2AB2" w:rsidP="00303016">
      <w:pPr>
        <w:rPr>
          <w:bCs/>
          <w:spacing w:val="-2"/>
          <w:sz w:val="18"/>
          <w:shd w:val="clear" w:color="auto" w:fill="FFFFFF"/>
          <w:lang w:val="en-GB"/>
        </w:rPr>
      </w:pPr>
    </w:p>
    <w:p w14:paraId="4128B32E" w14:textId="77777777" w:rsidR="00DC2AB2" w:rsidRDefault="00DC2AB2" w:rsidP="00303016">
      <w:pPr>
        <w:rPr>
          <w:bCs/>
          <w:spacing w:val="-2"/>
          <w:sz w:val="18"/>
          <w:shd w:val="clear" w:color="auto" w:fill="FFFFFF"/>
          <w:lang w:val="en-GB"/>
        </w:rPr>
      </w:pPr>
    </w:p>
    <w:p w14:paraId="516ED3B6" w14:textId="77777777" w:rsidR="00DC2AB2" w:rsidRDefault="00DC2AB2" w:rsidP="00303016">
      <w:pPr>
        <w:rPr>
          <w:bCs/>
          <w:spacing w:val="-2"/>
          <w:sz w:val="18"/>
          <w:shd w:val="clear" w:color="auto" w:fill="FFFFFF"/>
          <w:lang w:val="en-GB"/>
        </w:rPr>
      </w:pPr>
    </w:p>
    <w:p w14:paraId="23BCCB74" w14:textId="77777777" w:rsidR="00DC2AB2" w:rsidRDefault="00DC2AB2" w:rsidP="00303016">
      <w:pPr>
        <w:rPr>
          <w:bCs/>
          <w:spacing w:val="-2"/>
          <w:sz w:val="18"/>
          <w:shd w:val="clear" w:color="auto" w:fill="FFFFFF"/>
          <w:lang w:val="en-GB"/>
        </w:rPr>
      </w:pPr>
    </w:p>
    <w:p w14:paraId="1CD5EEEB" w14:textId="77777777" w:rsidR="00DC2AB2" w:rsidRDefault="00DC2AB2" w:rsidP="00303016">
      <w:pPr>
        <w:rPr>
          <w:bCs/>
          <w:spacing w:val="-2"/>
          <w:sz w:val="18"/>
          <w:shd w:val="clear" w:color="auto" w:fill="FFFFFF"/>
          <w:lang w:val="en-GB"/>
        </w:rPr>
      </w:pPr>
    </w:p>
    <w:p w14:paraId="310C46C5" w14:textId="77777777" w:rsidR="00303016" w:rsidRPr="00303016" w:rsidRDefault="00303016" w:rsidP="00303016">
      <w:pPr>
        <w:rPr>
          <w:bCs/>
          <w:spacing w:val="-2"/>
          <w:sz w:val="18"/>
          <w:shd w:val="clear" w:color="auto" w:fill="FFFFFF"/>
          <w:lang w:val="en-GB"/>
        </w:rPr>
      </w:pPr>
    </w:p>
    <w:p w14:paraId="6F7C49DB" w14:textId="27890A5D" w:rsidR="004C5BC7" w:rsidRPr="002D265E" w:rsidRDefault="004C5BC7" w:rsidP="00303016">
      <w:pPr>
        <w:rPr>
          <w:bCs/>
          <w:spacing w:val="-2"/>
          <w:sz w:val="18"/>
          <w:shd w:val="clear" w:color="auto" w:fill="FFFFFF"/>
          <w:lang w:val="en-GB"/>
        </w:rPr>
      </w:pPr>
      <w:r w:rsidRPr="002D265E">
        <w:rPr>
          <w:bCs/>
          <w:spacing w:val="-2"/>
          <w:sz w:val="18"/>
          <w:shd w:val="clear" w:color="auto" w:fill="FFFFFF"/>
          <w:lang w:val="en-GB"/>
        </w:rPr>
        <w:t xml:space="preserve">When citing data from the Statistics Poland, please include the following information: "Source of data of the Statistics Poland", and in the case of </w:t>
      </w:r>
      <w:r w:rsidR="002D265E" w:rsidRPr="002D265E">
        <w:rPr>
          <w:bCs/>
          <w:spacing w:val="-2"/>
          <w:sz w:val="18"/>
          <w:shd w:val="clear" w:color="auto" w:fill="FFFFFF"/>
          <w:lang w:val="en-GB"/>
        </w:rPr>
        <w:t>published</w:t>
      </w:r>
      <w:r w:rsidRPr="002D265E">
        <w:rPr>
          <w:bCs/>
          <w:spacing w:val="-2"/>
          <w:sz w:val="18"/>
          <w:shd w:val="clear" w:color="auto" w:fill="FFFFFF"/>
          <w:lang w:val="en-GB"/>
        </w:rPr>
        <w:t xml:space="preserve"> calculations made on the basis of data published by the Statistics Poland, please include the following information: "Own study based on the data of the Statistics Poland".</w:t>
      </w:r>
    </w:p>
    <w:p w14:paraId="323EDF04" w14:textId="77777777" w:rsidR="001301C7" w:rsidRPr="00303016" w:rsidRDefault="001301C7" w:rsidP="00303016">
      <w:pPr>
        <w:rPr>
          <w:b/>
          <w:spacing w:val="-2"/>
          <w:sz w:val="18"/>
          <w:shd w:val="clear" w:color="auto" w:fill="FFFFFF"/>
          <w:lang w:val="en-GB"/>
        </w:rPr>
      </w:pPr>
    </w:p>
    <w:p w14:paraId="30FE5999" w14:textId="77777777" w:rsidR="00694AF0" w:rsidRPr="00303016" w:rsidRDefault="00694AF0" w:rsidP="007A7664">
      <w:pPr>
        <w:keepNext/>
        <w:suppressAutoHyphens/>
        <w:rPr>
          <w:sz w:val="18"/>
          <w:lang w:val="en-GB"/>
        </w:rPr>
      </w:pPr>
    </w:p>
    <w:p w14:paraId="28BFFE74" w14:textId="77777777" w:rsidR="00694AF0" w:rsidRPr="00303016" w:rsidRDefault="00694AF0" w:rsidP="007A7664">
      <w:pPr>
        <w:keepNext/>
        <w:suppressAutoHyphens/>
        <w:rPr>
          <w:sz w:val="18"/>
          <w:lang w:val="en-GB"/>
        </w:rPr>
        <w:sectPr w:rsidR="00694AF0" w:rsidRPr="00303016" w:rsidSect="003B18B6">
          <w:headerReference w:type="default" r:id="rId16"/>
          <w:footerReference w:type="default" r:id="rId17"/>
          <w:headerReference w:type="first" r:id="rId18"/>
          <w:footerReference w:type="first" r:id="rId19"/>
          <w:pgSz w:w="11906" w:h="16838"/>
          <w:pgMar w:top="720" w:right="3119" w:bottom="720" w:left="720" w:header="284" w:footer="283" w:gutter="0"/>
          <w:cols w:space="708"/>
          <w:titlePg/>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47"/>
        <w:gridCol w:w="3820"/>
      </w:tblGrid>
      <w:tr w:rsidR="004C5BC7" w:rsidRPr="009E5D50" w14:paraId="424E64AD" w14:textId="77777777" w:rsidTr="00A16417">
        <w:trPr>
          <w:trHeight w:val="1912"/>
        </w:trPr>
        <w:tc>
          <w:tcPr>
            <w:tcW w:w="4247" w:type="dxa"/>
          </w:tcPr>
          <w:p w14:paraId="269FEB59" w14:textId="77777777" w:rsidR="004C5BC7" w:rsidRPr="002D265E" w:rsidRDefault="004C5BC7" w:rsidP="007A7664">
            <w:pPr>
              <w:keepNext/>
              <w:suppressAutoHyphens/>
              <w:spacing w:before="0" w:after="0" w:line="276" w:lineRule="auto"/>
              <w:jc w:val="both"/>
              <w:rPr>
                <w:rFonts w:cs="Arial"/>
                <w:color w:val="000000" w:themeColor="text1"/>
                <w:sz w:val="20"/>
                <w:lang w:val="en-GB"/>
              </w:rPr>
            </w:pPr>
            <w:r w:rsidRPr="002D265E">
              <w:rPr>
                <w:rFonts w:cs="Arial"/>
                <w:color w:val="000000" w:themeColor="text1"/>
                <w:sz w:val="20"/>
                <w:lang w:val="en-GB"/>
              </w:rPr>
              <w:lastRenderedPageBreak/>
              <w:t>Prepared by:</w:t>
            </w:r>
          </w:p>
          <w:p w14:paraId="60147F23" w14:textId="77777777" w:rsidR="004C5BC7" w:rsidRPr="002D265E" w:rsidRDefault="004C5BC7" w:rsidP="007A7664">
            <w:pPr>
              <w:keepNext/>
              <w:suppressAutoHyphens/>
              <w:spacing w:before="0" w:after="0" w:line="276" w:lineRule="auto"/>
              <w:jc w:val="both"/>
              <w:rPr>
                <w:b/>
                <w:sz w:val="20"/>
                <w:lang w:val="en-GB"/>
              </w:rPr>
            </w:pPr>
            <w:r w:rsidRPr="002D265E">
              <w:rPr>
                <w:b/>
                <w:sz w:val="20"/>
                <w:lang w:val="en-GB"/>
              </w:rPr>
              <w:t>Statistical Office in Kraków</w:t>
            </w:r>
          </w:p>
          <w:p w14:paraId="0D5E3856" w14:textId="77777777" w:rsidR="004C5BC7" w:rsidRPr="002D265E" w:rsidRDefault="004C5BC7" w:rsidP="007A7664">
            <w:pPr>
              <w:keepNext/>
              <w:suppressAutoHyphens/>
              <w:spacing w:before="0" w:after="0" w:line="276" w:lineRule="auto"/>
              <w:jc w:val="both"/>
              <w:rPr>
                <w:rFonts w:cs="Arial"/>
                <w:b/>
                <w:sz w:val="20"/>
                <w:lang w:val="en-GB"/>
              </w:rPr>
            </w:pPr>
            <w:r w:rsidRPr="002D265E">
              <w:rPr>
                <w:rFonts w:cs="Arial"/>
                <w:b/>
                <w:sz w:val="20"/>
                <w:lang w:val="en-GB"/>
              </w:rPr>
              <w:t>Director Agnieszka Szlubowska</w:t>
            </w:r>
          </w:p>
          <w:p w14:paraId="72A3EDD1" w14:textId="31D4102B" w:rsidR="004C5BC7" w:rsidRPr="002D265E" w:rsidRDefault="004C5BC7" w:rsidP="007A7664">
            <w:pPr>
              <w:pStyle w:val="Nagwek3"/>
              <w:keepLines w:val="0"/>
              <w:suppressAutoHyphens/>
              <w:spacing w:before="0" w:after="120" w:line="240" w:lineRule="auto"/>
              <w:jc w:val="both"/>
              <w:rPr>
                <w:rFonts w:ascii="Fira Sans" w:hAnsi="Fira Sans" w:cs="Arial"/>
                <w:color w:val="auto"/>
                <w:sz w:val="20"/>
                <w:lang w:val="en-GB"/>
              </w:rPr>
            </w:pPr>
            <w:r w:rsidRPr="002D265E">
              <w:rPr>
                <w:rFonts w:ascii="Fira Sans" w:hAnsi="Fira Sans" w:cs="Arial"/>
                <w:color w:val="auto"/>
                <w:sz w:val="20"/>
                <w:lang w:val="en-GB"/>
              </w:rPr>
              <w:t xml:space="preserve">Office: tel. (+48 </w:t>
            </w:r>
            <w:r w:rsidR="00C50A4B">
              <w:rPr>
                <w:rFonts w:ascii="Fira Sans" w:hAnsi="Fira Sans" w:cs="Arial"/>
                <w:color w:val="auto"/>
                <w:sz w:val="20"/>
                <w:lang w:val="en-GB"/>
              </w:rPr>
              <w:t>1</w:t>
            </w:r>
            <w:r w:rsidRPr="002D265E">
              <w:rPr>
                <w:rFonts w:ascii="Fira Sans" w:hAnsi="Fira Sans" w:cs="Arial"/>
                <w:color w:val="auto"/>
                <w:sz w:val="20"/>
                <w:lang w:val="en-GB"/>
              </w:rPr>
              <w:t>2) 420 40 50</w:t>
            </w:r>
          </w:p>
          <w:p w14:paraId="49B50A6A" w14:textId="77777777" w:rsidR="004C5BC7" w:rsidRPr="002D265E" w:rsidRDefault="004C5BC7" w:rsidP="007A7664">
            <w:pPr>
              <w:pStyle w:val="Nagwek3"/>
              <w:keepLines w:val="0"/>
              <w:suppressAutoHyphens/>
              <w:spacing w:before="0" w:line="240" w:lineRule="auto"/>
              <w:rPr>
                <w:rFonts w:ascii="Fira Sans" w:hAnsi="Fira Sans"/>
                <w:color w:val="000000" w:themeColor="text1"/>
                <w:lang w:val="en-GB"/>
              </w:rPr>
            </w:pPr>
          </w:p>
        </w:tc>
        <w:tc>
          <w:tcPr>
            <w:tcW w:w="3820" w:type="dxa"/>
          </w:tcPr>
          <w:p w14:paraId="15E75C12" w14:textId="2FE7F4C8" w:rsidR="004C5BC7" w:rsidRPr="002D265E" w:rsidRDefault="004C5BC7" w:rsidP="007A7664">
            <w:pPr>
              <w:keepNext/>
              <w:suppressAutoHyphens/>
              <w:spacing w:before="0" w:after="0" w:line="276" w:lineRule="auto"/>
              <w:rPr>
                <w:rFonts w:cs="Arial"/>
                <w:b/>
                <w:color w:val="000000" w:themeColor="text1"/>
                <w:sz w:val="20"/>
                <w:lang w:val="en-GB"/>
              </w:rPr>
            </w:pPr>
            <w:r w:rsidRPr="002D265E">
              <w:rPr>
                <w:rFonts w:cs="Arial"/>
                <w:color w:val="000000" w:themeColor="text1"/>
                <w:sz w:val="20"/>
                <w:lang w:val="en-GB"/>
              </w:rPr>
              <w:t>Issued by:</w:t>
            </w:r>
            <w:r w:rsidRPr="002D265E">
              <w:rPr>
                <w:rFonts w:cs="Arial"/>
                <w:color w:val="000000" w:themeColor="text1"/>
                <w:sz w:val="20"/>
                <w:lang w:val="en-GB"/>
              </w:rPr>
              <w:br/>
            </w:r>
            <w:r w:rsidRPr="002D265E">
              <w:rPr>
                <w:rFonts w:cs="Arial"/>
                <w:b/>
                <w:color w:val="000000" w:themeColor="text1"/>
                <w:sz w:val="20"/>
                <w:lang w:val="en-GB"/>
              </w:rPr>
              <w:t xml:space="preserve">The </w:t>
            </w:r>
            <w:r w:rsidR="002D265E" w:rsidRPr="002D265E">
              <w:rPr>
                <w:rFonts w:cs="Arial"/>
                <w:b/>
                <w:color w:val="000000" w:themeColor="text1"/>
                <w:sz w:val="20"/>
                <w:lang w:val="en-GB"/>
              </w:rPr>
              <w:t>Spokesperson</w:t>
            </w:r>
            <w:r w:rsidRPr="002D265E">
              <w:rPr>
                <w:rFonts w:cs="Arial"/>
                <w:b/>
                <w:color w:val="000000" w:themeColor="text1"/>
                <w:sz w:val="20"/>
                <w:lang w:val="en-GB"/>
              </w:rPr>
              <w:t xml:space="preserve"> for the President </w:t>
            </w:r>
          </w:p>
          <w:p w14:paraId="67C3DCCD" w14:textId="77777777" w:rsidR="004C5BC7" w:rsidRPr="002D265E" w:rsidRDefault="004C5BC7" w:rsidP="007A7664">
            <w:pPr>
              <w:keepNext/>
              <w:suppressAutoHyphens/>
              <w:spacing w:before="0" w:after="0" w:line="276" w:lineRule="auto"/>
              <w:jc w:val="both"/>
              <w:rPr>
                <w:rFonts w:cs="Arial"/>
                <w:b/>
                <w:color w:val="000000" w:themeColor="text1"/>
                <w:sz w:val="20"/>
                <w:lang w:val="en-GB"/>
              </w:rPr>
            </w:pPr>
            <w:r w:rsidRPr="002D265E">
              <w:rPr>
                <w:rFonts w:cs="Arial"/>
                <w:b/>
                <w:color w:val="000000" w:themeColor="text1"/>
                <w:sz w:val="20"/>
                <w:lang w:val="en-GB"/>
              </w:rPr>
              <w:t>of Statistics Poland</w:t>
            </w:r>
          </w:p>
          <w:p w14:paraId="5FFAA280" w14:textId="77777777" w:rsidR="004C5BC7" w:rsidRPr="002D265E" w:rsidRDefault="004C5BC7" w:rsidP="007A7664">
            <w:pPr>
              <w:pStyle w:val="Nagwek3"/>
              <w:keepLines w:val="0"/>
              <w:suppressAutoHyphens/>
              <w:spacing w:before="0" w:after="120" w:line="240" w:lineRule="auto"/>
              <w:jc w:val="both"/>
              <w:rPr>
                <w:rFonts w:ascii="Fira Sans" w:hAnsi="Fira Sans" w:cs="Arial"/>
                <w:b/>
                <w:color w:val="000000" w:themeColor="text1"/>
                <w:sz w:val="20"/>
                <w:szCs w:val="28"/>
                <w:lang w:val="en-GB"/>
              </w:rPr>
            </w:pPr>
            <w:r w:rsidRPr="002D265E">
              <w:rPr>
                <w:rFonts w:ascii="Fira Sans" w:hAnsi="Fira Sans" w:cs="Arial"/>
                <w:b/>
                <w:color w:val="000000" w:themeColor="text1"/>
                <w:sz w:val="20"/>
                <w:szCs w:val="28"/>
                <w:lang w:val="en-GB"/>
              </w:rPr>
              <w:t>Karolina</w:t>
            </w:r>
            <w:r w:rsidRPr="002D265E">
              <w:rPr>
                <w:rFonts w:ascii="Fira Sans" w:hAnsi="Fira Sans" w:cs="Arial"/>
                <w:b/>
                <w:color w:val="00000A"/>
                <w:sz w:val="20"/>
                <w:szCs w:val="28"/>
                <w:lang w:val="en-GB"/>
              </w:rPr>
              <w:t xml:space="preserve"> Banaszek</w:t>
            </w:r>
          </w:p>
          <w:p w14:paraId="2D38F645" w14:textId="77777777" w:rsidR="004C5BC7" w:rsidRPr="002D265E" w:rsidRDefault="004C5BC7" w:rsidP="007A7664">
            <w:pPr>
              <w:pStyle w:val="Nagwek3"/>
              <w:keepLines w:val="0"/>
              <w:suppressAutoHyphens/>
              <w:spacing w:before="0" w:after="120" w:line="240" w:lineRule="auto"/>
              <w:jc w:val="both"/>
              <w:rPr>
                <w:rFonts w:ascii="Fira Sans" w:hAnsi="Fira Sans" w:cs="Arial"/>
                <w:color w:val="auto"/>
                <w:sz w:val="20"/>
                <w:lang w:val="en-GB"/>
              </w:rPr>
            </w:pPr>
            <w:r w:rsidRPr="002D265E">
              <w:rPr>
                <w:rFonts w:ascii="Fira Sans" w:hAnsi="Fira Sans" w:cs="Arial"/>
                <w:color w:val="auto"/>
                <w:sz w:val="20"/>
                <w:lang w:val="en-GB"/>
              </w:rPr>
              <w:t>Mobile: (+48) 695 255 011</w:t>
            </w:r>
          </w:p>
          <w:p w14:paraId="3300D73F" w14:textId="77777777" w:rsidR="004C5BC7" w:rsidRPr="002D265E" w:rsidRDefault="004C5BC7" w:rsidP="007A7664">
            <w:pPr>
              <w:pStyle w:val="Nagwek3"/>
              <w:keepLines w:val="0"/>
              <w:suppressAutoHyphens/>
              <w:spacing w:before="0" w:line="240" w:lineRule="auto"/>
              <w:rPr>
                <w:rFonts w:ascii="Fira Sans" w:hAnsi="Fira Sans" w:cs="Arial"/>
                <w:color w:val="000000" w:themeColor="text1"/>
                <w:sz w:val="20"/>
                <w:szCs w:val="20"/>
                <w:lang w:val="en-GB"/>
              </w:rPr>
            </w:pPr>
          </w:p>
        </w:tc>
      </w:tr>
    </w:tbl>
    <w:p w14:paraId="5479240D" w14:textId="77777777" w:rsidR="000470AA" w:rsidRPr="002D265E" w:rsidRDefault="000470AA" w:rsidP="007A7664">
      <w:pPr>
        <w:keepNext/>
        <w:suppressAutoHyphens/>
        <w:rPr>
          <w:sz w:val="20"/>
          <w:lang w:val="en-GB"/>
        </w:rPr>
      </w:pPr>
    </w:p>
    <w:p w14:paraId="4668F372" w14:textId="77777777" w:rsidR="000470AA" w:rsidRPr="002D265E" w:rsidRDefault="000470AA" w:rsidP="007A7664">
      <w:pPr>
        <w:keepNext/>
        <w:suppressAutoHyphens/>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4C5BC7" w:rsidRPr="009E5D50" w14:paraId="55C31D3B" w14:textId="77777777" w:rsidTr="00CB2F90">
        <w:trPr>
          <w:trHeight w:val="610"/>
        </w:trPr>
        <w:tc>
          <w:tcPr>
            <w:tcW w:w="2721" w:type="pct"/>
            <w:vMerge w:val="restart"/>
          </w:tcPr>
          <w:p w14:paraId="6E1FF4B6" w14:textId="77777777" w:rsidR="004C5BC7" w:rsidRPr="002D265E" w:rsidRDefault="004C5BC7" w:rsidP="007A7664">
            <w:pPr>
              <w:keepNext/>
              <w:suppressAutoHyphens/>
              <w:spacing w:after="0" w:line="240" w:lineRule="auto"/>
              <w:jc w:val="both"/>
              <w:rPr>
                <w:b/>
                <w:sz w:val="20"/>
                <w:lang w:val="en-GB"/>
              </w:rPr>
            </w:pPr>
            <w:r w:rsidRPr="002D265E">
              <w:rPr>
                <w:b/>
                <w:sz w:val="20"/>
                <w:lang w:val="en-GB"/>
              </w:rPr>
              <w:t>Press Office</w:t>
            </w:r>
          </w:p>
          <w:p w14:paraId="5AFBEF30" w14:textId="77777777" w:rsidR="004C5BC7" w:rsidRPr="002D265E" w:rsidRDefault="004C5BC7" w:rsidP="007A7664">
            <w:pPr>
              <w:keepNext/>
              <w:suppressAutoHyphens/>
              <w:spacing w:after="0" w:line="240" w:lineRule="auto"/>
              <w:jc w:val="both"/>
              <w:rPr>
                <w:color w:val="FF0000"/>
                <w:sz w:val="20"/>
                <w:lang w:val="en-GB"/>
              </w:rPr>
            </w:pPr>
            <w:r w:rsidRPr="002D265E">
              <w:rPr>
                <w:rFonts w:cs="Arial"/>
                <w:sz w:val="20"/>
                <w:szCs w:val="24"/>
                <w:lang w:val="en-GB"/>
              </w:rPr>
              <w:t xml:space="preserve">Office: tel. </w:t>
            </w:r>
            <w:r w:rsidRPr="002D265E">
              <w:rPr>
                <w:rFonts w:cs="Arial"/>
                <w:color w:val="000000" w:themeColor="text1"/>
                <w:sz w:val="20"/>
                <w:szCs w:val="24"/>
                <w:lang w:val="en-GB"/>
              </w:rPr>
              <w:t xml:space="preserve">(+48 22) </w:t>
            </w:r>
            <w:r w:rsidRPr="002D265E">
              <w:rPr>
                <w:color w:val="000000" w:themeColor="text1"/>
                <w:sz w:val="20"/>
                <w:lang w:val="en-GB"/>
              </w:rPr>
              <w:t xml:space="preserve">608 34 91, 608 38 04 </w:t>
            </w:r>
          </w:p>
          <w:p w14:paraId="3B791183" w14:textId="0E13F50F" w:rsidR="004C5BC7" w:rsidRPr="002D265E" w:rsidRDefault="004C5BC7" w:rsidP="007A7664">
            <w:pPr>
              <w:keepNext/>
              <w:suppressAutoHyphens/>
              <w:rPr>
                <w:sz w:val="18"/>
                <w:lang w:val="en-GB"/>
              </w:rPr>
            </w:pPr>
            <w:r w:rsidRPr="002D265E">
              <w:rPr>
                <w:b/>
                <w:sz w:val="20"/>
                <w:lang w:val="en-GB"/>
              </w:rPr>
              <w:t>e-mail:</w:t>
            </w:r>
            <w:r w:rsidRPr="002D265E">
              <w:rPr>
                <w:sz w:val="20"/>
                <w:lang w:val="en-GB"/>
              </w:rPr>
              <w:t xml:space="preserve"> </w:t>
            </w:r>
            <w:hyperlink r:id="rId20">
              <w:r w:rsidRPr="002D265E">
                <w:rPr>
                  <w:rStyle w:val="czeinternetowe"/>
                  <w:rFonts w:cstheme="minorBidi"/>
                  <w:b/>
                  <w:color w:val="00000A"/>
                  <w:sz w:val="20"/>
                  <w:lang w:val="en-GB"/>
                </w:rPr>
                <w:t>obslugaprasowa@stat.gov.pl</w:t>
              </w:r>
            </w:hyperlink>
          </w:p>
        </w:tc>
        <w:tc>
          <w:tcPr>
            <w:tcW w:w="369" w:type="pct"/>
            <w:vAlign w:val="center"/>
          </w:tcPr>
          <w:p w14:paraId="2EA19540" w14:textId="3C1F3C62" w:rsidR="004C5BC7" w:rsidRPr="002D265E" w:rsidRDefault="004C5BC7" w:rsidP="007A7664">
            <w:pPr>
              <w:keepNext/>
              <w:suppressAutoHyphens/>
              <w:rPr>
                <w:sz w:val="18"/>
                <w:lang w:val="en-GB"/>
              </w:rPr>
            </w:pPr>
            <w:r w:rsidRPr="002D265E">
              <w:rPr>
                <w:noProof/>
                <w:sz w:val="18"/>
                <w:lang w:eastAsia="pl-PL"/>
              </w:rPr>
              <w:drawing>
                <wp:anchor distT="0" distB="0" distL="114300" distR="114300" simplePos="0" relativeHeight="251780096" behindDoc="0" locked="0" layoutInCell="1" allowOverlap="1" wp14:anchorId="155C48A1" wp14:editId="105B17D7">
                  <wp:simplePos x="0" y="0"/>
                  <wp:positionH relativeFrom="column">
                    <wp:posOffset>78740</wp:posOffset>
                  </wp:positionH>
                  <wp:positionV relativeFrom="paragraph">
                    <wp:posOffset>21590</wp:posOffset>
                  </wp:positionV>
                  <wp:extent cx="256540" cy="251460"/>
                  <wp:effectExtent l="0" t="0" r="0" b="0"/>
                  <wp:wrapNone/>
                  <wp:docPr id="37"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1"/>
                          <pic:cNvPicPr>
                            <a:picLocks noChangeAspect="1" noChangeArrowheads="1"/>
                          </pic:cNvPicPr>
                        </pic:nvPicPr>
                        <pic:blipFill>
                          <a:blip r:embed="rId21"/>
                          <a:stretch>
                            <a:fillRect/>
                          </a:stretch>
                        </pic:blipFill>
                        <pic:spPr bwMode="auto">
                          <a:xfrm>
                            <a:off x="0" y="0"/>
                            <a:ext cx="256540" cy="251460"/>
                          </a:xfrm>
                          <a:prstGeom prst="rect">
                            <a:avLst/>
                          </a:prstGeom>
                        </pic:spPr>
                      </pic:pic>
                    </a:graphicData>
                  </a:graphic>
                </wp:anchor>
              </w:drawing>
            </w:r>
          </w:p>
        </w:tc>
        <w:tc>
          <w:tcPr>
            <w:tcW w:w="1910" w:type="pct"/>
            <w:vAlign w:val="center"/>
          </w:tcPr>
          <w:p w14:paraId="07E776BE" w14:textId="67E49C22" w:rsidR="004C5BC7" w:rsidRPr="002D265E" w:rsidRDefault="004C5BC7" w:rsidP="007A7664">
            <w:pPr>
              <w:keepNext/>
              <w:suppressAutoHyphens/>
              <w:rPr>
                <w:sz w:val="18"/>
                <w:lang w:val="en-GB"/>
              </w:rPr>
            </w:pPr>
            <w:r w:rsidRPr="002D265E">
              <w:rPr>
                <w:sz w:val="20"/>
                <w:lang w:val="en-GB"/>
              </w:rPr>
              <w:t>www.stat.gov.pl/en/</w:t>
            </w:r>
          </w:p>
        </w:tc>
      </w:tr>
      <w:tr w:rsidR="004C5BC7" w:rsidRPr="002D265E" w14:paraId="26DBB373" w14:textId="77777777" w:rsidTr="00725BCA">
        <w:trPr>
          <w:trHeight w:val="436"/>
        </w:trPr>
        <w:tc>
          <w:tcPr>
            <w:tcW w:w="2721" w:type="pct"/>
            <w:vMerge/>
          </w:tcPr>
          <w:p w14:paraId="394541D7" w14:textId="77777777" w:rsidR="004C5BC7" w:rsidRPr="002D265E" w:rsidRDefault="004C5BC7" w:rsidP="007A7664">
            <w:pPr>
              <w:keepNext/>
              <w:suppressAutoHyphens/>
              <w:rPr>
                <w:sz w:val="18"/>
                <w:lang w:val="en-GB"/>
              </w:rPr>
            </w:pPr>
          </w:p>
        </w:tc>
        <w:tc>
          <w:tcPr>
            <w:tcW w:w="369" w:type="pct"/>
            <w:vAlign w:val="center"/>
          </w:tcPr>
          <w:p w14:paraId="30FBB40A" w14:textId="5A15599E" w:rsidR="004C5BC7" w:rsidRPr="002D265E" w:rsidRDefault="004C5BC7" w:rsidP="007A7664">
            <w:pPr>
              <w:keepNext/>
              <w:suppressAutoHyphens/>
              <w:rPr>
                <w:sz w:val="18"/>
                <w:lang w:val="en-GB"/>
              </w:rPr>
            </w:pPr>
            <w:r w:rsidRPr="002D265E">
              <w:rPr>
                <w:noProof/>
                <w:sz w:val="18"/>
                <w:lang w:eastAsia="pl-PL"/>
              </w:rPr>
              <w:drawing>
                <wp:anchor distT="0" distB="0" distL="114300" distR="114300" simplePos="0" relativeHeight="251781120" behindDoc="0" locked="0" layoutInCell="1" allowOverlap="1" wp14:anchorId="001BD5DF" wp14:editId="46E88CD3">
                  <wp:simplePos x="0" y="0"/>
                  <wp:positionH relativeFrom="column">
                    <wp:posOffset>81280</wp:posOffset>
                  </wp:positionH>
                  <wp:positionV relativeFrom="paragraph">
                    <wp:posOffset>18415</wp:posOffset>
                  </wp:positionV>
                  <wp:extent cx="256540" cy="251460"/>
                  <wp:effectExtent l="0" t="0" r="0" b="0"/>
                  <wp:wrapNone/>
                  <wp:docPr id="21"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2"/>
                          <pic:cNvPicPr>
                            <a:picLocks noChangeAspect="1" noChangeArrowheads="1"/>
                          </pic:cNvPicPr>
                        </pic:nvPicPr>
                        <pic:blipFill>
                          <a:blip r:embed="rId22"/>
                          <a:stretch>
                            <a:fillRect/>
                          </a:stretch>
                        </pic:blipFill>
                        <pic:spPr bwMode="auto">
                          <a:xfrm>
                            <a:off x="0" y="0"/>
                            <a:ext cx="256540" cy="251460"/>
                          </a:xfrm>
                          <a:prstGeom prst="rect">
                            <a:avLst/>
                          </a:prstGeom>
                        </pic:spPr>
                      </pic:pic>
                    </a:graphicData>
                  </a:graphic>
                </wp:anchor>
              </w:drawing>
            </w:r>
          </w:p>
        </w:tc>
        <w:tc>
          <w:tcPr>
            <w:tcW w:w="1910" w:type="pct"/>
          </w:tcPr>
          <w:p w14:paraId="4336C2CB" w14:textId="64B89DF1" w:rsidR="004C5BC7" w:rsidRPr="002D265E" w:rsidRDefault="004C5BC7" w:rsidP="007A7664">
            <w:pPr>
              <w:keepNext/>
              <w:suppressAutoHyphens/>
              <w:rPr>
                <w:sz w:val="18"/>
                <w:lang w:val="en-GB"/>
              </w:rPr>
            </w:pPr>
            <w:r w:rsidRPr="002D265E">
              <w:rPr>
                <w:sz w:val="20"/>
                <w:lang w:val="en-GB"/>
              </w:rPr>
              <w:t>@StatPoland</w:t>
            </w:r>
          </w:p>
        </w:tc>
      </w:tr>
      <w:tr w:rsidR="004C5BC7" w:rsidRPr="002D265E" w14:paraId="5FC8C861" w14:textId="77777777" w:rsidTr="00725BCA">
        <w:trPr>
          <w:trHeight w:val="436"/>
        </w:trPr>
        <w:tc>
          <w:tcPr>
            <w:tcW w:w="2721" w:type="pct"/>
            <w:vMerge/>
          </w:tcPr>
          <w:p w14:paraId="5580041D" w14:textId="77777777" w:rsidR="004C5BC7" w:rsidRPr="002D265E" w:rsidRDefault="004C5BC7" w:rsidP="007A7664">
            <w:pPr>
              <w:keepNext/>
              <w:suppressAutoHyphens/>
              <w:rPr>
                <w:sz w:val="18"/>
                <w:lang w:val="en-GB"/>
              </w:rPr>
            </w:pPr>
          </w:p>
        </w:tc>
        <w:tc>
          <w:tcPr>
            <w:tcW w:w="369" w:type="pct"/>
            <w:vAlign w:val="center"/>
          </w:tcPr>
          <w:p w14:paraId="2B2AB55D" w14:textId="4634D970" w:rsidR="004C5BC7" w:rsidRPr="002D265E" w:rsidRDefault="004C5BC7" w:rsidP="007A7664">
            <w:pPr>
              <w:keepNext/>
              <w:suppressAutoHyphens/>
              <w:rPr>
                <w:sz w:val="18"/>
                <w:lang w:val="en-GB"/>
              </w:rPr>
            </w:pPr>
            <w:r w:rsidRPr="002D265E">
              <w:rPr>
                <w:noProof/>
                <w:sz w:val="18"/>
                <w:lang w:eastAsia="pl-PL"/>
              </w:rPr>
              <w:drawing>
                <wp:anchor distT="0" distB="0" distL="114300" distR="114300" simplePos="0" relativeHeight="251782144" behindDoc="0" locked="0" layoutInCell="1" allowOverlap="1" wp14:anchorId="74867401" wp14:editId="651D2DCB">
                  <wp:simplePos x="0" y="0"/>
                  <wp:positionH relativeFrom="column">
                    <wp:posOffset>78740</wp:posOffset>
                  </wp:positionH>
                  <wp:positionV relativeFrom="paragraph">
                    <wp:posOffset>15240</wp:posOffset>
                  </wp:positionV>
                  <wp:extent cx="256540" cy="251460"/>
                  <wp:effectExtent l="0" t="0" r="0" b="0"/>
                  <wp:wrapNone/>
                  <wp:docPr id="22"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3"/>
                          <pic:cNvPicPr>
                            <a:picLocks noChangeAspect="1" noChangeArrowheads="1"/>
                          </pic:cNvPicPr>
                        </pic:nvPicPr>
                        <pic:blipFill>
                          <a:blip r:embed="rId23"/>
                          <a:stretch>
                            <a:fillRect/>
                          </a:stretch>
                        </pic:blipFill>
                        <pic:spPr bwMode="auto">
                          <a:xfrm>
                            <a:off x="0" y="0"/>
                            <a:ext cx="256540" cy="251460"/>
                          </a:xfrm>
                          <a:prstGeom prst="rect">
                            <a:avLst/>
                          </a:prstGeom>
                        </pic:spPr>
                      </pic:pic>
                    </a:graphicData>
                  </a:graphic>
                </wp:anchor>
              </w:drawing>
            </w:r>
          </w:p>
        </w:tc>
        <w:tc>
          <w:tcPr>
            <w:tcW w:w="1910" w:type="pct"/>
          </w:tcPr>
          <w:p w14:paraId="207C68AF" w14:textId="67742F93" w:rsidR="004C5BC7" w:rsidRPr="002D265E" w:rsidRDefault="004C5BC7" w:rsidP="007A7664">
            <w:pPr>
              <w:keepNext/>
              <w:suppressAutoHyphens/>
              <w:rPr>
                <w:sz w:val="20"/>
                <w:lang w:val="en-GB"/>
              </w:rPr>
            </w:pPr>
            <w:r w:rsidRPr="002D265E">
              <w:rPr>
                <w:sz w:val="20"/>
                <w:lang w:val="en-GB"/>
              </w:rPr>
              <w:t>@GlownyUrzadStatystyczny</w:t>
            </w:r>
          </w:p>
        </w:tc>
      </w:tr>
    </w:tbl>
    <w:p w14:paraId="34BC2408" w14:textId="733DEADE" w:rsidR="00D261A2" w:rsidRPr="002D265E" w:rsidRDefault="00EF0255" w:rsidP="007A7664">
      <w:pPr>
        <w:keepNext/>
        <w:suppressAutoHyphens/>
        <w:rPr>
          <w:sz w:val="18"/>
          <w:lang w:val="en-GB"/>
        </w:rPr>
      </w:pPr>
      <w:r w:rsidRPr="002D265E">
        <w:rPr>
          <w:noProof/>
          <w:sz w:val="18"/>
          <w:lang w:eastAsia="pl-PL"/>
        </w:rPr>
        <mc:AlternateContent>
          <mc:Choice Requires="wps">
            <w:drawing>
              <wp:anchor distT="45720" distB="45720" distL="114300" distR="114300" simplePos="0" relativeHeight="251691008" behindDoc="0" locked="0" layoutInCell="1" allowOverlap="1" wp14:anchorId="79034D38" wp14:editId="1D5BD6F9">
                <wp:simplePos x="0" y="0"/>
                <wp:positionH relativeFrom="margin">
                  <wp:posOffset>19685</wp:posOffset>
                </wp:positionH>
                <wp:positionV relativeFrom="paragraph">
                  <wp:posOffset>423545</wp:posOffset>
                </wp:positionV>
                <wp:extent cx="6559550" cy="4309110"/>
                <wp:effectExtent l="0" t="0" r="12700" b="1524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309110"/>
                        </a:xfrm>
                        <a:prstGeom prst="rect">
                          <a:avLst/>
                        </a:prstGeom>
                        <a:solidFill>
                          <a:schemeClr val="bg1">
                            <a:lumMod val="95000"/>
                          </a:schemeClr>
                        </a:solidFill>
                        <a:ln w="9525">
                          <a:solidFill>
                            <a:schemeClr val="bg1"/>
                          </a:solidFill>
                          <a:miter lim="800000"/>
                          <a:headEnd/>
                          <a:tailEnd/>
                        </a:ln>
                      </wps:spPr>
                      <wps:txbx>
                        <w:txbxContent>
                          <w:p w14:paraId="313C7A92" w14:textId="77777777" w:rsidR="00725BCA" w:rsidRDefault="00725BCA" w:rsidP="00AB6D25">
                            <w:pPr>
                              <w:rPr>
                                <w:b/>
                              </w:rPr>
                            </w:pPr>
                          </w:p>
                          <w:p w14:paraId="78370E4C" w14:textId="724BE2FA" w:rsidR="00725BCA" w:rsidRPr="003367AE" w:rsidRDefault="00303016" w:rsidP="00AB6D25">
                            <w:pPr>
                              <w:rPr>
                                <w:b/>
                                <w:lang w:val="en-GB"/>
                              </w:rPr>
                            </w:pPr>
                            <w:r w:rsidRPr="003367AE">
                              <w:rPr>
                                <w:b/>
                                <w:lang w:val="en-GB"/>
                              </w:rPr>
                              <w:t>Related information</w:t>
                            </w:r>
                          </w:p>
                          <w:p w14:paraId="732C82F3" w14:textId="4476382B" w:rsidR="00DC2AB2" w:rsidRPr="00180661" w:rsidRDefault="00CF475E" w:rsidP="00DC2AB2">
                            <w:pPr>
                              <w:rPr>
                                <w:rFonts w:cs="Arial"/>
                                <w:color w:val="001D77"/>
                                <w:sz w:val="18"/>
                                <w:szCs w:val="30"/>
                                <w:shd w:val="clear" w:color="auto" w:fill="F0F0F0"/>
                                <w:lang w:val="en-US"/>
                              </w:rPr>
                            </w:pPr>
                            <w:hyperlink r:id="rId24" w:history="1">
                              <w:r w:rsidR="00DC2AB2" w:rsidRPr="00180661">
                                <w:rPr>
                                  <w:rStyle w:val="Hipercze"/>
                                  <w:rFonts w:cs="Arial"/>
                                  <w:color w:val="001D77"/>
                                  <w:sz w:val="18"/>
                                  <w:szCs w:val="30"/>
                                  <w:shd w:val="clear" w:color="auto" w:fill="F0F0F0"/>
                                  <w:lang w:val="en-US"/>
                                </w:rPr>
                                <w:t>Cultural and creative industries in 2014-2016</w:t>
                              </w:r>
                            </w:hyperlink>
                          </w:p>
                          <w:p w14:paraId="0DA8A289" w14:textId="1D1517C9" w:rsidR="00DC2AB2" w:rsidRPr="00180661" w:rsidRDefault="00CF475E" w:rsidP="00DC2AB2">
                            <w:pPr>
                              <w:rPr>
                                <w:color w:val="001D77"/>
                                <w:lang w:val="en-US"/>
                              </w:rPr>
                            </w:pPr>
                            <w:hyperlink r:id="rId25" w:history="1">
                              <w:r w:rsidR="00DC2AB2" w:rsidRPr="00180661">
                                <w:rPr>
                                  <w:rStyle w:val="Hipercze"/>
                                  <w:rFonts w:cs="Arial"/>
                                  <w:color w:val="001D77"/>
                                  <w:sz w:val="18"/>
                                  <w:szCs w:val="30"/>
                                  <w:shd w:val="clear" w:color="auto" w:fill="F0F0F0"/>
                                  <w:lang w:val="en-US"/>
                                </w:rPr>
                                <w:t>Cultural and creative industries in 2018</w:t>
                              </w:r>
                            </w:hyperlink>
                          </w:p>
                          <w:p w14:paraId="197017CC" w14:textId="4BC3766B" w:rsidR="00725BCA" w:rsidRPr="00180661" w:rsidRDefault="00303016" w:rsidP="00621EDE">
                            <w:pPr>
                              <w:rPr>
                                <w:rStyle w:val="Hipercze"/>
                                <w:rFonts w:cs="Arial"/>
                                <w:color w:val="001D77"/>
                                <w:sz w:val="18"/>
                                <w:szCs w:val="30"/>
                                <w:shd w:val="clear" w:color="auto" w:fill="F0F0F0"/>
                                <w:lang w:val="en-US"/>
                              </w:rPr>
                            </w:pPr>
                            <w:r w:rsidRPr="00180661">
                              <w:rPr>
                                <w:rFonts w:cs="Arial"/>
                                <w:color w:val="001D77"/>
                                <w:sz w:val="18"/>
                                <w:szCs w:val="30"/>
                                <w:shd w:val="clear" w:color="auto" w:fill="F0F0F0"/>
                              </w:rPr>
                              <w:fldChar w:fldCharType="begin"/>
                            </w:r>
                            <w:r w:rsidRPr="00180661">
                              <w:rPr>
                                <w:rFonts w:cs="Arial"/>
                                <w:color w:val="001D77"/>
                                <w:sz w:val="18"/>
                                <w:szCs w:val="30"/>
                                <w:shd w:val="clear" w:color="auto" w:fill="F0F0F0"/>
                                <w:lang w:val="en-US"/>
                              </w:rPr>
                              <w:instrText xml:space="preserve"> HYPERLINK "https://stat.gov.pl/en/topics/culture-tourism-sport/culture/culture-in-2019,1,12.html" </w:instrText>
                            </w:r>
                            <w:r w:rsidRPr="00180661">
                              <w:rPr>
                                <w:rFonts w:cs="Arial"/>
                                <w:color w:val="001D77"/>
                                <w:sz w:val="18"/>
                                <w:szCs w:val="30"/>
                                <w:shd w:val="clear" w:color="auto" w:fill="F0F0F0"/>
                              </w:rPr>
                              <w:fldChar w:fldCharType="separate"/>
                            </w:r>
                            <w:r w:rsidRPr="00180661">
                              <w:rPr>
                                <w:rStyle w:val="Hipercze"/>
                                <w:rFonts w:cs="Arial"/>
                                <w:color w:val="001D77"/>
                                <w:sz w:val="18"/>
                                <w:szCs w:val="30"/>
                                <w:shd w:val="clear" w:color="auto" w:fill="F0F0F0"/>
                                <w:lang w:val="en-US"/>
                              </w:rPr>
                              <w:t xml:space="preserve">Culture in </w:t>
                            </w:r>
                            <w:r w:rsidR="00725BCA" w:rsidRPr="00180661">
                              <w:rPr>
                                <w:rStyle w:val="Hipercze"/>
                                <w:rFonts w:cs="Arial"/>
                                <w:color w:val="001D77"/>
                                <w:sz w:val="18"/>
                                <w:szCs w:val="30"/>
                                <w:shd w:val="clear" w:color="auto" w:fill="F0F0F0"/>
                                <w:lang w:val="en-US"/>
                              </w:rPr>
                              <w:t>2019 r.</w:t>
                            </w:r>
                          </w:p>
                          <w:p w14:paraId="7C4D9F28" w14:textId="1E836071" w:rsidR="00725BCA" w:rsidRPr="00303016" w:rsidRDefault="00303016" w:rsidP="00AB6D25">
                            <w:pPr>
                              <w:rPr>
                                <w:b/>
                                <w:color w:val="000000" w:themeColor="text1"/>
                                <w:szCs w:val="24"/>
                                <w:lang w:val="en-US"/>
                              </w:rPr>
                            </w:pPr>
                            <w:r w:rsidRPr="00180661">
                              <w:rPr>
                                <w:rFonts w:cs="Arial"/>
                                <w:color w:val="001D77"/>
                                <w:sz w:val="18"/>
                                <w:szCs w:val="30"/>
                                <w:shd w:val="clear" w:color="auto" w:fill="F0F0F0"/>
                              </w:rPr>
                              <w:fldChar w:fldCharType="end"/>
                            </w:r>
                          </w:p>
                          <w:p w14:paraId="48DFCE9F" w14:textId="3A0E9E5A" w:rsidR="00725BCA" w:rsidRPr="00303016" w:rsidRDefault="00303016" w:rsidP="00AB6D25">
                            <w:pPr>
                              <w:rPr>
                                <w:b/>
                                <w:color w:val="000000" w:themeColor="text1"/>
                                <w:szCs w:val="24"/>
                                <w:lang w:val="en-US"/>
                              </w:rPr>
                            </w:pPr>
                            <w:r w:rsidRPr="00303016">
                              <w:rPr>
                                <w:b/>
                                <w:color w:val="000000" w:themeColor="text1"/>
                                <w:szCs w:val="24"/>
                                <w:lang w:val="en-US"/>
                              </w:rPr>
                              <w:t>Terms u</w:t>
                            </w:r>
                            <w:r>
                              <w:rPr>
                                <w:b/>
                                <w:color w:val="000000" w:themeColor="text1"/>
                                <w:szCs w:val="24"/>
                                <w:lang w:val="en-US"/>
                              </w:rPr>
                              <w:t>sed in official statistics</w:t>
                            </w:r>
                          </w:p>
                          <w:p w14:paraId="170CF51E" w14:textId="77777777" w:rsidR="00725BCA" w:rsidRPr="00180661" w:rsidRDefault="00CF475E" w:rsidP="004C5BC7">
                            <w:pPr>
                              <w:pStyle w:val="Zawartoramki"/>
                              <w:rPr>
                                <w:color w:val="001D77"/>
                                <w:lang w:val="en-GB"/>
                              </w:rPr>
                            </w:pPr>
                            <w:hyperlink r:id="rId26">
                              <w:r w:rsidR="00725BCA" w:rsidRPr="00180661">
                                <w:rPr>
                                  <w:rStyle w:val="czeinternetowe"/>
                                  <w:rFonts w:cs="Arial"/>
                                  <w:color w:val="001D77"/>
                                  <w:sz w:val="18"/>
                                  <w:szCs w:val="30"/>
                                  <w:lang w:val="en-GB"/>
                                </w:rPr>
                                <w:t>Exports of goods and services</w:t>
                              </w:r>
                            </w:hyperlink>
                          </w:p>
                          <w:p w14:paraId="6724425C" w14:textId="77777777" w:rsidR="00725BCA" w:rsidRPr="00180661" w:rsidRDefault="00CF475E" w:rsidP="004C5BC7">
                            <w:pPr>
                              <w:pStyle w:val="Zawartoramki"/>
                              <w:rPr>
                                <w:color w:val="001D77"/>
                                <w:lang w:val="en-GB"/>
                              </w:rPr>
                            </w:pPr>
                            <w:hyperlink r:id="rId27">
                              <w:r w:rsidR="00725BCA" w:rsidRPr="00180661">
                                <w:rPr>
                                  <w:rStyle w:val="czeinternetowe"/>
                                  <w:rFonts w:cs="Arial"/>
                                  <w:color w:val="001D77"/>
                                  <w:sz w:val="18"/>
                                  <w:szCs w:val="30"/>
                                  <w:lang w:val="en-GB"/>
                                </w:rPr>
                                <w:t>Imports of goods and services</w:t>
                              </w:r>
                            </w:hyperlink>
                          </w:p>
                          <w:p w14:paraId="7512A1AE" w14:textId="77777777" w:rsidR="00725BCA" w:rsidRPr="00180661" w:rsidRDefault="00CF475E" w:rsidP="004C5BC7">
                            <w:pPr>
                              <w:pStyle w:val="Zawartoramki"/>
                              <w:rPr>
                                <w:color w:val="001D77"/>
                                <w:lang w:val="en-GB"/>
                              </w:rPr>
                            </w:pPr>
                            <w:hyperlink r:id="rId28">
                              <w:r w:rsidR="00725BCA" w:rsidRPr="00180661">
                                <w:rPr>
                                  <w:rStyle w:val="czeinternetowe"/>
                                  <w:rFonts w:cs="Arial"/>
                                  <w:color w:val="001D77"/>
                                  <w:sz w:val="18"/>
                                  <w:szCs w:val="30"/>
                                  <w:lang w:val="en-GB"/>
                                </w:rPr>
                                <w:t>Total costs</w:t>
                              </w:r>
                            </w:hyperlink>
                          </w:p>
                          <w:p w14:paraId="66D17D61" w14:textId="77777777" w:rsidR="00725BCA" w:rsidRPr="00180661" w:rsidRDefault="00CF475E" w:rsidP="004C5BC7">
                            <w:pPr>
                              <w:pStyle w:val="Zawartoramki"/>
                              <w:rPr>
                                <w:color w:val="001D77"/>
                                <w:lang w:val="en-GB"/>
                              </w:rPr>
                            </w:pPr>
                            <w:hyperlink r:id="rId29">
                              <w:r w:rsidR="00725BCA" w:rsidRPr="00180661">
                                <w:rPr>
                                  <w:rStyle w:val="czeinternetowe"/>
                                  <w:rFonts w:cs="Arial"/>
                                  <w:color w:val="001D77"/>
                                  <w:sz w:val="18"/>
                                  <w:szCs w:val="30"/>
                                  <w:lang w:val="en-GB"/>
                                </w:rPr>
                                <w:t>Average monthly gross wages and salaries</w:t>
                              </w:r>
                            </w:hyperlink>
                          </w:p>
                          <w:p w14:paraId="0DC3E51B" w14:textId="77777777" w:rsidR="00725BCA" w:rsidRPr="00180661" w:rsidRDefault="00CF475E" w:rsidP="004C5BC7">
                            <w:pPr>
                              <w:pStyle w:val="Zawartoramki"/>
                              <w:rPr>
                                <w:color w:val="001D77"/>
                                <w:lang w:val="en-GB"/>
                              </w:rPr>
                            </w:pPr>
                            <w:hyperlink r:id="rId30">
                              <w:r w:rsidR="00725BCA" w:rsidRPr="00180661">
                                <w:rPr>
                                  <w:rStyle w:val="czeinternetowe"/>
                                  <w:rFonts w:cs="Arial"/>
                                  <w:color w:val="001D77"/>
                                  <w:sz w:val="18"/>
                                  <w:szCs w:val="30"/>
                                  <w:lang w:val="en-GB"/>
                                </w:rPr>
                                <w:t>Average paid employment</w:t>
                              </w:r>
                            </w:hyperlink>
                          </w:p>
                          <w:p w14:paraId="2F3901BE" w14:textId="77777777" w:rsidR="00725BCA" w:rsidRPr="00180661" w:rsidRDefault="00CF475E" w:rsidP="004C5BC7">
                            <w:pPr>
                              <w:pStyle w:val="Zawartoramki"/>
                              <w:rPr>
                                <w:color w:val="001D77"/>
                                <w:lang w:val="en-GB"/>
                              </w:rPr>
                            </w:pPr>
                            <w:hyperlink r:id="rId31">
                              <w:r w:rsidR="00725BCA" w:rsidRPr="00180661">
                                <w:rPr>
                                  <w:rStyle w:val="czeinternetowe"/>
                                  <w:rFonts w:cs="Arial"/>
                                  <w:color w:val="001D77"/>
                                  <w:sz w:val="18"/>
                                  <w:szCs w:val="30"/>
                                  <w:lang w:val="en-GB"/>
                                </w:rPr>
                                <w:t>Total revenues</w:t>
                              </w:r>
                            </w:hyperlink>
                          </w:p>
                          <w:p w14:paraId="3904B40F" w14:textId="77777777" w:rsidR="00725BCA" w:rsidRPr="00180661" w:rsidRDefault="00CF475E" w:rsidP="004C5BC7">
                            <w:pPr>
                              <w:pStyle w:val="Zawartoramki"/>
                              <w:rPr>
                                <w:color w:val="001D77"/>
                                <w:lang w:val="en-GB"/>
                              </w:rPr>
                            </w:pPr>
                            <w:hyperlink r:id="rId32">
                              <w:r w:rsidR="00725BCA" w:rsidRPr="00180661">
                                <w:rPr>
                                  <w:rStyle w:val="czeinternetowe"/>
                                  <w:rFonts w:cs="Arial"/>
                                  <w:color w:val="001D77"/>
                                  <w:sz w:val="18"/>
                                  <w:szCs w:val="30"/>
                                  <w:lang w:val="en-GB"/>
                                </w:rPr>
                                <w:t>Balance foreign trade commodity turnover</w:t>
                              </w:r>
                            </w:hyperlink>
                          </w:p>
                          <w:p w14:paraId="047C7BB8" w14:textId="77777777" w:rsidR="00725BCA" w:rsidRPr="00180661" w:rsidRDefault="00CF475E" w:rsidP="004C5BC7">
                            <w:pPr>
                              <w:pStyle w:val="Zawartoramki"/>
                              <w:rPr>
                                <w:color w:val="001D77"/>
                                <w:lang w:val="en-GB"/>
                              </w:rPr>
                            </w:pPr>
                            <w:hyperlink r:id="rId33">
                              <w:r w:rsidR="00725BCA" w:rsidRPr="00180661">
                                <w:rPr>
                                  <w:rStyle w:val="czeinternetowe"/>
                                  <w:rFonts w:cs="Arial"/>
                                  <w:color w:val="001D77"/>
                                  <w:sz w:val="18"/>
                                  <w:szCs w:val="30"/>
                                  <w:lang w:val="en-GB"/>
                                </w:rPr>
                                <w:t>Balance of services</w:t>
                              </w:r>
                            </w:hyperlink>
                          </w:p>
                          <w:p w14:paraId="36A2F445" w14:textId="77777777" w:rsidR="00725BCA" w:rsidRPr="00180661" w:rsidRDefault="00CF475E" w:rsidP="004C5BC7">
                            <w:pPr>
                              <w:pStyle w:val="Zawartoramki"/>
                              <w:rPr>
                                <w:color w:val="001D77"/>
                                <w:lang w:val="en-GB"/>
                              </w:rPr>
                            </w:pPr>
                            <w:hyperlink r:id="rId34">
                              <w:r w:rsidR="00725BCA" w:rsidRPr="00180661">
                                <w:rPr>
                                  <w:rStyle w:val="czeinternetowe"/>
                                  <w:rFonts w:cs="Arial"/>
                                  <w:color w:val="001D77"/>
                                  <w:sz w:val="18"/>
                                  <w:szCs w:val="30"/>
                                  <w:lang w:val="en-GB"/>
                                </w:rPr>
                                <w:t>Cost level indicator</w:t>
                              </w:r>
                            </w:hyperlink>
                          </w:p>
                          <w:p w14:paraId="2481DE46" w14:textId="77777777" w:rsidR="00725BCA" w:rsidRPr="00180661" w:rsidRDefault="00CF475E" w:rsidP="004C5BC7">
                            <w:pPr>
                              <w:pStyle w:val="Zawartoramki"/>
                              <w:rPr>
                                <w:color w:val="001D77"/>
                              </w:rPr>
                            </w:pPr>
                            <w:hyperlink r:id="rId35">
                              <w:r w:rsidR="00725BCA" w:rsidRPr="00180661">
                                <w:rPr>
                                  <w:rStyle w:val="czeinternetowe"/>
                                  <w:rFonts w:cs="Arial"/>
                                  <w:color w:val="001D77"/>
                                  <w:sz w:val="18"/>
                                  <w:szCs w:val="30"/>
                                </w:rPr>
                                <w:t xml:space="preserve">Gross </w:t>
                              </w:r>
                              <w:proofErr w:type="spellStart"/>
                              <w:r w:rsidR="00725BCA" w:rsidRPr="00180661">
                                <w:rPr>
                                  <w:rStyle w:val="czeinternetowe"/>
                                  <w:rFonts w:cs="Arial"/>
                                  <w:color w:val="001D77"/>
                                  <w:sz w:val="18"/>
                                  <w:szCs w:val="30"/>
                                </w:rPr>
                                <w:t>earnings</w:t>
                              </w:r>
                              <w:proofErr w:type="spellEnd"/>
                            </w:hyperlink>
                          </w:p>
                          <w:p w14:paraId="4FE00319" w14:textId="77777777" w:rsidR="00725BCA" w:rsidRPr="00505A92" w:rsidRDefault="00725BCA" w:rsidP="004C5BC7">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34D38" id="_x0000_s1037" type="#_x0000_t202" style="position:absolute;margin-left:1.55pt;margin-top:33.35pt;width:516.5pt;height:339.3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" fillcolor="#f2f2f2 [3052]" strokecolor="white [3212]">
                <v:textbox>
                  <w:txbxContent>
                    <w:p w14:paraId="313C7A92" w14:textId="77777777" w:rsidR="00725BCA" w:rsidRDefault="00725BCA" w:rsidP="00AB6D25">
                      <w:pPr>
                        <w:rPr>
                          <w:b/>
                        </w:rPr>
                      </w:pPr>
                    </w:p>
                    <w:p w14:paraId="78370E4C" w14:textId="724BE2FA" w:rsidR="00725BCA" w:rsidRPr="003367AE" w:rsidRDefault="00303016" w:rsidP="00AB6D25">
                      <w:pPr>
                        <w:rPr>
                          <w:b/>
                          <w:lang w:val="en-GB"/>
                        </w:rPr>
                      </w:pPr>
                      <w:r w:rsidRPr="003367AE">
                        <w:rPr>
                          <w:b/>
                          <w:lang w:val="en-GB"/>
                        </w:rPr>
                        <w:t>Related information</w:t>
                      </w:r>
                    </w:p>
                    <w:p w14:paraId="732C82F3" w14:textId="4476382B" w:rsidR="00DC2AB2" w:rsidRPr="00180661" w:rsidRDefault="00CF475E" w:rsidP="00DC2AB2">
                      <w:pPr>
                        <w:rPr>
                          <w:rFonts w:cs="Arial"/>
                          <w:color w:val="001D77"/>
                          <w:sz w:val="18"/>
                          <w:szCs w:val="30"/>
                          <w:shd w:val="clear" w:color="auto" w:fill="F0F0F0"/>
                          <w:lang w:val="en-US"/>
                        </w:rPr>
                      </w:pPr>
                      <w:hyperlink r:id="rId36" w:history="1">
                        <w:r w:rsidR="00DC2AB2" w:rsidRPr="00180661">
                          <w:rPr>
                            <w:rStyle w:val="Hipercze"/>
                            <w:rFonts w:cs="Arial"/>
                            <w:color w:val="001D77"/>
                            <w:sz w:val="18"/>
                            <w:szCs w:val="30"/>
                            <w:shd w:val="clear" w:color="auto" w:fill="F0F0F0"/>
                            <w:lang w:val="en-US"/>
                          </w:rPr>
                          <w:t>Cultural and creative industries in 2014-2016</w:t>
                        </w:r>
                      </w:hyperlink>
                    </w:p>
                    <w:p w14:paraId="0DA8A289" w14:textId="1D1517C9" w:rsidR="00DC2AB2" w:rsidRPr="00180661" w:rsidRDefault="00CF475E" w:rsidP="00DC2AB2">
                      <w:pPr>
                        <w:rPr>
                          <w:color w:val="001D77"/>
                          <w:lang w:val="en-US"/>
                        </w:rPr>
                      </w:pPr>
                      <w:hyperlink r:id="rId37" w:history="1">
                        <w:r w:rsidR="00DC2AB2" w:rsidRPr="00180661">
                          <w:rPr>
                            <w:rStyle w:val="Hipercze"/>
                            <w:rFonts w:cs="Arial"/>
                            <w:color w:val="001D77"/>
                            <w:sz w:val="18"/>
                            <w:szCs w:val="30"/>
                            <w:shd w:val="clear" w:color="auto" w:fill="F0F0F0"/>
                            <w:lang w:val="en-US"/>
                          </w:rPr>
                          <w:t>Cultural and creative industries in 2018</w:t>
                        </w:r>
                      </w:hyperlink>
                    </w:p>
                    <w:p w14:paraId="197017CC" w14:textId="4BC3766B" w:rsidR="00725BCA" w:rsidRPr="00180661" w:rsidRDefault="00303016" w:rsidP="00621EDE">
                      <w:pPr>
                        <w:rPr>
                          <w:rStyle w:val="Hipercze"/>
                          <w:rFonts w:cs="Arial"/>
                          <w:color w:val="001D77"/>
                          <w:sz w:val="18"/>
                          <w:szCs w:val="30"/>
                          <w:shd w:val="clear" w:color="auto" w:fill="F0F0F0"/>
                          <w:lang w:val="en-US"/>
                        </w:rPr>
                      </w:pPr>
                      <w:r w:rsidRPr="00180661">
                        <w:rPr>
                          <w:rFonts w:cs="Arial"/>
                          <w:color w:val="001D77"/>
                          <w:sz w:val="18"/>
                          <w:szCs w:val="30"/>
                          <w:shd w:val="clear" w:color="auto" w:fill="F0F0F0"/>
                        </w:rPr>
                        <w:fldChar w:fldCharType="begin"/>
                      </w:r>
                      <w:r w:rsidRPr="00180661">
                        <w:rPr>
                          <w:rFonts w:cs="Arial"/>
                          <w:color w:val="001D77"/>
                          <w:sz w:val="18"/>
                          <w:szCs w:val="30"/>
                          <w:shd w:val="clear" w:color="auto" w:fill="F0F0F0"/>
                          <w:lang w:val="en-US"/>
                        </w:rPr>
                        <w:instrText xml:space="preserve"> HYPERLINK "https://stat.gov.pl/en/topics/culture-tourism-sport/culture/culture-in-2019,1,12.html" </w:instrText>
                      </w:r>
                      <w:r w:rsidRPr="00180661">
                        <w:rPr>
                          <w:rFonts w:cs="Arial"/>
                          <w:color w:val="001D77"/>
                          <w:sz w:val="18"/>
                          <w:szCs w:val="30"/>
                          <w:shd w:val="clear" w:color="auto" w:fill="F0F0F0"/>
                        </w:rPr>
                        <w:fldChar w:fldCharType="separate"/>
                      </w:r>
                      <w:r w:rsidRPr="00180661">
                        <w:rPr>
                          <w:rStyle w:val="Hipercze"/>
                          <w:rFonts w:cs="Arial"/>
                          <w:color w:val="001D77"/>
                          <w:sz w:val="18"/>
                          <w:szCs w:val="30"/>
                          <w:shd w:val="clear" w:color="auto" w:fill="F0F0F0"/>
                          <w:lang w:val="en-US"/>
                        </w:rPr>
                        <w:t xml:space="preserve">Culture in </w:t>
                      </w:r>
                      <w:r w:rsidR="00725BCA" w:rsidRPr="00180661">
                        <w:rPr>
                          <w:rStyle w:val="Hipercze"/>
                          <w:rFonts w:cs="Arial"/>
                          <w:color w:val="001D77"/>
                          <w:sz w:val="18"/>
                          <w:szCs w:val="30"/>
                          <w:shd w:val="clear" w:color="auto" w:fill="F0F0F0"/>
                          <w:lang w:val="en-US"/>
                        </w:rPr>
                        <w:t>2019 r.</w:t>
                      </w:r>
                    </w:p>
                    <w:p w14:paraId="7C4D9F28" w14:textId="1E836071" w:rsidR="00725BCA" w:rsidRPr="00303016" w:rsidRDefault="00303016" w:rsidP="00AB6D25">
                      <w:pPr>
                        <w:rPr>
                          <w:b/>
                          <w:color w:val="000000" w:themeColor="text1"/>
                          <w:szCs w:val="24"/>
                          <w:lang w:val="en-US"/>
                        </w:rPr>
                      </w:pPr>
                      <w:r w:rsidRPr="00180661">
                        <w:rPr>
                          <w:rFonts w:cs="Arial"/>
                          <w:color w:val="001D77"/>
                          <w:sz w:val="18"/>
                          <w:szCs w:val="30"/>
                          <w:shd w:val="clear" w:color="auto" w:fill="F0F0F0"/>
                        </w:rPr>
                        <w:fldChar w:fldCharType="end"/>
                      </w:r>
                    </w:p>
                    <w:p w14:paraId="48DFCE9F" w14:textId="3A0E9E5A" w:rsidR="00725BCA" w:rsidRPr="00303016" w:rsidRDefault="00303016" w:rsidP="00AB6D25">
                      <w:pPr>
                        <w:rPr>
                          <w:b/>
                          <w:color w:val="000000" w:themeColor="text1"/>
                          <w:szCs w:val="24"/>
                          <w:lang w:val="en-US"/>
                        </w:rPr>
                      </w:pPr>
                      <w:r w:rsidRPr="00303016">
                        <w:rPr>
                          <w:b/>
                          <w:color w:val="000000" w:themeColor="text1"/>
                          <w:szCs w:val="24"/>
                          <w:lang w:val="en-US"/>
                        </w:rPr>
                        <w:t>Terms u</w:t>
                      </w:r>
                      <w:r>
                        <w:rPr>
                          <w:b/>
                          <w:color w:val="000000" w:themeColor="text1"/>
                          <w:szCs w:val="24"/>
                          <w:lang w:val="en-US"/>
                        </w:rPr>
                        <w:t>sed in official statistics</w:t>
                      </w:r>
                    </w:p>
                    <w:p w14:paraId="170CF51E" w14:textId="77777777" w:rsidR="00725BCA" w:rsidRPr="00180661" w:rsidRDefault="00CF475E" w:rsidP="004C5BC7">
                      <w:pPr>
                        <w:pStyle w:val="Zawartoramki"/>
                        <w:rPr>
                          <w:color w:val="001D77"/>
                          <w:lang w:val="en-GB"/>
                        </w:rPr>
                      </w:pPr>
                      <w:hyperlink r:id="rId38">
                        <w:r w:rsidR="00725BCA" w:rsidRPr="00180661">
                          <w:rPr>
                            <w:rStyle w:val="czeinternetowe"/>
                            <w:rFonts w:cs="Arial"/>
                            <w:color w:val="001D77"/>
                            <w:sz w:val="18"/>
                            <w:szCs w:val="30"/>
                            <w:lang w:val="en-GB"/>
                          </w:rPr>
                          <w:t>Exports of goods and services</w:t>
                        </w:r>
                      </w:hyperlink>
                    </w:p>
                    <w:p w14:paraId="6724425C" w14:textId="77777777" w:rsidR="00725BCA" w:rsidRPr="00180661" w:rsidRDefault="00CF475E" w:rsidP="004C5BC7">
                      <w:pPr>
                        <w:pStyle w:val="Zawartoramki"/>
                        <w:rPr>
                          <w:color w:val="001D77"/>
                          <w:lang w:val="en-GB"/>
                        </w:rPr>
                      </w:pPr>
                      <w:hyperlink r:id="rId39">
                        <w:r w:rsidR="00725BCA" w:rsidRPr="00180661">
                          <w:rPr>
                            <w:rStyle w:val="czeinternetowe"/>
                            <w:rFonts w:cs="Arial"/>
                            <w:color w:val="001D77"/>
                            <w:sz w:val="18"/>
                            <w:szCs w:val="30"/>
                            <w:lang w:val="en-GB"/>
                          </w:rPr>
                          <w:t>Imports of goods and services</w:t>
                        </w:r>
                      </w:hyperlink>
                    </w:p>
                    <w:p w14:paraId="7512A1AE" w14:textId="77777777" w:rsidR="00725BCA" w:rsidRPr="00180661" w:rsidRDefault="00CF475E" w:rsidP="004C5BC7">
                      <w:pPr>
                        <w:pStyle w:val="Zawartoramki"/>
                        <w:rPr>
                          <w:color w:val="001D77"/>
                          <w:lang w:val="en-GB"/>
                        </w:rPr>
                      </w:pPr>
                      <w:hyperlink r:id="rId40">
                        <w:r w:rsidR="00725BCA" w:rsidRPr="00180661">
                          <w:rPr>
                            <w:rStyle w:val="czeinternetowe"/>
                            <w:rFonts w:cs="Arial"/>
                            <w:color w:val="001D77"/>
                            <w:sz w:val="18"/>
                            <w:szCs w:val="30"/>
                            <w:lang w:val="en-GB"/>
                          </w:rPr>
                          <w:t>Total costs</w:t>
                        </w:r>
                      </w:hyperlink>
                    </w:p>
                    <w:p w14:paraId="66D17D61" w14:textId="77777777" w:rsidR="00725BCA" w:rsidRPr="00180661" w:rsidRDefault="00CF475E" w:rsidP="004C5BC7">
                      <w:pPr>
                        <w:pStyle w:val="Zawartoramki"/>
                        <w:rPr>
                          <w:color w:val="001D77"/>
                          <w:lang w:val="en-GB"/>
                        </w:rPr>
                      </w:pPr>
                      <w:hyperlink r:id="rId41">
                        <w:r w:rsidR="00725BCA" w:rsidRPr="00180661">
                          <w:rPr>
                            <w:rStyle w:val="czeinternetowe"/>
                            <w:rFonts w:cs="Arial"/>
                            <w:color w:val="001D77"/>
                            <w:sz w:val="18"/>
                            <w:szCs w:val="30"/>
                            <w:lang w:val="en-GB"/>
                          </w:rPr>
                          <w:t>Average monthly gross wages and salaries</w:t>
                        </w:r>
                      </w:hyperlink>
                    </w:p>
                    <w:p w14:paraId="0DC3E51B" w14:textId="77777777" w:rsidR="00725BCA" w:rsidRPr="00180661" w:rsidRDefault="00CF475E" w:rsidP="004C5BC7">
                      <w:pPr>
                        <w:pStyle w:val="Zawartoramki"/>
                        <w:rPr>
                          <w:color w:val="001D77"/>
                          <w:lang w:val="en-GB"/>
                        </w:rPr>
                      </w:pPr>
                      <w:hyperlink r:id="rId42">
                        <w:r w:rsidR="00725BCA" w:rsidRPr="00180661">
                          <w:rPr>
                            <w:rStyle w:val="czeinternetowe"/>
                            <w:rFonts w:cs="Arial"/>
                            <w:color w:val="001D77"/>
                            <w:sz w:val="18"/>
                            <w:szCs w:val="30"/>
                            <w:lang w:val="en-GB"/>
                          </w:rPr>
                          <w:t>Average paid employment</w:t>
                        </w:r>
                      </w:hyperlink>
                    </w:p>
                    <w:p w14:paraId="2F3901BE" w14:textId="77777777" w:rsidR="00725BCA" w:rsidRPr="00180661" w:rsidRDefault="00CF475E" w:rsidP="004C5BC7">
                      <w:pPr>
                        <w:pStyle w:val="Zawartoramki"/>
                        <w:rPr>
                          <w:color w:val="001D77"/>
                          <w:lang w:val="en-GB"/>
                        </w:rPr>
                      </w:pPr>
                      <w:hyperlink r:id="rId43">
                        <w:r w:rsidR="00725BCA" w:rsidRPr="00180661">
                          <w:rPr>
                            <w:rStyle w:val="czeinternetowe"/>
                            <w:rFonts w:cs="Arial"/>
                            <w:color w:val="001D77"/>
                            <w:sz w:val="18"/>
                            <w:szCs w:val="30"/>
                            <w:lang w:val="en-GB"/>
                          </w:rPr>
                          <w:t>Total revenues</w:t>
                        </w:r>
                      </w:hyperlink>
                    </w:p>
                    <w:p w14:paraId="3904B40F" w14:textId="77777777" w:rsidR="00725BCA" w:rsidRPr="00180661" w:rsidRDefault="00CF475E" w:rsidP="004C5BC7">
                      <w:pPr>
                        <w:pStyle w:val="Zawartoramki"/>
                        <w:rPr>
                          <w:color w:val="001D77"/>
                          <w:lang w:val="en-GB"/>
                        </w:rPr>
                      </w:pPr>
                      <w:hyperlink r:id="rId44">
                        <w:r w:rsidR="00725BCA" w:rsidRPr="00180661">
                          <w:rPr>
                            <w:rStyle w:val="czeinternetowe"/>
                            <w:rFonts w:cs="Arial"/>
                            <w:color w:val="001D77"/>
                            <w:sz w:val="18"/>
                            <w:szCs w:val="30"/>
                            <w:lang w:val="en-GB"/>
                          </w:rPr>
                          <w:t>Balance foreign trade commodity turnover</w:t>
                        </w:r>
                      </w:hyperlink>
                    </w:p>
                    <w:p w14:paraId="047C7BB8" w14:textId="77777777" w:rsidR="00725BCA" w:rsidRPr="00180661" w:rsidRDefault="00CF475E" w:rsidP="004C5BC7">
                      <w:pPr>
                        <w:pStyle w:val="Zawartoramki"/>
                        <w:rPr>
                          <w:color w:val="001D77"/>
                          <w:lang w:val="en-GB"/>
                        </w:rPr>
                      </w:pPr>
                      <w:hyperlink r:id="rId45">
                        <w:r w:rsidR="00725BCA" w:rsidRPr="00180661">
                          <w:rPr>
                            <w:rStyle w:val="czeinternetowe"/>
                            <w:rFonts w:cs="Arial"/>
                            <w:color w:val="001D77"/>
                            <w:sz w:val="18"/>
                            <w:szCs w:val="30"/>
                            <w:lang w:val="en-GB"/>
                          </w:rPr>
                          <w:t>Balance of services</w:t>
                        </w:r>
                      </w:hyperlink>
                    </w:p>
                    <w:p w14:paraId="36A2F445" w14:textId="77777777" w:rsidR="00725BCA" w:rsidRPr="00180661" w:rsidRDefault="00CF475E" w:rsidP="004C5BC7">
                      <w:pPr>
                        <w:pStyle w:val="Zawartoramki"/>
                        <w:rPr>
                          <w:color w:val="001D77"/>
                          <w:lang w:val="en-GB"/>
                        </w:rPr>
                      </w:pPr>
                      <w:hyperlink r:id="rId46">
                        <w:r w:rsidR="00725BCA" w:rsidRPr="00180661">
                          <w:rPr>
                            <w:rStyle w:val="czeinternetowe"/>
                            <w:rFonts w:cs="Arial"/>
                            <w:color w:val="001D77"/>
                            <w:sz w:val="18"/>
                            <w:szCs w:val="30"/>
                            <w:lang w:val="en-GB"/>
                          </w:rPr>
                          <w:t>Cost level indicator</w:t>
                        </w:r>
                      </w:hyperlink>
                    </w:p>
                    <w:p w14:paraId="2481DE46" w14:textId="77777777" w:rsidR="00725BCA" w:rsidRPr="00180661" w:rsidRDefault="00CF475E" w:rsidP="004C5BC7">
                      <w:pPr>
                        <w:pStyle w:val="Zawartoramki"/>
                        <w:rPr>
                          <w:color w:val="001D77"/>
                        </w:rPr>
                      </w:pPr>
                      <w:hyperlink r:id="rId47">
                        <w:r w:rsidR="00725BCA" w:rsidRPr="00180661">
                          <w:rPr>
                            <w:rStyle w:val="czeinternetowe"/>
                            <w:rFonts w:cs="Arial"/>
                            <w:color w:val="001D77"/>
                            <w:sz w:val="18"/>
                            <w:szCs w:val="30"/>
                          </w:rPr>
                          <w:t xml:space="preserve">Gross </w:t>
                        </w:r>
                        <w:proofErr w:type="spellStart"/>
                        <w:r w:rsidR="00725BCA" w:rsidRPr="00180661">
                          <w:rPr>
                            <w:rStyle w:val="czeinternetowe"/>
                            <w:rFonts w:cs="Arial"/>
                            <w:color w:val="001D77"/>
                            <w:sz w:val="18"/>
                            <w:szCs w:val="30"/>
                          </w:rPr>
                          <w:t>earnings</w:t>
                        </w:r>
                        <w:proofErr w:type="spellEnd"/>
                      </w:hyperlink>
                    </w:p>
                    <w:p w14:paraId="4FE00319" w14:textId="77777777" w:rsidR="00725BCA" w:rsidRPr="00505A92" w:rsidRDefault="00725BCA" w:rsidP="004C5BC7">
                      <w:pPr>
                        <w:rPr>
                          <w:b/>
                          <w:color w:val="000000" w:themeColor="text1"/>
                          <w:szCs w:val="24"/>
                        </w:rPr>
                      </w:pPr>
                    </w:p>
                  </w:txbxContent>
                </v:textbox>
                <w10:wrap type="square" anchorx="margin"/>
              </v:shape>
            </w:pict>
          </mc:Fallback>
        </mc:AlternateContent>
      </w:r>
    </w:p>
    <w:sectPr w:rsidR="00D261A2" w:rsidRPr="002D265E" w:rsidSect="003B18B6">
      <w:headerReference w:type="default" r:id="rId48"/>
      <w:footerReference w:type="default" r:id="rId4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88B2E" w14:textId="77777777" w:rsidR="00CF475E" w:rsidRDefault="00CF475E" w:rsidP="000662E2">
      <w:pPr>
        <w:spacing w:after="0" w:line="240" w:lineRule="auto"/>
      </w:pPr>
      <w:r>
        <w:separator/>
      </w:r>
    </w:p>
  </w:endnote>
  <w:endnote w:type="continuationSeparator" w:id="0">
    <w:p w14:paraId="3319B889" w14:textId="77777777" w:rsidR="00CF475E" w:rsidRDefault="00CF475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altName w:val="Calibri"/>
    <w:panose1 w:val="020B0403050000020004"/>
    <w:charset w:val="EE"/>
    <w:family w:val="swiss"/>
    <w:pitch w:val="variable"/>
    <w:sig w:usb0="600002FF" w:usb1="02000001" w:usb2="00000000" w:usb3="00000000" w:csb0="0000019F" w:csb1="00000000"/>
  </w:font>
  <w:font w:name="Fira Sans">
    <w:altName w:val="Calibri"/>
    <w:panose1 w:val="020B0503050000020004"/>
    <w:charset w:val="EE"/>
    <w:family w:val="swiss"/>
    <w:pitch w:val="variable"/>
    <w:sig w:usb0="600002FF" w:usb1="02000001" w:usb2="00000000" w:usb3="00000000" w:csb0="0000019F" w:csb1="00000000"/>
  </w:font>
  <w:font w:name="Fira Sans SemiBold">
    <w:altName w:val="Calibri"/>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6410854"/>
      <w:docPartObj>
        <w:docPartGallery w:val="Page Numbers (Bottom of Page)"/>
        <w:docPartUnique/>
      </w:docPartObj>
    </w:sdtPr>
    <w:sdtEndPr/>
    <w:sdtContent>
      <w:p w14:paraId="5CC85BE0" w14:textId="77777777" w:rsidR="00725BCA" w:rsidRDefault="00725BCA" w:rsidP="003B18B6">
        <w:pPr>
          <w:pStyle w:val="Stopka"/>
          <w:jc w:val="center"/>
        </w:pPr>
        <w:r>
          <w:fldChar w:fldCharType="begin"/>
        </w:r>
        <w:r>
          <w:instrText>PAGE   \* MERGEFORMAT</w:instrText>
        </w:r>
        <w:r>
          <w:fldChar w:fldCharType="separate"/>
        </w:r>
        <w:r w:rsidR="00C50A4B">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321397"/>
      <w:docPartObj>
        <w:docPartGallery w:val="Page Numbers (Bottom of Page)"/>
        <w:docPartUnique/>
      </w:docPartObj>
    </w:sdtPr>
    <w:sdtEndPr/>
    <w:sdtContent>
      <w:p w14:paraId="6D69E0AF" w14:textId="77777777" w:rsidR="00725BCA" w:rsidRDefault="00725BCA" w:rsidP="003B18B6">
        <w:pPr>
          <w:pStyle w:val="Stopka"/>
          <w:jc w:val="center"/>
        </w:pPr>
        <w:r>
          <w:fldChar w:fldCharType="begin"/>
        </w:r>
        <w:r>
          <w:instrText>PAGE   \* MERGEFORMAT</w:instrText>
        </w:r>
        <w:r>
          <w:fldChar w:fldCharType="separate"/>
        </w:r>
        <w:r w:rsidR="00C50A4B">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5636839"/>
      <w:docPartObj>
        <w:docPartGallery w:val="Page Numbers (Bottom of Page)"/>
        <w:docPartUnique/>
      </w:docPartObj>
    </w:sdtPr>
    <w:sdtEndPr/>
    <w:sdtContent>
      <w:p w14:paraId="36D98FE1" w14:textId="77777777" w:rsidR="00725BCA" w:rsidRDefault="00725BCA" w:rsidP="003B18B6">
        <w:pPr>
          <w:pStyle w:val="Stopka"/>
          <w:jc w:val="center"/>
        </w:pPr>
        <w:r>
          <w:fldChar w:fldCharType="begin"/>
        </w:r>
        <w:r>
          <w:instrText>PAGE   \* MERGEFORMAT</w:instrText>
        </w:r>
        <w:r>
          <w:fldChar w:fldCharType="separate"/>
        </w:r>
        <w:r w:rsidR="00C50A4B">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B762C" w14:textId="77777777" w:rsidR="00CF475E" w:rsidRDefault="00CF475E" w:rsidP="000662E2">
      <w:pPr>
        <w:spacing w:after="0" w:line="240" w:lineRule="auto"/>
      </w:pPr>
      <w:r>
        <w:separator/>
      </w:r>
    </w:p>
  </w:footnote>
  <w:footnote w:type="continuationSeparator" w:id="0">
    <w:p w14:paraId="3C8F9C8B" w14:textId="77777777" w:rsidR="00CF475E" w:rsidRDefault="00CF475E"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B3ABD" w14:textId="17A36F03" w:rsidR="00725BCA" w:rsidRDefault="00725BCA">
    <w:pPr>
      <w:pStyle w:val="Nagwek"/>
    </w:pPr>
    <w:r>
      <w:rPr>
        <w:noProof/>
        <w:lang w:eastAsia="pl-PL"/>
      </w:rPr>
      <mc:AlternateContent>
        <mc:Choice Requires="wps">
          <w:drawing>
            <wp:anchor distT="0" distB="0" distL="114300" distR="114300" simplePos="0" relativeHeight="251662336" behindDoc="1" locked="0" layoutInCell="1" allowOverlap="1" wp14:anchorId="5E4B1A08" wp14:editId="260B395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0E6E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14:paraId="504940E5" w14:textId="77777777" w:rsidR="00725BCA" w:rsidRDefault="0072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0C102" w14:textId="7BBC464D" w:rsidR="00725BCA" w:rsidRDefault="00725BCA">
    <w:pPr>
      <w:pStyle w:val="Nagwek"/>
      <w:rPr>
        <w:noProof/>
        <w:lang w:eastAsia="pl-PL"/>
      </w:rPr>
    </w:pPr>
    <w:r>
      <w:rPr>
        <w:noProof/>
        <w:lang w:eastAsia="pl-PL"/>
      </w:rPr>
      <w:drawing>
        <wp:anchor distT="0" distB="0" distL="114300" distR="114300" simplePos="0" relativeHeight="251671552" behindDoc="1" locked="0" layoutInCell="1" allowOverlap="1" wp14:anchorId="00E1F256" wp14:editId="7D407739">
          <wp:simplePos x="0" y="0"/>
          <wp:positionH relativeFrom="column">
            <wp:posOffset>0</wp:posOffset>
          </wp:positionH>
          <wp:positionV relativeFrom="paragraph">
            <wp:posOffset>56515</wp:posOffset>
          </wp:positionV>
          <wp:extent cx="1955800" cy="744855"/>
          <wp:effectExtent l="0" t="0" r="0" b="0"/>
          <wp:wrapSquare wrapText="bothSides"/>
          <wp:docPr id="47" name="Obraz 30"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30" descr="C:\Users\zawistowskaB\AppData\Local\Microsoft\Windows\INetCache\Content.Word\logog-02.png"/>
                  <pic:cNvPicPr>
                    <a:picLocks noChangeAspect="1" noChangeArrowheads="1"/>
                  </pic:cNvPicPr>
                </pic:nvPicPr>
                <pic:blipFill>
                  <a:blip r:embed="rId1"/>
                  <a:stretch>
                    <a:fillRect/>
                  </a:stretch>
                </pic:blipFill>
                <pic:spPr bwMode="auto">
                  <a:xfrm>
                    <a:off x="0" y="0"/>
                    <a:ext cx="1955800" cy="744855"/>
                  </a:xfrm>
                  <a:prstGeom prst="rect">
                    <a:avLst/>
                  </a:prstGeom>
                </pic:spPr>
              </pic:pic>
            </a:graphicData>
          </a:graphic>
        </wp:anchor>
      </w:drawing>
    </w:r>
    <w:r>
      <w:rPr>
        <w:noProof/>
        <w:lang w:eastAsia="pl-PL"/>
      </w:rPr>
      <mc:AlternateContent>
        <mc:Choice Requires="wps">
          <w:drawing>
            <wp:anchor distT="0" distB="0" distL="114300" distR="114300" simplePos="0" relativeHeight="251668480" behindDoc="0" locked="0" layoutInCell="1" allowOverlap="1" wp14:anchorId="14640BA6" wp14:editId="2430B5D4">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613B0C" w14:textId="7DC2409F" w:rsidR="00725BCA" w:rsidRPr="003C6C8D" w:rsidRDefault="00725BCA"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40BA6" id="Schemat blokowy: opóźnienie 6" o:spid="_x0000_s1038"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C613B0C" w14:textId="7DC2409F" w:rsidR="00725BCA" w:rsidRPr="003C6C8D" w:rsidRDefault="00725BCA"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5D1F9D7E" wp14:editId="0478AAC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4BED7"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" fillcolor="#f2f2f2" stroked="f" strokeweight="1pt">
              <v:path arrowok="t"/>
              <w10:wrap type="tight"/>
            </v:rect>
          </w:pict>
        </mc:Fallback>
      </mc:AlternateContent>
    </w:r>
    <w:r>
      <w:rPr>
        <w:noProof/>
        <w:lang w:eastAsia="pl-PL"/>
      </w:rPr>
      <w:t xml:space="preserve"> </w:t>
    </w:r>
    <w:r>
      <w:rPr>
        <w:noProof/>
      </w:rPr>
      <w:t xml:space="preserve"> </w:t>
    </w:r>
  </w:p>
  <w:p w14:paraId="02D92E84" w14:textId="77777777" w:rsidR="00725BCA" w:rsidRDefault="00725BCA">
    <w:pPr>
      <w:pStyle w:val="Nagwek"/>
      <w:rPr>
        <w:noProof/>
        <w:lang w:eastAsia="pl-PL"/>
      </w:rPr>
    </w:pPr>
  </w:p>
  <w:p w14:paraId="60DA27B0" w14:textId="77777777" w:rsidR="00725BCA" w:rsidRDefault="00725BCA">
    <w:pPr>
      <w:pStyle w:val="Nagwek"/>
      <w:rPr>
        <w:noProof/>
        <w:lang w:eastAsia="pl-PL"/>
      </w:rPr>
    </w:pPr>
  </w:p>
  <w:p w14:paraId="2C316B73" w14:textId="5B29D239" w:rsidR="00725BCA" w:rsidRDefault="00725BCA">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14:anchorId="20E9E1D6" wp14:editId="1218C427">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3D762ACD" w14:textId="59CBB44F" w:rsidR="00725BCA" w:rsidRPr="00C97596" w:rsidRDefault="00725BCA" w:rsidP="00F37172">
                          <w:pPr>
                            <w:jc w:val="both"/>
                            <w:rPr>
                              <w:rFonts w:ascii="Fira Sans SemiBold" w:hAnsi="Fira Sans SemiBold"/>
                              <w:color w:val="001D77"/>
                            </w:rPr>
                          </w:pPr>
                          <w:r>
                            <w:rPr>
                              <w:rFonts w:ascii="Fira Sans SemiBold" w:hAnsi="Fira Sans SemiBold"/>
                              <w:color w:val="001D77"/>
                            </w:rPr>
                            <w:t xml:space="preserve">30.03.2021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9E1D6" id="_x0000_t202" coordsize="21600,21600" o:spt="202" path="m,l,21600r21600,l21600,xe">
              <v:stroke joinstyle="miter"/>
              <v:path gradientshapeok="t" o:connecttype="rect"/>
            </v:shapetype>
            <v:shape id="_x0000_s1039"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14:paraId="3D762ACD" w14:textId="59CBB44F" w:rsidR="00725BCA" w:rsidRPr="00C97596" w:rsidRDefault="00725BCA" w:rsidP="00F37172">
                    <w:pPr>
                      <w:jc w:val="both"/>
                      <w:rPr>
                        <w:rFonts w:ascii="Fira Sans SemiBold" w:hAnsi="Fira Sans SemiBold"/>
                        <w:color w:val="001D77"/>
                      </w:rPr>
                    </w:pPr>
                    <w:r>
                      <w:rPr>
                        <w:rFonts w:ascii="Fira Sans SemiBold" w:hAnsi="Fira Sans SemiBold"/>
                        <w:color w:val="001D77"/>
                      </w:rPr>
                      <w:t xml:space="preserve">30.03.2021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59432" w14:textId="77777777" w:rsidR="00725BCA" w:rsidRDefault="00725BCA">
    <w:pPr>
      <w:pStyle w:val="Nagwek"/>
    </w:pPr>
  </w:p>
  <w:p w14:paraId="201337F4" w14:textId="77777777" w:rsidR="00725BCA" w:rsidRDefault="00725B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3pt;height:125.25pt;visibility:visible;mso-wrap-style:square" o:bullet="t">
        <v:imagedata r:id="rId1" o:title=""/>
      </v:shape>
    </w:pict>
  </w:numPicBullet>
  <w:numPicBullet w:numPicBulletId="1">
    <w:pict>
      <v:shape id="_x0000_i1057" type="#_x0000_t75" style="width:123.7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709F"/>
    <w:rsid w:val="000108B8"/>
    <w:rsid w:val="0001463D"/>
    <w:rsid w:val="000152F5"/>
    <w:rsid w:val="00021661"/>
    <w:rsid w:val="00027C22"/>
    <w:rsid w:val="000332BC"/>
    <w:rsid w:val="000425F1"/>
    <w:rsid w:val="0004582E"/>
    <w:rsid w:val="000470AA"/>
    <w:rsid w:val="000547CF"/>
    <w:rsid w:val="00057CA1"/>
    <w:rsid w:val="0006023F"/>
    <w:rsid w:val="00061DCB"/>
    <w:rsid w:val="00065B47"/>
    <w:rsid w:val="000662E2"/>
    <w:rsid w:val="00066883"/>
    <w:rsid w:val="00074DD8"/>
    <w:rsid w:val="00075759"/>
    <w:rsid w:val="000806F7"/>
    <w:rsid w:val="00086CA9"/>
    <w:rsid w:val="00097840"/>
    <w:rsid w:val="000B056A"/>
    <w:rsid w:val="000B0727"/>
    <w:rsid w:val="000B1FAC"/>
    <w:rsid w:val="000C135D"/>
    <w:rsid w:val="000C6508"/>
    <w:rsid w:val="000D1D43"/>
    <w:rsid w:val="000D225C"/>
    <w:rsid w:val="000D2A5C"/>
    <w:rsid w:val="000E0918"/>
    <w:rsid w:val="000E3719"/>
    <w:rsid w:val="000E79A9"/>
    <w:rsid w:val="000F6EBE"/>
    <w:rsid w:val="001011C3"/>
    <w:rsid w:val="00110D87"/>
    <w:rsid w:val="001135AE"/>
    <w:rsid w:val="00114DB9"/>
    <w:rsid w:val="00116087"/>
    <w:rsid w:val="001229AA"/>
    <w:rsid w:val="00124AAD"/>
    <w:rsid w:val="00127112"/>
    <w:rsid w:val="001301C7"/>
    <w:rsid w:val="00130296"/>
    <w:rsid w:val="00136736"/>
    <w:rsid w:val="0014095E"/>
    <w:rsid w:val="001423B6"/>
    <w:rsid w:val="00143878"/>
    <w:rsid w:val="00143BA8"/>
    <w:rsid w:val="001448A7"/>
    <w:rsid w:val="001450D1"/>
    <w:rsid w:val="00146621"/>
    <w:rsid w:val="00155DAA"/>
    <w:rsid w:val="00160120"/>
    <w:rsid w:val="001609B8"/>
    <w:rsid w:val="001617E3"/>
    <w:rsid w:val="00162325"/>
    <w:rsid w:val="001638F9"/>
    <w:rsid w:val="001668D6"/>
    <w:rsid w:val="00177D62"/>
    <w:rsid w:val="00180661"/>
    <w:rsid w:val="001810A4"/>
    <w:rsid w:val="00186229"/>
    <w:rsid w:val="001951DA"/>
    <w:rsid w:val="001A145E"/>
    <w:rsid w:val="001A246A"/>
    <w:rsid w:val="001A5261"/>
    <w:rsid w:val="001A5A25"/>
    <w:rsid w:val="001B7703"/>
    <w:rsid w:val="001C3269"/>
    <w:rsid w:val="001D1DB4"/>
    <w:rsid w:val="001D61ED"/>
    <w:rsid w:val="001E3DC7"/>
    <w:rsid w:val="001F5E94"/>
    <w:rsid w:val="00210EAE"/>
    <w:rsid w:val="00236610"/>
    <w:rsid w:val="00255BE7"/>
    <w:rsid w:val="002574F9"/>
    <w:rsid w:val="00262B61"/>
    <w:rsid w:val="00263BEE"/>
    <w:rsid w:val="00263E08"/>
    <w:rsid w:val="00265642"/>
    <w:rsid w:val="00266475"/>
    <w:rsid w:val="00276811"/>
    <w:rsid w:val="00282699"/>
    <w:rsid w:val="002926DF"/>
    <w:rsid w:val="00296697"/>
    <w:rsid w:val="002B0472"/>
    <w:rsid w:val="002B4005"/>
    <w:rsid w:val="002B6B12"/>
    <w:rsid w:val="002C19F7"/>
    <w:rsid w:val="002D265E"/>
    <w:rsid w:val="002D2D2F"/>
    <w:rsid w:val="002E1180"/>
    <w:rsid w:val="002E6140"/>
    <w:rsid w:val="002E6985"/>
    <w:rsid w:val="002E6EB9"/>
    <w:rsid w:val="002E71B6"/>
    <w:rsid w:val="002E72E4"/>
    <w:rsid w:val="002F0825"/>
    <w:rsid w:val="002F180A"/>
    <w:rsid w:val="002F2BAD"/>
    <w:rsid w:val="002F2C8A"/>
    <w:rsid w:val="002F5F16"/>
    <w:rsid w:val="002F77C8"/>
    <w:rsid w:val="003023AB"/>
    <w:rsid w:val="00303016"/>
    <w:rsid w:val="0030471F"/>
    <w:rsid w:val="00304F22"/>
    <w:rsid w:val="00306C7C"/>
    <w:rsid w:val="00316A71"/>
    <w:rsid w:val="00317F4D"/>
    <w:rsid w:val="003208DA"/>
    <w:rsid w:val="00322EDD"/>
    <w:rsid w:val="0032595C"/>
    <w:rsid w:val="00326E0D"/>
    <w:rsid w:val="003309FA"/>
    <w:rsid w:val="00332320"/>
    <w:rsid w:val="003351AE"/>
    <w:rsid w:val="003367AE"/>
    <w:rsid w:val="003403F4"/>
    <w:rsid w:val="00347D72"/>
    <w:rsid w:val="003507E1"/>
    <w:rsid w:val="00353F45"/>
    <w:rsid w:val="00357611"/>
    <w:rsid w:val="0036341E"/>
    <w:rsid w:val="00367237"/>
    <w:rsid w:val="0037077F"/>
    <w:rsid w:val="00372411"/>
    <w:rsid w:val="00373882"/>
    <w:rsid w:val="00377BF8"/>
    <w:rsid w:val="003843DB"/>
    <w:rsid w:val="00386655"/>
    <w:rsid w:val="00393761"/>
    <w:rsid w:val="00394E26"/>
    <w:rsid w:val="00396691"/>
    <w:rsid w:val="003978F6"/>
    <w:rsid w:val="00397D18"/>
    <w:rsid w:val="003A1B36"/>
    <w:rsid w:val="003B01F2"/>
    <w:rsid w:val="003B1454"/>
    <w:rsid w:val="003B18B6"/>
    <w:rsid w:val="003B5CF9"/>
    <w:rsid w:val="003B71B8"/>
    <w:rsid w:val="003B7258"/>
    <w:rsid w:val="003C161B"/>
    <w:rsid w:val="003C340E"/>
    <w:rsid w:val="003C44AB"/>
    <w:rsid w:val="003C59E0"/>
    <w:rsid w:val="003C6C8D"/>
    <w:rsid w:val="003D1694"/>
    <w:rsid w:val="003D21AA"/>
    <w:rsid w:val="003D2656"/>
    <w:rsid w:val="003D485F"/>
    <w:rsid w:val="003D4F95"/>
    <w:rsid w:val="003D5F42"/>
    <w:rsid w:val="003D60A9"/>
    <w:rsid w:val="003E43E3"/>
    <w:rsid w:val="003F4C97"/>
    <w:rsid w:val="003F666D"/>
    <w:rsid w:val="003F7FE6"/>
    <w:rsid w:val="00400193"/>
    <w:rsid w:val="0040744D"/>
    <w:rsid w:val="004212E7"/>
    <w:rsid w:val="00423C88"/>
    <w:rsid w:val="0042446D"/>
    <w:rsid w:val="0042766E"/>
    <w:rsid w:val="00427BF8"/>
    <w:rsid w:val="00431C02"/>
    <w:rsid w:val="00431D2D"/>
    <w:rsid w:val="0043237F"/>
    <w:rsid w:val="0043396D"/>
    <w:rsid w:val="00437395"/>
    <w:rsid w:val="00445047"/>
    <w:rsid w:val="00457D7B"/>
    <w:rsid w:val="00463E39"/>
    <w:rsid w:val="004657FC"/>
    <w:rsid w:val="00465AA4"/>
    <w:rsid w:val="00471DB6"/>
    <w:rsid w:val="0047260B"/>
    <w:rsid w:val="004733F6"/>
    <w:rsid w:val="00474E69"/>
    <w:rsid w:val="004756D0"/>
    <w:rsid w:val="00484DFE"/>
    <w:rsid w:val="004904B5"/>
    <w:rsid w:val="00495C21"/>
    <w:rsid w:val="0049621B"/>
    <w:rsid w:val="00497A6F"/>
    <w:rsid w:val="004A6AA1"/>
    <w:rsid w:val="004A7DB2"/>
    <w:rsid w:val="004B696C"/>
    <w:rsid w:val="004C1895"/>
    <w:rsid w:val="004C1A0E"/>
    <w:rsid w:val="004C37C1"/>
    <w:rsid w:val="004C5BC7"/>
    <w:rsid w:val="004C6D40"/>
    <w:rsid w:val="004C6FBD"/>
    <w:rsid w:val="004D1C6A"/>
    <w:rsid w:val="004E4E92"/>
    <w:rsid w:val="004E6AA8"/>
    <w:rsid w:val="004F0C3C"/>
    <w:rsid w:val="004F2F1E"/>
    <w:rsid w:val="004F63FC"/>
    <w:rsid w:val="00505A92"/>
    <w:rsid w:val="0051582F"/>
    <w:rsid w:val="005172A6"/>
    <w:rsid w:val="005203F1"/>
    <w:rsid w:val="00521BC3"/>
    <w:rsid w:val="00527E70"/>
    <w:rsid w:val="00530421"/>
    <w:rsid w:val="00533632"/>
    <w:rsid w:val="005404ED"/>
    <w:rsid w:val="00540C5C"/>
    <w:rsid w:val="00541E6E"/>
    <w:rsid w:val="0054251F"/>
    <w:rsid w:val="00546726"/>
    <w:rsid w:val="005472A4"/>
    <w:rsid w:val="005520D8"/>
    <w:rsid w:val="00556CF1"/>
    <w:rsid w:val="005762A7"/>
    <w:rsid w:val="00580E34"/>
    <w:rsid w:val="005835F4"/>
    <w:rsid w:val="00584731"/>
    <w:rsid w:val="0058796C"/>
    <w:rsid w:val="005916D7"/>
    <w:rsid w:val="00591943"/>
    <w:rsid w:val="00591FE4"/>
    <w:rsid w:val="0059427F"/>
    <w:rsid w:val="00595FA0"/>
    <w:rsid w:val="005A5FA6"/>
    <w:rsid w:val="005A698C"/>
    <w:rsid w:val="005B2E16"/>
    <w:rsid w:val="005B6E5A"/>
    <w:rsid w:val="005C424E"/>
    <w:rsid w:val="005D0F21"/>
    <w:rsid w:val="005D5F87"/>
    <w:rsid w:val="005E0799"/>
    <w:rsid w:val="005E5118"/>
    <w:rsid w:val="005F2A33"/>
    <w:rsid w:val="005F2D1E"/>
    <w:rsid w:val="005F37BD"/>
    <w:rsid w:val="005F5A80"/>
    <w:rsid w:val="006044FF"/>
    <w:rsid w:val="00607CC5"/>
    <w:rsid w:val="006113F1"/>
    <w:rsid w:val="006125F9"/>
    <w:rsid w:val="00621EDE"/>
    <w:rsid w:val="006233DE"/>
    <w:rsid w:val="00633014"/>
    <w:rsid w:val="0063437B"/>
    <w:rsid w:val="00650322"/>
    <w:rsid w:val="0065104B"/>
    <w:rsid w:val="006673CA"/>
    <w:rsid w:val="006677B0"/>
    <w:rsid w:val="006716FC"/>
    <w:rsid w:val="00673C26"/>
    <w:rsid w:val="00674DE5"/>
    <w:rsid w:val="0067559D"/>
    <w:rsid w:val="006812AF"/>
    <w:rsid w:val="0068327D"/>
    <w:rsid w:val="0068331C"/>
    <w:rsid w:val="00691534"/>
    <w:rsid w:val="00694AF0"/>
    <w:rsid w:val="006959DA"/>
    <w:rsid w:val="00697F52"/>
    <w:rsid w:val="006A14E8"/>
    <w:rsid w:val="006A4686"/>
    <w:rsid w:val="006A5510"/>
    <w:rsid w:val="006B0E9E"/>
    <w:rsid w:val="006B5AE4"/>
    <w:rsid w:val="006C6F37"/>
    <w:rsid w:val="006C7C3A"/>
    <w:rsid w:val="006D1507"/>
    <w:rsid w:val="006D1FE3"/>
    <w:rsid w:val="006D4054"/>
    <w:rsid w:val="006D743E"/>
    <w:rsid w:val="006D75F0"/>
    <w:rsid w:val="006E02EC"/>
    <w:rsid w:val="006E46BB"/>
    <w:rsid w:val="006E6EBE"/>
    <w:rsid w:val="006E73E6"/>
    <w:rsid w:val="006F0FDE"/>
    <w:rsid w:val="006F4EB1"/>
    <w:rsid w:val="006F7CBE"/>
    <w:rsid w:val="00710966"/>
    <w:rsid w:val="007211B1"/>
    <w:rsid w:val="00725BCA"/>
    <w:rsid w:val="007277DA"/>
    <w:rsid w:val="00740E50"/>
    <w:rsid w:val="00741BFF"/>
    <w:rsid w:val="00746187"/>
    <w:rsid w:val="00746628"/>
    <w:rsid w:val="00753B03"/>
    <w:rsid w:val="00754293"/>
    <w:rsid w:val="0076254F"/>
    <w:rsid w:val="00763EFE"/>
    <w:rsid w:val="0076519A"/>
    <w:rsid w:val="007677F6"/>
    <w:rsid w:val="007740B9"/>
    <w:rsid w:val="007801F5"/>
    <w:rsid w:val="0078353A"/>
    <w:rsid w:val="00783995"/>
    <w:rsid w:val="00783CA4"/>
    <w:rsid w:val="007842FB"/>
    <w:rsid w:val="00786124"/>
    <w:rsid w:val="0079514B"/>
    <w:rsid w:val="00795252"/>
    <w:rsid w:val="007A2DC1"/>
    <w:rsid w:val="007A7664"/>
    <w:rsid w:val="007B3442"/>
    <w:rsid w:val="007B4298"/>
    <w:rsid w:val="007C397D"/>
    <w:rsid w:val="007C3DAF"/>
    <w:rsid w:val="007C5A8B"/>
    <w:rsid w:val="007D14C4"/>
    <w:rsid w:val="007D3319"/>
    <w:rsid w:val="007D335D"/>
    <w:rsid w:val="007E3314"/>
    <w:rsid w:val="007E4B03"/>
    <w:rsid w:val="007F324B"/>
    <w:rsid w:val="007F6C08"/>
    <w:rsid w:val="0080553C"/>
    <w:rsid w:val="00805B46"/>
    <w:rsid w:val="00820D33"/>
    <w:rsid w:val="00825DC2"/>
    <w:rsid w:val="008326E1"/>
    <w:rsid w:val="00834AD3"/>
    <w:rsid w:val="00843795"/>
    <w:rsid w:val="00847F0F"/>
    <w:rsid w:val="00852448"/>
    <w:rsid w:val="008557A8"/>
    <w:rsid w:val="008620D3"/>
    <w:rsid w:val="00862F9B"/>
    <w:rsid w:val="00877F6C"/>
    <w:rsid w:val="0088061A"/>
    <w:rsid w:val="0088258A"/>
    <w:rsid w:val="00882FD9"/>
    <w:rsid w:val="00886332"/>
    <w:rsid w:val="00887A22"/>
    <w:rsid w:val="0089005E"/>
    <w:rsid w:val="0089448A"/>
    <w:rsid w:val="00896A8A"/>
    <w:rsid w:val="00897877"/>
    <w:rsid w:val="008A26D9"/>
    <w:rsid w:val="008A304D"/>
    <w:rsid w:val="008A793F"/>
    <w:rsid w:val="008A7B5B"/>
    <w:rsid w:val="008B70F6"/>
    <w:rsid w:val="008C0C29"/>
    <w:rsid w:val="008D0FEF"/>
    <w:rsid w:val="008D76BC"/>
    <w:rsid w:val="008E5E7B"/>
    <w:rsid w:val="008E7DBA"/>
    <w:rsid w:val="008F0829"/>
    <w:rsid w:val="008F31E4"/>
    <w:rsid w:val="008F3638"/>
    <w:rsid w:val="008F4441"/>
    <w:rsid w:val="008F4F9A"/>
    <w:rsid w:val="008F565A"/>
    <w:rsid w:val="008F6B20"/>
    <w:rsid w:val="008F6F31"/>
    <w:rsid w:val="008F74DF"/>
    <w:rsid w:val="00902DA7"/>
    <w:rsid w:val="00902DF6"/>
    <w:rsid w:val="009048BE"/>
    <w:rsid w:val="00910621"/>
    <w:rsid w:val="009127BA"/>
    <w:rsid w:val="009227A6"/>
    <w:rsid w:val="00923EA8"/>
    <w:rsid w:val="00933EC1"/>
    <w:rsid w:val="0093609F"/>
    <w:rsid w:val="00944102"/>
    <w:rsid w:val="009458C9"/>
    <w:rsid w:val="00945D72"/>
    <w:rsid w:val="009530DB"/>
    <w:rsid w:val="00953676"/>
    <w:rsid w:val="00955D03"/>
    <w:rsid w:val="00956F30"/>
    <w:rsid w:val="009659B8"/>
    <w:rsid w:val="009705EE"/>
    <w:rsid w:val="009740CF"/>
    <w:rsid w:val="009761AA"/>
    <w:rsid w:val="009778E0"/>
    <w:rsid w:val="00977927"/>
    <w:rsid w:val="0098135C"/>
    <w:rsid w:val="0098156A"/>
    <w:rsid w:val="00991BAC"/>
    <w:rsid w:val="00993BC2"/>
    <w:rsid w:val="00996550"/>
    <w:rsid w:val="00997807"/>
    <w:rsid w:val="009A5C97"/>
    <w:rsid w:val="009A6EA0"/>
    <w:rsid w:val="009B2843"/>
    <w:rsid w:val="009B518C"/>
    <w:rsid w:val="009C0E16"/>
    <w:rsid w:val="009C1335"/>
    <w:rsid w:val="009C1AB2"/>
    <w:rsid w:val="009C1C1A"/>
    <w:rsid w:val="009C6BCE"/>
    <w:rsid w:val="009C7251"/>
    <w:rsid w:val="009D1181"/>
    <w:rsid w:val="009E2E91"/>
    <w:rsid w:val="009E5D50"/>
    <w:rsid w:val="009F0EA7"/>
    <w:rsid w:val="00A01517"/>
    <w:rsid w:val="00A051F3"/>
    <w:rsid w:val="00A139F5"/>
    <w:rsid w:val="00A16417"/>
    <w:rsid w:val="00A22743"/>
    <w:rsid w:val="00A2369D"/>
    <w:rsid w:val="00A26E73"/>
    <w:rsid w:val="00A3132B"/>
    <w:rsid w:val="00A31EE2"/>
    <w:rsid w:val="00A331A4"/>
    <w:rsid w:val="00A346D2"/>
    <w:rsid w:val="00A365F4"/>
    <w:rsid w:val="00A40941"/>
    <w:rsid w:val="00A47D80"/>
    <w:rsid w:val="00A53132"/>
    <w:rsid w:val="00A561E2"/>
    <w:rsid w:val="00A563F2"/>
    <w:rsid w:val="00A566E8"/>
    <w:rsid w:val="00A6243E"/>
    <w:rsid w:val="00A66765"/>
    <w:rsid w:val="00A810F9"/>
    <w:rsid w:val="00A82B4F"/>
    <w:rsid w:val="00A86ECC"/>
    <w:rsid w:val="00A86FCC"/>
    <w:rsid w:val="00A91C0D"/>
    <w:rsid w:val="00A92FCC"/>
    <w:rsid w:val="00A93F92"/>
    <w:rsid w:val="00A958BB"/>
    <w:rsid w:val="00A95B20"/>
    <w:rsid w:val="00AA710D"/>
    <w:rsid w:val="00AB15C4"/>
    <w:rsid w:val="00AB49CF"/>
    <w:rsid w:val="00AB4D11"/>
    <w:rsid w:val="00AB64F3"/>
    <w:rsid w:val="00AB6D25"/>
    <w:rsid w:val="00AC05F7"/>
    <w:rsid w:val="00AC30AF"/>
    <w:rsid w:val="00AC40EC"/>
    <w:rsid w:val="00AC7D79"/>
    <w:rsid w:val="00AD6B42"/>
    <w:rsid w:val="00AE1D07"/>
    <w:rsid w:val="00AE2D4B"/>
    <w:rsid w:val="00AE4F99"/>
    <w:rsid w:val="00AF7699"/>
    <w:rsid w:val="00B00018"/>
    <w:rsid w:val="00B11B69"/>
    <w:rsid w:val="00B135AA"/>
    <w:rsid w:val="00B14952"/>
    <w:rsid w:val="00B14C99"/>
    <w:rsid w:val="00B151A5"/>
    <w:rsid w:val="00B1571E"/>
    <w:rsid w:val="00B22EB6"/>
    <w:rsid w:val="00B2521D"/>
    <w:rsid w:val="00B30B4C"/>
    <w:rsid w:val="00B31401"/>
    <w:rsid w:val="00B31E5A"/>
    <w:rsid w:val="00B420EC"/>
    <w:rsid w:val="00B51187"/>
    <w:rsid w:val="00B515D5"/>
    <w:rsid w:val="00B51F98"/>
    <w:rsid w:val="00B54656"/>
    <w:rsid w:val="00B63445"/>
    <w:rsid w:val="00B653AB"/>
    <w:rsid w:val="00B65F9E"/>
    <w:rsid w:val="00B66B0E"/>
    <w:rsid w:val="00B66B19"/>
    <w:rsid w:val="00B751BE"/>
    <w:rsid w:val="00B914E9"/>
    <w:rsid w:val="00B956EE"/>
    <w:rsid w:val="00BA2BA1"/>
    <w:rsid w:val="00BA3447"/>
    <w:rsid w:val="00BA3562"/>
    <w:rsid w:val="00BA395B"/>
    <w:rsid w:val="00BA41CB"/>
    <w:rsid w:val="00BA7D8E"/>
    <w:rsid w:val="00BB05B3"/>
    <w:rsid w:val="00BB2A40"/>
    <w:rsid w:val="00BB4F09"/>
    <w:rsid w:val="00BC6430"/>
    <w:rsid w:val="00BD4E33"/>
    <w:rsid w:val="00BD5950"/>
    <w:rsid w:val="00BD5E26"/>
    <w:rsid w:val="00BE0AE9"/>
    <w:rsid w:val="00BE2EDA"/>
    <w:rsid w:val="00C01FAC"/>
    <w:rsid w:val="00C030DE"/>
    <w:rsid w:val="00C051A8"/>
    <w:rsid w:val="00C12CAB"/>
    <w:rsid w:val="00C22105"/>
    <w:rsid w:val="00C22E00"/>
    <w:rsid w:val="00C23F8C"/>
    <w:rsid w:val="00C244B6"/>
    <w:rsid w:val="00C24FEF"/>
    <w:rsid w:val="00C27BF1"/>
    <w:rsid w:val="00C3702F"/>
    <w:rsid w:val="00C4481A"/>
    <w:rsid w:val="00C4500A"/>
    <w:rsid w:val="00C4545F"/>
    <w:rsid w:val="00C50A4B"/>
    <w:rsid w:val="00C60F28"/>
    <w:rsid w:val="00C64A37"/>
    <w:rsid w:val="00C708FC"/>
    <w:rsid w:val="00C7158E"/>
    <w:rsid w:val="00C7250B"/>
    <w:rsid w:val="00C7346B"/>
    <w:rsid w:val="00C77C0E"/>
    <w:rsid w:val="00C808CE"/>
    <w:rsid w:val="00C84963"/>
    <w:rsid w:val="00C849BC"/>
    <w:rsid w:val="00C91687"/>
    <w:rsid w:val="00C924A8"/>
    <w:rsid w:val="00C945FE"/>
    <w:rsid w:val="00C96FAA"/>
    <w:rsid w:val="00C97A04"/>
    <w:rsid w:val="00CA107B"/>
    <w:rsid w:val="00CA484D"/>
    <w:rsid w:val="00CA4FB6"/>
    <w:rsid w:val="00CB2F90"/>
    <w:rsid w:val="00CC66C1"/>
    <w:rsid w:val="00CC739E"/>
    <w:rsid w:val="00CD17B8"/>
    <w:rsid w:val="00CD3F49"/>
    <w:rsid w:val="00CD58B7"/>
    <w:rsid w:val="00CD5934"/>
    <w:rsid w:val="00CE15B7"/>
    <w:rsid w:val="00CE1707"/>
    <w:rsid w:val="00CE7C89"/>
    <w:rsid w:val="00CF4099"/>
    <w:rsid w:val="00CF475E"/>
    <w:rsid w:val="00D00796"/>
    <w:rsid w:val="00D03CF0"/>
    <w:rsid w:val="00D0618C"/>
    <w:rsid w:val="00D15FCE"/>
    <w:rsid w:val="00D208D0"/>
    <w:rsid w:val="00D261A2"/>
    <w:rsid w:val="00D27A56"/>
    <w:rsid w:val="00D53C76"/>
    <w:rsid w:val="00D616D2"/>
    <w:rsid w:val="00D63B5F"/>
    <w:rsid w:val="00D70EF7"/>
    <w:rsid w:val="00D71B84"/>
    <w:rsid w:val="00D804C4"/>
    <w:rsid w:val="00D834FB"/>
    <w:rsid w:val="00D8397C"/>
    <w:rsid w:val="00D94EED"/>
    <w:rsid w:val="00D96026"/>
    <w:rsid w:val="00DA590C"/>
    <w:rsid w:val="00DA7C1C"/>
    <w:rsid w:val="00DB147A"/>
    <w:rsid w:val="00DB1B7A"/>
    <w:rsid w:val="00DB54B4"/>
    <w:rsid w:val="00DB648E"/>
    <w:rsid w:val="00DB759E"/>
    <w:rsid w:val="00DC18C8"/>
    <w:rsid w:val="00DC252A"/>
    <w:rsid w:val="00DC2717"/>
    <w:rsid w:val="00DC2AB2"/>
    <w:rsid w:val="00DC6708"/>
    <w:rsid w:val="00DD011A"/>
    <w:rsid w:val="00DD0A44"/>
    <w:rsid w:val="00DD4C9E"/>
    <w:rsid w:val="00DD69E3"/>
    <w:rsid w:val="00DE1F93"/>
    <w:rsid w:val="00DE3EC7"/>
    <w:rsid w:val="00DE6230"/>
    <w:rsid w:val="00DF04E5"/>
    <w:rsid w:val="00DF489A"/>
    <w:rsid w:val="00E01436"/>
    <w:rsid w:val="00E024A2"/>
    <w:rsid w:val="00E045BD"/>
    <w:rsid w:val="00E0629C"/>
    <w:rsid w:val="00E14080"/>
    <w:rsid w:val="00E17B77"/>
    <w:rsid w:val="00E23337"/>
    <w:rsid w:val="00E259EA"/>
    <w:rsid w:val="00E27392"/>
    <w:rsid w:val="00E31EAD"/>
    <w:rsid w:val="00E32061"/>
    <w:rsid w:val="00E424A4"/>
    <w:rsid w:val="00E42FF9"/>
    <w:rsid w:val="00E4308C"/>
    <w:rsid w:val="00E4714C"/>
    <w:rsid w:val="00E51AEB"/>
    <w:rsid w:val="00E522A7"/>
    <w:rsid w:val="00E54452"/>
    <w:rsid w:val="00E63B0C"/>
    <w:rsid w:val="00E6474C"/>
    <w:rsid w:val="00E664C5"/>
    <w:rsid w:val="00E671A2"/>
    <w:rsid w:val="00E76D26"/>
    <w:rsid w:val="00E76EE5"/>
    <w:rsid w:val="00E80573"/>
    <w:rsid w:val="00E81AC5"/>
    <w:rsid w:val="00E8669B"/>
    <w:rsid w:val="00E949CA"/>
    <w:rsid w:val="00EA0EBD"/>
    <w:rsid w:val="00EA2598"/>
    <w:rsid w:val="00EB1390"/>
    <w:rsid w:val="00EB2C71"/>
    <w:rsid w:val="00EB3333"/>
    <w:rsid w:val="00EB4340"/>
    <w:rsid w:val="00EB556D"/>
    <w:rsid w:val="00EB5A7D"/>
    <w:rsid w:val="00EB7046"/>
    <w:rsid w:val="00EC18A8"/>
    <w:rsid w:val="00ED4BFA"/>
    <w:rsid w:val="00ED55C0"/>
    <w:rsid w:val="00ED682B"/>
    <w:rsid w:val="00EE41D5"/>
    <w:rsid w:val="00EE612D"/>
    <w:rsid w:val="00EE78D9"/>
    <w:rsid w:val="00EF0255"/>
    <w:rsid w:val="00EF1440"/>
    <w:rsid w:val="00F037A4"/>
    <w:rsid w:val="00F06557"/>
    <w:rsid w:val="00F1168E"/>
    <w:rsid w:val="00F27C8F"/>
    <w:rsid w:val="00F32749"/>
    <w:rsid w:val="00F34302"/>
    <w:rsid w:val="00F356D0"/>
    <w:rsid w:val="00F37172"/>
    <w:rsid w:val="00F4477E"/>
    <w:rsid w:val="00F46269"/>
    <w:rsid w:val="00F60BA8"/>
    <w:rsid w:val="00F6294D"/>
    <w:rsid w:val="00F67D8F"/>
    <w:rsid w:val="00F748E6"/>
    <w:rsid w:val="00F802BE"/>
    <w:rsid w:val="00F80E93"/>
    <w:rsid w:val="00F86024"/>
    <w:rsid w:val="00F8611A"/>
    <w:rsid w:val="00F97952"/>
    <w:rsid w:val="00FA5128"/>
    <w:rsid w:val="00FA5D3B"/>
    <w:rsid w:val="00FB42D4"/>
    <w:rsid w:val="00FB5906"/>
    <w:rsid w:val="00FB7197"/>
    <w:rsid w:val="00FB762F"/>
    <w:rsid w:val="00FC2AED"/>
    <w:rsid w:val="00FD33B3"/>
    <w:rsid w:val="00FD5EA7"/>
    <w:rsid w:val="00FF4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78924"/>
  <w15:docId w15:val="{ED82F3AE-966F-46E1-A1D9-39325490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qFormat/>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Zawartoramki">
    <w:name w:val="Zawartość ramki"/>
    <w:basedOn w:val="Normalny"/>
    <w:qFormat/>
    <w:rsid w:val="00923EA8"/>
    <w:rPr>
      <w:color w:val="00000A"/>
    </w:rPr>
  </w:style>
  <w:style w:type="character" w:styleId="Odwoaniedokomentarza">
    <w:name w:val="annotation reference"/>
    <w:basedOn w:val="Domylnaczcionkaakapitu"/>
    <w:uiPriority w:val="99"/>
    <w:semiHidden/>
    <w:unhideWhenUsed/>
    <w:rsid w:val="00021661"/>
    <w:rPr>
      <w:sz w:val="16"/>
      <w:szCs w:val="16"/>
    </w:rPr>
  </w:style>
  <w:style w:type="paragraph" w:styleId="Tekstkomentarza">
    <w:name w:val="annotation text"/>
    <w:basedOn w:val="Normalny"/>
    <w:link w:val="TekstkomentarzaZnak"/>
    <w:uiPriority w:val="99"/>
    <w:semiHidden/>
    <w:unhideWhenUsed/>
    <w:rsid w:val="0002166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1661"/>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021661"/>
    <w:rPr>
      <w:b/>
      <w:bCs/>
    </w:rPr>
  </w:style>
  <w:style w:type="character" w:customStyle="1" w:styleId="TematkomentarzaZnak">
    <w:name w:val="Temat komentarza Znak"/>
    <w:basedOn w:val="TekstkomentarzaZnak"/>
    <w:link w:val="Tematkomentarza"/>
    <w:uiPriority w:val="99"/>
    <w:semiHidden/>
    <w:rsid w:val="00021661"/>
    <w:rPr>
      <w:rFonts w:ascii="Fira Sans" w:hAnsi="Fira Sans"/>
      <w:b/>
      <w:bCs/>
      <w:sz w:val="20"/>
      <w:szCs w:val="20"/>
    </w:rPr>
  </w:style>
  <w:style w:type="paragraph" w:styleId="Poprawka">
    <w:name w:val="Revision"/>
    <w:hidden/>
    <w:uiPriority w:val="99"/>
    <w:semiHidden/>
    <w:rsid w:val="004A6AA1"/>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5C424E"/>
    <w:rPr>
      <w:color w:val="954F72" w:themeColor="followedHyperlink"/>
      <w:u w:val="single"/>
    </w:rPr>
  </w:style>
  <w:style w:type="character" w:customStyle="1" w:styleId="czeinternetowe">
    <w:name w:val="Łącze internetowe"/>
    <w:semiHidden/>
    <w:rsid w:val="004C5BC7"/>
    <w:rPr>
      <w:rFonts w:cs="Times New Roman"/>
      <w:color w:val="0000FF"/>
      <w:u w:val="single"/>
    </w:rPr>
  </w:style>
  <w:style w:type="paragraph" w:customStyle="1" w:styleId="Tekstwstpniesformatowany">
    <w:name w:val="Tekst wstępnie sformatowany"/>
    <w:basedOn w:val="Normalny"/>
    <w:qFormat/>
    <w:rsid w:val="00725BCA"/>
    <w:rPr>
      <w:color w:val="00000A"/>
    </w:rPr>
  </w:style>
  <w:style w:type="character" w:customStyle="1" w:styleId="Nierozpoznanawzmianka1">
    <w:name w:val="Nierozpoznana wzmianka1"/>
    <w:basedOn w:val="Domylnaczcionkaakapitu"/>
    <w:uiPriority w:val="99"/>
    <w:semiHidden/>
    <w:unhideWhenUsed/>
    <w:rsid w:val="00303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780325">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5314270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89569064">
      <w:bodyDiv w:val="1"/>
      <w:marLeft w:val="0"/>
      <w:marRight w:val="0"/>
      <w:marTop w:val="0"/>
      <w:marBottom w:val="0"/>
      <w:divBdr>
        <w:top w:val="none" w:sz="0" w:space="0" w:color="auto"/>
        <w:left w:val="none" w:sz="0" w:space="0" w:color="auto"/>
        <w:bottom w:val="none" w:sz="0" w:space="0" w:color="auto"/>
        <w:right w:val="none" w:sz="0" w:space="0" w:color="auto"/>
      </w:divBdr>
    </w:div>
    <w:div w:id="211347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eader" Target="header2.xml"/><Relationship Id="rId26" Type="http://schemas.openxmlformats.org/officeDocument/2006/relationships/hyperlink" Target="https://stat.gov.pl/en/metainformations/glossary/terms-used-in-official-statistics/3774,term.html" TargetMode="External"/><Relationship Id="rId39" Type="http://schemas.openxmlformats.org/officeDocument/2006/relationships/hyperlink" Target="https://stat.gov.pl/en/metainformations/glossary/terms-used-in-official-statistics/3775,term.html" TargetMode="External"/><Relationship Id="rId21" Type="http://schemas.openxmlformats.org/officeDocument/2006/relationships/image" Target="media/image5.png"/><Relationship Id="rId34" Type="http://schemas.openxmlformats.org/officeDocument/2006/relationships/hyperlink" Target="https://stat.gov.pl/en/metainformations/glossary/terms-used-in-official-statistics/583,term.html" TargetMode="External"/><Relationship Id="rId42" Type="http://schemas.openxmlformats.org/officeDocument/2006/relationships/hyperlink" Target="https://stat.gov.pl/en/metainformations/glossary/terms-used-in-official-statistics/376,term.html" TargetMode="External"/><Relationship Id="rId47" Type="http://schemas.openxmlformats.org/officeDocument/2006/relationships/hyperlink" Target="https://stat.gov.pl/en/metainformations/glossary/terms-used-in-official-statistics/3390,term.html"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stat.gov.pl/en/metainformations/glossary/terms-used-in-official-statistics/693,term.html" TargetMode="External"/><Relationship Id="rId11" Type="http://schemas.openxmlformats.org/officeDocument/2006/relationships/endnotes" Target="endnotes.xml"/><Relationship Id="rId24" Type="http://schemas.openxmlformats.org/officeDocument/2006/relationships/hyperlink" Target="https://stat.gov.pl/en/topics/culture-tourism-sport/culture/cultural-and-creative-industries-2014-2016,12,1.html" TargetMode="External"/><Relationship Id="rId32" Type="http://schemas.openxmlformats.org/officeDocument/2006/relationships/hyperlink" Target="https://stat.gov.pl/en/metainformations/glossary/terms-used-in-official-statistics/449,term.html" TargetMode="External"/><Relationship Id="rId37" Type="http://schemas.openxmlformats.org/officeDocument/2006/relationships/hyperlink" Target="https://stat.gov.pl/en/topics/culture-tourism-sport/culture/cultural-and-creative-industries-in-2018,14,1.html" TargetMode="External"/><Relationship Id="rId40" Type="http://schemas.openxmlformats.org/officeDocument/2006/relationships/hyperlink" Target="https://stat.gov.pl/en/metainformations/glossary/terms-used-in-official-statistics/158,term.html" TargetMode="External"/><Relationship Id="rId45" Type="http://schemas.openxmlformats.org/officeDocument/2006/relationships/hyperlink" Target="https://stat.gov.pl/en/metainformations/glossary/terms-used-in-official-statistics/3806,term.html" TargetMode="Externa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image" Target="media/image7.png"/><Relationship Id="rId28" Type="http://schemas.openxmlformats.org/officeDocument/2006/relationships/hyperlink" Target="https://stat.gov.pl/en/metainformations/glossary/terms-used-in-official-statistics/158,term.html" TargetMode="External"/><Relationship Id="rId36" Type="http://schemas.openxmlformats.org/officeDocument/2006/relationships/hyperlink" Target="https://stat.gov.pl/en/topics/culture-tourism-sport/culture/cultural-and-creative-industries-2014-2016,12,1.html" TargetMode="External"/><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stat.gov.pl/en/metainformations/glossary/terms-used-in-official-statistics/395,term.html" TargetMode="External"/><Relationship Id="rId44" Type="http://schemas.openxmlformats.org/officeDocument/2006/relationships/hyperlink" Target="https://stat.gov.pl/en/metainformations/glossary/terms-used-in-official-statistics/449,term.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image" Target="media/image6.png"/><Relationship Id="rId27" Type="http://schemas.openxmlformats.org/officeDocument/2006/relationships/hyperlink" Target="https://stat.gov.pl/en/metainformations/glossary/terms-used-in-official-statistics/3775,term.html" TargetMode="External"/><Relationship Id="rId30" Type="http://schemas.openxmlformats.org/officeDocument/2006/relationships/hyperlink" Target="https://stat.gov.pl/en/metainformations/glossary/terms-used-in-official-statistics/376,term.html" TargetMode="External"/><Relationship Id="rId35" Type="http://schemas.openxmlformats.org/officeDocument/2006/relationships/hyperlink" Target="https://stat.gov.pl/en/metainformations/glossary/terms-used-in-official-statistics/3390,term.html" TargetMode="External"/><Relationship Id="rId43" Type="http://schemas.openxmlformats.org/officeDocument/2006/relationships/hyperlink" Target="https://stat.gov.pl/en/metainformations/glossary/terms-used-in-official-statistics/395,term.html" TargetMode="External"/><Relationship Id="rId48"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footer" Target="footer1.xml"/><Relationship Id="rId25" Type="http://schemas.openxmlformats.org/officeDocument/2006/relationships/hyperlink" Target="https://stat.gov.pl/en/topics/culture-tourism-sport/culture/cultural-and-creative-industries-in-2018,14,1.html" TargetMode="External"/><Relationship Id="rId33" Type="http://schemas.openxmlformats.org/officeDocument/2006/relationships/hyperlink" Target="https://stat.gov.pl/en/metainformations/glossary/terms-used-in-official-statistics/3806,term.html" TargetMode="External"/><Relationship Id="rId38" Type="http://schemas.openxmlformats.org/officeDocument/2006/relationships/hyperlink" Target="https://stat.gov.pl/en/metainformations/glossary/terms-used-in-official-statistics/3774,term.html" TargetMode="External"/><Relationship Id="rId46" Type="http://schemas.openxmlformats.org/officeDocument/2006/relationships/hyperlink" Target="https://stat.gov.pl/en/metainformations/glossary/terms-used-in-official-statistics/583,term.html" TargetMode="External"/><Relationship Id="rId20" Type="http://schemas.openxmlformats.org/officeDocument/2006/relationships/hyperlink" Target="mailto:obslugaprasowa@stat.gov.pl" TargetMode="External"/><Relationship Id="rId41" Type="http://schemas.openxmlformats.org/officeDocument/2006/relationships/hyperlink" Target="https://stat.gov.pl/en/metainformations/glossary/terms-used-in-official-statistics/693,term.htm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vmfkrk01\sk\PUBLIKACJE,%20INF.SYGNALNE\realizowane%20w%202021\informacje%20sygnalne\Przemys&#322;y%20kultury%20i%20kreatywne%20w%202019%20r\robocze\Wykresy_2018.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vmfkrk01\sk\PUBLIKACJE,%20INF.SYGNALNE\realizowane%20w%202021\informacje%20sygnalne\Przemys&#322;y%20kultury%20i%20kreatywne%20w%202019%20r\Wykresy_2019.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vmfkrk01\sk\PUBLIKACJE,%20INF.SYGNALNE\realizowane%20w%202021\informacje%20sygnalne\Przemys&#322;y%20kultury%20i%20kreatywne%20w%202019%20r\Wykresy_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1D77"/>
            </a:solidFill>
            <a:ln>
              <a:noFill/>
            </a:ln>
            <a:effectLst/>
          </c:spPr>
          <c:invertIfNegative val="0"/>
          <c:cat>
            <c:numRef>
              <c:f>'Wykres 1'!$C$4:$G$4</c:f>
              <c:numCache>
                <c:formatCode>General</c:formatCode>
                <c:ptCount val="5"/>
                <c:pt idx="0">
                  <c:v>2015</c:v>
                </c:pt>
                <c:pt idx="1">
                  <c:v>2016</c:v>
                </c:pt>
                <c:pt idx="2">
                  <c:v>2017</c:v>
                </c:pt>
                <c:pt idx="3">
                  <c:v>2018</c:v>
                </c:pt>
                <c:pt idx="4">
                  <c:v>2019</c:v>
                </c:pt>
              </c:numCache>
            </c:numRef>
          </c:cat>
          <c:val>
            <c:numRef>
              <c:f>'Wykres 1'!$C$5:$G$5</c:f>
              <c:numCache>
                <c:formatCode>General</c:formatCode>
                <c:ptCount val="5"/>
                <c:pt idx="0">
                  <c:v>94.8</c:v>
                </c:pt>
                <c:pt idx="1">
                  <c:v>100.5</c:v>
                </c:pt>
                <c:pt idx="2">
                  <c:v>108.8</c:v>
                </c:pt>
                <c:pt idx="3">
                  <c:v>117.2</c:v>
                </c:pt>
                <c:pt idx="4">
                  <c:v>121.5</c:v>
                </c:pt>
              </c:numCache>
            </c:numRef>
          </c:val>
          <c:extLst>
            <c:ext xmlns:c16="http://schemas.microsoft.com/office/drawing/2014/chart" uri="{C3380CC4-5D6E-409C-BE32-E72D297353CC}">
              <c16:uniqueId val="{00000000-C4BA-4DFE-8787-90A3B1CC35E2}"/>
            </c:ext>
          </c:extLst>
        </c:ser>
        <c:dLbls>
          <c:showLegendKey val="0"/>
          <c:showVal val="0"/>
          <c:showCatName val="0"/>
          <c:showSerName val="0"/>
          <c:showPercent val="0"/>
          <c:showBubbleSize val="0"/>
        </c:dLbls>
        <c:gapWidth val="219"/>
        <c:overlap val="-27"/>
        <c:axId val="-2081190064"/>
        <c:axId val="-2081180272"/>
      </c:barChart>
      <c:catAx>
        <c:axId val="-208119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pl-PL"/>
          </a:p>
        </c:txPr>
        <c:crossAx val="-2081180272"/>
        <c:crosses val="autoZero"/>
        <c:auto val="1"/>
        <c:lblAlgn val="ctr"/>
        <c:lblOffset val="100"/>
        <c:noMultiLvlLbl val="0"/>
      </c:catAx>
      <c:valAx>
        <c:axId val="-2081180272"/>
        <c:scaling>
          <c:orientation val="minMax"/>
          <c:max val="140"/>
          <c:min val="0"/>
        </c:scaling>
        <c:delete val="0"/>
        <c:axPos val="l"/>
        <c:majorGridlines>
          <c:spPr>
            <a:ln w="9525" cap="flat" cmpd="sng" algn="ctr">
              <a:solidFill>
                <a:srgbClr val="D9D9D9"/>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pl-PL"/>
          </a:p>
        </c:txPr>
        <c:crossAx val="-20811900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95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642284955291405"/>
          <c:y val="0.15072164948453609"/>
          <c:w val="0.38817005885147687"/>
          <c:h val="0.57125037205400875"/>
        </c:manualLayout>
      </c:layout>
      <c:pieChart>
        <c:varyColors val="1"/>
        <c:ser>
          <c:idx val="0"/>
          <c:order val="0"/>
          <c:spPr>
            <a:ln>
              <a:noFill/>
            </a:ln>
          </c:spPr>
          <c:dPt>
            <c:idx val="0"/>
            <c:bubble3D val="0"/>
            <c:spPr>
              <a:solidFill>
                <a:srgbClr val="001D77"/>
              </a:solidFill>
              <a:ln w="19050">
                <a:noFill/>
              </a:ln>
              <a:effectLst/>
            </c:spPr>
            <c:extLst>
              <c:ext xmlns:c16="http://schemas.microsoft.com/office/drawing/2014/chart" uri="{C3380CC4-5D6E-409C-BE32-E72D297353CC}">
                <c16:uniqueId val="{00000001-4A6B-429C-A8F8-6AF9E46E0A56}"/>
              </c:ext>
            </c:extLst>
          </c:dPt>
          <c:dPt>
            <c:idx val="1"/>
            <c:bubble3D val="0"/>
            <c:spPr>
              <a:solidFill>
                <a:srgbClr val="334A92"/>
              </a:solidFill>
              <a:ln w="19050">
                <a:noFill/>
              </a:ln>
              <a:effectLst/>
            </c:spPr>
            <c:extLst>
              <c:ext xmlns:c16="http://schemas.microsoft.com/office/drawing/2014/chart" uri="{C3380CC4-5D6E-409C-BE32-E72D297353CC}">
                <c16:uniqueId val="{00000002-4A6B-429C-A8F8-6AF9E46E0A56}"/>
              </c:ext>
            </c:extLst>
          </c:dPt>
          <c:dPt>
            <c:idx val="2"/>
            <c:bubble3D val="0"/>
            <c:spPr>
              <a:solidFill>
                <a:srgbClr val="6677AD"/>
              </a:solidFill>
              <a:ln w="19050">
                <a:noFill/>
              </a:ln>
              <a:effectLst/>
            </c:spPr>
            <c:extLst>
              <c:ext xmlns:c16="http://schemas.microsoft.com/office/drawing/2014/chart" uri="{C3380CC4-5D6E-409C-BE32-E72D297353CC}">
                <c16:uniqueId val="{00000003-4A6B-429C-A8F8-6AF9E46E0A56}"/>
              </c:ext>
            </c:extLst>
          </c:dPt>
          <c:dPt>
            <c:idx val="3"/>
            <c:bubble3D val="0"/>
            <c:spPr>
              <a:solidFill>
                <a:srgbClr val="99A5C9"/>
              </a:solidFill>
              <a:ln w="19050">
                <a:noFill/>
              </a:ln>
              <a:effectLst/>
            </c:spPr>
            <c:extLst>
              <c:ext xmlns:c16="http://schemas.microsoft.com/office/drawing/2014/chart" uri="{C3380CC4-5D6E-409C-BE32-E72D297353CC}">
                <c16:uniqueId val="{00000004-4A6B-429C-A8F8-6AF9E46E0A56}"/>
              </c:ext>
            </c:extLst>
          </c:dPt>
          <c:dPt>
            <c:idx val="4"/>
            <c:bubble3D val="0"/>
            <c:spPr>
              <a:solidFill>
                <a:srgbClr val="CCD2E4"/>
              </a:solidFill>
              <a:ln w="19050">
                <a:noFill/>
              </a:ln>
              <a:effectLst/>
            </c:spPr>
            <c:extLst>
              <c:ext xmlns:c16="http://schemas.microsoft.com/office/drawing/2014/chart" uri="{C3380CC4-5D6E-409C-BE32-E72D297353CC}">
                <c16:uniqueId val="{00000005-4A6B-429C-A8F8-6AF9E46E0A56}"/>
              </c:ext>
            </c:extLst>
          </c:dPt>
          <c:dPt>
            <c:idx val="5"/>
            <c:bubble3D val="0"/>
            <c:spPr>
              <a:solidFill>
                <a:srgbClr val="EBECEC"/>
              </a:solidFill>
              <a:ln w="19050">
                <a:noFill/>
              </a:ln>
              <a:effectLst/>
            </c:spPr>
            <c:extLst>
              <c:ext xmlns:c16="http://schemas.microsoft.com/office/drawing/2014/chart" uri="{C3380CC4-5D6E-409C-BE32-E72D297353CC}">
                <c16:uniqueId val="{00000006-4A6B-429C-A8F8-6AF9E46E0A56}"/>
              </c:ext>
            </c:extLst>
          </c:dPt>
          <c:dPt>
            <c:idx val="6"/>
            <c:bubble3D val="0"/>
            <c:spPr>
              <a:solidFill>
                <a:srgbClr val="D9DADA"/>
              </a:solidFill>
              <a:ln w="19050">
                <a:noFill/>
              </a:ln>
              <a:effectLst/>
            </c:spPr>
            <c:extLst>
              <c:ext xmlns:c16="http://schemas.microsoft.com/office/drawing/2014/chart" uri="{C3380CC4-5D6E-409C-BE32-E72D297353CC}">
                <c16:uniqueId val="{00000007-4A6B-429C-A8F8-6AF9E46E0A56}"/>
              </c:ext>
            </c:extLst>
          </c:dPt>
          <c:dPt>
            <c:idx val="7"/>
            <c:bubble3D val="0"/>
            <c:spPr>
              <a:solidFill>
                <a:srgbClr val="9D9E9E"/>
              </a:solidFill>
              <a:ln w="19050">
                <a:noFill/>
              </a:ln>
              <a:effectLst/>
            </c:spPr>
            <c:extLst>
              <c:ext xmlns:c16="http://schemas.microsoft.com/office/drawing/2014/chart" uri="{C3380CC4-5D6E-409C-BE32-E72D297353CC}">
                <c16:uniqueId val="{00000008-4A6B-429C-A8F8-6AF9E46E0A56}"/>
              </c:ext>
            </c:extLst>
          </c:dPt>
          <c:dPt>
            <c:idx val="8"/>
            <c:bubble3D val="0"/>
            <c:spPr>
              <a:solidFill>
                <a:srgbClr val="6F6F6F"/>
              </a:solidFill>
              <a:ln w="19050">
                <a:noFill/>
              </a:ln>
              <a:effectLst/>
            </c:spPr>
            <c:extLst>
              <c:ext xmlns:c16="http://schemas.microsoft.com/office/drawing/2014/chart" uri="{C3380CC4-5D6E-409C-BE32-E72D297353CC}">
                <c16:uniqueId val="{00000009-4A6B-429C-A8F8-6AF9E46E0A56}"/>
              </c:ext>
            </c:extLst>
          </c:dPt>
          <c:dLbls>
            <c:dLbl>
              <c:idx val="0"/>
              <c:layout>
                <c:manualLayout>
                  <c:x val="-9.8576959227590993E-2"/>
                  <c:y val="0.11412073490813646"/>
                </c:manualLayout>
              </c:layout>
              <c:tx>
                <c:rich>
                  <a:bodyPr rot="0" spcFirstLastPara="1" vertOverflow="ellipsis" vert="horz" wrap="square" lIns="38100" tIns="19050" rIns="38100" bIns="19050" anchor="ctr" anchorCtr="1">
                    <a:spAutoFit/>
                  </a:bodyPr>
                  <a:lstStyle/>
                  <a:p>
                    <a:pPr>
                      <a:defRPr sz="950" b="0" i="0" u="none" strike="noStrike" kern="1200" baseline="0">
                        <a:solidFill>
                          <a:schemeClr val="bg1"/>
                        </a:solidFill>
                        <a:latin typeface="Fira Sans" panose="020B0503050000020004" pitchFamily="34" charset="0"/>
                        <a:ea typeface="Fira Sans" panose="020B0503050000020004" pitchFamily="34" charset="0"/>
                        <a:cs typeface="+mn-cs"/>
                      </a:defRPr>
                    </a:pPr>
                    <a:r>
                      <a:rPr lang="en-US"/>
                      <a:t>23.7%</a:t>
                    </a:r>
                  </a:p>
                </c:rich>
              </c:tx>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A6B-429C-A8F8-6AF9E46E0A56}"/>
                </c:ext>
              </c:extLst>
            </c:dLbl>
            <c:dLbl>
              <c:idx val="1"/>
              <c:layout>
                <c:manualLayout>
                  <c:x val="-9.7808587814611228E-2"/>
                  <c:y val="-0.10505641691695761"/>
                </c:manualLayout>
              </c:layout>
              <c:tx>
                <c:rich>
                  <a:bodyPr rot="0" spcFirstLastPara="1" vertOverflow="ellipsis" vert="horz" wrap="square" lIns="38100" tIns="19050" rIns="38100" bIns="19050" anchor="ctr" anchorCtr="1">
                    <a:spAutoFit/>
                  </a:bodyPr>
                  <a:lstStyle/>
                  <a:p>
                    <a:pPr>
                      <a:defRPr sz="950" b="0" i="0" u="none" strike="noStrike" kern="1200" baseline="0">
                        <a:solidFill>
                          <a:schemeClr val="bg1"/>
                        </a:solidFill>
                        <a:latin typeface="Fira Sans" panose="020B0503050000020004" pitchFamily="34" charset="0"/>
                        <a:ea typeface="Fira Sans" panose="020B0503050000020004" pitchFamily="34" charset="0"/>
                        <a:cs typeface="+mn-cs"/>
                      </a:defRPr>
                    </a:pPr>
                    <a:r>
                      <a:rPr lang="en-US"/>
                      <a:t>21.9%</a:t>
                    </a:r>
                  </a:p>
                </c:rich>
              </c:tx>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chemeClr val="bg1"/>
                      </a:solidFill>
                      <a:latin typeface="Fira Sans" panose="020B0503050000020004" pitchFamily="34" charset="0"/>
                      <a:ea typeface="Fira Sans" panose="020B0503050000020004" pitchFamily="34" charset="0"/>
                      <a:cs typeface="+mn-cs"/>
                    </a:defRPr>
                  </a:pPr>
                  <a:endParaRPr lang="pl-PL"/>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A6B-429C-A8F8-6AF9E46E0A56}"/>
                </c:ext>
              </c:extLst>
            </c:dLbl>
            <c:dLbl>
              <c:idx val="2"/>
              <c:layout>
                <c:manualLayout>
                  <c:x val="4.7402945074406365E-2"/>
                  <c:y val="-0.14321508780474618"/>
                </c:manualLayout>
              </c:layout>
              <c:tx>
                <c:rich>
                  <a:bodyPr/>
                  <a:lstStyle/>
                  <a:p>
                    <a:r>
                      <a:rPr lang="en-US"/>
                      <a:t>16.8%</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A6B-429C-A8F8-6AF9E46E0A56}"/>
                </c:ext>
              </c:extLst>
            </c:dLbl>
            <c:dLbl>
              <c:idx val="3"/>
              <c:layout>
                <c:manualLayout>
                  <c:x val="0.10863896582613441"/>
                  <c:y val="-4.5685255837865625E-2"/>
                </c:manualLayout>
              </c:layout>
              <c:tx>
                <c:rich>
                  <a:bodyPr/>
                  <a:lstStyle/>
                  <a:p>
                    <a:r>
                      <a:rPr lang="en-US"/>
                      <a:t>16.4%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A6B-429C-A8F8-6AF9E46E0A56}"/>
                </c:ext>
              </c:extLst>
            </c:dLbl>
            <c:dLbl>
              <c:idx val="4"/>
              <c:layout>
                <c:manualLayout>
                  <c:x val="9.7133435905431623E-2"/>
                  <c:y val="8.6159320291149172E-2"/>
                </c:manualLayout>
              </c:layout>
              <c:tx>
                <c:rich>
                  <a:bodyPr/>
                  <a:lstStyle/>
                  <a:p>
                    <a:r>
                      <a:rPr lang="en-US"/>
                      <a:t>10.7%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A6B-429C-A8F8-6AF9E46E0A56}"/>
                </c:ext>
              </c:extLst>
            </c:dLbl>
            <c:dLbl>
              <c:idx val="5"/>
              <c:layout>
                <c:manualLayout>
                  <c:x val="5.9311728837911533E-2"/>
                  <c:y val="0.10378274496060119"/>
                </c:manualLayout>
              </c:layout>
              <c:tx>
                <c:rich>
                  <a:bodyPr/>
                  <a:lstStyle/>
                  <a:p>
                    <a:r>
                      <a:rPr lang="en-US"/>
                      <a:t>6.6%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A6B-429C-A8F8-6AF9E46E0A56}"/>
                </c:ext>
              </c:extLst>
            </c:dLbl>
            <c:dLbl>
              <c:idx val="6"/>
              <c:layout>
                <c:manualLayout>
                  <c:x val="-3.3959479118095777E-2"/>
                  <c:y val="-8.792380333901546E-3"/>
                </c:manualLayout>
              </c:layout>
              <c:tx>
                <c:rich>
                  <a:bodyPr/>
                  <a:lstStyle/>
                  <a:p>
                    <a:r>
                      <a:rPr lang="en-US"/>
                      <a:t>2.4%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A6B-429C-A8F8-6AF9E46E0A56}"/>
                </c:ext>
              </c:extLst>
            </c:dLbl>
            <c:dLbl>
              <c:idx val="7"/>
              <c:layout>
                <c:manualLayout>
                  <c:x val="-2.3191431307338268E-2"/>
                  <c:y val="-5.8371350488405443E-2"/>
                </c:manualLayout>
              </c:layout>
              <c:tx>
                <c:rich>
                  <a:bodyPr/>
                  <a:lstStyle/>
                  <a:p>
                    <a:r>
                      <a:rPr lang="en-US"/>
                      <a:t>1.2%</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A6B-429C-A8F8-6AF9E46E0A56}"/>
                </c:ext>
              </c:extLst>
            </c:dLbl>
            <c:dLbl>
              <c:idx val="8"/>
              <c:layout>
                <c:manualLayout>
                  <c:x val="5.0660295625339233E-2"/>
                  <c:y val="-3.7512785128663073E-2"/>
                </c:manualLayout>
              </c:layout>
              <c:tx>
                <c:rich>
                  <a:bodyPr/>
                  <a:lstStyle/>
                  <a:p>
                    <a:r>
                      <a:rPr lang="en-US"/>
                      <a:t>0.3%</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4A6B-429C-A8F8-6AF9E46E0A56}"/>
                </c:ext>
              </c:extLst>
            </c:dLbl>
            <c:spPr>
              <a:noFill/>
              <a:ln>
                <a:noFill/>
              </a:ln>
              <a:effectLst/>
            </c:spPr>
            <c:txPr>
              <a:bodyPr rot="0" spcFirstLastPara="1" vertOverflow="ellipsis" vert="horz" wrap="square" lIns="38100" tIns="19050" rIns="38100" bIns="19050" anchor="ctr" anchorCtr="1">
                <a:spAutoFit/>
              </a:bodyPr>
              <a:lstStyle/>
              <a:p>
                <a:pPr>
                  <a:defRPr sz="95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Wykres2_eng!$B$5:$B$13</c:f>
              <c:strCache>
                <c:ptCount val="9"/>
                <c:pt idx="0">
                  <c:v>visual arts</c:v>
                </c:pt>
                <c:pt idx="1">
                  <c:v>advertising</c:v>
                </c:pt>
                <c:pt idx="2">
                  <c:v>audiovisual arts and multimedia</c:v>
                </c:pt>
                <c:pt idx="3">
                  <c:v>books and press</c:v>
                </c:pt>
                <c:pt idx="4">
                  <c:v>architecture</c:v>
                </c:pt>
                <c:pt idx="5">
                  <c:v>performing arts</c:v>
                </c:pt>
                <c:pt idx="6">
                  <c:v>cultural education</c:v>
                </c:pt>
                <c:pt idx="7">
                  <c:v>cultural heritage</c:v>
                </c:pt>
                <c:pt idx="8">
                  <c:v>libraries and archives</c:v>
                </c:pt>
              </c:strCache>
            </c:strRef>
          </c:cat>
          <c:val>
            <c:numRef>
              <c:f>Wykres2_eng!$C$5:$C$13</c:f>
              <c:numCache>
                <c:formatCode>0.0</c:formatCode>
                <c:ptCount val="9"/>
                <c:pt idx="0">
                  <c:v>23.7</c:v>
                </c:pt>
                <c:pt idx="1">
                  <c:v>21.9</c:v>
                </c:pt>
                <c:pt idx="2">
                  <c:v>16.8</c:v>
                </c:pt>
                <c:pt idx="3">
                  <c:v>16.399999999999999</c:v>
                </c:pt>
                <c:pt idx="4">
                  <c:v>10.7</c:v>
                </c:pt>
                <c:pt idx="5">
                  <c:v>6.6</c:v>
                </c:pt>
                <c:pt idx="6">
                  <c:v>2.4</c:v>
                </c:pt>
                <c:pt idx="7">
                  <c:v>1.2</c:v>
                </c:pt>
                <c:pt idx="8">
                  <c:v>0.3</c:v>
                </c:pt>
              </c:numCache>
            </c:numRef>
          </c:val>
          <c:extLst>
            <c:ext xmlns:c16="http://schemas.microsoft.com/office/drawing/2014/chart" uri="{C3380CC4-5D6E-409C-BE32-E72D297353CC}">
              <c16:uniqueId val="{00000000-4A6B-429C-A8F8-6AF9E46E0A5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3723168595286882E-2"/>
          <c:y val="0.80121546662337295"/>
          <c:w val="0.97401224846894163"/>
          <c:h val="0.1984981044036162"/>
        </c:manualLayout>
      </c:layout>
      <c:overlay val="0"/>
      <c:spPr>
        <a:noFill/>
        <a:ln>
          <a:noFill/>
        </a:ln>
        <a:effectLst/>
      </c:spPr>
      <c:txPr>
        <a:bodyPr rot="0" spcFirstLastPara="1" vertOverflow="ellipsis" vert="horz" wrap="square" anchor="ctr" anchorCtr="1"/>
        <a:lstStyle/>
        <a:p>
          <a:pPr>
            <a:defRPr sz="95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95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908098853234749E-2"/>
          <c:y val="9.2929292929292931E-2"/>
          <c:w val="0.90280755228177123"/>
          <c:h val="0.70955985047323644"/>
        </c:manualLayout>
      </c:layout>
      <c:barChart>
        <c:barDir val="col"/>
        <c:grouping val="clustered"/>
        <c:varyColors val="0"/>
        <c:ser>
          <c:idx val="0"/>
          <c:order val="0"/>
          <c:tx>
            <c:strRef>
              <c:f>'Wykres3 (2)'!$B$5</c:f>
              <c:strCache>
                <c:ptCount val="1"/>
                <c:pt idx="0">
                  <c:v>microenterprises</c:v>
                </c:pt>
              </c:strCache>
            </c:strRef>
          </c:tx>
          <c:spPr>
            <a:solidFill>
              <a:srgbClr val="001D77"/>
            </a:solidFill>
            <a:ln>
              <a:noFill/>
            </a:ln>
            <a:effectLst/>
          </c:spPr>
          <c:invertIfNegative val="0"/>
          <c:cat>
            <c:numRef>
              <c:f>'Wykres3 (2)'!$C$4:$G$4</c:f>
              <c:numCache>
                <c:formatCode>General</c:formatCode>
                <c:ptCount val="5"/>
                <c:pt idx="0">
                  <c:v>2015</c:v>
                </c:pt>
                <c:pt idx="1">
                  <c:v>2016</c:v>
                </c:pt>
                <c:pt idx="2">
                  <c:v>2017</c:v>
                </c:pt>
                <c:pt idx="3">
                  <c:v>2018</c:v>
                </c:pt>
                <c:pt idx="4">
                  <c:v>2019</c:v>
                </c:pt>
              </c:numCache>
            </c:numRef>
          </c:cat>
          <c:val>
            <c:numRef>
              <c:f>'Wykres3 (2)'!$C$5:$G$5</c:f>
              <c:numCache>
                <c:formatCode>0.0</c:formatCode>
                <c:ptCount val="5"/>
                <c:pt idx="0">
                  <c:v>5.6</c:v>
                </c:pt>
                <c:pt idx="1">
                  <c:v>5.8</c:v>
                </c:pt>
                <c:pt idx="2">
                  <c:v>6.4</c:v>
                </c:pt>
                <c:pt idx="3">
                  <c:v>8.1</c:v>
                </c:pt>
                <c:pt idx="4">
                  <c:v>9.1</c:v>
                </c:pt>
              </c:numCache>
            </c:numRef>
          </c:val>
          <c:extLst>
            <c:ext xmlns:c16="http://schemas.microsoft.com/office/drawing/2014/chart" uri="{C3380CC4-5D6E-409C-BE32-E72D297353CC}">
              <c16:uniqueId val="{00000000-A957-4615-9EC8-39A52A0C4211}"/>
            </c:ext>
          </c:extLst>
        </c:ser>
        <c:ser>
          <c:idx val="1"/>
          <c:order val="1"/>
          <c:tx>
            <c:strRef>
              <c:f>'Wykres3 (2)'!$B$6</c:f>
              <c:strCache>
                <c:ptCount val="1"/>
                <c:pt idx="0">
                  <c:v>small enterprises</c:v>
                </c:pt>
              </c:strCache>
            </c:strRef>
          </c:tx>
          <c:spPr>
            <a:solidFill>
              <a:srgbClr val="334A92"/>
            </a:solidFill>
            <a:ln>
              <a:noFill/>
            </a:ln>
            <a:effectLst/>
          </c:spPr>
          <c:invertIfNegative val="0"/>
          <c:cat>
            <c:numRef>
              <c:f>'Wykres3 (2)'!$C$4:$G$4</c:f>
              <c:numCache>
                <c:formatCode>General</c:formatCode>
                <c:ptCount val="5"/>
                <c:pt idx="0">
                  <c:v>2015</c:v>
                </c:pt>
                <c:pt idx="1">
                  <c:v>2016</c:v>
                </c:pt>
                <c:pt idx="2">
                  <c:v>2017</c:v>
                </c:pt>
                <c:pt idx="3">
                  <c:v>2018</c:v>
                </c:pt>
                <c:pt idx="4">
                  <c:v>2019</c:v>
                </c:pt>
              </c:numCache>
            </c:numRef>
          </c:cat>
          <c:val>
            <c:numRef>
              <c:f>'Wykres3 (2)'!$C$6:$G$6</c:f>
              <c:numCache>
                <c:formatCode>0.0</c:formatCode>
                <c:ptCount val="5"/>
                <c:pt idx="0">
                  <c:v>0.8</c:v>
                </c:pt>
                <c:pt idx="1">
                  <c:v>1</c:v>
                </c:pt>
                <c:pt idx="2">
                  <c:v>0.9</c:v>
                </c:pt>
                <c:pt idx="3">
                  <c:v>0.7</c:v>
                </c:pt>
                <c:pt idx="4">
                  <c:v>0.8</c:v>
                </c:pt>
              </c:numCache>
            </c:numRef>
          </c:val>
          <c:extLst>
            <c:ext xmlns:c16="http://schemas.microsoft.com/office/drawing/2014/chart" uri="{C3380CC4-5D6E-409C-BE32-E72D297353CC}">
              <c16:uniqueId val="{00000001-A957-4615-9EC8-39A52A0C4211}"/>
            </c:ext>
          </c:extLst>
        </c:ser>
        <c:ser>
          <c:idx val="2"/>
          <c:order val="2"/>
          <c:tx>
            <c:strRef>
              <c:f>'Wykres3 (2)'!$B$7</c:f>
              <c:strCache>
                <c:ptCount val="1"/>
                <c:pt idx="0">
                  <c:v>middle enterprises</c:v>
                </c:pt>
              </c:strCache>
            </c:strRef>
          </c:tx>
          <c:spPr>
            <a:solidFill>
              <a:srgbClr val="6677AD"/>
            </a:solidFill>
            <a:ln>
              <a:noFill/>
            </a:ln>
            <a:effectLst/>
          </c:spPr>
          <c:invertIfNegative val="0"/>
          <c:cat>
            <c:numRef>
              <c:f>'Wykres3 (2)'!$C$4:$G$4</c:f>
              <c:numCache>
                <c:formatCode>General</c:formatCode>
                <c:ptCount val="5"/>
                <c:pt idx="0">
                  <c:v>2015</c:v>
                </c:pt>
                <c:pt idx="1">
                  <c:v>2016</c:v>
                </c:pt>
                <c:pt idx="2">
                  <c:v>2017</c:v>
                </c:pt>
                <c:pt idx="3">
                  <c:v>2018</c:v>
                </c:pt>
                <c:pt idx="4">
                  <c:v>2019</c:v>
                </c:pt>
              </c:numCache>
            </c:numRef>
          </c:cat>
          <c:val>
            <c:numRef>
              <c:f>'Wykres3 (2)'!$C$7:$G$7</c:f>
              <c:numCache>
                <c:formatCode>0.0</c:formatCode>
                <c:ptCount val="5"/>
                <c:pt idx="0">
                  <c:v>0.8</c:v>
                </c:pt>
                <c:pt idx="1">
                  <c:v>0.3</c:v>
                </c:pt>
                <c:pt idx="2">
                  <c:v>0.9</c:v>
                </c:pt>
                <c:pt idx="3">
                  <c:v>0.6</c:v>
                </c:pt>
                <c:pt idx="4">
                  <c:v>0.9</c:v>
                </c:pt>
              </c:numCache>
            </c:numRef>
          </c:val>
          <c:extLst>
            <c:ext xmlns:c16="http://schemas.microsoft.com/office/drawing/2014/chart" uri="{C3380CC4-5D6E-409C-BE32-E72D297353CC}">
              <c16:uniqueId val="{00000002-A957-4615-9EC8-39A52A0C4211}"/>
            </c:ext>
          </c:extLst>
        </c:ser>
        <c:ser>
          <c:idx val="3"/>
          <c:order val="3"/>
          <c:tx>
            <c:strRef>
              <c:f>'Wykres3 (2)'!$B$8</c:f>
              <c:strCache>
                <c:ptCount val="1"/>
                <c:pt idx="0">
                  <c:v>large enterprises</c:v>
                </c:pt>
              </c:strCache>
            </c:strRef>
          </c:tx>
          <c:spPr>
            <a:solidFill>
              <a:srgbClr val="99A5C9"/>
            </a:solidFill>
            <a:ln>
              <a:noFill/>
            </a:ln>
            <a:effectLst/>
          </c:spPr>
          <c:invertIfNegative val="0"/>
          <c:cat>
            <c:numRef>
              <c:f>'Wykres3 (2)'!$C$4:$G$4</c:f>
              <c:numCache>
                <c:formatCode>General</c:formatCode>
                <c:ptCount val="5"/>
                <c:pt idx="0">
                  <c:v>2015</c:v>
                </c:pt>
                <c:pt idx="1">
                  <c:v>2016</c:v>
                </c:pt>
                <c:pt idx="2">
                  <c:v>2017</c:v>
                </c:pt>
                <c:pt idx="3">
                  <c:v>2018</c:v>
                </c:pt>
                <c:pt idx="4">
                  <c:v>2019</c:v>
                </c:pt>
              </c:numCache>
            </c:numRef>
          </c:cat>
          <c:val>
            <c:numRef>
              <c:f>'Wykres3 (2)'!$C$8:$G$8</c:f>
              <c:numCache>
                <c:formatCode>0.0</c:formatCode>
                <c:ptCount val="5"/>
                <c:pt idx="0">
                  <c:v>1.4</c:v>
                </c:pt>
                <c:pt idx="1">
                  <c:v>1.8</c:v>
                </c:pt>
                <c:pt idx="2">
                  <c:v>2.1</c:v>
                </c:pt>
                <c:pt idx="3">
                  <c:v>-0.7</c:v>
                </c:pt>
                <c:pt idx="4">
                  <c:v>2.4</c:v>
                </c:pt>
              </c:numCache>
            </c:numRef>
          </c:val>
          <c:extLst>
            <c:ext xmlns:c16="http://schemas.microsoft.com/office/drawing/2014/chart" uri="{C3380CC4-5D6E-409C-BE32-E72D297353CC}">
              <c16:uniqueId val="{00000003-A957-4615-9EC8-39A52A0C4211}"/>
            </c:ext>
          </c:extLst>
        </c:ser>
        <c:dLbls>
          <c:showLegendKey val="0"/>
          <c:showVal val="0"/>
          <c:showCatName val="0"/>
          <c:showSerName val="0"/>
          <c:showPercent val="0"/>
          <c:showBubbleSize val="0"/>
        </c:dLbls>
        <c:gapWidth val="219"/>
        <c:overlap val="-27"/>
        <c:axId val="-2081185712"/>
        <c:axId val="-2081182448"/>
      </c:barChart>
      <c:catAx>
        <c:axId val="-208118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081182448"/>
        <c:crosses val="autoZero"/>
        <c:auto val="1"/>
        <c:lblAlgn val="ctr"/>
        <c:lblOffset val="100"/>
        <c:noMultiLvlLbl val="0"/>
      </c:catAx>
      <c:valAx>
        <c:axId val="-2081182448"/>
        <c:scaling>
          <c:orientation val="minMax"/>
          <c:min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2081185712"/>
        <c:crosses val="autoZero"/>
        <c:crossBetween val="between"/>
      </c:valAx>
      <c:spPr>
        <a:noFill/>
        <a:ln>
          <a:noFill/>
        </a:ln>
        <a:effectLst/>
      </c:spPr>
    </c:plotArea>
    <c:legend>
      <c:legendPos val="b"/>
      <c:layout>
        <c:manualLayout>
          <c:xMode val="edge"/>
          <c:yMode val="edge"/>
          <c:x val="0.17244790637729424"/>
          <c:y val="0.86309520400858986"/>
          <c:w val="0.65988315976631939"/>
          <c:h val="0.1288239879106020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noFill/>
    <a:ln w="9525" cap="flat" cmpd="sng" algn="ctr">
      <a:noFill/>
      <a:round/>
    </a:ln>
    <a:effectLst/>
  </c:spPr>
  <c:txPr>
    <a:bodyPr/>
    <a:lstStyle/>
    <a:p>
      <a:pPr>
        <a:defRPr sz="9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writefull-cache xmlns="urn:writefull-cache:Suggestions">{"suggestions":{"d7d3c94940e66e7087caa2a863a7c1ad":{"text":"Cultural and creative industries in 2019","suggestions":[]},"896c93c2e53aaab2e0cccac0731efa78":{"text":"In 2019 121.5 thousand enterprises belonging to the cultural and creative industries carried out the activity.","suggestions":[]},"05efa746f57ca1c1896b4ebd354a6ccb":{"text":"The overwhelming majority of entities (99%) were microenterprises, comprising 72.7% of those working in the area of cultural and creative industries.","suggestions":[]},"69f917ddaae1b52eb44c920bf81d3db6":{"text":"Gross monthly salary per employee amounted to PLN 6,458 and was higher by PLN 1,290 in comparison with all non-financial enterprises.","suggestions":[{"context":" with all non-financial enterprise","index":0,"length":13,"suggestions":[{"score":0.9642883690650253,"word":"nonfinancial"},{"score":0.035711630934974675,"word":"non-financial"}],"type":"punctuation:hyphen","word":"non-financial","text":"Gross monthly salary per employee amounted to PLN 6,458 and was higher by PLN 1,290 in comparison with all non-financial enterprises.","uuid":"acab864e-158e-4793-a070-369065bb71b6","sentenceUUID":"2d74cb83-8d4c-4668-b170-a4d25f958f73","indexExtendedContext":29,"extendedContext":"1,290 in comparison with all non-financial enterprises.","contextRange":{"uuid":"294010ca-b1ff-44bf-9041-7d2d3f92d77a","items":["-"]},"sentenceIndex":2,"paragraphIndex":1,"idx":3}]},"a773f9e05c2ed6d14f9371c0e1722ed3":{"text":"The foreign trade in cultural and creative goods and services was characterised by a positive turnover balance.","suggestions":[]},"d41d8cd98f00b204e9800998ecf8427e":{"text":"","suggestions":[]},"18e1b64de65d8aea7e6c69ac5a728589":{"text":"The number and types of enterprises belonging to the cultural and creative industries","suggestions":[]},"9393f1420fa04e0458ca7e9a121e5628":{"text":"In recent years, the number of enterprises which activities are classified as cultural and creative industries has been growing systematically.","suggestions":[]},"04e1d869a023e21e3f223794ef591389":{"text":"In 2019, it reached the level of 121.5 thousands entities operating in various fields of broadly understood culture.","suggestions":[]},"50d8a2ce88f138544c6749a9fe61d761":{"text":"The most-represented domains of culture in 2019 were:","suggestions":[{"context":"The most-represented domains of","index":1,"length":16,"suggestions":[{"score":0.9983683859066823,"word":"most represented"},{"score":0.0016316140933176597,"word":"most-represented"}],"type":"punctuation:hyphen","word":"most-represented","text":"The most-represented domains of culture in 2019 were:","uuid":"31bc5b86-8991-4c1f-aa46-8e904c3a74d9","sentenceUUID":"2618a393-3951-4871-bf73-fccebc983215","indexExtendedContext":null,"extendedContext":"The most-represented domains of culture in 2019","contextRange":{"uuid":"a57e9859-17ba-4410-beb0-fc5a1e9f5ab3","items":["-"]},"sentenceIndex":2,"paragraphIndex":3,"idx":9}]},"4fbc919b417d3c8cab31411102f5407b":{"text":"Visual arts(28.7 thousand entities) followed by Audiovisual arts and multimedia (20.4 thousand entities) and Books and the press (19.9 thousand entities).","suggestions":[{"context":"Books and the press (19.","index":2,"length":9,"suggestions":[{"score":0.9839320463015154,"word":"press"},{"score":0.01606795369848458,"word":"the press"}],"type":"grammar:article","word":"the press","text":"Visual arts(28.7 thousand entities) followed by Audiovisual arts and multimedia (20.4 thousand entities) and Books and the press (19.9 thousand entities).","uuid":"fd3b1e4b-c303-4a09-a7a5-9235c9ad4bd5","sentenceUUID":"3cf4b4ee-bcfa-489d-9518-c51639d70dbe","indexExtendedContext":33,"extendedContext":"thousand entities) and Books and the press (19.9 thousand entities).","contextRange":{"uuid":"93727c93-ffc8-4f3a-8645-0f624ed5cdfd","items":["-"]},"sentenceIndex":3,"paragraphIndex":3,"idx":10}]},"4850dcacdc6f4cf69a009c6e0de6e7c6":{"text":"As compared with 2018 the highest raise in the number of operating entreprises was observed in the domain Visual arts (a raise by 8.6 percentage points).","suggestions":[{"context":" compared with 2018 the ","index":3,"length":4,"suggestions":[{"word":"to","score":0.7998444682178986},{"word":"with","score":0.20015553178210152}],"word":"with","type":"vocabulary:confusing-words","text":"As compared with 2018 the highest raise in the number of operating entreprises was observed in the domain Visual arts (a raise by 8.6 percentage points).","uuid":"d485d659-0c40-4ff3-a351-9e4586f06f10","sentenceUUID":"41a79b01-3bfb-4dc4-8f36-ddadde5987e9","indexExtendedContext":null,"extendedContext":"As compared with 2018 the highest raise in","contextRange":{"uuid":"ca9953f0-b19d-4730-8e12-42ee1cce427e","items":["-"]},"sentenceIndex":0,"paragraphIndex":4,"idx":12},{"context":"ared with 2018 the highe","index":4,"length":4,"suggestions":[{"score":0.9467005168896188,"word":"2018,"},{"score":0.05329948311038123,"word":"2018"}],"type":"punctuation:comma","word":"2018","text":"As compared with 2018 the highest raise in the number of operating entreprises was observed in the domain Visual arts (a raise by 8.6 percentage points).","uuid":"e0d32066-0ace-45a4-ab1f-880f1c6dc921","sentenceUUID":"41a79b01-3bfb-4dc4-8f36-ddadde5987e9","indexExtendedContext":null,"extendedContext":"As compared with 2018 the highest raise in the","contextRange":{"uuid":"b7349a4f-a98d-43d6-ab28-3bedbfe9bc0e","items":["-"]},"sentenceIndex":0,"paragraphIndex":4,"idx":12},{"context":"operating entreprises was observ","index":5,"length":11,"suggestions":[{"score":0.997919731311272,"word":"enterprises"},{"score":0.002080268688727985,"word":"entreprises"}],"type":"spelling","word":"entreprises","text":"As compared with 2018 the highest raise in the number of operating entreprises was observed in the domain Visual arts (a raise by 8.6 percentage points).","uuid":"b0d6ae8b-938d-402b-ad4e-cdc3a63c8989","sentenceUUID":"41a79b01-3bfb-4dc4-8f36-ddadde5987e9","indexExtendedContext":27,"extendedContext":"in the number of operating entreprises was observed in the domain","contextRange":{"uuid":"e5476b60-fe72-4488-99ad-61ebf3b840bb","items":["-"]},"sentenceIndex":0,"paragraphIndex":4,"idx":12}]},"6fa47a754ec861f6bd88b96e8c0f1bf1":{"text":"A relatively major increase was also seen among entrepresises pertaining to Audiovisual arts and multimedia domain (by 4.0 percentage points).","suggestions":[{"context":"ultimedia domain (by 4.0 pe","index":6,"length":6,"suggestions":[{"score":0.9709074864248387,"word":"domains"},{"score":0.029092513575161273,"word":"domain"}],"type":"grammar:noun_number","word":"domain","text":"A relatively major increase was also seen among entrepresises pertaining to Audiovisual arts and multimedia domain (by 4.0 percentage points).","uuid":"dd7dcaa5-7187-4630-9464-b6b54c5ea4fa","sentenceUUID":"995b3994-5b46-4f5c-828f-792e6c359f9b","indexExtendedContext":32,"extendedContext":"Audiovisual arts and multimedia domain (by 4.0 percentage points).","contextRange":{"uuid":"183ee79b-a0ab-4114-85e6-97fd6acf02cc","items":["-"]},"sentenceIndex":1,"paragraphIndex":4,"idx":13}]},"14171870a334a1db80520f0fa18df682":{"text":"By contrast the sharpest decrease was recorded in the domain Books and the press (by 6.7 percentage points).","suggestions":[{"context":"By contrast the sharp","index":7,"length":8,"suggestions":[{"score":0.9524239727448213,"word":"contrast,"},{"score":0.04757602725517872,"word":"contrast"}],"type":"punctuation:comma","word":"contrast","text":"By contrast the sharpest decrease was recorded in the domain Books and the press (by 6.7 percentage points).","uuid":"3ac41a8a-5a31-4261-8e0e-e1f5a15f5a27","sentenceUUID":"377f6639-589e-47c4-92ee-4ee85abadc21","indexExtendedContext":null,"extendedContext":"By contrast the sharpest decrease was","contextRange":{"uuid":"ae9ddad3-dd85-432c-8997-5b0759a12060","items":["-"]},"sentenceIndex":2,"paragraphIndex":4,"idx":14},{"context":"he domain Books and the pr","index":8,"length":5,"suggestions":[{"score":0.9737641850146399,"word":"books"},{"score":0.026235814985360064,"word":"Books"}],"type":"spelling:capitalization","word":"Books","text":"By contrast the sharpest decrease was recorded in the domain Books and the press (by 6.7 percentage points).","uuid":"7dae7d08-d31d-4191-9636-3d08de43e19b","sentenceUUID":"377f6639-589e-47c4-92ee-4ee85abadc21","indexExtendedContext":27,"extendedContext":"was recorded in the domain Books and the press (by 6.7 percentage","contextRange":{"uuid":"f91b8bd8-2272-4c04-8ebd-47b3c8668eeb","items":["-"]},"sentenceIndex":2,"paragraphIndex":4,"idx":14}]},"a464403f2530464f947ed2b19eff3e6a":{"text":"Chart 1.","suggestions":[]},"93b69f785069e7c21932f01f81482398":{"text":"Number of enterprises belonging to the cultural and creative industries","suggestions":[]},"7f8c42ce14041397d64d9e426e578cf9":{"text":"The majority of entities were organised in the form of microenterprises (99% of all entities classified as cultural and creative industries).","suggestions":[{"context":"jority of entities were organ","index":9,"length":8,"suggestions":[{"score":0.6652730146778495,"word":"the entities"},{"score":0.3347269853221505,"word":"entities"}],"type":"grammar:article","word":"entities","text":"The majority of entities were organised in the form of microenterprises (99% of all entities classified as cultural and creative industries).","uuid":"37b3066a-2397-460e-99f5-2cda01e58d02","sentenceUUID":"7b961b22-27b3-41a9-b9d9-92ebc51cfd66","indexExtendedContext":null,"extendedContext":"The majority of entities were organised in the form","contextRange":{"uuid":"654bc48b-1bd9-430c-bc4d-aacdb34460e7","items":["-"]},"sentenceIndex":0,"paragraphIndex":7,"idx":19}]},"2e43e0e16a8ced67ef2af05d9e3011bf":{"text":"In total, in 2019 there were 120.3 thousand of them, which accounted for 5.6% of all non-financial microenterprises.","suggestions":[{"context":"6% of all non-financial microenter","index":10,"length":13,"suggestions":[{"score":0.9665263125451119,"word":"nonfinancial"},{"score":0.03347368745488809,"word":"non-financial"}],"type":"punctuation:hyphen","word":"non-financial","text":"In total, in 2019 there were 120.3 thousand of them, which accounted for 5.6% of all non-financial microenterprises.","uuid":"a9b72902-40dc-40e0-87b6-70f324fbfaea","sentenceUUID":"69699a22-00b7-4a83-aad8-a97220415dce","indexExtendedContext":26,"extendedContext":"accounted for 5.6% of all non-financial microenterprises.","contextRange":{"uuid":"53afc2a1-f84d-4ff2-a744-427901b64947","items":["-"]},"sentenceIndex":1,"paragraphIndex":7,"idx":20}]},"901c7e400014f18c9be31d1eacaf4f71":{"text":"In the remaining enterprise size classes, the share of cultural and creative industries in the group of non-financial enterprises was as follows: small – 1.9%, medium – 1.2%, large – 1.2%.","suggestions":[{"context":" group of non-financial enterprise","index":11,"length":13,"suggestions":[{"score":0.9670886160519684,"word":"nonfinancial"},{"score":0.032911383948031656,"word":"non-financial"}],"type":"punctuation:hyphen","word":"non-financial","text":"In the remaining enterprise size classes, the share of cultural and creative industries in the group of non-financial enterprises was as follows: small – 1.9%, medium – 1.2%, large – 1.2%.","uuid":"d7d42471-1dde-46d7-b34a-3d758a9d6be8","sentenceUUID":"ae278e3c-7776-4dd8-b0a0-813d100c63be","indexExtendedContext":27,"extendedContext":"industries in the group of non-financial enterprises was as follows:","contextRange":{"uuid":"5703d1a5-9d9e-4393-b924-b3cecd42c3f3","items":["-"]},"sentenceIndex":2,"paragraphIndex":7,"idx":21}]},"7450f1dab4d3aa5bc6ab0b7ffc3a0f80":{"text":"Chart 2.","suggestions":[]},"5876d55e090c3f2168fd6839e70353c2":{"text":"The structure of entities belonging to the cultural and creative industries by domains of culture in 2019","suggestions":[{"context":"stries by domains of culture","index":12,"length":7,"suggestions":[{"score":0.9307971445165334,"word":"domain"},{"score":0.06920285548346656,"word":"domains"}],"type":"grammar:noun_number","word":"domains","text":"The structure of entities belonging to the cultural and creative industries by domains of culture in 2019","uuid":"49b88eb5-63e1-4b7b-b30f-89f7e6885437","sentenceUUID":"c19c0d20-bb20-4e82-819b-4efa4c01ffc9","indexExtendedContext":27,"extendedContext":"and creative industries by domains of culture in 2019","contextRange":{"uuid":"9650c19d-d08d-4a33-94e6-6f5bcba595ef","items":["-"]},"sentenceIndex":1,"paragraphIndex":8,"idx":24}]},"3d8009ad1a03da1e9feab5fe22d72282":{"text":"Employed persons, average employment and salaries","suggestions":[]},"f8c62daafedb523eba94c43743e55888":{"text":"As of December 31, 2019, 237.7 thousand employees worked in enterprises belonging to the cultural and creative industries (3.8 thousand people less than in 2018), which accounted for 2.4% of the total number of employees in non-financial enterprises.","suggestions":[{"context":"loyees in non-financial enterprise","index":13,"length":13,"suggestions":[{"score":0.9271270145777488,"word":"nonfinancial"},{"score":0.07287298542225115,"word":"non-financial"}],"type":"punctuation:hyphen","word":"non-financial","text":"As of December 31, 2019, 237.7 thousand employees worked in enterprises belonging to the cultural and creative industries (3.8 thousand people less than in 2018), which accounted for 2.4% of the total number of employees in non-financial enterprises.","uuid":"96b5707d-8a61-47ae-be8d-d0b52257dc55","sentenceUUID":"0ce9a3b3-eb22-408f-aca3-66540dbb8df1","indexExtendedContext":29,"extendedContext":"total number of employees in non-financial enterprises.","contextRange":{"uuid":"11ce6278-cbdc-476a-a63f-68cd6cc9ce39","items":["-"]},"sentenceIndex":0,"paragraphIndex":10,"idx":26}]},"310458e0fbebc2ed249fbc7ac7753fef":{"text":"72.7% of employed persons were employed in microenterprises, 12.0 % – in large enterprises, 7.9% – in small enterprises and 7.3% – in medium enterprises.","suggestions":[{"context":" in small enterprises and 7.3% ","index":14,"length":11,"suggestions":[{"score":0.9705018546256722,"word":"enterprises,"},{"score":0.029498145374327825,"word":"enterprises"}],"type":"punctuation:comma","word":"enterprises","text":"72.7% of employed persons were employed in microenterprises, 12.0 % – in large enterprises, 7.9% – in small enterprises and 7.3% – in medium enterprises.","uuid":"e944ead7-5454-4624-9c6b-88b7dd1423e1","sentenceUUID":"ab441875-54ae-4d88-8d84-70c479dff57e","indexExtendedContext":29,"extendedContext":"enterprises, 7.9% – in small enterprises and 7.3% – in medium enterprises.","contextRange":{"uuid":"4ca8d8d2-8164-44db-951a-55d125c19eb4","items":["-"]},"sentenceIndex":1,"paragraphIndex":10,"idx":27}]},"8aa5effbb9c76e19ea3588cf4733b822":{"text":"Average employment analysis showed that the employment structure was slightly more balanced: microentrepreses – 38.7 thousand (38.8%), large entrepreses – 27.3 thousand (27.3%), small – 17.5 thousand (17.5%), and medium – 16.4 thousand (16.4%).","suggestions":[]},"b0c6ae49b09798dd5bcbd10861b6a2c4":{"text":"Analiza przeciętnego zatrudnienia pozwoliła stwierdzić, że struktura zatrudnienia była nieco bardziej zrównoważona: mikroprzedsiębiorstwa – 38,7 tys.","suggestions":[]},"ebc4ffcb0ccf99e48d53d3505faeef40":{"text":"(38,8%), przedsiębiorstwa duże – 27,3 tys.","suggestions":[]},"43e7055dac62a52f759691a34eda1cfc":{"text":"(27,3%), małe – 17,5 tys.","suggestions":[]},"801316878cced588d5c7ff2ad09aa535":{"text":"(17,5%), i średnie – 16,4 tys.","suggestions":[]},"46b822e5406c733277f40c4e91b2adb0":{"text":"(16,4%).","suggestions":[]},"17ce77037ec901b3f1c62b4056f61847":{"text":"Enterprises belonging to the cultural and creative industries, irrespective of the size class, were characterised by the higher gross monthly salary per employee than in all non-financial enterprises.","suggestions":[{"context":"an in all non-financial enterprise","index":15,"length":13,"suggestions":[{"score":0.9650153485234987,"word":"nonfinancial"},{"score":0.034984651476501365,"word":"non-financial"}],"type":"punctuation:hyphen","word":"non-financial","text":"Enterprises belonging to the cultural and creative industries, irrespective of the size class, were characterised by the higher gross monthly salary per employee than in all non-financial enterprises.","uuid":"ec7432ed-b7b6-4315-99d1-ebc3621b9fd5","sentenceUUID":"64bebb1e-3ef6-42ce-9f6b-ac4e58c8b284","indexExtendedContext":25,"extendedContext":"per employee than in all non-financial enterprises.","contextRange":{"uuid":"641893fb-0ad4-4e83-b6ba-0fee956be339","items":["-"]},"sentenceIndex":0,"paragraphIndex":12,"idx":36}]},"0dde480b520b0475c96aed904263a39a":{"text":"In 2019, the gross monthly salary per employee in all non-financial enterprises amounted to PLN 5,168, while in the cultural and creative industries PLN 6,458 (PLN 429 more than a year before).","suggestions":[{"context":"ee in all non-financial enterprise","index":16,"length":13,"suggestions":[{"score":0.9638192744001636,"word":"nonfinancial"},{"score":0.03618072559983643,"word":"non-financial"}],"type":"punctuation:hyphen","word":"non-financial","text":"In 2019, the gross monthly salary per employee in all non-financial enterprises amounted to PLN 5,168, while in the cultural and creative industries PLN 6,458 (PLN 429 more than a year before).","uuid":"f58eb433-52ef-47ae-b6dd-290b351d9476","sentenceUUID":"b094db53-d25e-40e8-8838-35f13c6aeddf","indexExtendedContext":27,"extendedContext":"salary per employee in all non-financial enterprises amounted to PLN","contextRange":{"uuid":"e6be5e37-4d2f-4185-9e56-d1f95ed4caa6","items":["-"]},"sentenceIndex":1,"paragraphIndex":12,"idx":37}]},"40329aee9f6d53b162442b6c1a35646d":{"text":"In microenterprises classified as cultural and creative industries, the monthly gross salary per employee was PLN 3,788 as compared to PLN 3,373 in all non-financial microenterprises.","suggestions":[{"word":"as compared to","index":17,"length":14,"context":"PLN 3,788 as compared to PLN 3,373 in all non-fi","suggestions":[{"word":"compared to","score":1},{"word":"as compared to","score":0}],"type":"style","text":"In microenterprises classified as cultural and creative industries, the monthly gross salary per employee was PLN 3,788 as compared to PLN 3,373 in all non-financial microenterprises.","uuid":"31b58178-7341-4cbf-8cce-dde0ae5f52fd","sentenceUUID":"ce34545c-86ac-4e41-9fa9-705df7305198","indexExtendedContext":27,"extendedContext":"per employee was PLN 3,788 as compared to PLN 3,373 in all non-financial","contextRange":{"uuid":"3ebe08b7-6399-4aca-9143-258526054b90","items":["-"]},"sentenceIndex":0,"paragraphIndex":13,"idx":39},{"context":"73 in all non-financial microenter","index":18,"length":13,"suggestions":[{"score":0.9685034540432551,"word":"nonfinancial"},{"score":0.03149654595674484,"word":"non-financial"}],"type":"punctuation:hyphen","word":"non-financial","text":"In microenterprises classified as cultural and creative industries, the monthly gross salary per employee was PLN 3,788 as compared to PLN 3,373 in all non-financial microenterprises.","uuid":"2b703f7d-fa30-4a05-bc04-f84d976a5f88","sentenceUUID":"ce34545c-86ac-4e41-9fa9-705df7305198","indexExtendedContext":29,"extendedContext":"compared to PLN 3,373 in all non-financial microenterprises.","contextRange":{"uuid":"6c5faf66-b618-4089-8bff-099317021df8","items":["-"]},"sentenceIndex":0,"paragraphIndex":13,"idx":39}]},"5180405fc07203fc95f4ddbeec3e159e":{"text":"Similar differences were seen in the remaining size classes of enterprises: small entities – PLN 6,925 versus PLN 4,769; medium – PLN 8,100 versus PLN 5,382, large enterprises – PLN 8,962 versus PLN 6,048.","suggestions":[]},"65f1ca433699474148f95ad875837737":{"text":"The share of gross wages and salaries in total costs in the case of enterprises belonging to the cultural and creative industries amounted to 10.5% (8.89% for non-financial enterprises).","suggestions":[{"context":"8.89% for non-financial enterprise","index":19,"length":13,"suggestions":[{"score":0.9665823158647405,"word":"nonfinancial"},{"score":0.03341768413525948,"word":"non-financial"}],"type":"punctuation:hyphen","word":"non-financial","text":"The share of gross wages and salaries in total costs in the case of enterprises belonging to the cultural and creative industries amounted to 10.5% (8.89% for non-financial enterprises).","uuid":"fe6003c5-fd3f-4ffc-b519-db6d64d89b6e","sentenceUUID":"45ebd7dc-86da-4a38-8b97-73d21c0b34fb","indexExtendedContext":29,"extendedContext":"amounted to 10.5% (8.89% for non-financial enterprises).","contextRange":{"uuid":"b26f395d-e98d-4451-9c05-618d47ed6246","items":["-"]},"sentenceIndex":2,"paragraphIndex":13,"idx":41}]},"b36eea1d808d3b0a2d5a59ba852c7816":{"text":"W mikroprzedsiębiorstwach wzrost ten wynosił 218 zł, w małych przedsiębiorstwach – 886 zł, w średnich – 106 zł, a w dużych – 1 157 zł.","suggestions":[]},"58840f9093b5316d01cf7f60057e70be":{"text":"W przypadku małych i dużych przedsiębiorstw był to niemal 15,0% wzrost, w mikroprzedsiębiorstwach procentowy wzrost wynosił 6,1.","suggestions":[]},"5d755f6499384b0842549bec741da5ae":{"text":"Compared to 2018, there is a visible increase in gross monthly salary per 1 employee in the cultural and creative industries in each size class of enterprises.","suggestions":[]},"00428259afce178803434815afa2f721":{"text":"In microenterprises this increase amounted to PLN 218, in small enterprises - PLN 886, in medium enterprises - PLN 106, and in large enterprises - PLN 1 157.","suggestions":[{"context":"In microenterprises this incr","index":20,"length":16,"suggestions":[{"score":0.7645727623871792,"word":"microenterprises,"},{"score":0.2354272376128208,"word":"microenterprises"}],"type":"punctuation:comma","word":"microenterprises","text":"In microenterprises this increase amounted to PLN 218, in small enterprises - PLN 886, in medium enterprises - PLN 106, and in large enterprises - PLN 1 157.","uuid":"767e405d-04e7-4c03-9976-261c754ee95c","sentenceUUID":"6e5f1b7d-5558-4284-8cc8-e95b4cff7965","indexExtendedContext":null,"extendedContext":"In microenterprises this increase amounted to","contextRange":{"uuid":"eaae18e4-52a1-43cc-b530-7102f00c40bb","items":["-"]},"sentenceIndex":1,"paragraphIndex":15,"idx":47}]},"4feaa602351ffed8b555fad6a16f83f2":{"text":"In the case of small and large enterprises it was a raise by almost 15.0%, while in microenterprises the increase was 6.1%.","suggestions":[{"context":"and large enterprises it was a ","index":21,"length":11,"suggestions":[{"score":0.6989409923553467,"word":"enterprises,"},{"score":0.3010590076446533,"word":"enterprises"}],"type":"punctuation:comma","word":"enterprises","text":"In the case of small and large enterprises it was a raise by almost 15.0%, while in microenterprises the increase was 6.1%.","uuid":"b4bb8c49-b74b-4c24-b121-104ca917a2fe","sentenceUUID":"3e12d80d-5773-4a6d-bd31-63c041f0b638","indexExtendedContext":28,"extendedContext":"the case of small and large enterprises it was a raise by almost","contextRange":{"uuid":"69e4b0ce-86ea-4e67-98f9-b503b5dcb150","items":["-"]},"sentenceIndex":2,"paragraphIndex":15,"idx":48},{"context":"es it was a raise by a","index":22,"length":7,"suggestions":[{"score":0.9995265892767917,"word":"raise"},{"score":0.0004734107232082867,"word":"a raise"}],"type":"grammar:article","word":"a raise","text":"In the case of small and large enterprises it was a raise by almost 15.0%, while in microenterprises the increase was 6.1%.","uuid":"51858c77-d43e-4f78-86e5-d87652ba4420","sentenceUUID":"3e12d80d-5773-4a6d-bd31-63c041f0b638","indexExtendedContext":25,"extendedContext":"large enterprises it was a raise by almost 15.0%, while in","contextRange":{"uuid":"afdb0079-f7fe-429d-94ab-aef737f9c882","items":["-"]},"sentenceIndex":2,"paragraphIndex":15,"idx":48},{"context":"s a raise by almost 15.","index":23,"length":2,"suggestions":[{"score":0.9037203145659015,"word":"of"},{"score":0.09627968543409845,"word":"by"}],"type":"grammar:prepositions","word":"by","text":"In the case of small and large enterprises it was a raise by almost 15.0%, while in microenterprises the increase was 6.1%.","uuid":"af46a4e4-d4ce-4e97-810e-9298d48170d5","sentenceUUID":"3e12d80d-5773-4a6d-bd31-63c041f0b638","indexExtendedContext":27,"extendedContext":"enterprises it was a raise by almost 15.0%, while in microenterprises","contextRange":{"uuid":"c9bc465a-8da1-47f7-89ea-556d469eeb7e","items":["-"]},"sentenceIndex":2,"paragraphIndex":15,"idx":48}]},"452bf3dfa50fcd84280a3e4d4f297b8f":{"text":"Table 1.","suggestions":[]},"207dcb8d9231f77314c60054437f1ae5":{"text":"Employed persons, average paid employment, gross wages and salaries in the cultural and creative industries in 2019","suggestions":[{"context":"nt, gross wages and salar","index":24,"length":5,"suggestions":[{"score":0.8693071603775024,"word":"wages,"},{"score":0.13069283962249756,"word":"wages"}],"type":"punctuation:comma","word":"wages","text":"Employed persons, average paid employment, gross wages and salaries in the cultural and creative industries in 2019","uuid":"bce520bf-104b-4ea6-b030-165633c6d650","sentenceUUID":"7dbe6fb9-4523-4137-9536-48b565d7b414","indexExtendedContext":31,"extendedContext":"average paid employment, gross wages and salaries in the cultural","contextRange":{"uuid":"45016059-dcba-414c-9c0c-40ac0ed241d7","items":["-"]},"sentenceIndex":1,"paragraphIndex":16,"idx":51}]},"f85a1bbbdf88ccc31bdbf2e90f06a6ff":{"text":"SPECIFICATION\r\u0007","suggestions":[]},"7e3a2bc16028e83018c0e2a4e1e69edd":{"text":"Number of persons employeda\r\u0007","suggestions":[{"context":"f persons employeda\r\u0007","index":25,"length":9,"suggestions":[{"score":0.9981288609605931,"word":"employed"},{"score":0.0018711390394069266,"word":"employeda"}],"type":"spelling","word":"employeda","text":"Number of persons employeda\r\u0007","uuid":"8255fd5d-91b2-49d0-a4ed-eae10afa1e91","sentenceUUID":"04c3094e-d35a-4b98-912a-a51af7d279e3","indexExtendedContext":null,"extendedContext":"Number of persons employeda\r\u0007","sentenceIndex":0,"paragraphIndex":18,"idx":53}]},"638021ead65a48adbeafa125877aa088":{"text":"Average paid employment\r\u0007","suggestions":[]},"8ede2e404c254fcff4b2dce26b9f1d85":{"text":"Gross wages and salaries in thousands PLN\r\u0007","suggestions":[]},"15ed4e26ebbf7a71c4e3d033747ce169":{"text":"Monthly gross wages and salaries per 1 paid employee in PLN\r\u0007","suggestions":[{"context":"wages and salaries per 1 paid","index":26,"length":8,"suggestions":[{"score":0.9348406539322704,"word":"salary"},{"score":0.06515934606772951,"word":"salaries"}],"type":"grammar:noun_number","word":"salaries","text":"Monthly gross wages and salaries per 1 paid employee in PLN\r\u0007","uuid":"496f62dd-9c46-4631-92af-ac943fbcecb8","sentenceUUID":"d39c4cb1-1c6f-4eae-b87b-d1b4f6ab24b1","indexExtendedContext":null,"extendedContext":"Monthly gross wages and salaries per 1 paid employee in PLN","contextRange":{"uuid":"ee616f64-a17f-4847-b6e2-1fa956d77ac4","items":["-"]},"sentenceIndex":0,"paragraphIndex":21,"idx":56}]},"89e74e640b8c46257a29de0616794d5d":{"text":"\u0007","suggestions":[]},"91d01d7c9540f3fb6a60e3b05f25131e":{"text":"TOTAL\r\u0007","suggestions":[]},"f8404f07c196c41c610829be999585a4":{"text":"237,693\r\u0007","suggestions":[]},"3cd819a83bc6b69649f3000704e08493":{"text":"99,909\r\u0007","suggestions":[]},"2b4a75afb8b9d28f53a23c4dc9ff7ef7":{"text":"7,742,868\r\u0007","suggestions":[]},"3c7533349ef3fb920f7c228ef7fdaa58":{"text":"6,458\r\u0007","suggestions":[]},"d08108713dcc2fefdeb87cc1d8d4b916":{"text":"Microenterprises\r\u0007","suggestions":[]},"6da7cc0c4803ff9b9190b2ffc418aff9":{"text":"172,789\r\u0007","suggestions":[]},"389c8ec75630ef26dc9213af2b93fb32":{"text":"38,738\r\u0007","suggestions":[]},"0fb61b77448cbbd14e5e28fa353fac1b":{"text":"1,761,121\r\u0007","suggestions":[]},"79f4478e726281ccb2f0e70bf0c272c7":{"text":"3,788\r\u0007","suggestions":[]},"adf20d99356a5812a3da7297cd7535fe":{"text":"Small enterprises \r\u0007","suggestions":[]},"da7cdc4c7fb93bbea5d42a988b768d0e":{"text":"18,857\r\u0007","suggestions":[]},"7a4247d844fb1ed0868a82bbd1b8eee6":{"text":"17,496\r\u0007","suggestions":[]},"ebda4445e43426b678bb1b5b88c4f97e":{"text":"1,454,008\r\u0007","suggestions":[]},"4307f9de26371c822e812e188a89c9eb":{"text":"6,925\r\u0007","suggestions":[]},"cd565826201a8f91ca39a32377ba0bf5":{"text":"Medium enterprises\r\u0007","suggestions":[]},"3c36cd842d45e5d5714fa96afd9fe4d7":{"text":"17,438\r\u0007","suggestions":[]},"4b1c0e2bf5632c7c99ab2d89e2f55410":{"text":"16,370\r\u0007","suggestions":[]},"59111affbc15b946562dd0f87794169e":{"text":"1,591,209\r\u0007","suggestions":[]},"3e9958eb5fbe652ae3bbe1f1c54d3b91":{"text":"8,100\r\u0007","suggestions":[]},"32f1b608153084a8efb2357ac2dd2cd3":{"text":"Large enterprises\r\u0007","suggestions":[]},"351e7f73e4e0a4c4053a48a801b70b46":{"text":"28,609\r\u0007","suggestions":[]},"b5a4fd301505b0798982a1d1085cefcc":{"text":"27,305\r\u0007","suggestions":[]},"2f4d47978fb181d5cf0d9cb6883d5bd6":{"text":"2,936,530\r\u0007","suggestions":[]},"21e52b9e707a015703cbb9c51141c1c6":{"text":"8,962\r\u0007","suggestions":[]},"3e17ec347c2d1f2b117692943f7265ca":{"text":"a As of December 31","suggestions":[{"context":"a As of Dece","index":27,"length":1,"suggestions":[{"score":0.9516167028432328,"word":"as"},{"score":0.0483832971567671,"word":"a"}],"type":"spelling","word":"a","text":"a As of December 31","uuid":"e5eec2b7-35b9-43ad-a152-28fbe08249e3","sentenceUUID":"fb39f754-0dcc-4fb1-ad2a-8af4eb772e44","indexExtendedContext":0,"extendedContext":"a As of December 31","contextRange":{"uuid":"94a1ea88-0569-4880-ac83-747b755cdf90","items":["-"]},"sentenceIndex":0,"paragraphIndex":53,"idx":88}]},"5058f1af8388633f609cadb75a75dc9d":{"text":".","suggestions":[]},"e83d6c3933d4a1c703cacd2bbe86922f":{"text":"Financial results","suggestions":[]},"3de3ba2c71a2000312568781a8774d5e":{"text":"In 2019, entities classified to the cultural and creative industries generated revenues of PLN 86.6 billion, with total costs of PLN 73.4 billion (comparing to the results for 2018 there was an increase of total revenues by PLN 3.2 billion and a decrease in total costs of PLN 1.2 billion).","suggestions":[{"context":"ith total costs of PLN 73.","index":28,"length":5,"suggestions":[{"score":0.9358080226301637,"word":"cost"},{"score":0.06419197736983632,"word":"costs"}],"type":"grammar:noun_number","word":"costs","text":"In 2019, entities classified to the cultural and creative industries generated revenues of PLN 86.6 billion, with total costs of PLN 73.4 billion (comparing to the results for 2018 there was an increase of total revenues by PLN 3.2 billion and a decrease in total costs of PLN 1.2 billion).","uuid":"e9f0afe0-2c71-4c33-a2cb-14804977a997","sentenceUUID":"bb161b64-05e9-4614-a8b3-65965c7fbad1","indexExtendedContext":25,"extendedContext":"86.6 billion, with total costs of PLN 73.4 billion (comparing","contextRange":{"uuid":"e1402483-3f41-4a10-a6cd-3e0f9fa99a5f","items":["-"]},"sentenceIndex":0,"paragraphIndex":56,"idx":92},{"context":" billion (comparing to the res","index":29,"length":9,"suggestions":[{"word":"compared","score":0.8301464044253796},{"word":"comparing","score":0.16985359557462043}],"type":"grammar:tense","word":"comparing","text":"In 2019, entities classified to the cultural and creative industries generated revenues of PLN 86.6 billion, with total costs of PLN 73.4 billion (comparing to the results for 2018 there was an increase of total revenues by PLN 3.2 billion and a decrease in total costs of PLN 1.2 billion).","uuid":"822093dd-9f57-45fe-9967-f6a374b62682","sentenceUUID":"bb161b64-05e9-4614-a8b3-65965c7fbad1","indexExtendedContext":27,"extendedContext":"costs of PLN 73.4 billion (comparing to the results for 2018 there","contextRange":{"uuid":"6fa2d162-53c1-4e6c-9390-628da8c688e1","items":["-"]},"sentenceIndex":0,"paragraphIndex":56,"idx":92},{"context":"sults for 2018 there was","index":30,"length":4,"suggestions":[{"score":0.7697867636414355,"word":"2018,"},{"score":0.23021323635856455,"word":"2018"}],"type":"punctuation:comma","word":"2018","text":"In 2019, entities classified to the cultural and creative industries generated revenues of PLN 86.6 billion, with total costs of PLN 73.4 billion (comparing to the results for 2018 there was an increase of total revenues by PLN 3.2 billion and a decrease in total costs of PLN 1.2 billion).","uuid":"14e05d72-f100-4b52-90cb-c823bb62394e","sentenceUUID":"bb161b64-05e9-4614-a8b3-65965c7fbad1","indexExtendedContext":30,"extendedContext":"(comparing to the results for 2018 there was an increase of","contextRange":{"uuid":"c1e0cd66-a38b-42cf-b972-5b053c2238a7","items":["-"]},"sentenceIndex":0,"paragraphIndex":56,"idx":92},{"context":" of total revenues by PLN 3.2","index":31,"length":8,"suggestions":[{"score":0.9003461872749811,"word":"revenue"},{"score":0.0996538127250189,"word":"revenues"}],"type":"grammar:noun_number","word":"revenues","text":"In 2019, entities classified to the cultural and creative industries generated revenues of PLN 86.6 billion, with total costs of PLN 73.4 billion (comparing to the results for 2018 there was an increase of total revenues by PLN 3.2 billion and a decrease in total costs of PLN 1.2 billion).","uuid":"70569207-8b60-443d-a611-f20bfd3e9a00","sentenceUUID":"bb161b64-05e9-4614-a8b3-65965c7fbad1","indexExtendedContext":25,"extendedContext":"was an increase of total revenues by PLN 3.2 billion and a","contextRange":{"uuid":"8f84e1e9-7b9a-44cc-a4ec-b1a31e90b7fa","items":["-"]},"sentenceIndex":0,"paragraphIndex":56,"idx":92},{"context":" revenues by PLN 3.2 bi","index":32,"length":2,"suggestions":[{"score":0.9094239451350488,"word":"of"},{"score":0.0905760548649512,"word":"by"}],"type":"grammar:prepositions","word":"by","text":"In 2019, entities classified to the cultural and creative industries generated revenues of PLN 86.6 billion, with total costs of PLN 73.4 billion (comparing to the results for 2018 there was an increase of total revenues by PLN 3.2 billion and a decrease in total costs of PLN 1.2 billion).","uuid":"76298b81-6298-4d35-964c-d6e50538d1b0","sentenceUUID":"bb161b64-05e9-4614-a8b3-65965c7fbad1","indexExtendedContext":27,"extendedContext":"increase of total revenues by PLN 3.2 billion and a decrease","contextRange":{"uuid":"aab91f01-fcd3-407a-878e-eebddd5930d1","items":["-"]},"sentenceIndex":0,"paragraphIndex":56,"idx":92},{"context":" in total costs of PLN 1.2","index":33,"length":5,"suggestions":[{"score":0.9256121912763047,"word":"cost"},{"score":0.07438780872369537,"word":"costs"}],"type":"grammar:noun_number","word":"costs","text":"In 2019, entities classified to the cultural and creative industries generated revenues of PLN 86.6 billion, with total costs of PLN 73.4 billion (comparing to the results for 2018 there was an increase of total revenues by PLN 3.2 billion and a decrease in total costs of PLN 1.2 billion).","uuid":"5659af82-fbd2-42ab-b5ba-f34156fdc07e","sentenceUUID":"bb161b64-05e9-4614-a8b3-65965c7fbad1","indexExtendedContext":32,"extendedContext":"billion and a decrease in total costs of PLN 1.2 billion).","contextRange":{"uuid":"b7fc5e36-b35d-4b8c-9f18-82dc451d1365","items":["-"]},"sentenceIndex":0,"paragraphIndex":56,"idx":92}]},"b1da7dd349c63b8660f0846f203a1a2d":{"text":"Therefore, as in previous years, the surplus of total revenues over total costs was recorded.","suggestions":[]},"22280b1bda4b62f3477279eb4462959a":{"text":"The cost level indicator (ratio of total costs to total revenues) for all enterprises belonging to the cultural and creative industries amounted to 84.8%, which compared to the indicator for all non-financial enterprises is lower by 8.3 percentage points – cultural and creative activities were, therefore, less cost-intensive.","suggestions":[{"context":"r for all non-financial enterprise","index":34,"length":13,"suggestions":[{"score":0.9708923549819235,"word":"nonfinancial"},{"score":0.029107645018076538,"word":"non-financial"}],"type":"punctuation:hyphen","word":"non-financial","text":"The cost level indicator (ratio of total costs to total revenues) for all enterprises belonging to the cultural and creative industries amounted to 84.8%, which compared to the indicator for all non-financial enterprises is lower by 8.3 percentage points – cultural and creative activities were, therefore, less cost-intensive.","uuid":"799a9fa4-b13f-4d1d-997f-af80a83e3c43","sentenceUUID":"44b0d20d-a35c-4819-9340-d6232793e364","indexExtendedContext":25,"extendedContext":"to the indicator for all non-financial enterprises is lower by 8.3","contextRange":{"uuid":"62970bc9-ec24-4932-8f96-ee4418aab7e7","items":["-"]},"sentenceIndex":2,"paragraphIndex":56,"idx":94}]},"2890bed653e175cc21fab9ec51789148":{"text":"Chart 3.","suggestions":[]},"9ade6172dd7e96ae155ad6df09e1b273":{"text":"The surplus of total revenues over total costs in enterprises belonging to the cultural and creative industries by enterprise size class","suggestions":[]},"6666cd76f96956469e7be39d750cc7d9":{"text":"/","suggestions":[]},"8a7de076cba27419f104f7cde719d3d7":{"text":"Total costs per 1 entity belonging to cultural and creative industries amounted to PLN 604.2 thousand (compared to PLN 2,214.6 thousand for all non-financial enterprises), while revenues – PLN 712.9 thousand PLN (compared to PLN 2,379.5 thousand).","suggestions":[{"context":"d for all non-financial enterprise","index":35,"length":13,"suggestions":[{"score":0.9702324159519147,"word":"nonfinancial"},{"score":0.02976758404808535,"word":"non-financial"}],"type":"punctuation:hyphen","word":"non-financial","text":"Total costs per 1 entity belonging to cultural and creative industries amounted to PLN 604.2 thousand (compared to PLN 2,214.6 thousand for all non-financial enterprises), while revenues – PLN 712.9 thousand PLN (compared to PLN 2,379.5 thousand).","uuid":"8a1ad506-b0ba-40e2-bcf8-af76abe7b00c","sentenceUUID":"95542a02-1334-4f06-8b20-7d5bde17632a","indexExtendedContext":25,"extendedContext":"2,214.6 thousand for all non-financial enterprises), while revenues","contextRange":{"uuid":"b1802046-7d6d-42a8-9083-b6a0e0a27e1e","items":["-"]},"sentenceIndex":0,"paragraphIndex":59,"idx":99}]},"8eaaa08b19dec28e305be0d31d70a8b4":{"text":"The share of both total revenues and total costs generated by enterprises belonging to cultural and creative industries in total revenues and total costs achieved by all non-financial enterprises was less than 2.0% (1.6% and 1.5%, respectively).","suggestions":[{"context":"oth total revenues and total ","index":36,"length":8,"suggestions":[{"score":0.9016609224372389,"word":"revenue"},{"score":0.09833907756276101,"word":"revenues"}],"type":"grammar:noun_number","word":"revenues","text":"The share of both total revenues and total costs generated by enterprises belonging to cultural and creative industries in total revenues and total costs achieved by all non-financial enterprises was less than 2.0% (1.6% and 1.5%, respectively).","uuid":"25be57c7-9a8d-44a7-a983-6b283f65c01a","sentenceUUID":"ca0cea2a-5844-472c-817b-b3028f2a5083","indexExtendedContext":null,"extendedContext":"The share of both total revenues and total costs generated","contextRange":{"uuid":"385e6065-66c0-4726-9591-f3c6bfb59f32","items":["-"]},"sentenceIndex":0,"paragraphIndex":60,"idx":101},{"context":"ed by all non-financial enterprise","index":37,"length":13,"suggestions":[{"score":0.9714067537373959,"word":"nonfinancial"},{"score":0.028593246262604073,"word":"non-financial"}],"type":"punctuation:hyphen","word":"non-financial","text":"The share of both total revenues and total costs generated by enterprises belonging to cultural and creative industries in total revenues and total costs achieved by all non-financial enterprises was less than 2.0% (1.6% and 1.5%, respectively).","uuid":"dbc8f328-f15b-40af-a3f6-2c2ba6c4c3ca","sentenceUUID":"ca0cea2a-5844-472c-817b-b3028f2a5083","indexExtendedContext":28,"extendedContext":"total costs achieved by all non-financial enterprises was less than","contextRange":{"uuid":"c294a3f6-fd15-4bb1-ac04-90589729f296","items":["-"]},"sentenceIndex":0,"paragraphIndex":60,"idx":101}]},"3b36657b69c78bbef9df8fb725ac1ddd":{"text":"In 2019, enterprises classified as cultural and creative industries generated the value added of PLN 26.9 billion (PLN 2.3 billion more than the year before), which represented 2.1% of the value added generated by all non-financial enterprises in the year under review.","suggestions":[{"context":"ed by all non-financial enterprise","index":38,"length":13,"suggestions":[{"score":0.960912145518293,"word":"nonfinancial"},{"score":0.039087854481707075,"word":"non-financial"}],"type":"punctuation:hyphen","word":"non-financial","text":"In 2019, enterprises classified as cultural and creative industries generated the value added of PLN 26.9 billion (PLN 2.3 billion more than the year before), which represented 2.1% of the value added generated by all non-financial enterprises in the year under review.","uuid":"4b063975-c5bd-42fe-8757-47e6fafa6168","sentenceUUID":"cbf51bd9-9bc7-4bc7-879a-4130a6620fe5","indexExtendedContext":29,"extendedContext":"value added generated by all non-financial enterprises in the year under","contextRange":{"uuid":"1f08dd25-1158-4b13-81b1-de54c223be71","items":["-"]},"sentenceIndex":0,"paragraphIndex":61,"idx":103}]},"52565a80dc27a90f2bc69cc9a8938225":{"text":"Calculated per enterprise, the total value added of cultural and creative industries was 2.6 times lower compared to the value added for all non-financial enterprises.","suggestions":[{"context":"d for all non-financial enterprise","index":39,"length":13,"suggestions":[{"score":0.9580542297833161,"word":"nonfinancial"},{"score":0.04194577021668386,"word":"non-financial"}],"type":"punctuation:hyphen","word":"non-financial","text":"Calculated per enterprise, the total value added of cultural and creative industries was 2.6 times lower compared to the value added for all non-financial enterprises.","uuid":"66c704a9-99e7-419d-851c-3a1237ddf5e9","sentenceUUID":"ff6c9678-1876-4993-b0bb-622a6b536f94","indexExtendedContext":27,"extendedContext":"to the value added for all non-financial enterprises.","contextRange":{"uuid":"04ffdf75-8420-4d1b-bbc6-45afc9527e65","items":["-"]},"sentenceIndex":1,"paragraphIndex":61,"idx":104}]},"aaf4d165b172b78a69c0ea2169f81fd0":{"text":"Foreign trade in cultural and creative goods and services","suggestions":[]},"b0db4d836ef05cc6d9d261185114586a":{"text":"In 2019, cultural and creative goods worth PLN 15,213.0 million,0.4% more than in 2018, were sold abroad.","suggestions":[]},"0211474bf8e9892378606e18206cdf8e":{"text":"In contrast, a decrease in the import of cultural and creative goods was observed – in 2019, cultural and creative goods worth PLN 10,040.5 million were imported to Poland (a decrease by 5.4% as compared to 2018).","suggestions":[{"word":"as compared to","index":40,"length":14,"context":"e by 5.4% as compared to 2018).","suggestions":[{"word":"compared to","score":1},{"word":"as compared to","score":0}],"type":"style","text":"In contrast, a decrease in the import of cultural and creative goods was observed – in 2019, cultural and creative goods worth PLN 10,040.5 million were imported to Poland (a decrease by 5.4% as compared to 2018).","uuid":"43807621-dfcc-4d74-a4a6-fa8f14a1e5ea","sentenceUUID":"26788adc-1796-4f3d-83ef-99535455b1f8","indexExtendedContext":27,"extendedContext":"Poland (a decrease by 5.4% as compared to 2018).","contextRange":{"uuid":"0499b5e5-c52e-4af3-9fd6-8f850955635e","items":["-"]},"sentenceIndex":1,"paragraphIndex":63,"idx":108}]},"3d7c112c924f2bde35036a1a0cbca121":{"text":"The balance of trade in cultural and creative goods in 2019 was positive and amounted to PLN 5,172.6 million (PLN 4,541.4 million in 2018).","suggestions":[]},"89e2e54448b1174519f1eb5af0b47980":{"text":"This amount confirms the growing positive trend in trade in cultural and creative goods observed in recent years.","suggestions":[]},"98484f44d1335b9e2498a111556a72f4":{"text":"Considering the domains of culture, the highest values of both the export and import of cultural and creative goods were recorded in two areas:","suggestions":[]},"94c9458a8c5a6c84a29c0b35a49a6c5f":{"text":"Audiovisual and multimedia (import – PLN 7,181.9 million, export – PLN 7,010.6 million) - most of the turnover was generated by trade in video game consoles and devices as well as recorded optical discs, incl.","suggestions":[]},"aa00393026cf5c83e9173d77b4a1292c":{"text":"DVDs.","suggestions":[]},"10184fef0ad36745e03c4d12bd98ac41":{"text":"Books and the press (that included i.a. trade in books, newspapers, dailies and magazines) came second, presenting the highest positive balance of foreign trade in cultural and create goods (PLN 4,401.8 million).","suggestions":[{"context":"Books and the press (tha","index":41,"length":9,"suggestions":[{"score":0.9144015217229701,"word":"press"},{"score":0.08559847827702992,"word":"the press"}],"type":"grammar:article","word":"the press","text":"Books and the press (that included i.a. trade in books, newspapers, dailies and magazines) came second, presenting the highest positive balance of foreign trade in cultural and create goods (PLN 4,401.8 million).","uuid":"290ac264-f909-4f99-852b-6a9cc83898f3","sentenceUUID":"44d963a3-ffa0-4fd8-b1a6-47c2b0e69f0a","indexExtendedContext":null,"extendedContext":"Books and the press (that included i.a. trade","contextRange":{"uuid":"09d092e7-8ac5-40c0-9aaa-f674bb192f73","items":["-"]},"sentenceIndex":3,"paragraphIndex":64,"idx":115},{"context":"wspapers, dailies and magaz","index":42,"length":7,"suggestions":[{"score":0.9559401238115872,"word":"dailies,"},{"score":0.04405987618841277,"word":"dailies"}],"type":"punctuation:comma","word":"dailies","text":"Books and the press (that included i.a. trade in books, newspapers, dailies and magazines) came second, presenting the highest positive balance of foreign trade in cultural and create goods (PLN 4,401.8 million).","uuid":"01e69dfe-6640-426a-9252-7324a0c50f0f","sentenceUUID":"44d963a3-ffa0-4fd8-b1a6-47c2b0e69f0a","indexExtendedContext":28,"extendedContext":"trade in books, newspapers, dailies and magazines) came second,","contextRange":{"uuid":"26a873b2-48c2-4248-bc1e-ed8b32093151","items":["-"]},"sentenceIndex":3,"paragraphIndex":64,"idx":115},{"context":"tural and create goods (PLN","index":43,"length":6,"suggestions":[{"word":"created","score":0.9817015329738301},{"word":"create","score":0.018298467026169926}],"type":"grammar:tense","word":"create","text":"Books and the press (that included i.a. trade in books, newspapers, dailies and magazines) came second, presenting the highest positive balance of foreign trade in cultural and create goods (PLN 4,401.8 million).","uuid":"5a193d1b-0f67-4563-bbbd-26a5004da205","sentenceUUID":"44d963a3-ffa0-4fd8-b1a6-47c2b0e69f0a","indexExtendedContext":30,"extendedContext":"foreign trade in cultural and create goods (PLN 4,401.8 million).","contextRange":{"uuid":"7ed592d3-b1d7-4bd9-95cd-963d066eda1a","items":["-"]},"sentenceIndex":3,"paragraphIndex":64,"idx":115}]},"c117835e408da52e6294218f37f50b6d":{"text":"Advertising (commercial catalogs, other commercial advertisements) was third with the value of export 5.5 times higher that the value of import.","suggestions":[{"context":"was third with the value","index":44,"length":4,"suggestions":[{"word":"to","score":0.7248567721636887},{"word":"with","score":0.27514322783631123}],"word":"with","type":"vocabulary:confusing-words","text":"Advertising (commercial catalogs, other commercial advertisements) was third with the value of export 5.5 times higher that the value of import.","uuid":"3953a8e2-5cb5-44c7-bdd7-42a15b549870","sentenceUUID":"334e138d-f28c-4d96-b986-679a2a2b39e4","indexExtendedContext":26,"extendedContext":"advertisements) was third with the value of export 5.5 times","contextRange":{"uuid":"b5e4842b-02a2-4d21-bc26-4c542a6739ee","items":["-"]},"sentenceIndex":4,"paragraphIndex":64,"idx":116}]},"2a9c2e53ca7f8d52fb71fe1669950969":{"text":"Large surplus of experts were recorded also in the domains of Books and the press (197.9%), Architecture (149.6%) and Visual arts (63.0%).","suggestions":[{"context":"Books and the press (197","index":45,"length":9,"suggestions":[{"score":0.9683767424282981,"word":"press"},{"score":0.03162325757170194,"word":"the press"}],"type":"grammar:article","word":"the press","text":"Large surplus of experts were recorded also in the domains of Books and the press (197.9%), Architecture (149.6%) and Visual arts (63.0%).","uuid":"f1a65d66-0bc4-459c-88d4-e2b43a1d5b9c","sentenceUUID":"48a490c6-a833-4213-ac51-4ceef6a7dc2c","indexExtendedContext":25,"extendedContext":"the domains of Books and the press (197.9%), Architecture (149.6%)","contextRange":{"uuid":"a3f5142a-6c0f-40fd-9c19-9b6d3671f3eb","items":["-"]},"sentenceIndex":5,"paragraphIndex":64,"idx":117},{"context":"hitecture (149.6%) and Visua","index":46,"length":8,"suggestions":[{"score":0.958984568103918,"word":"(149.6%),"},{"score":0.04101543189608204,"word":"(149.6%)"}],"type":"punctuation:comma","word":"(149.6%)","text":"Large surplus of experts were recorded also in the domains of Books and the press (197.9%), Architecture (149.6%) and Visual arts (63.0%).","uuid":"3e99923d-a0f3-4554-9c13-5a2c8b3db79a","sentenceUUID":"48a490c6-a833-4213-ac51-4ceef6a7dc2c","indexExtendedContext":29,"extendedContext":"press (197.9%), Architecture (149.6%) and Visual arts (63.0%).","contextRange":{"uuid":"7275e283-dec7-46e5-a5aa-279750eeb5ac","items":["-"]},"sentenceIndex":5,"paragraphIndex":64,"idx":117}]},"9064ab3185608777d3a574c62b7f04dc":{"text":"Negative trade balance was recorded in the domains of:","suggestions":[]},"c2095dd39a5ebb69b98ff4f3e97f757f":{"text":"Audiovisual arts and multimedia (- PLN 171.2 million), Performing arts (-PLN 105.1 million), Cultural heritage (- PLN 42.5 million) and Arts and crafts (- PLN 1.2 million).","suggestions":[{"context":"imedia (- PLN 171.2 mil","index":47,"length":3,"suggestions":[{"score":0.8587369194815022,"word":"PLN,"},{"score":0.1412630805184978,"word":"PLN"}],"type":"punctuation:comma","word":"PLN","text":"Audiovisual arts and multimedia (- PLN 171.2 million), Performing arts (-PLN 105.1 million), Cultural heritage (- PLN 42.5 million) and Arts and crafts (- PLN 1.2 million).","uuid":"f0718443-e9e8-4e21-b3f3-6219c39d5f90","sentenceUUID":"133952b2-7e99-40b8-9842-6d7cd6b453bf","indexExtendedContext":34,"extendedContext":"Audiovisual arts and multimedia (- PLN 171.2 million), Performing","contextRange":{"uuid":"3184835a-d2b8-4cb7-a217-d50ed8badeae","items":["-"]},"sentenceIndex":7,"paragraphIndex":64,"idx":119},{"context":"ming arts (-PLN 105.1 mil","index":48,"length":5,"suggestions":[{"score":0.8668235411223242,"word":"(-PLN,"},{"score":0.13317645887767585,"word":"(-PLN"}],"type":"punctuation:comma","word":"(-PLN","text":"Audiovisual arts and multimedia (- PLN 171.2 million), Performing arts (-PLN 105.1 million), Cultural heritage (- PLN 42.5 million) and Arts and crafts (- PLN 1.2 million).","uuid":"f5f3b2ce-35b0-4420-8298-78e0b5a6af55","sentenceUUID":"133952b2-7e99-40b8-9842-6d7cd6b453bf","indexExtendedContext":26,"extendedContext":"million), Performing arts (-PLN 105.1 million), Cultural","contextRange":{"uuid":"e383185a-42f8-41d9-b514-e212b67f536b","items":["-"]},"sentenceIndex":7,"paragraphIndex":64,"idx":119},{"context":"ritage (- PLN 42.5 mill","index":49,"length":3,"suggestions":[{"score":0.8615779959214929,"word":"PLN,"},{"score":0.1384220040785072,"word":"PLN"}],"type":"punctuation:comma","word":"PLN","text":"Audiovisual arts and multimedia (- PLN 171.2 million), Performing arts (-PLN 105.1 million), Cultural heritage (- PLN 42.5 million) and Arts and crafts (- PLN 1.2 million).","uuid":"d7fa1c3b-b6ce-41d9-a132-36812620a519","sentenceUUID":"133952b2-7e99-40b8-9842-6d7cd6b453bf","indexExtendedContext":31,"extendedContext":"million), Cultural heritage (- PLN 42.5 million) and Arts and","contextRange":{"uuid":"39308e78-7503-44b2-af74-3978035de166","items":["-"]},"sentenceIndex":7,"paragraphIndex":64,"idx":119},{"context":" PLN 42.5 million) and Arts ","index":50,"length":8,"suggestions":[{"score":0.9685079039727878,"word":"million),"},{"score":0.031492096027212146,"word":"million)"}],"type":"punctuation:comma","word":"million)","text":"Audiovisual arts and multimedia (- PLN 171.2 million), Performing arts (-PLN 105.1 million), Cultural heritage (- PLN 42.5 million) and Arts and crafts (- PLN 1.2 million).","uuid":"73914fa3-4c97-43de-a3d9-4533b7277a71","sentenceUUID":"133952b2-7e99-40b8-9842-6d7cd6b453bf","indexExtendedContext":30,"extendedContext":"Cultural heritage (- PLN 42.5 million) and Arts and crafts (- PLN","contextRange":{"uuid":"66634395-8c5f-450f-ace5-1c89a577cacc","items":["-"]},"sentenceIndex":7,"paragraphIndex":64,"idx":119}]},"b28f6ce23a00fb9b882369dc97c7bbe8":{"text":"In the structure of Poland's foreign trade, trade in cultural and creative goods was not a significant item; it accounted for 1.5% of exports and 1.0% of total imports of goods.","suggestions":[]},"039feaa47d082ed5e80dddaef1ee09cd":{"text":"As for the directions of trade in cultural and creative goods, the largest recipients of Polish goods of this type were the EU countries (93.1% of exports).","suggestions":[{"context":"s for the directions of trade i","index":51,"length":10,"suggestions":[{"score":0.997180786070287,"word":"direction"},{"score":0.00281921392971295,"word":"directions"}],"type":"grammar:noun_number","word":"directions","text":"As for the directions of trade in cultural and creative goods, the largest recipients of Polish goods of this type were the EU countries (93.1% of exports).","uuid":"55ecda6c-df3c-4775-8cf1-01da1f51cf07","sentenceUUID":"c4eb5f22-d878-4a39-8c3b-981710662670","indexExtendedContext":null,"extendedContext":"As for the directions of trade in cultural and","contextRange":{"uuid":"91e8c79a-2f0d-48fc-a196-c26cf05147c2","items":["-"]},"sentenceIndex":1,"paragraphIndex":65,"idx":122}]},"ec4e40fac883398bd3ee6238f9cc32fa":{"text":"Poland imported the most cultural and creative goods also from the EU countries (47.2% of total imports), as well as from developing countries (24.2%).","suggestions":[{"context":"ive goods also from the E","index":52,"length":9,"suggestions":[{"score":0.999660623266779,"word":"from"},{"score":0.00033937673322105696,"word":"also from"}],"type":"grammar:missing_words","word":"also from","text":"Poland imported the most cultural and creative goods also from the EU countries (47.2% of total imports), as well as from developing countries (24.2%).","uuid":"6ba61107-c0a4-4b80-98a9-0a51336ea36a","sentenceUUID":"e64d9e56-4830-4c57-a8a2-7aecc410761b","indexExtendedContext":28,"extendedContext":"cultural and creative goods also from the EU countries (47.2% of","contextRange":{"uuid":"1c63ebf3-5fec-4b7b-9dc9-3a290a4609a5","items":["-"]},"sentenceIndex":2,"paragraphIndex":65,"idx":123}]},"e827125811dfdd498427e32229b71696":{"text":"In 2019, cultural and creative services worth PLN 11,136.6 million were sold abroad, and cultural and creative services worth PLN 10,327.9 million were purchased.","suggestions":[]},"9e6ff65cf30ce1270cfad76afc578273":{"text":"The turnover of the international exchange of cultural and creative services increased more than the turnover of the exchange of cultural and creative goods.","suggestions":[]},"1954878c83ec599fdacac2016cb73ada":{"text":"Compared to 2018, the value of exported services increased by 1.6% while the value of imported services – by 1.7%.","suggestions":[]},"9914648c5db993676a8b39ef2a8a1ba4":{"text":"A positive service trade balance of PLN 808.7 million was recorded.","suggestions":[]},"3efadd33b167c5d1b2e78536a66ae90b":{"text":"The largest share in the export of cultural and creative services was recorded in domain Advertising (85.5%), followed by Audiovisual arts and multimedia (6.6%).","suggestions":[{"context":"llowed by Audiovisual arts and m","index":53,"length":11,"suggestions":[{"score":0.9503846451754763,"word":"audiovisual"},{"score":0.04961535482452377,"word":"Audiovisual"}],"type":"spelling:capitalization","word":"Audiovisual","text":"The largest share in the export of cultural and creative services was recorded in domain Advertising (85.5%), followed by Audiovisual arts and multimedia (6.6%).","uuid":"b69e32bb-5909-4b33-ad16-79124f1f3b56","sentenceUUID":"c1084eb6-1772-4e74-bb84-0df7772fafe0","indexExtendedContext":33,"extendedContext":"Advertising (85.5%), followed by Audiovisual arts and multimedia (6.6%).","contextRange":{"uuid":"65cb03d4-1ddc-455c-a469-3f64d3cf0940","items":["-"]},"sentenceIndex":0,"paragraphIndex":67,"idx":130}]},"920c26992fad48cb129b41777295e3b6":{"text":"The import structure was slightly more balanced:","suggestions":[]},"23ac1a3404f3ca170cd12ca391f01ca4":{"text":"Advertising – 58.3%, Audiovisual and Multimedia Arts – 28.7%.","suggestions":[]},"8ab483f08015eb5059f90bb8137288e0":{"text":"Cultural and creative services had only a slightly greater significance in Poland's foreign trade balance than the trade of goods.","suggestions":[]},"ceed6a05a3ecb82a320b503faa17ba5a":{"text":"Their value amounted to 4.1% and 6.2% of exports and imports of all services, respectively.","suggestions":[]},"86187743296540b03f4e5e484fde33f1":{"text":"Services included in the cultural and creative categories were mainly exported to the EU countries (67.3%); most of this type of services imported to Poland also came from there (82.8%).","suggestions":[]},"937df9cab7ebc10a885ae04f8db26fa5":{"text":"Table 2.","suggestions":[]},"21ace0635afe95eb774e7acd4745f970":{"text":"Foreign trade in cultural and creative goods and services by domains of culture in 2019","suggestions":[{"context":"rvices by domains of culture","index":54,"length":7,"suggestions":[{"score":0.9329749396193174,"word":"domain"},{"score":0.06702506038068254,"word":"domains"}],"type":"grammar:noun_number","word":"domains","text":"Foreign trade in cultural and creative goods and services by domains of culture in 2019","uuid":"07abd54a-8eb0-4b83-8513-53e8803ca0e8","sentenceUUID":"774c5d83-57bc-44c3-a423-7f74fab6cd5e","indexExtendedContext":31,"extendedContext":"creative goods and services by domains of culture in 2019","contextRange":{"uuid":"e58cf9da-3576-43b5-9e7f-61e367efaf9b","items":["-"]},"sentenceIndex":1,"paragraphIndex":69,"idx":139}]},"8c7d4b44f830c92dda65629720ac606a":{"text":"Cultural domains\r\u0007","suggestions":[]},"5f886e9661d41b57d52462a9d8634a23":{"text":"Cultural and creative goods\r\u0007","suggestions":[]},"9a74af1ef2193f248e3c8a3898a6ef13":{"text":"Cultural and creative services\r\u0007","suggestions":[{"context":"tural and creative services\r\u0007","index":55,"length":8,"suggestions":[{"score":0.9126044443800714,"word":"Creative"},{"score":0.08739555561992856,"word":"creative"}],"type":"spelling:capitalization","word":"creative","text":"Cultural and creative services\r\u0007","uuid":"3fc88f0d-cf02-4954-9ef0-a460d4eed154","sentenceUUID":"3b1c5fd0-99df-4e90-8825-b0e2693a0c75","indexExtendedContext":null,"extendedContext":"Cultural and creative services\r\u0007","sentenceIndex":0,"paragraphIndex":72,"idx":142}]},"b4927817fabc19e1a82552548b428e60":{"text":"export\r\u0007","suggestions":[]},"2feacbe53520c3f6e91017d181886ce3":{"text":"import\r\u0007","suggestions":[]},"a59c9c8f73b395ef2138ca285de8a033":{"text":"eksport\r\u0007","suggestions":[]},"1576bbfab212e4f6052e9d30c3737ef2":{"text":"in million PLN \r\u0007","suggestions":[]},"5721fe9166d7f73ab98d6bb90c131dac":{"text":"15 213,0\r\u0007","suggestions":[]},"b4bdcd6e90d61715cea87d0d25c02fc9":{"text":"10 040,5\r\u0007","suggestions":[]},"f6870e7c530bca903ae5fb03a5496393":{"text":"11 136,6\r\u0007","suggestions":[]},"ce180ad8d482c05736b039573a7f0c8b":{"text":"10 327,9\r\u0007","suggestions":[]},"52ec732bc6a371a20fce823efef89df5":{"text":"Cultural heritage \r\u0007","suggestions":[]},"a50fd3f68e3e79bd45cde0a912aeb4dc":{"text":"16,4\r\u0007","suggestions":[]},"5e4ed507ee4170fc6097e8b243a9ac81":{"text":"58,9\r\u0007","suggestions":[]},"88713040515446993faac00c080c88bc":{"text":"398,6\r\u0007","suggestions":[]},"0a4a8aa6e520018ffc53d410cd5b4bbc":{"text":"190,4\r\u0007","suggestions":[]},"a5e561c85ff24bb9f486a91b13ddbae4":{"text":"Books and the Press\r\u0007","suggestions":[]},"2aa753901b2968a2dbab98a864aeed93":{"text":"6 625,5\r\u0007","suggestions":[]},"d513c89d5cb88f9a982ec8a1b7c84f42":{"text":"2 223,7\r\u0007","suggestions":[]},"d8f799065dc6926af053c73c2dfe425a":{"text":"133,7\r\u0007","suggestions":[]},"414a80499522e03cf3591ca0c793bfd3":{"text":"479,6\r\u0007","suggestions":[]},"6ec1d80944509d1bf88032b33b9163e1":{"text":"Visual arts\r\u0007","suggestions":[]},"2a143b60546c9a5486b3e13d7a0ce86b":{"text":"172,2\r\u0007","suggestions":[]},"81e148c0a3f984c9213c9cd434359079":{"text":"105,7\r\u0007","suggestions":[]},"8356bcc9c14091489b2151628d6b21f3":{"text":"–\r\u0007","suggestions":[]},"4ec1400125cf7a7367584de50ffded68":{"text":"Architecture\r\u0007","suggestions":[]},"8ca84373d723e3a494a46fe5418dcd3e":{"text":"4,0\r\u0007","suggestions":[]},"bc1c7ff7fb81155e9b52ea975a679dfa":{"text":"1,6\r\u0007","suggestions":[]},"d45e06dcadddb278818b4b4c13083bea":{"text":"231,3\r\u0007","suggestions":[]},"5f2e27eb62de003460925aeb63d2cb26":{"text":"130,5\r\u0007","suggestions":[]},"9dca87e683cc1ac9d98659fc7b287b0b":{"text":"Performing arts \r\u0007","suggestions":[]},"d215d22ebe2d78f4910af7c1d7242572":{"text":"142,6\r\u0007","suggestions":[]},"b853bd159b743c88e4b53a1ab390e101":{"text":"247,6\r\u0007","suggestions":[]},"9d17496e00bdcb8a8770395e2b2d9369":{"text":"115,3\r\u0007","suggestions":[]},"3782bec0aa286f07751f86e8603fcc40":{"text":"547,3\r\u0007","suggestions":[]},"3f8c8d6c48c7e45d6d87ea85621a28c0":{"text":"Audiovisual arts and multimedia\r\u0007","suggestions":[]},"f805909ce5caa819b6bd7a05795d3f60":{"text":"7 010,6\r\u0007","suggestions":[]},"ffb41a98e8a04dbbd7fb8cd81b54a9c4":{"text":"7 181,9\r\u0007","suggestions":[]},"3ed303c68d3a98aa1be03d262e6c3ae8":{"text":"737,2\r\u0007","suggestions":[]},"d0021ad153d658ff868ca35873230b6e":{"text":"2 961,9\r\u0007","suggestions":[]},"d5c05717eb30a11a37b083a15352d49d":{"text":"Advertising\r\u0007","suggestions":[]},"69ce4d22f97fb609b0f912cef0ddea19":{"text":"1 241,3\r\u0007","suggestions":[]},"cce086ff682ec075610db93bb6bd43d4":{"text":"219,4\r\u0007","suggestions":[]},"159aeb773c13578ff6c0299e55927179":{"text":"9 520,5\r\u0007","suggestions":[]},"c4684b2babec3cb3a1b24e37e3ee3cba":{"text":"6 018,3\r\u0007","suggestions":[]},"b7c9bf16b9be41782ffb411061cabd36":{"text":"Arts and crafts\r\u0007","suggestions":[]},"6e5d10e6f775c006279dac20b2d2b983":{"text":"0,5\r\u0007","suggestions":[]},"6412ecc8af0339d6e62be67ec61c2520":{"text":"1,7\r\u0007","suggestions":[]},"e78dea53f3c48f684c3c4e04d1befb97":{"text":"When citing data from the Statistics Poland, please include the following information: \"Source of data of the Statistics Poland\", and in the case of publishing calculations made on the basis of data published by the Statistics Poland, please include the following information: \"Own study based on the data of the Statistics Poland\".","suggestions":[{"context":"e case of publishing calculatio","index":56,"length":10,"suggestions":[{"word":"published","score":0.8281184275599736},{"word":"publishing","score":0.17188157244002641}],"type":"grammar:tense","word":"publishing","text":"When citing data from the Statistics Poland, please include the following information: \"Source of data of the Statistics Poland\", and in the case of publishing calculations made on the basis of data published by the Statistics Poland, please include the following information: \"Own study based on the data of the Statistics Poland\".","uuid":"fba0d200-66e4-49ee-99d3-7b03d0dc7aa7","sentenceUUID":"d7c7fd30-fd22-4825-8819-57049d9ae0fd","indexExtendedContext":28,"extendedContext":"Poland\", and in the case of publishing calculations made on the","contextRange":{"uuid":"e6cda10f-e851-4f2d-8899-be65e16cfe76","items":["-"]},"sentenceIndex":0,"paragraphIndex":137,"idx":207}]},"629ee14d63f8f00948dba052cf08aead":{"text":"Prepared by:","suggestions":[]},"429e849b4cde8ecfb2781bee4f8424ef":{"text":"Statistical Office in Kraków","suggestions":[]},"ec6e14c895e46e801e340c82ebd8f25c":{"text":"Director Agnieszka Szlubowska","suggestions":[]},"e912e245084c5212d80e7d398d7fa491":{"text":"Office: tel.","suggestions":[]},"2499923ab54623124ed5b6f8a51fe47e":{"text":"(+48 22) 420 40 50","suggestions":[]},"553421b61d2b7bab58db2013b0583678":{"text":"Issued by:\u000bThe Spokeperson for the President","suggestions":[{"context":"d by:\u000bThe Spokeperson for the Pr","index":57,"length":11,"suggestions":[{"score":0.9988558351407635,"word":"Spokesperson"},{"score":0.0011441648592364673,"word":"Spokeperson"}],"type":"spelling","word":"Spokeperson","text":"Issued by:\u000bThe Spokeperson for the President","uuid":"e11ebbb9-7db8-4238-ae18-5bdc8c8ade09","sentenceUUID":"8477eb5b-eb57-481d-8fb3-100075128f49","indexExtendedContext":null,"extendedContext":"Issued by:\u000bThe Spokeperson for the President","contextRange":{"uuid":"78ed517c-b53d-4f71-94d8-33ec47f75c57","items":["-"]},"sentenceIndex":0,"paragraphIndex":143,"idx":215}]},"60aa76b1b4e184a436e6bb7eaef17b32":{"text":"of Statistics Poland","suggestions":[]},"17c1caae70fa01e357a87593835dc3c6":{"text":"Karolina Banaszek","suggestions":[]},"f5354f2a9bff49cf16167f67bdfb0455":{"text":"Mobile: (+48) 695 255 011","suggestions":[]},"559f575a8213f422aa815ce95efd0456":{"text":"Press Office","suggestions":[]},"bad2e59f7cfcfe125f31c9549e2703c1":{"text":"(+48 22) 608 34 91, 608 38 04","suggestions":[]},"c6fd3f2a134c6fb9ca650aa144bf4806":{"text":"e-mail: obslugaprasowa@stat.gov.pl\r\u0007","suggestions":[]},"8b8f36515ba9e8f8c1218e083386df75":{"text":"www.stat.gov.pl/en/\r\u0007","suggestions":[]},"2b0b8911efcbdc0b62ee7da4b29785bd":{"text":"@StatPoland\r\u0007","suggestions":[]},"3f11dc877a899d008731f9f50d9a7b20":{"text":"@GlownyUrzadStatystyczny\r\u0007","suggestions":[]}},"typeOfAccount":"premium"}</writefull-cache>
</file>

<file path=customXml/item2.xml><?xml version="1.0" encoding="utf-8"?>
<writefull-cache xmlns="urn:writefull-cache:UserChoices">{}</writefull-cache>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3.Cultural and creative industries in 2019.docx.docx</NazwaPliku>
    <_SourceUrl xmlns="http://schemas.microsoft.com/sharepoint/v3" xsi:nil="true"/>
    <Odbiorcy2 xmlns="8C029B3F-2CC4-4A59-AF0D-A90575FA3373" xsi:nil="true"/>
    <xd_ProgID xmlns="http://schemas.microsoft.com/sharepoint/v3" xsi:nil="true"/>
    <Osoba xmlns="8C029B3F-2CC4-4A59-AF0D-A90575FA3373">STAT\piwowarczykm</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6623E-5C66-4BA1-B054-11188A629FBC}">
  <ds:schemaRefs>
    <ds:schemaRef ds:uri="urn:writefull-cache:Suggestions"/>
  </ds:schemaRefs>
</ds:datastoreItem>
</file>

<file path=customXml/itemProps2.xml><?xml version="1.0" encoding="utf-8"?>
<ds:datastoreItem xmlns:ds="http://schemas.openxmlformats.org/officeDocument/2006/customXml" ds:itemID="{21EF9C17-5015-484F-8CEE-976F3E2F8380}">
  <ds:schemaRefs>
    <ds:schemaRef ds:uri="urn:writefull-cache:UserChoices"/>
  </ds:schemaRefs>
</ds:datastoreItem>
</file>

<file path=customXml/itemProps3.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8C029B3F-2CC4-4A59-AF0D-A90575FA3373"/>
  </ds:schemaRefs>
</ds:datastoreItem>
</file>

<file path=customXml/itemProps4.xml><?xml version="1.0" encoding="utf-8"?>
<ds:datastoreItem xmlns:ds="http://schemas.openxmlformats.org/officeDocument/2006/customXml" ds:itemID="{D8434EC0-B860-41BB-8CA9-3961867903BB}">
  <ds:schemaRefs>
    <ds:schemaRef ds:uri="http://schemas.openxmlformats.org/officeDocument/2006/bibliography"/>
  </ds:schemaRefs>
</ds:datastoreItem>
</file>

<file path=customXml/itemProps5.xml><?xml version="1.0" encoding="utf-8"?>
<ds:datastoreItem xmlns:ds="http://schemas.openxmlformats.org/officeDocument/2006/customXml" ds:itemID="{8728813B-5DD7-4B69-9D41-D7B115DEB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029B3F-2CC4-4A59-AF0D-A90575FA3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1631</Words>
  <Characters>9789</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 and creative industries in 2019</dc:title>
  <dc:subject>Cultural and creative industries in 2019</dc:subject>
  <dc:creator>Statistics Poland</dc:creator>
  <cp:keywords>culture; creativity; cultural domains; cultural and creative industries</cp:keywords>
  <dc:description/>
  <cp:lastPrinted>2020-03-19T22:26:00Z</cp:lastPrinted>
  <dcterms:created xsi:type="dcterms:W3CDTF">2021-03-29T06:16:00Z</dcterms:created>
  <dcterms:modified xsi:type="dcterms:W3CDTF">2021-03-29T06:16:00Z</dcterms:modified>
  <cp:category>Culture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