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EAF" w:rsidRDefault="00AB4EAF" w:rsidP="00AB4EAF">
      <w:pPr>
        <w:pStyle w:val="tytuinformacji"/>
        <w:rPr>
          <w:shd w:val="clear" w:color="auto" w:fill="FFFFFF"/>
          <w:lang w:val="en-GB"/>
        </w:rPr>
      </w:pPr>
      <w:r w:rsidRPr="00AD55F2">
        <w:rPr>
          <w:shd w:val="clear" w:color="auto" w:fill="FFFFFF"/>
          <w:lang w:val="en-GB"/>
        </w:rPr>
        <w:t>Financial results of insurance companies</w:t>
      </w:r>
      <w:r>
        <w:rPr>
          <w:shd w:val="clear" w:color="auto" w:fill="FFFFFF"/>
          <w:lang w:val="en-GB"/>
        </w:rPr>
        <w:t xml:space="preserve"> in</w:t>
      </w:r>
      <w:r w:rsidRPr="00AD55F2">
        <w:rPr>
          <w:shd w:val="clear" w:color="auto" w:fill="FFFFFF"/>
          <w:lang w:val="en-GB"/>
        </w:rPr>
        <w:t xml:space="preserve"> </w:t>
      </w:r>
      <w:r w:rsidR="001E5A26">
        <w:rPr>
          <w:shd w:val="clear" w:color="auto" w:fill="FFFFFF"/>
          <w:lang w:val="en-GB"/>
        </w:rPr>
        <w:t>2020</w:t>
      </w:r>
    </w:p>
    <w:p w:rsidR="00AB4EAF" w:rsidRPr="00AD55F2" w:rsidRDefault="00AB4EAF" w:rsidP="00AB4EAF">
      <w:pPr>
        <w:pStyle w:val="tytuinformacji"/>
        <w:rPr>
          <w:shd w:val="clear" w:color="auto" w:fill="FFFFFF"/>
          <w:lang w:val="en-GB"/>
        </w:rPr>
      </w:pPr>
    </w:p>
    <w:p w:rsidR="00AB4EAF" w:rsidRPr="00AD55F2" w:rsidRDefault="00AB4EAF" w:rsidP="00AB4EAF">
      <w:pPr>
        <w:pStyle w:val="LID"/>
        <w:spacing w:after="620"/>
        <w:rPr>
          <w:lang w:val="en-GB"/>
        </w:rPr>
      </w:pPr>
      <w:r w:rsidRPr="00074DD8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7BBD019D" wp14:editId="1CF3E07E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2F9" w:rsidRPr="0094540F" w:rsidRDefault="004162F9" w:rsidP="00AB4EAF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FF26166" wp14:editId="108F8B48">
                                  <wp:extent cx="334800" cy="334800"/>
                                  <wp:effectExtent l="0" t="0" r="8255" b="8255"/>
                                  <wp:docPr id="16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48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A1FAA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94540F">
                              <w:rPr>
                                <w:rFonts w:ascii="Fira Sans SemiBold" w:hAnsi="Fira Sans SemiBold"/>
                                <w:sz w:val="72"/>
                                <w:lang w:val="en-GB"/>
                              </w:rPr>
                              <w:t>99,3</w:t>
                            </w:r>
                          </w:p>
                          <w:p w:rsidR="004162F9" w:rsidRPr="00BA1FAA" w:rsidRDefault="004162F9" w:rsidP="00AB4E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Gross written premiums</w:t>
                            </w:r>
                            <w:r w:rsidRPr="00BA1FAA">
                              <w:rPr>
                                <w:lang w:val="en-GB"/>
                              </w:rPr>
                              <w:t xml:space="preserve"> growth </w:t>
                            </w:r>
                            <w:r>
                              <w:rPr>
                                <w:lang w:val="en-GB"/>
                              </w:rPr>
                              <w:t>rate in</w:t>
                            </w:r>
                            <w:r w:rsidRPr="00BA1FAA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D019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4162F9" w:rsidRPr="0094540F" w:rsidRDefault="004162F9" w:rsidP="00AB4EAF">
                      <w:pPr>
                        <w:spacing w:after="0" w:line="240" w:lineRule="auto"/>
                        <w:rPr>
                          <w:rFonts w:ascii="Fira Sans SemiBold" w:hAnsi="Fira Sans SemiBold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FF26166" wp14:editId="108F8B48">
                            <wp:extent cx="334800" cy="334800"/>
                            <wp:effectExtent l="0" t="0" r="8255" b="8255"/>
                            <wp:docPr id="16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48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A1FAA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94540F">
                        <w:rPr>
                          <w:rFonts w:ascii="Fira Sans SemiBold" w:hAnsi="Fira Sans SemiBold"/>
                          <w:sz w:val="72"/>
                          <w:lang w:val="en-GB"/>
                        </w:rPr>
                        <w:t>99,3</w:t>
                      </w:r>
                    </w:p>
                    <w:p w:rsidR="004162F9" w:rsidRPr="00BA1FAA" w:rsidRDefault="004162F9" w:rsidP="00AB4E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Gross written premiums</w:t>
                      </w:r>
                      <w:r w:rsidRPr="00BA1FAA">
                        <w:rPr>
                          <w:lang w:val="en-GB"/>
                        </w:rPr>
                        <w:t xml:space="preserve"> growth </w:t>
                      </w:r>
                      <w:r>
                        <w:rPr>
                          <w:lang w:val="en-GB"/>
                        </w:rPr>
                        <w:t>rate in</w:t>
                      </w:r>
                      <w:r w:rsidRPr="00BA1FAA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>2020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1252">
        <w:rPr>
          <w:lang w:val="en-GB"/>
        </w:rPr>
        <w:t>The overall net financial result</w:t>
      </w:r>
      <w:r w:rsidRPr="00AD55F2">
        <w:rPr>
          <w:lang w:val="en-GB"/>
        </w:rPr>
        <w:t xml:space="preserve"> of insurance companies </w:t>
      </w:r>
      <w:r w:rsidR="00EE1252">
        <w:rPr>
          <w:lang w:val="en-GB"/>
        </w:rPr>
        <w:t xml:space="preserve">(net profit) </w:t>
      </w:r>
      <w:r w:rsidRPr="00AD55F2">
        <w:rPr>
          <w:lang w:val="en-GB"/>
        </w:rPr>
        <w:t>in 20</w:t>
      </w:r>
      <w:r w:rsidR="00EA3E2C">
        <w:rPr>
          <w:lang w:val="en-GB"/>
        </w:rPr>
        <w:t>20</w:t>
      </w:r>
      <w:r w:rsidRPr="00AD55F2">
        <w:rPr>
          <w:lang w:val="en-GB"/>
        </w:rPr>
        <w:t xml:space="preserve"> </w:t>
      </w:r>
      <w:r w:rsidR="00EE1252">
        <w:rPr>
          <w:lang w:val="en-GB"/>
        </w:rPr>
        <w:t>was</w:t>
      </w:r>
      <w:r w:rsidRPr="00AD55F2">
        <w:rPr>
          <w:lang w:val="en-GB"/>
        </w:rPr>
        <w:t xml:space="preserve"> </w:t>
      </w:r>
      <w:r w:rsidR="00EA2F2A" w:rsidRPr="00EA2F2A">
        <w:rPr>
          <w:lang w:val="en-GB"/>
        </w:rPr>
        <w:t>less favorable</w:t>
      </w:r>
      <w:r>
        <w:rPr>
          <w:lang w:val="en-GB"/>
        </w:rPr>
        <w:t xml:space="preserve"> than a year ago </w:t>
      </w:r>
      <w:r w:rsidRPr="00AD55F2">
        <w:rPr>
          <w:lang w:val="en-GB"/>
        </w:rPr>
        <w:t>and amounted to</w:t>
      </w:r>
      <w:r>
        <w:rPr>
          <w:lang w:val="en-GB"/>
        </w:rPr>
        <w:t xml:space="preserve"> PLN </w:t>
      </w:r>
      <w:r w:rsidR="00EA2F2A">
        <w:rPr>
          <w:lang w:val="en-GB"/>
        </w:rPr>
        <w:t>6</w:t>
      </w:r>
      <w:r>
        <w:rPr>
          <w:lang w:val="en-GB"/>
        </w:rPr>
        <w:t>.</w:t>
      </w:r>
      <w:r w:rsidR="00EA2F2A">
        <w:rPr>
          <w:lang w:val="en-GB"/>
        </w:rPr>
        <w:t>1</w:t>
      </w:r>
      <w:r>
        <w:rPr>
          <w:lang w:val="en-GB"/>
        </w:rPr>
        <w:t xml:space="preserve"> billion. </w:t>
      </w:r>
      <w:r w:rsidR="0024161F">
        <w:rPr>
          <w:lang w:val="en-GB"/>
        </w:rPr>
        <w:t>Worse</w:t>
      </w:r>
      <w:r>
        <w:rPr>
          <w:lang w:val="en-GB"/>
        </w:rPr>
        <w:t xml:space="preserve"> re</w:t>
      </w:r>
      <w:r w:rsidRPr="00AD55F2">
        <w:rPr>
          <w:lang w:val="en-GB"/>
        </w:rPr>
        <w:t>sults were obtained by both life insurance companies (division I) and non-life companies (division II).</w:t>
      </w:r>
    </w:p>
    <w:p w:rsidR="00003437" w:rsidRPr="00C32CD5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GB"/>
        </w:rPr>
      </w:pPr>
    </w:p>
    <w:p w:rsidR="00D63899" w:rsidRPr="007E7BF3" w:rsidRDefault="009227A6" w:rsidP="00F940D7">
      <w:pPr>
        <w:pStyle w:val="Nagwek1"/>
        <w:rPr>
          <w:lang w:val="en-GB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83C7874" wp14:editId="02E5C35A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2F9" w:rsidRPr="00AB4EAF" w:rsidRDefault="004162F9" w:rsidP="00F00931">
                            <w:pPr>
                              <w:pStyle w:val="tekstzboku"/>
                              <w:rPr>
                                <w:bCs w:val="0"/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</w:t>
                            </w:r>
                            <w:r w:rsidRPr="002A1F14">
                              <w:rPr>
                                <w:lang w:val="en-GB"/>
                              </w:rPr>
                              <w:t xml:space="preserve">otal gross written premium amounted to PLN </w:t>
                            </w:r>
                            <w:r>
                              <w:rPr>
                                <w:lang w:val="en-GB"/>
                              </w:rPr>
                              <w:t>63.4</w:t>
                            </w:r>
                            <w:r w:rsidRPr="002A1F14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>b</w:t>
                            </w:r>
                            <w:r w:rsidRPr="002A1F14">
                              <w:rPr>
                                <w:lang w:val="en-GB"/>
                              </w:rPr>
                              <w:t>illion.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C7874" id="_x0000_s1027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8+XOU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4162F9" w:rsidRPr="00AB4EAF" w:rsidRDefault="004162F9" w:rsidP="00F00931">
                      <w:pPr>
                        <w:pStyle w:val="tekstzboku"/>
                        <w:rPr>
                          <w:bCs w:val="0"/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</w:t>
                      </w:r>
                      <w:r w:rsidRPr="002A1F14">
                        <w:rPr>
                          <w:lang w:val="en-GB"/>
                        </w:rPr>
                        <w:t xml:space="preserve">otal gross written premium amounted to PLN </w:t>
                      </w:r>
                      <w:r>
                        <w:rPr>
                          <w:lang w:val="en-GB"/>
                        </w:rPr>
                        <w:t>63.4</w:t>
                      </w:r>
                      <w:r w:rsidRPr="002A1F14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>b</w:t>
                      </w:r>
                      <w:r w:rsidRPr="002A1F14">
                        <w:rPr>
                          <w:lang w:val="en-GB"/>
                        </w:rPr>
                        <w:t>illion.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74DD8" w:rsidRPr="00C32CD5">
        <w:rPr>
          <w:shd w:val="clear" w:color="auto" w:fill="FFFFFF"/>
          <w:lang w:val="en-GB"/>
        </w:rPr>
        <w:t xml:space="preserve"> </w:t>
      </w:r>
      <w:r w:rsidR="00D63899" w:rsidRPr="007E7BF3">
        <w:rPr>
          <w:lang w:val="en-GB"/>
        </w:rPr>
        <w:t>Income and costs</w:t>
      </w:r>
    </w:p>
    <w:p w:rsidR="00D63899" w:rsidRPr="007E7BF3" w:rsidRDefault="00D63899" w:rsidP="00F940D7">
      <w:pPr>
        <w:rPr>
          <w:lang w:val="en-GB"/>
        </w:rPr>
      </w:pPr>
      <w:r>
        <w:rPr>
          <w:shd w:val="clear" w:color="auto" w:fill="FFFFFF"/>
          <w:lang w:val="en-GB"/>
        </w:rPr>
        <w:t>Earned p</w:t>
      </w:r>
      <w:r w:rsidRPr="007E7BF3">
        <w:rPr>
          <w:shd w:val="clear" w:color="auto" w:fill="FFFFFF"/>
          <w:lang w:val="en-GB"/>
        </w:rPr>
        <w:t xml:space="preserve">remium was the dominant item </w:t>
      </w:r>
      <w:r>
        <w:rPr>
          <w:shd w:val="clear" w:color="auto" w:fill="FFFFFF"/>
          <w:lang w:val="en-GB"/>
        </w:rPr>
        <w:t>i</w:t>
      </w:r>
      <w:r w:rsidRPr="007E7BF3">
        <w:rPr>
          <w:shd w:val="clear" w:color="auto" w:fill="FFFFFF"/>
          <w:lang w:val="en-GB"/>
        </w:rPr>
        <w:t xml:space="preserve">n the total </w:t>
      </w:r>
      <w:r>
        <w:rPr>
          <w:shd w:val="clear" w:color="auto" w:fill="FFFFFF"/>
          <w:lang w:val="en-GB"/>
        </w:rPr>
        <w:t>income structure</w:t>
      </w:r>
      <w:r w:rsidRPr="007E7BF3">
        <w:rPr>
          <w:shd w:val="clear" w:color="auto" w:fill="FFFFFF"/>
          <w:lang w:val="en-GB"/>
        </w:rPr>
        <w:t>. In 20</w:t>
      </w:r>
      <w:r w:rsidR="001E5A26">
        <w:rPr>
          <w:shd w:val="clear" w:color="auto" w:fill="FFFFFF"/>
          <w:lang w:val="en-GB"/>
        </w:rPr>
        <w:t>20</w:t>
      </w:r>
      <w:r w:rsidRPr="007E7BF3">
        <w:rPr>
          <w:shd w:val="clear" w:color="auto" w:fill="FFFFFF"/>
          <w:lang w:val="en-GB"/>
        </w:rPr>
        <w:t xml:space="preserve">, the total gross written premium amounted to PLN </w:t>
      </w:r>
      <w:r w:rsidR="00C813A7">
        <w:rPr>
          <w:shd w:val="clear" w:color="auto" w:fill="FFFFFF"/>
          <w:lang w:val="en-GB"/>
        </w:rPr>
        <w:t>63 421.</w:t>
      </w:r>
      <w:r w:rsidR="00C813A7" w:rsidRPr="00C813A7">
        <w:rPr>
          <w:shd w:val="clear" w:color="auto" w:fill="FFFFFF"/>
          <w:lang w:val="en-GB"/>
        </w:rPr>
        <w:t>5</w:t>
      </w:r>
      <w:r w:rsidRPr="007E7BF3">
        <w:rPr>
          <w:shd w:val="clear" w:color="auto" w:fill="FFFFFF"/>
          <w:lang w:val="en-GB"/>
        </w:rPr>
        <w:t xml:space="preserve"> million (</w:t>
      </w:r>
      <w:r w:rsidR="00C813A7">
        <w:rPr>
          <w:shd w:val="clear" w:color="auto" w:fill="FFFFFF"/>
          <w:lang w:val="en-GB"/>
        </w:rPr>
        <w:t>0</w:t>
      </w:r>
      <w:r w:rsidRPr="007E7BF3">
        <w:rPr>
          <w:shd w:val="clear" w:color="auto" w:fill="FFFFFF"/>
          <w:lang w:val="en-GB"/>
        </w:rPr>
        <w:t>.</w:t>
      </w:r>
      <w:r w:rsidR="00AB3A81">
        <w:rPr>
          <w:shd w:val="clear" w:color="auto" w:fill="FFFFFF"/>
          <w:lang w:val="en-GB"/>
        </w:rPr>
        <w:t>7</w:t>
      </w:r>
      <w:r w:rsidRPr="007E7BF3">
        <w:rPr>
          <w:shd w:val="clear" w:color="auto" w:fill="FFFFFF"/>
          <w:lang w:val="en-GB"/>
        </w:rPr>
        <w:t xml:space="preserve">% </w:t>
      </w:r>
      <w:r w:rsidR="00C813A7">
        <w:rPr>
          <w:shd w:val="clear" w:color="auto" w:fill="FFFFFF"/>
          <w:lang w:val="en-GB"/>
        </w:rPr>
        <w:t>less</w:t>
      </w:r>
      <w:r w:rsidRPr="007E7BF3">
        <w:rPr>
          <w:shd w:val="clear" w:color="auto" w:fill="FFFFFF"/>
          <w:lang w:val="en-GB"/>
        </w:rPr>
        <w:t xml:space="preserve"> than in </w:t>
      </w:r>
      <w:r w:rsidR="001E5A26">
        <w:rPr>
          <w:shd w:val="clear" w:color="auto" w:fill="FFFFFF"/>
          <w:lang w:val="en-GB"/>
        </w:rPr>
        <w:t>2019</w:t>
      </w:r>
      <w:r w:rsidRPr="007E7BF3">
        <w:rPr>
          <w:shd w:val="clear" w:color="auto" w:fill="FFFFFF"/>
          <w:lang w:val="en-GB"/>
        </w:rPr>
        <w:t>), of which</w:t>
      </w:r>
      <w:r>
        <w:rPr>
          <w:shd w:val="clear" w:color="auto" w:fill="FFFFFF"/>
          <w:lang w:val="en-GB"/>
        </w:rPr>
        <w:t xml:space="preserve"> </w:t>
      </w:r>
      <w:r w:rsidR="0025668C">
        <w:rPr>
          <w:shd w:val="clear" w:color="auto" w:fill="FFFFFF"/>
          <w:lang w:val="en-GB"/>
        </w:rPr>
        <w:t xml:space="preserve">PLN </w:t>
      </w:r>
      <w:r w:rsidR="00C813A7">
        <w:rPr>
          <w:shd w:val="clear" w:color="auto" w:fill="FFFFFF"/>
          <w:lang w:val="en-GB"/>
        </w:rPr>
        <w:t>20 745.</w:t>
      </w:r>
      <w:r w:rsidR="00C813A7" w:rsidRPr="00C813A7">
        <w:rPr>
          <w:shd w:val="clear" w:color="auto" w:fill="FFFFFF"/>
          <w:lang w:val="en-GB"/>
        </w:rPr>
        <w:t>6</w:t>
      </w:r>
      <w:r w:rsidRPr="007E7BF3">
        <w:rPr>
          <w:shd w:val="clear" w:color="auto" w:fill="FFFFFF"/>
          <w:lang w:val="en-GB"/>
        </w:rPr>
        <w:t xml:space="preserve"> million was the premium of </w:t>
      </w:r>
      <w:r>
        <w:rPr>
          <w:shd w:val="clear" w:color="auto" w:fill="FFFFFF"/>
          <w:lang w:val="en-GB"/>
        </w:rPr>
        <w:t>life insurance companies</w:t>
      </w:r>
      <w:r w:rsidRPr="007E7BF3">
        <w:rPr>
          <w:shd w:val="clear" w:color="auto" w:fill="FFFFFF"/>
          <w:lang w:val="en-GB"/>
        </w:rPr>
        <w:t xml:space="preserve">, and PLN </w:t>
      </w:r>
      <w:r w:rsidR="00C813A7">
        <w:rPr>
          <w:shd w:val="clear" w:color="auto" w:fill="FFFFFF"/>
          <w:lang w:val="en-GB"/>
        </w:rPr>
        <w:t>42 675.</w:t>
      </w:r>
      <w:r w:rsidR="00C813A7" w:rsidRPr="00C813A7">
        <w:rPr>
          <w:shd w:val="clear" w:color="auto" w:fill="FFFFFF"/>
          <w:lang w:val="en-GB"/>
        </w:rPr>
        <w:t>9</w:t>
      </w:r>
      <w:r w:rsidR="00C813A7">
        <w:rPr>
          <w:shd w:val="clear" w:color="auto" w:fill="FFFFFF"/>
          <w:lang w:val="en-GB"/>
        </w:rPr>
        <w:t xml:space="preserve"> </w:t>
      </w:r>
      <w:r w:rsidR="0025668C">
        <w:rPr>
          <w:shd w:val="clear" w:color="auto" w:fill="FFFFFF"/>
          <w:lang w:val="en-GB"/>
        </w:rPr>
        <w:t>million</w:t>
      </w:r>
      <w:r w:rsidRPr="007E7BF3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>non-life insurance</w:t>
      </w:r>
      <w:r w:rsidRPr="007E7BF3">
        <w:rPr>
          <w:shd w:val="clear" w:color="auto" w:fill="FFFFFF"/>
          <w:lang w:val="en-GB"/>
        </w:rPr>
        <w:t xml:space="preserve">. </w:t>
      </w:r>
      <w:r>
        <w:rPr>
          <w:shd w:val="clear" w:color="auto" w:fill="FFFFFF"/>
          <w:lang w:val="en-GB"/>
        </w:rPr>
        <w:t>C</w:t>
      </w:r>
      <w:r w:rsidRPr="007E7BF3">
        <w:rPr>
          <w:shd w:val="clear" w:color="auto" w:fill="FFFFFF"/>
          <w:lang w:val="en-GB"/>
        </w:rPr>
        <w:t xml:space="preserve">laims </w:t>
      </w:r>
      <w:r>
        <w:rPr>
          <w:shd w:val="clear" w:color="auto" w:fill="FFFFFF"/>
          <w:lang w:val="en-GB"/>
        </w:rPr>
        <w:t xml:space="preserve">incurred </w:t>
      </w:r>
      <w:r w:rsidRPr="006E4C28">
        <w:rPr>
          <w:shd w:val="clear" w:color="auto" w:fill="FFFFFF"/>
          <w:lang w:val="en-GB"/>
        </w:rPr>
        <w:t>constituted the dominant position</w:t>
      </w:r>
      <w:r>
        <w:rPr>
          <w:shd w:val="clear" w:color="auto" w:fill="FFFFFF"/>
          <w:lang w:val="en-GB"/>
        </w:rPr>
        <w:t xml:space="preserve"> in the total cost structure</w:t>
      </w:r>
      <w:r w:rsidRPr="007E7BF3">
        <w:rPr>
          <w:shd w:val="clear" w:color="auto" w:fill="FFFFFF"/>
          <w:lang w:val="en-GB"/>
        </w:rPr>
        <w:t xml:space="preserve">. </w:t>
      </w:r>
      <w:r>
        <w:rPr>
          <w:shd w:val="clear" w:color="auto" w:fill="FFFFFF"/>
          <w:lang w:val="en-GB"/>
        </w:rPr>
        <w:t>Total g</w:t>
      </w:r>
      <w:r w:rsidRPr="007E7BF3">
        <w:rPr>
          <w:shd w:val="clear" w:color="auto" w:fill="FFFFFF"/>
          <w:lang w:val="en-GB"/>
        </w:rPr>
        <w:t xml:space="preserve">ross claims paid in </w:t>
      </w:r>
      <w:r w:rsidR="001E5A26">
        <w:rPr>
          <w:shd w:val="clear" w:color="auto" w:fill="FFFFFF"/>
          <w:lang w:val="en-GB"/>
        </w:rPr>
        <w:t>2020</w:t>
      </w:r>
      <w:r w:rsidRPr="007E7BF3">
        <w:rPr>
          <w:shd w:val="clear" w:color="auto" w:fill="FFFFFF"/>
          <w:lang w:val="en-GB"/>
        </w:rPr>
        <w:t xml:space="preserve"> amounted to PLN </w:t>
      </w:r>
      <w:r w:rsidR="00C813A7" w:rsidRPr="00C813A7">
        <w:rPr>
          <w:shd w:val="clear" w:color="auto" w:fill="FFFFFF"/>
          <w:lang w:val="en-GB"/>
        </w:rPr>
        <w:t>39 649</w:t>
      </w:r>
      <w:r w:rsidR="00C813A7">
        <w:rPr>
          <w:shd w:val="clear" w:color="auto" w:fill="FFFFFF"/>
          <w:lang w:val="en-GB"/>
        </w:rPr>
        <w:t>.</w:t>
      </w:r>
      <w:r w:rsidR="00C813A7" w:rsidRPr="00C813A7">
        <w:rPr>
          <w:shd w:val="clear" w:color="auto" w:fill="FFFFFF"/>
          <w:lang w:val="en-GB"/>
        </w:rPr>
        <w:t xml:space="preserve">7 </w:t>
      </w:r>
      <w:r w:rsidRPr="007E7BF3">
        <w:rPr>
          <w:shd w:val="clear" w:color="auto" w:fill="FFFFFF"/>
          <w:lang w:val="en-GB"/>
        </w:rPr>
        <w:t xml:space="preserve">million and </w:t>
      </w:r>
      <w:r w:rsidR="0025668C">
        <w:rPr>
          <w:shd w:val="clear" w:color="auto" w:fill="FFFFFF"/>
          <w:lang w:val="en-GB"/>
        </w:rPr>
        <w:t xml:space="preserve">decreased </w:t>
      </w:r>
      <w:r w:rsidR="000F60A0">
        <w:rPr>
          <w:shd w:val="clear" w:color="auto" w:fill="FFFFFF"/>
          <w:lang w:val="en-GB"/>
        </w:rPr>
        <w:t>by</w:t>
      </w:r>
      <w:r w:rsidRPr="007E7BF3">
        <w:rPr>
          <w:shd w:val="clear" w:color="auto" w:fill="FFFFFF"/>
          <w:lang w:val="en-GB"/>
        </w:rPr>
        <w:t xml:space="preserve"> </w:t>
      </w:r>
      <w:r w:rsidR="00C813A7">
        <w:rPr>
          <w:shd w:val="clear" w:color="auto" w:fill="FFFFFF"/>
          <w:lang w:val="en-GB"/>
        </w:rPr>
        <w:t>3.5</w:t>
      </w:r>
      <w:r w:rsidR="0025668C">
        <w:rPr>
          <w:shd w:val="clear" w:color="auto" w:fill="FFFFFF"/>
          <w:lang w:val="en-GB"/>
        </w:rPr>
        <w:t>%</w:t>
      </w:r>
      <w:r w:rsidR="000F60A0">
        <w:rPr>
          <w:shd w:val="clear" w:color="auto" w:fill="FFFFFF"/>
          <w:lang w:val="en-GB"/>
        </w:rPr>
        <w:t xml:space="preserve"> compared to 2019</w:t>
      </w:r>
      <w:r w:rsidRPr="007E7BF3">
        <w:rPr>
          <w:shd w:val="clear" w:color="auto" w:fill="FFFFFF"/>
          <w:lang w:val="en-GB"/>
        </w:rPr>
        <w:t xml:space="preserve">, they </w:t>
      </w:r>
      <w:r w:rsidR="0025668C">
        <w:rPr>
          <w:shd w:val="clear" w:color="auto" w:fill="FFFFFF"/>
          <w:lang w:val="en-GB"/>
        </w:rPr>
        <w:t>de</w:t>
      </w:r>
      <w:r w:rsidRPr="007E7BF3">
        <w:rPr>
          <w:shd w:val="clear" w:color="auto" w:fill="FFFFFF"/>
          <w:lang w:val="en-GB"/>
        </w:rPr>
        <w:t xml:space="preserve">creased to PLN </w:t>
      </w:r>
      <w:r w:rsidR="00C813A7">
        <w:rPr>
          <w:shd w:val="clear" w:color="auto" w:fill="FFFFFF"/>
          <w:lang w:val="en-GB"/>
        </w:rPr>
        <w:t>17 415.</w:t>
      </w:r>
      <w:r w:rsidR="00C813A7" w:rsidRPr="00C813A7">
        <w:rPr>
          <w:shd w:val="clear" w:color="auto" w:fill="FFFFFF"/>
          <w:lang w:val="en-GB"/>
        </w:rPr>
        <w:t>9</w:t>
      </w:r>
      <w:r w:rsidR="00C813A7">
        <w:rPr>
          <w:shd w:val="clear" w:color="auto" w:fill="FFFFFF"/>
          <w:lang w:val="en-GB"/>
        </w:rPr>
        <w:t xml:space="preserve"> </w:t>
      </w:r>
      <w:r w:rsidRPr="007E7BF3">
        <w:rPr>
          <w:shd w:val="clear" w:color="auto" w:fill="FFFFFF"/>
          <w:lang w:val="en-GB"/>
        </w:rPr>
        <w:t>million</w:t>
      </w:r>
      <w:r>
        <w:rPr>
          <w:shd w:val="clear" w:color="auto" w:fill="FFFFFF"/>
          <w:lang w:val="en-GB"/>
        </w:rPr>
        <w:t xml:space="preserve"> in life insurance</w:t>
      </w:r>
      <w:r w:rsidRPr="007E7BF3">
        <w:rPr>
          <w:shd w:val="clear" w:color="auto" w:fill="FFFFFF"/>
          <w:lang w:val="en-GB"/>
        </w:rPr>
        <w:t>, and</w:t>
      </w:r>
      <w:r>
        <w:rPr>
          <w:shd w:val="clear" w:color="auto" w:fill="FFFFFF"/>
          <w:lang w:val="en-GB"/>
        </w:rPr>
        <w:t xml:space="preserve"> </w:t>
      </w:r>
      <w:r w:rsidR="00F00931">
        <w:rPr>
          <w:shd w:val="clear" w:color="auto" w:fill="FFFFFF"/>
          <w:lang w:val="en-GB"/>
        </w:rPr>
        <w:t xml:space="preserve">to </w:t>
      </w:r>
      <w:r w:rsidR="000F60A0">
        <w:rPr>
          <w:shd w:val="clear" w:color="auto" w:fill="FFFFFF"/>
          <w:lang w:val="en-GB"/>
        </w:rPr>
        <w:br/>
      </w:r>
      <w:r w:rsidR="00F00931">
        <w:rPr>
          <w:shd w:val="clear" w:color="auto" w:fill="FFFFFF"/>
          <w:lang w:val="en-GB"/>
        </w:rPr>
        <w:t xml:space="preserve">PLN </w:t>
      </w:r>
      <w:r w:rsidR="00C813A7">
        <w:rPr>
          <w:shd w:val="clear" w:color="auto" w:fill="FFFFFF"/>
          <w:lang w:val="en-GB"/>
        </w:rPr>
        <w:t>22 233.8</w:t>
      </w:r>
      <w:r w:rsidR="0025668C" w:rsidRPr="007E7BF3">
        <w:rPr>
          <w:shd w:val="clear" w:color="auto" w:fill="FFFFFF"/>
          <w:lang w:val="en-GB"/>
        </w:rPr>
        <w:t xml:space="preserve"> million</w:t>
      </w:r>
      <w:r w:rsidR="0025668C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>in non-life insurance</w:t>
      </w:r>
      <w:r w:rsidRPr="007E7BF3">
        <w:rPr>
          <w:shd w:val="clear" w:color="auto" w:fill="FFFFFF"/>
          <w:lang w:val="en-GB"/>
        </w:rPr>
        <w:t>.</w:t>
      </w:r>
    </w:p>
    <w:p w:rsidR="00D63899" w:rsidRPr="008B7DAA" w:rsidRDefault="00D63899" w:rsidP="00F940D7">
      <w:pPr>
        <w:pStyle w:val="Nagwek1"/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val="en-GB" w:eastAsia="en-US"/>
        </w:rPr>
      </w:pPr>
      <w:r w:rsidRPr="008B7DAA">
        <w:rPr>
          <w:rFonts w:ascii="Fira Sans" w:eastAsiaTheme="minorHAnsi" w:hAnsi="Fira Sans" w:cstheme="minorBidi"/>
          <w:b/>
          <w:bCs w:val="0"/>
          <w:noProof/>
          <w:color w:val="auto"/>
          <w:spacing w:val="-2"/>
          <w:sz w:val="18"/>
          <w:szCs w:val="22"/>
        </w:rPr>
        <mc:AlternateContent>
          <mc:Choice Requires="wps">
            <w:drawing>
              <wp:anchor distT="45720" distB="45720" distL="114300" distR="114300" simplePos="0" relativeHeight="251740160" behindDoc="1" locked="0" layoutInCell="1" allowOverlap="1" wp14:anchorId="261423F9" wp14:editId="6DB4C7F8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2F9" w:rsidRPr="002A1F14" w:rsidRDefault="004162F9" w:rsidP="00D63899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2A1F14">
                              <w:rPr>
                                <w:lang w:val="en-GB"/>
                              </w:rPr>
                              <w:t xml:space="preserve">Total gross claims paid </w:t>
                            </w:r>
                            <w:r>
                              <w:rPr>
                                <w:lang w:val="en-GB"/>
                              </w:rPr>
                              <w:br/>
                            </w:r>
                            <w:r w:rsidRPr="002A1F14">
                              <w:rPr>
                                <w:lang w:val="en-GB"/>
                              </w:rPr>
                              <w:t xml:space="preserve">amounted to PLN </w:t>
                            </w:r>
                            <w:r>
                              <w:rPr>
                                <w:lang w:val="en-GB"/>
                              </w:rPr>
                              <w:t>39.6 b</w:t>
                            </w:r>
                            <w:r w:rsidRPr="002A1F14">
                              <w:rPr>
                                <w:lang w:val="en-GB"/>
                              </w:rPr>
                              <w:t>illion</w:t>
                            </w:r>
                            <w:r w:rsidR="000F60A0" w:rsidRPr="000F60A0">
                              <w:rPr>
                                <w:lang w:val="en-GB"/>
                              </w:rPr>
                              <w:t xml:space="preserve"> </w:t>
                            </w:r>
                            <w:r w:rsidR="000F60A0" w:rsidRPr="002A1F14">
                              <w:rPr>
                                <w:lang w:val="en-GB"/>
                              </w:rPr>
                              <w:t xml:space="preserve">in </w:t>
                            </w:r>
                            <w:r w:rsidR="000F60A0">
                              <w:rPr>
                                <w:lang w:val="en-GB"/>
                              </w:rPr>
                              <w:t>2020</w:t>
                            </w:r>
                            <w:r>
                              <w:rPr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423F9" id="Pole tekstowe 13" o:spid="_x0000_s1028" type="#_x0000_t202" style="position:absolute;margin-left:412.05pt;margin-top:12.2pt;width:135.85pt;height:65.5pt;z-index:-251576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" filled="f" stroked="f">
                <v:textbox>
                  <w:txbxContent>
                    <w:p w:rsidR="004162F9" w:rsidRPr="002A1F14" w:rsidRDefault="004162F9" w:rsidP="00D63899">
                      <w:pPr>
                        <w:pStyle w:val="tekstzboku"/>
                        <w:rPr>
                          <w:lang w:val="en-GB"/>
                        </w:rPr>
                      </w:pPr>
                      <w:r w:rsidRPr="002A1F14">
                        <w:rPr>
                          <w:lang w:val="en-GB"/>
                        </w:rPr>
                        <w:t xml:space="preserve">Total gross claims paid </w:t>
                      </w:r>
                      <w:r>
                        <w:rPr>
                          <w:lang w:val="en-GB"/>
                        </w:rPr>
                        <w:br/>
                      </w:r>
                      <w:r w:rsidRPr="002A1F14">
                        <w:rPr>
                          <w:lang w:val="en-GB"/>
                        </w:rPr>
                        <w:t xml:space="preserve">amounted to PLN </w:t>
                      </w:r>
                      <w:r>
                        <w:rPr>
                          <w:lang w:val="en-GB"/>
                        </w:rPr>
                        <w:t>39.6 b</w:t>
                      </w:r>
                      <w:r w:rsidRPr="002A1F14">
                        <w:rPr>
                          <w:lang w:val="en-GB"/>
                        </w:rPr>
                        <w:t>illion</w:t>
                      </w:r>
                      <w:r w:rsidR="000F60A0" w:rsidRPr="000F60A0">
                        <w:rPr>
                          <w:lang w:val="en-GB"/>
                        </w:rPr>
                        <w:t xml:space="preserve"> </w:t>
                      </w:r>
                      <w:r w:rsidR="000F60A0" w:rsidRPr="002A1F14">
                        <w:rPr>
                          <w:lang w:val="en-GB"/>
                        </w:rPr>
                        <w:t xml:space="preserve">in </w:t>
                      </w:r>
                      <w:r w:rsidR="000F60A0">
                        <w:rPr>
                          <w:lang w:val="en-GB"/>
                        </w:rPr>
                        <w:t>2020</w:t>
                      </w:r>
                      <w:r>
                        <w:rPr>
                          <w:lang w:val="en-GB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B7DAA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lang w:val="en-GB" w:eastAsia="en-US"/>
        </w:rPr>
        <w:t xml:space="preserve">Chart 1. Life insurers financial </w:t>
      </w:r>
      <w:r w:rsidRPr="008B7DAA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val="en-GB" w:eastAsia="en-US"/>
        </w:rPr>
        <w:t xml:space="preserve">results </w:t>
      </w:r>
    </w:p>
    <w:p w:rsidR="00D63899" w:rsidRDefault="001E12BD" w:rsidP="00F940D7">
      <w:pPr>
        <w:pStyle w:val="Nagwek1"/>
      </w:pPr>
      <w:r>
        <w:rPr>
          <w:noProof/>
        </w:rPr>
        <w:drawing>
          <wp:inline distT="0" distB="0" distL="0" distR="0" wp14:anchorId="7EF15477" wp14:editId="7E523D2B">
            <wp:extent cx="5040000" cy="1944000"/>
            <wp:effectExtent l="0" t="0" r="8255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63899" w:rsidRPr="00922D0C" w:rsidRDefault="00D63899" w:rsidP="00F940D7">
      <w:pPr>
        <w:pStyle w:val="tytuwykresu"/>
        <w:rPr>
          <w:lang w:val="en-GB"/>
        </w:rPr>
      </w:pPr>
      <w:r w:rsidRPr="00922D0C">
        <w:rPr>
          <w:lang w:val="en-GB"/>
        </w:rPr>
        <w:t>Chart 2.</w:t>
      </w:r>
      <w:r w:rsidRPr="00922D0C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>N</w:t>
      </w:r>
      <w:r w:rsidRPr="00922D0C">
        <w:rPr>
          <w:shd w:val="clear" w:color="auto" w:fill="FFFFFF"/>
          <w:lang w:val="en-GB"/>
        </w:rPr>
        <w:t xml:space="preserve">on-life insurers </w:t>
      </w:r>
      <w:r>
        <w:rPr>
          <w:shd w:val="clear" w:color="auto" w:fill="FFFFFF"/>
          <w:lang w:val="en-GB"/>
        </w:rPr>
        <w:t>f</w:t>
      </w:r>
      <w:r w:rsidRPr="00922D0C">
        <w:rPr>
          <w:shd w:val="clear" w:color="auto" w:fill="FFFFFF"/>
          <w:lang w:val="en-GB"/>
        </w:rPr>
        <w:t xml:space="preserve">inancial results </w:t>
      </w:r>
    </w:p>
    <w:p w:rsidR="00D63899" w:rsidRDefault="001E12BD" w:rsidP="00F940D7">
      <w:pPr>
        <w:pStyle w:val="Nagwek1"/>
      </w:pPr>
      <w:r>
        <w:rPr>
          <w:noProof/>
        </w:rPr>
        <w:drawing>
          <wp:inline distT="0" distB="0" distL="0" distR="0" wp14:anchorId="4F2C5B78" wp14:editId="71CF6344">
            <wp:extent cx="5040000" cy="1944000"/>
            <wp:effectExtent l="0" t="0" r="8255" b="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63899" w:rsidRDefault="00D63899" w:rsidP="00D63899">
      <w:pPr>
        <w:spacing w:before="0" w:after="160" w:line="259" w:lineRule="auto"/>
      </w:pPr>
      <w:r>
        <w:br w:type="page"/>
      </w:r>
    </w:p>
    <w:tbl>
      <w:tblPr>
        <w:tblStyle w:val="Siatkatabelijasna1"/>
        <w:tblpPr w:leftFromText="141" w:rightFromText="141" w:vertAnchor="text" w:horzAnchor="margin" w:tblpY="596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54"/>
        <w:gridCol w:w="964"/>
        <w:gridCol w:w="964"/>
        <w:gridCol w:w="964"/>
        <w:gridCol w:w="964"/>
        <w:gridCol w:w="964"/>
        <w:gridCol w:w="964"/>
      </w:tblGrid>
      <w:tr w:rsidR="005D39E6" w:rsidRPr="00FA5128" w:rsidTr="00F940D7">
        <w:trPr>
          <w:trHeight w:val="57"/>
        </w:trPr>
        <w:tc>
          <w:tcPr>
            <w:tcW w:w="2154" w:type="dxa"/>
            <w:vMerge w:val="restart"/>
            <w:vAlign w:val="center"/>
          </w:tcPr>
          <w:p w:rsidR="005D39E6" w:rsidRPr="009C7251" w:rsidRDefault="005D39E6" w:rsidP="00F940D7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SPECIFICATION</w:t>
            </w:r>
          </w:p>
        </w:tc>
        <w:tc>
          <w:tcPr>
            <w:tcW w:w="2892" w:type="dxa"/>
            <w:gridSpan w:val="3"/>
            <w:vAlign w:val="center"/>
          </w:tcPr>
          <w:p w:rsidR="005D39E6" w:rsidRPr="00FA5128" w:rsidRDefault="005D39E6" w:rsidP="00F940D7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Life</w:t>
            </w:r>
          </w:p>
        </w:tc>
        <w:tc>
          <w:tcPr>
            <w:tcW w:w="2892" w:type="dxa"/>
            <w:gridSpan w:val="3"/>
          </w:tcPr>
          <w:p w:rsidR="005D39E6" w:rsidRPr="00FA5128" w:rsidRDefault="005D39E6" w:rsidP="00F940D7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Non-life</w:t>
            </w:r>
          </w:p>
        </w:tc>
      </w:tr>
      <w:tr w:rsidR="005D39E6" w:rsidRPr="00FA5128" w:rsidTr="00F940D7">
        <w:trPr>
          <w:trHeight w:val="57"/>
        </w:trPr>
        <w:tc>
          <w:tcPr>
            <w:tcW w:w="2154" w:type="dxa"/>
            <w:vMerge/>
            <w:vAlign w:val="center"/>
          </w:tcPr>
          <w:p w:rsidR="005D39E6" w:rsidRPr="00FA5128" w:rsidRDefault="005D39E6" w:rsidP="00F940D7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5D39E6" w:rsidRPr="00FA5128" w:rsidRDefault="001E5A26" w:rsidP="00F940D7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5D39E6" w:rsidRPr="00FA5128" w:rsidRDefault="001E5A26" w:rsidP="00F940D7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964" w:type="dxa"/>
            <w:vMerge w:val="restart"/>
            <w:vAlign w:val="center"/>
          </w:tcPr>
          <w:p w:rsidR="005D39E6" w:rsidRPr="00FA5128" w:rsidRDefault="001E5A26" w:rsidP="00F940D7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  <w:r w:rsidR="005D39E6"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5D39E6" w:rsidRPr="00FA5128" w:rsidRDefault="001E5A26" w:rsidP="00F940D7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5D39E6" w:rsidRPr="00FA5128" w:rsidRDefault="001E5A26" w:rsidP="00F940D7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964" w:type="dxa"/>
            <w:vMerge w:val="restart"/>
            <w:vAlign w:val="center"/>
          </w:tcPr>
          <w:p w:rsidR="005D39E6" w:rsidRPr="00FA5128" w:rsidRDefault="001E5A26" w:rsidP="00F940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  <w:r w:rsidR="005D39E6"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5D39E6" w:rsidRPr="00FA5128" w:rsidTr="00F940D7">
        <w:trPr>
          <w:trHeight w:val="57"/>
        </w:trPr>
        <w:tc>
          <w:tcPr>
            <w:tcW w:w="2154" w:type="dxa"/>
            <w:vMerge/>
            <w:tcBorders>
              <w:bottom w:val="single" w:sz="12" w:space="0" w:color="212492"/>
            </w:tcBorders>
            <w:vAlign w:val="center"/>
          </w:tcPr>
          <w:p w:rsidR="005D39E6" w:rsidRPr="00FA5128" w:rsidRDefault="005D39E6" w:rsidP="00F940D7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5D39E6" w:rsidRPr="00FA5128" w:rsidRDefault="005D39E6" w:rsidP="00F940D7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million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PLN</w:t>
            </w:r>
          </w:p>
        </w:tc>
        <w:tc>
          <w:tcPr>
            <w:tcW w:w="964" w:type="dxa"/>
            <w:vMerge/>
            <w:tcBorders>
              <w:bottom w:val="single" w:sz="12" w:space="0" w:color="212492"/>
            </w:tcBorders>
            <w:vAlign w:val="center"/>
          </w:tcPr>
          <w:p w:rsidR="005D39E6" w:rsidRPr="00FA5128" w:rsidRDefault="005D39E6" w:rsidP="00F940D7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bottom w:val="single" w:sz="12" w:space="0" w:color="212492"/>
            </w:tcBorders>
            <w:vAlign w:val="center"/>
          </w:tcPr>
          <w:p w:rsidR="005D39E6" w:rsidRPr="00FA5128" w:rsidRDefault="005D39E6" w:rsidP="00F940D7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million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PLN</w:t>
            </w:r>
          </w:p>
        </w:tc>
        <w:tc>
          <w:tcPr>
            <w:tcW w:w="964" w:type="dxa"/>
            <w:vMerge/>
            <w:tcBorders>
              <w:bottom w:val="single" w:sz="12" w:space="0" w:color="212492"/>
            </w:tcBorders>
            <w:vAlign w:val="center"/>
          </w:tcPr>
          <w:p w:rsidR="005D39E6" w:rsidRPr="00FA5128" w:rsidRDefault="005D39E6" w:rsidP="00F940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C7454" w:rsidRPr="00FA5128" w:rsidTr="00F940D7">
        <w:trPr>
          <w:trHeight w:val="57"/>
        </w:trPr>
        <w:tc>
          <w:tcPr>
            <w:tcW w:w="2154" w:type="dxa"/>
            <w:tcBorders>
              <w:top w:val="single" w:sz="12" w:space="0" w:color="212492"/>
            </w:tcBorders>
            <w:vAlign w:val="center"/>
          </w:tcPr>
          <w:p w:rsidR="00BC7454" w:rsidRPr="00FA5128" w:rsidRDefault="00BC7454" w:rsidP="00BC7454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 INCOME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28 120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28 936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102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38 710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39 352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101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7</w:t>
            </w:r>
          </w:p>
        </w:tc>
      </w:tr>
      <w:tr w:rsidR="00BC7454" w:rsidRPr="00FA5128" w:rsidTr="00F940D7">
        <w:trPr>
          <w:trHeight w:val="57"/>
        </w:trPr>
        <w:tc>
          <w:tcPr>
            <w:tcW w:w="2154" w:type="dxa"/>
            <w:vAlign w:val="center"/>
          </w:tcPr>
          <w:p w:rsidR="00BC7454" w:rsidRPr="000200A8" w:rsidRDefault="00BC7454" w:rsidP="00BC7454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112C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of </w:t>
            </w:r>
            <w:proofErr w:type="spellStart"/>
            <w:r w:rsidRPr="007112C4">
              <w:rPr>
                <w:rFonts w:ascii="Fira Sans" w:hAnsi="Fira Sans"/>
                <w:color w:val="000000" w:themeColor="text1"/>
                <w:sz w:val="16"/>
                <w:szCs w:val="16"/>
              </w:rPr>
              <w:t>which</w:t>
            </w:r>
            <w:proofErr w:type="spellEnd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: 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C7454" w:rsidRDefault="00BC7454" w:rsidP="00BC745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C7454" w:rsidRDefault="00BC7454" w:rsidP="00BC745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C7454" w:rsidRDefault="00BC7454" w:rsidP="00BC745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C7454" w:rsidRDefault="00BC7454" w:rsidP="00BC745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bottom"/>
          </w:tcPr>
          <w:p w:rsidR="00BC7454" w:rsidRDefault="00BC7454" w:rsidP="00BC7454">
            <w:pPr>
              <w:rPr>
                <w:sz w:val="20"/>
                <w:szCs w:val="20"/>
              </w:rPr>
            </w:pPr>
          </w:p>
        </w:tc>
      </w:tr>
      <w:tr w:rsidR="00BC7454" w:rsidRPr="00FA5128" w:rsidTr="00F940D7">
        <w:trPr>
          <w:trHeight w:val="480"/>
        </w:trPr>
        <w:tc>
          <w:tcPr>
            <w:tcW w:w="2154" w:type="dxa"/>
            <w:vAlign w:val="center"/>
          </w:tcPr>
          <w:p w:rsidR="00BC7454" w:rsidRPr="000200A8" w:rsidRDefault="00BC7454" w:rsidP="00BC7454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Earned</w:t>
            </w:r>
            <w:proofErr w:type="spellEnd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premiums</w:t>
            </w:r>
            <w:proofErr w:type="spellEnd"/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20 932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20 346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5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97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33 595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5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34 353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9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102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3</w:t>
            </w:r>
          </w:p>
        </w:tc>
      </w:tr>
      <w:tr w:rsidR="00BC7454" w:rsidRPr="00FA5128" w:rsidTr="00F940D7">
        <w:trPr>
          <w:trHeight w:val="57"/>
        </w:trPr>
        <w:tc>
          <w:tcPr>
            <w:tcW w:w="2154" w:type="dxa"/>
            <w:vAlign w:val="center"/>
          </w:tcPr>
          <w:p w:rsidR="00BC7454" w:rsidRPr="00922D0C" w:rsidRDefault="00BC7454" w:rsidP="00BC7454">
            <w:pPr>
              <w:pStyle w:val="Nagwek8"/>
              <w:tabs>
                <w:tab w:val="right" w:leader="dot" w:pos="4156"/>
              </w:tabs>
              <w:spacing w:before="0"/>
              <w:ind w:left="283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922D0C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of which gross written premiums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21 275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3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20 745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6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97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5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42 562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5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42 675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9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100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3</w:t>
            </w:r>
          </w:p>
        </w:tc>
      </w:tr>
      <w:tr w:rsidR="00BC7454" w:rsidRPr="00FA5128" w:rsidTr="00F940D7">
        <w:trPr>
          <w:trHeight w:val="57"/>
        </w:trPr>
        <w:tc>
          <w:tcPr>
            <w:tcW w:w="2154" w:type="dxa"/>
            <w:vAlign w:val="center"/>
          </w:tcPr>
          <w:p w:rsidR="00BC7454" w:rsidRPr="00684617" w:rsidRDefault="00BC7454" w:rsidP="00BC7454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US"/>
              </w:rPr>
              <w:t>Investment income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6 919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0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8 392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2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121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3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4 128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5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4 007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0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97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1</w:t>
            </w:r>
          </w:p>
        </w:tc>
      </w:tr>
      <w:tr w:rsidR="00BC7454" w:rsidRPr="00FA5128" w:rsidTr="00F940D7">
        <w:trPr>
          <w:trHeight w:val="57"/>
        </w:trPr>
        <w:tc>
          <w:tcPr>
            <w:tcW w:w="2154" w:type="dxa"/>
            <w:vAlign w:val="center"/>
          </w:tcPr>
          <w:p w:rsidR="00BC7454" w:rsidRPr="000200A8" w:rsidRDefault="00BC7454" w:rsidP="00BC7454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b/>
                <w:i w:val="0"/>
                <w:color w:val="000000" w:themeColor="text1"/>
                <w:sz w:val="16"/>
                <w:szCs w:val="16"/>
              </w:rPr>
              <w:t>TOTAL COSTS</w:t>
            </w:r>
            <w:r w:rsidRPr="000200A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25 546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26 728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104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34 072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35 473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104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1</w:t>
            </w:r>
          </w:p>
        </w:tc>
      </w:tr>
      <w:tr w:rsidR="00BC7454" w:rsidRPr="00FA5128" w:rsidTr="00F940D7">
        <w:trPr>
          <w:trHeight w:val="57"/>
        </w:trPr>
        <w:tc>
          <w:tcPr>
            <w:tcW w:w="2154" w:type="dxa"/>
            <w:vAlign w:val="center"/>
          </w:tcPr>
          <w:p w:rsidR="00BC7454" w:rsidRPr="00C3702F" w:rsidRDefault="00BC7454" w:rsidP="00BC7454">
            <w:pPr>
              <w:tabs>
                <w:tab w:val="right" w:leader="dot" w:pos="4156"/>
              </w:tabs>
              <w:spacing w:before="0" w:after="0"/>
              <w:ind w:left="176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of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which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: 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C7454" w:rsidRDefault="00BC7454" w:rsidP="00BC745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C7454" w:rsidRDefault="00BC7454" w:rsidP="00BC745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C7454" w:rsidRDefault="00BC7454" w:rsidP="00BC745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C7454" w:rsidRDefault="00BC7454" w:rsidP="00BC745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bottom"/>
          </w:tcPr>
          <w:p w:rsidR="00BC7454" w:rsidRDefault="00BC7454" w:rsidP="00BC7454">
            <w:pPr>
              <w:rPr>
                <w:sz w:val="20"/>
                <w:szCs w:val="20"/>
              </w:rPr>
            </w:pPr>
          </w:p>
        </w:tc>
      </w:tr>
      <w:tr w:rsidR="00BC7454" w:rsidRPr="00FA5128" w:rsidTr="00F940D7">
        <w:trPr>
          <w:trHeight w:val="57"/>
        </w:trPr>
        <w:tc>
          <w:tcPr>
            <w:tcW w:w="2154" w:type="dxa"/>
            <w:vAlign w:val="center"/>
          </w:tcPr>
          <w:p w:rsidR="00BC7454" w:rsidRPr="00922D0C" w:rsidRDefault="00BC7454" w:rsidP="00BC7454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922D0C">
              <w:rPr>
                <w:color w:val="000000" w:themeColor="text1"/>
                <w:sz w:val="16"/>
                <w:szCs w:val="16"/>
                <w:lang w:val="en-GB"/>
              </w:rPr>
              <w:t xml:space="preserve">Claims incurred </w:t>
            </w:r>
            <w:r w:rsidRPr="00922D0C">
              <w:rPr>
                <w:color w:val="000000" w:themeColor="text1"/>
                <w:sz w:val="16"/>
                <w:szCs w:val="16"/>
                <w:lang w:val="en-GB"/>
              </w:rPr>
              <w:br/>
              <w:t xml:space="preserve">including change </w:t>
            </w:r>
            <w:r w:rsidRPr="00922D0C">
              <w:rPr>
                <w:color w:val="000000" w:themeColor="text1"/>
                <w:sz w:val="16"/>
                <w:szCs w:val="16"/>
                <w:lang w:val="en-GB"/>
              </w:rPr>
              <w:br/>
              <w:t xml:space="preserve">in provisions - </w:t>
            </w:r>
            <w:r w:rsidRPr="00922D0C">
              <w:rPr>
                <w:color w:val="000000" w:themeColor="text1"/>
                <w:sz w:val="16"/>
                <w:szCs w:val="16"/>
                <w:lang w:val="en-GB"/>
              </w:rPr>
              <w:br/>
              <w:t>net of reinsurance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18 326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17 258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94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20 397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20 659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6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101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3</w:t>
            </w:r>
          </w:p>
        </w:tc>
      </w:tr>
      <w:tr w:rsidR="00BC7454" w:rsidRPr="00FA5128" w:rsidTr="00F940D7">
        <w:trPr>
          <w:trHeight w:val="57"/>
        </w:trPr>
        <w:tc>
          <w:tcPr>
            <w:tcW w:w="2154" w:type="dxa"/>
            <w:vAlign w:val="center"/>
          </w:tcPr>
          <w:p w:rsidR="00BC7454" w:rsidRPr="00922D0C" w:rsidRDefault="00BC7454" w:rsidP="00BC7454">
            <w:pPr>
              <w:pStyle w:val="Nagwek2"/>
              <w:tabs>
                <w:tab w:val="right" w:leader="dot" w:pos="4156"/>
              </w:tabs>
              <w:spacing w:before="0"/>
              <w:ind w:left="283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922D0C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of which </w:t>
            </w:r>
            <w:r w:rsidRPr="00922D0C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br/>
              <w:t>gross claims paid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18 565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7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17 415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9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93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8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22 511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7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22 233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8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98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8</w:t>
            </w:r>
          </w:p>
        </w:tc>
      </w:tr>
      <w:tr w:rsidR="00BC7454" w:rsidRPr="00FA5128" w:rsidTr="00F940D7">
        <w:trPr>
          <w:trHeight w:val="57"/>
        </w:trPr>
        <w:tc>
          <w:tcPr>
            <w:tcW w:w="2154" w:type="dxa"/>
            <w:vAlign w:val="center"/>
          </w:tcPr>
          <w:p w:rsidR="00BC7454" w:rsidRPr="00922D0C" w:rsidRDefault="00BC7454" w:rsidP="00BC7454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922D0C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Change in other technical provisions - </w:t>
            </w:r>
            <w:r w:rsidRPr="00922D0C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br/>
              <w:t>net of reinsurance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–1 676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0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–1 222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x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6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12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8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133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0</w:t>
            </w:r>
          </w:p>
        </w:tc>
      </w:tr>
      <w:tr w:rsidR="00BC7454" w:rsidRPr="00FA5128" w:rsidTr="00F940D7">
        <w:trPr>
          <w:trHeight w:val="57"/>
        </w:trPr>
        <w:tc>
          <w:tcPr>
            <w:tcW w:w="2154" w:type="dxa"/>
            <w:vAlign w:val="center"/>
          </w:tcPr>
          <w:p w:rsidR="00BC7454" w:rsidRPr="00F5773F" w:rsidRDefault="00BC7454" w:rsidP="00BC7454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112C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Net </w:t>
            </w:r>
            <w:proofErr w:type="spellStart"/>
            <w:r w:rsidRPr="007112C4">
              <w:rPr>
                <w:rFonts w:ascii="Fira Sans" w:hAnsi="Fira Sans"/>
                <w:color w:val="000000" w:themeColor="text1"/>
                <w:sz w:val="16"/>
                <w:szCs w:val="16"/>
              </w:rPr>
              <w:t>operating</w:t>
            </w:r>
            <w:proofErr w:type="spellEnd"/>
            <w:r w:rsidRPr="007112C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112C4">
              <w:rPr>
                <w:rFonts w:ascii="Fira Sans" w:hAnsi="Fira Sans"/>
                <w:color w:val="000000" w:themeColor="text1"/>
                <w:sz w:val="16"/>
                <w:szCs w:val="16"/>
              </w:rPr>
              <w:t>expenses</w:t>
            </w:r>
            <w:proofErr w:type="spellEnd"/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5 076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9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5 033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0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99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9 984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4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10 387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4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104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0</w:t>
            </w:r>
          </w:p>
        </w:tc>
      </w:tr>
      <w:tr w:rsidR="00BC7454" w:rsidRPr="00FA5128" w:rsidTr="00F940D7">
        <w:trPr>
          <w:trHeight w:val="57"/>
        </w:trPr>
        <w:tc>
          <w:tcPr>
            <w:tcW w:w="2154" w:type="dxa"/>
            <w:vAlign w:val="center"/>
          </w:tcPr>
          <w:p w:rsidR="00BC7454" w:rsidRPr="00FA5128" w:rsidRDefault="00BC7454" w:rsidP="00BC7454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112C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Investment </w:t>
            </w:r>
            <w:proofErr w:type="spellStart"/>
            <w:r w:rsidRPr="007112C4">
              <w:rPr>
                <w:rFonts w:ascii="Fira Sans" w:hAnsi="Fira Sans"/>
                <w:color w:val="000000" w:themeColor="text1"/>
                <w:sz w:val="16"/>
                <w:szCs w:val="16"/>
              </w:rPr>
              <w:t>charges</w:t>
            </w:r>
            <w:proofErr w:type="spellEnd"/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2 528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2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4 407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8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174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3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651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1 561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8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239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9</w:t>
            </w:r>
          </w:p>
        </w:tc>
      </w:tr>
      <w:tr w:rsidR="00BC7454" w:rsidRPr="00FA5128" w:rsidTr="00F940D7">
        <w:trPr>
          <w:trHeight w:val="57"/>
        </w:trPr>
        <w:tc>
          <w:tcPr>
            <w:tcW w:w="2154" w:type="dxa"/>
            <w:vAlign w:val="center"/>
          </w:tcPr>
          <w:p w:rsidR="00BC7454" w:rsidRPr="00F5773F" w:rsidRDefault="00BC7454" w:rsidP="00BC7454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5A4096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NET FINANCIAL ACCOUNT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2 573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2 207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85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4 638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3 878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83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6</w:t>
            </w:r>
          </w:p>
        </w:tc>
      </w:tr>
      <w:tr w:rsidR="00FC3748" w:rsidRPr="00FA5128" w:rsidTr="00F940D7">
        <w:trPr>
          <w:trHeight w:val="57"/>
        </w:trPr>
        <w:tc>
          <w:tcPr>
            <w:tcW w:w="7938" w:type="dxa"/>
            <w:gridSpan w:val="7"/>
            <w:vAlign w:val="center"/>
          </w:tcPr>
          <w:p w:rsidR="00FC3748" w:rsidRPr="00CF7628" w:rsidRDefault="00FC3748" w:rsidP="00FC3748">
            <w:pPr>
              <w:jc w:val="center"/>
              <w:rPr>
                <w:sz w:val="16"/>
                <w:szCs w:val="16"/>
              </w:rPr>
            </w:pPr>
            <w:r w:rsidRPr="00CF7628">
              <w:rPr>
                <w:sz w:val="16"/>
                <w:szCs w:val="16"/>
              </w:rPr>
              <w:t>***</w:t>
            </w:r>
          </w:p>
        </w:tc>
      </w:tr>
      <w:tr w:rsidR="00B46AFA" w:rsidRPr="00FA5128" w:rsidTr="00F940D7">
        <w:trPr>
          <w:trHeight w:val="57"/>
        </w:trPr>
        <w:tc>
          <w:tcPr>
            <w:tcW w:w="2154" w:type="dxa"/>
            <w:vAlign w:val="center"/>
          </w:tcPr>
          <w:p w:rsidR="00B46AFA" w:rsidRPr="001700C7" w:rsidRDefault="00B46AFA" w:rsidP="00B46AFA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Balance</w:t>
            </w:r>
            <w:proofErr w:type="spellEnd"/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 xml:space="preserve"> on </w:t>
            </w:r>
            <w:proofErr w:type="spellStart"/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technical</w:t>
            </w:r>
            <w:proofErr w:type="spellEnd"/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br/>
            </w:r>
            <w:proofErr w:type="spellStart"/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account</w:t>
            </w:r>
            <w:proofErr w:type="spellEnd"/>
            <w:r w:rsidRPr="001700C7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vAlign w:val="bottom"/>
          </w:tcPr>
          <w:p w:rsidR="00B46AFA" w:rsidRDefault="00B46AFA" w:rsidP="00B46AFA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3 263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64" w:type="dxa"/>
            <w:vAlign w:val="bottom"/>
          </w:tcPr>
          <w:p w:rsidR="00B46AFA" w:rsidRDefault="00B46AFA" w:rsidP="00B46AFA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2 970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64" w:type="dxa"/>
            <w:vAlign w:val="bottom"/>
          </w:tcPr>
          <w:p w:rsidR="00B46AFA" w:rsidRDefault="00B46AFA" w:rsidP="00B46AFA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91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4" w:type="dxa"/>
            <w:vAlign w:val="bottom"/>
          </w:tcPr>
          <w:p w:rsidR="00B46AFA" w:rsidRDefault="00B46AFA" w:rsidP="00B46AFA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2 926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64" w:type="dxa"/>
            <w:vAlign w:val="bottom"/>
          </w:tcPr>
          <w:p w:rsidR="00B46AFA" w:rsidRDefault="00B46AFA" w:rsidP="00B46AFA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3 132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64" w:type="dxa"/>
            <w:vAlign w:val="bottom"/>
          </w:tcPr>
          <w:p w:rsidR="00B46AFA" w:rsidRDefault="00B46AFA" w:rsidP="00B46AFA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107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0</w:t>
            </w:r>
          </w:p>
        </w:tc>
      </w:tr>
    </w:tbl>
    <w:p w:rsidR="005D39E6" w:rsidRPr="00922D0C" w:rsidRDefault="005D39E6" w:rsidP="005D39E6">
      <w:pPr>
        <w:rPr>
          <w:b/>
          <w:spacing w:val="-2"/>
          <w:sz w:val="18"/>
          <w:shd w:val="clear" w:color="auto" w:fill="FFFFFF"/>
          <w:lang w:val="en-GB"/>
        </w:rPr>
      </w:pPr>
      <w:r w:rsidRPr="00922D0C">
        <w:rPr>
          <w:b/>
          <w:spacing w:val="-2"/>
          <w:sz w:val="18"/>
          <w:shd w:val="clear" w:color="auto" w:fill="FFFFFF"/>
          <w:lang w:val="en-GB"/>
        </w:rPr>
        <w:t>Table 1. Income, costs and balance on technical life and non-life insurance account</w:t>
      </w:r>
    </w:p>
    <w:p w:rsidR="007F24CD" w:rsidRDefault="007F24CD" w:rsidP="009908E1">
      <w:pPr>
        <w:pStyle w:val="Nagwek1"/>
        <w:spacing w:line="240" w:lineRule="exact"/>
        <w:rPr>
          <w:lang w:val="en-GB"/>
        </w:rPr>
      </w:pPr>
    </w:p>
    <w:p w:rsidR="005D39E6" w:rsidRPr="00925057" w:rsidRDefault="005D39E6" w:rsidP="005D39E6">
      <w:pPr>
        <w:pStyle w:val="Nagwek1"/>
        <w:rPr>
          <w:lang w:val="en-GB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42208" behindDoc="1" locked="0" layoutInCell="1" allowOverlap="1" wp14:anchorId="0A0D94AC" wp14:editId="460D3F75">
                <wp:simplePos x="0" y="0"/>
                <wp:positionH relativeFrom="column">
                  <wp:posOffset>5219700</wp:posOffset>
                </wp:positionH>
                <wp:positionV relativeFrom="paragraph">
                  <wp:posOffset>161290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2F9" w:rsidRPr="004513D5" w:rsidRDefault="004162F9" w:rsidP="005D39E6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4513D5">
                              <w:rPr>
                                <w:lang w:val="en-GB"/>
                              </w:rPr>
                              <w:t>Net financial result amounted to PLN 2.</w:t>
                            </w:r>
                            <w:r w:rsidR="004E114C">
                              <w:rPr>
                                <w:lang w:val="en-GB"/>
                              </w:rPr>
                              <w:t>2</w:t>
                            </w:r>
                            <w:r w:rsidRPr="004513D5">
                              <w:rPr>
                                <w:lang w:val="en-GB"/>
                              </w:rPr>
                              <w:t xml:space="preserve"> billion</w:t>
                            </w:r>
                            <w:r>
                              <w:rPr>
                                <w:lang w:val="en-GB"/>
                              </w:rPr>
                              <w:t xml:space="preserve"> in life sector</w:t>
                            </w:r>
                            <w:r w:rsidRPr="004513D5">
                              <w:rPr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lang w:val="en-GB"/>
                              </w:rPr>
                              <w:br/>
                            </w:r>
                            <w:r w:rsidRPr="004513D5">
                              <w:rPr>
                                <w:lang w:val="en-GB"/>
                              </w:rPr>
                              <w:t xml:space="preserve">and PLN </w:t>
                            </w:r>
                            <w:r w:rsidR="004E114C">
                              <w:rPr>
                                <w:lang w:val="en-GB"/>
                              </w:rPr>
                              <w:t>3</w:t>
                            </w:r>
                            <w:r w:rsidRPr="004513D5">
                              <w:rPr>
                                <w:lang w:val="en-GB"/>
                              </w:rPr>
                              <w:t>.</w:t>
                            </w:r>
                            <w:r w:rsidR="004E114C">
                              <w:rPr>
                                <w:lang w:val="en-GB"/>
                              </w:rPr>
                              <w:t>9</w:t>
                            </w:r>
                            <w:r w:rsidRPr="004513D5">
                              <w:rPr>
                                <w:lang w:val="en-GB"/>
                              </w:rPr>
                              <w:t xml:space="preserve"> billion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br/>
                              <w:t>in non-life sector.</w:t>
                            </w:r>
                          </w:p>
                          <w:p w:rsidR="004162F9" w:rsidRPr="004513D5" w:rsidRDefault="004162F9" w:rsidP="005D39E6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4162F9" w:rsidRPr="004513D5" w:rsidRDefault="004162F9" w:rsidP="005D39E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D94AC" id="Pole tekstowe 5" o:spid="_x0000_s1029" type="#_x0000_t202" style="position:absolute;margin-left:411pt;margin-top:12.7pt;width:135.85pt;height:77.6pt;z-index:-251574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" filled="f" stroked="f">
                <v:textbox>
                  <w:txbxContent>
                    <w:p w:rsidR="004162F9" w:rsidRPr="004513D5" w:rsidRDefault="004162F9" w:rsidP="005D39E6">
                      <w:pPr>
                        <w:pStyle w:val="tekstzboku"/>
                        <w:rPr>
                          <w:lang w:val="en-GB"/>
                        </w:rPr>
                      </w:pPr>
                      <w:r w:rsidRPr="004513D5">
                        <w:rPr>
                          <w:lang w:val="en-GB"/>
                        </w:rPr>
                        <w:t>Net financial result amounted to PLN 2.</w:t>
                      </w:r>
                      <w:r w:rsidR="004E114C">
                        <w:rPr>
                          <w:lang w:val="en-GB"/>
                        </w:rPr>
                        <w:t>2</w:t>
                      </w:r>
                      <w:r w:rsidRPr="004513D5">
                        <w:rPr>
                          <w:lang w:val="en-GB"/>
                        </w:rPr>
                        <w:t xml:space="preserve"> billion</w:t>
                      </w:r>
                      <w:r>
                        <w:rPr>
                          <w:lang w:val="en-GB"/>
                        </w:rPr>
                        <w:t xml:space="preserve"> in life sector</w:t>
                      </w:r>
                      <w:r w:rsidRPr="004513D5">
                        <w:rPr>
                          <w:lang w:val="en-GB"/>
                        </w:rPr>
                        <w:t xml:space="preserve">, </w:t>
                      </w:r>
                      <w:r>
                        <w:rPr>
                          <w:lang w:val="en-GB"/>
                        </w:rPr>
                        <w:br/>
                      </w:r>
                      <w:r w:rsidRPr="004513D5">
                        <w:rPr>
                          <w:lang w:val="en-GB"/>
                        </w:rPr>
                        <w:t xml:space="preserve">and PLN </w:t>
                      </w:r>
                      <w:r w:rsidR="004E114C">
                        <w:rPr>
                          <w:lang w:val="en-GB"/>
                        </w:rPr>
                        <w:t>3</w:t>
                      </w:r>
                      <w:r w:rsidRPr="004513D5">
                        <w:rPr>
                          <w:lang w:val="en-GB"/>
                        </w:rPr>
                        <w:t>.</w:t>
                      </w:r>
                      <w:r w:rsidR="004E114C">
                        <w:rPr>
                          <w:lang w:val="en-GB"/>
                        </w:rPr>
                        <w:t>9</w:t>
                      </w:r>
                      <w:r w:rsidRPr="004513D5">
                        <w:rPr>
                          <w:lang w:val="en-GB"/>
                        </w:rPr>
                        <w:t xml:space="preserve"> billion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br/>
                        <w:t>in non-life sector.</w:t>
                      </w:r>
                    </w:p>
                    <w:p w:rsidR="004162F9" w:rsidRPr="004513D5" w:rsidRDefault="004162F9" w:rsidP="005D39E6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4162F9" w:rsidRPr="004513D5" w:rsidRDefault="004162F9" w:rsidP="005D39E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925057">
        <w:rPr>
          <w:lang w:val="en-GB"/>
        </w:rPr>
        <w:t>Profit (loss) and balance on technical account</w:t>
      </w:r>
    </w:p>
    <w:p w:rsidR="005D39E6" w:rsidRPr="00925057" w:rsidRDefault="005D39E6" w:rsidP="005D39E6">
      <w:pPr>
        <w:rPr>
          <w:shd w:val="clear" w:color="auto" w:fill="FFFFFF"/>
          <w:lang w:val="en-GB"/>
        </w:rPr>
      </w:pPr>
      <w:r w:rsidRPr="00925057">
        <w:rPr>
          <w:shd w:val="clear" w:color="auto" w:fill="FFFFFF"/>
          <w:lang w:val="en-GB"/>
        </w:rPr>
        <w:t xml:space="preserve">The total net financial result of insurance companies amounted to PLN </w:t>
      </w:r>
      <w:r w:rsidR="004162F9" w:rsidRPr="004162F9">
        <w:rPr>
          <w:shd w:val="clear" w:color="auto" w:fill="FFFFFF"/>
          <w:lang w:val="en-GB"/>
        </w:rPr>
        <w:t>6 086.7</w:t>
      </w:r>
      <w:r w:rsidRPr="00925057">
        <w:rPr>
          <w:shd w:val="clear" w:color="auto" w:fill="FFFFFF"/>
          <w:lang w:val="en-GB"/>
        </w:rPr>
        <w:t xml:space="preserve"> million and was </w:t>
      </w:r>
      <w:r w:rsidR="004162F9">
        <w:rPr>
          <w:shd w:val="clear" w:color="auto" w:fill="FFFFFF"/>
          <w:lang w:val="en-GB"/>
        </w:rPr>
        <w:t>lower</w:t>
      </w:r>
      <w:r>
        <w:rPr>
          <w:shd w:val="clear" w:color="auto" w:fill="FFFFFF"/>
          <w:lang w:val="en-GB"/>
        </w:rPr>
        <w:t xml:space="preserve"> </w:t>
      </w:r>
      <w:r w:rsidRPr="00925057">
        <w:rPr>
          <w:shd w:val="clear" w:color="auto" w:fill="FFFFFF"/>
          <w:lang w:val="en-GB"/>
        </w:rPr>
        <w:t xml:space="preserve">by </w:t>
      </w:r>
      <w:r w:rsidR="004162F9">
        <w:rPr>
          <w:shd w:val="clear" w:color="auto" w:fill="FFFFFF"/>
          <w:lang w:val="en-GB"/>
        </w:rPr>
        <w:t>15.6</w:t>
      </w:r>
      <w:r w:rsidRPr="00925057">
        <w:rPr>
          <w:shd w:val="clear" w:color="auto" w:fill="FFFFFF"/>
          <w:lang w:val="en-GB"/>
        </w:rPr>
        <w:t xml:space="preserve">% compared to </w:t>
      </w:r>
      <w:r w:rsidR="001E5A26">
        <w:rPr>
          <w:shd w:val="clear" w:color="auto" w:fill="FFFFFF"/>
          <w:lang w:val="en-GB"/>
        </w:rPr>
        <w:t>2019</w:t>
      </w:r>
      <w:r w:rsidRPr="00925057">
        <w:rPr>
          <w:shd w:val="clear" w:color="auto" w:fill="FFFFFF"/>
          <w:lang w:val="en-GB"/>
        </w:rPr>
        <w:t xml:space="preserve">. </w:t>
      </w:r>
      <w:r>
        <w:rPr>
          <w:shd w:val="clear" w:color="auto" w:fill="FFFFFF"/>
          <w:lang w:val="en-GB"/>
        </w:rPr>
        <w:t>Life i</w:t>
      </w:r>
      <w:r w:rsidRPr="00925057">
        <w:rPr>
          <w:shd w:val="clear" w:color="auto" w:fill="FFFFFF"/>
          <w:lang w:val="en-GB"/>
        </w:rPr>
        <w:t>nsurance companies generated a result of</w:t>
      </w:r>
      <w:r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br/>
      </w:r>
      <w:r w:rsidR="007D79BC">
        <w:rPr>
          <w:shd w:val="clear" w:color="auto" w:fill="FFFFFF"/>
          <w:lang w:val="en-GB"/>
        </w:rPr>
        <w:t xml:space="preserve">PLN </w:t>
      </w:r>
      <w:r w:rsidR="004162F9" w:rsidRPr="004162F9">
        <w:rPr>
          <w:shd w:val="clear" w:color="auto" w:fill="FFFFFF"/>
          <w:lang w:val="en-GB"/>
        </w:rPr>
        <w:t>2 207</w:t>
      </w:r>
      <w:r w:rsidR="004162F9">
        <w:rPr>
          <w:shd w:val="clear" w:color="auto" w:fill="FFFFFF"/>
          <w:lang w:val="en-GB"/>
        </w:rPr>
        <w:t>.</w:t>
      </w:r>
      <w:r w:rsidR="004162F9" w:rsidRPr="004162F9">
        <w:rPr>
          <w:shd w:val="clear" w:color="auto" w:fill="FFFFFF"/>
          <w:lang w:val="en-GB"/>
        </w:rPr>
        <w:t xml:space="preserve">8 </w:t>
      </w:r>
      <w:r w:rsidRPr="00925057">
        <w:rPr>
          <w:shd w:val="clear" w:color="auto" w:fill="FFFFFF"/>
          <w:lang w:val="en-GB"/>
        </w:rPr>
        <w:t xml:space="preserve">million, and </w:t>
      </w:r>
      <w:r>
        <w:rPr>
          <w:shd w:val="clear" w:color="auto" w:fill="FFFFFF"/>
          <w:lang w:val="en-GB"/>
        </w:rPr>
        <w:t>non-life insurance</w:t>
      </w:r>
      <w:r w:rsidRPr="00925057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>profi</w:t>
      </w:r>
      <w:r w:rsidR="007D79BC">
        <w:rPr>
          <w:shd w:val="clear" w:color="auto" w:fill="FFFFFF"/>
          <w:lang w:val="en-GB"/>
        </w:rPr>
        <w:t xml:space="preserve">t amounted to PLN </w:t>
      </w:r>
      <w:r w:rsidR="004E114C">
        <w:rPr>
          <w:shd w:val="clear" w:color="auto" w:fill="FFFFFF"/>
          <w:lang w:val="en-GB"/>
        </w:rPr>
        <w:t>3 878.</w:t>
      </w:r>
      <w:r w:rsidR="004E114C" w:rsidRPr="004E114C">
        <w:rPr>
          <w:shd w:val="clear" w:color="auto" w:fill="FFFFFF"/>
          <w:lang w:val="en-GB"/>
        </w:rPr>
        <w:t xml:space="preserve">9 </w:t>
      </w:r>
      <w:r w:rsidRPr="00925057">
        <w:rPr>
          <w:shd w:val="clear" w:color="auto" w:fill="FFFFFF"/>
          <w:lang w:val="en-GB"/>
        </w:rPr>
        <w:t xml:space="preserve">million. The technical result (in aggregated terms) was PLN </w:t>
      </w:r>
      <w:r w:rsidR="004E114C" w:rsidRPr="004E114C">
        <w:rPr>
          <w:shd w:val="clear" w:color="auto" w:fill="FFFFFF"/>
          <w:lang w:val="en-GB"/>
        </w:rPr>
        <w:t>6 102</w:t>
      </w:r>
      <w:r w:rsidR="004E114C">
        <w:rPr>
          <w:shd w:val="clear" w:color="auto" w:fill="FFFFFF"/>
          <w:lang w:val="en-GB"/>
        </w:rPr>
        <w:t>.</w:t>
      </w:r>
      <w:r w:rsidR="004E114C" w:rsidRPr="004E114C">
        <w:rPr>
          <w:shd w:val="clear" w:color="auto" w:fill="FFFFFF"/>
          <w:lang w:val="en-GB"/>
        </w:rPr>
        <w:t xml:space="preserve">8 </w:t>
      </w:r>
      <w:r w:rsidRPr="00925057">
        <w:rPr>
          <w:shd w:val="clear" w:color="auto" w:fill="FFFFFF"/>
          <w:lang w:val="en-GB"/>
        </w:rPr>
        <w:t xml:space="preserve">million and was </w:t>
      </w:r>
      <w:r w:rsidR="004E114C">
        <w:rPr>
          <w:shd w:val="clear" w:color="auto" w:fill="FFFFFF"/>
          <w:lang w:val="en-GB"/>
        </w:rPr>
        <w:t>1</w:t>
      </w:r>
      <w:r w:rsidRPr="00925057">
        <w:rPr>
          <w:shd w:val="clear" w:color="auto" w:fill="FFFFFF"/>
          <w:lang w:val="en-GB"/>
        </w:rPr>
        <w:t>.</w:t>
      </w:r>
      <w:r w:rsidR="004E114C">
        <w:rPr>
          <w:shd w:val="clear" w:color="auto" w:fill="FFFFFF"/>
          <w:lang w:val="en-GB"/>
        </w:rPr>
        <w:t>4</w:t>
      </w:r>
      <w:r w:rsidRPr="00925057">
        <w:rPr>
          <w:shd w:val="clear" w:color="auto" w:fill="FFFFFF"/>
          <w:lang w:val="en-GB"/>
        </w:rPr>
        <w:t xml:space="preserve">% </w:t>
      </w:r>
      <w:r w:rsidR="004E114C">
        <w:rPr>
          <w:shd w:val="clear" w:color="auto" w:fill="FFFFFF"/>
          <w:lang w:val="en-GB"/>
        </w:rPr>
        <w:t>lower</w:t>
      </w:r>
      <w:r w:rsidRPr="00925057">
        <w:rPr>
          <w:shd w:val="clear" w:color="auto" w:fill="FFFFFF"/>
          <w:lang w:val="en-GB"/>
        </w:rPr>
        <w:t xml:space="preserve"> than in </w:t>
      </w:r>
      <w:r w:rsidR="001E5A26">
        <w:rPr>
          <w:shd w:val="clear" w:color="auto" w:fill="FFFFFF"/>
          <w:lang w:val="en-GB"/>
        </w:rPr>
        <w:t>2019</w:t>
      </w:r>
      <w:r w:rsidRPr="00925057">
        <w:rPr>
          <w:shd w:val="clear" w:color="auto" w:fill="FFFFFF"/>
          <w:lang w:val="en-GB"/>
        </w:rPr>
        <w:t xml:space="preserve">. The technical result in life insurance </w:t>
      </w:r>
      <w:r w:rsidR="004E114C">
        <w:rPr>
          <w:shd w:val="clear" w:color="auto" w:fill="FFFFFF"/>
          <w:lang w:val="en-GB"/>
        </w:rPr>
        <w:t>de</w:t>
      </w:r>
      <w:r w:rsidRPr="00925057">
        <w:rPr>
          <w:shd w:val="clear" w:color="auto" w:fill="FFFFFF"/>
          <w:lang w:val="en-GB"/>
        </w:rPr>
        <w:t xml:space="preserve">creased to PLN </w:t>
      </w:r>
      <w:r w:rsidR="004E114C" w:rsidRPr="004E114C">
        <w:rPr>
          <w:shd w:val="clear" w:color="auto" w:fill="FFFFFF"/>
          <w:lang w:val="en-GB"/>
        </w:rPr>
        <w:t xml:space="preserve">2 970.3 </w:t>
      </w:r>
      <w:r w:rsidRPr="00925057">
        <w:rPr>
          <w:shd w:val="clear" w:color="auto" w:fill="FFFFFF"/>
          <w:lang w:val="en-GB"/>
        </w:rPr>
        <w:t xml:space="preserve">million, in </w:t>
      </w:r>
      <w:r>
        <w:rPr>
          <w:shd w:val="clear" w:color="auto" w:fill="FFFFFF"/>
          <w:lang w:val="en-GB"/>
        </w:rPr>
        <w:t xml:space="preserve">non-life </w:t>
      </w:r>
      <w:r w:rsidR="000F60A0">
        <w:rPr>
          <w:shd w:val="clear" w:color="auto" w:fill="FFFFFF"/>
          <w:lang w:val="en-GB"/>
        </w:rPr>
        <w:t xml:space="preserve">insurance </w:t>
      </w:r>
      <w:r w:rsidR="004E114C" w:rsidRPr="00925057">
        <w:rPr>
          <w:shd w:val="clear" w:color="auto" w:fill="FFFFFF"/>
          <w:lang w:val="en-GB"/>
        </w:rPr>
        <w:t>increased</w:t>
      </w:r>
      <w:r w:rsidR="004E114C">
        <w:rPr>
          <w:shd w:val="clear" w:color="auto" w:fill="FFFFFF"/>
          <w:lang w:val="en-GB"/>
        </w:rPr>
        <w:t xml:space="preserve"> </w:t>
      </w:r>
      <w:r w:rsidR="007D79BC">
        <w:rPr>
          <w:shd w:val="clear" w:color="auto" w:fill="FFFFFF"/>
          <w:lang w:val="en-GB"/>
        </w:rPr>
        <w:t xml:space="preserve">up to PLN </w:t>
      </w:r>
      <w:r w:rsidR="004E114C" w:rsidRPr="004E114C">
        <w:rPr>
          <w:shd w:val="clear" w:color="auto" w:fill="FFFFFF"/>
          <w:lang w:val="en-GB"/>
        </w:rPr>
        <w:t xml:space="preserve">3 132.5 </w:t>
      </w:r>
      <w:r>
        <w:rPr>
          <w:shd w:val="clear" w:color="auto" w:fill="FFFFFF"/>
          <w:lang w:val="en-GB"/>
        </w:rPr>
        <w:t>million.</w:t>
      </w:r>
    </w:p>
    <w:p w:rsidR="005D39E6" w:rsidRPr="00925057" w:rsidRDefault="005D39E6" w:rsidP="005D39E6">
      <w:pPr>
        <w:spacing w:before="0" w:after="160" w:line="259" w:lineRule="auto"/>
        <w:rPr>
          <w:shd w:val="clear" w:color="auto" w:fill="FFFFFF"/>
          <w:lang w:val="en-GB"/>
        </w:rPr>
      </w:pPr>
      <w:r w:rsidRPr="00925057">
        <w:rPr>
          <w:shd w:val="clear" w:color="auto" w:fill="FFFFFF"/>
          <w:lang w:val="en-GB"/>
        </w:rPr>
        <w:br w:type="page"/>
      </w:r>
    </w:p>
    <w:tbl>
      <w:tblPr>
        <w:tblStyle w:val="Siatkatabelijasna1"/>
        <w:tblpPr w:leftFromText="142" w:rightFromText="142" w:vertAnchor="text" w:horzAnchor="margin" w:tblpY="596"/>
        <w:tblW w:w="7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053"/>
        <w:gridCol w:w="8"/>
        <w:gridCol w:w="842"/>
        <w:gridCol w:w="8"/>
        <w:gridCol w:w="843"/>
        <w:gridCol w:w="7"/>
        <w:gridCol w:w="731"/>
        <w:gridCol w:w="6"/>
        <w:gridCol w:w="844"/>
        <w:gridCol w:w="8"/>
        <w:gridCol w:w="843"/>
        <w:gridCol w:w="7"/>
        <w:gridCol w:w="737"/>
      </w:tblGrid>
      <w:tr w:rsidR="005D39E6" w:rsidRPr="00FA5128" w:rsidTr="00F940D7">
        <w:trPr>
          <w:trHeight w:val="57"/>
        </w:trPr>
        <w:tc>
          <w:tcPr>
            <w:tcW w:w="3053" w:type="dxa"/>
            <w:vMerge w:val="restart"/>
            <w:vAlign w:val="center"/>
          </w:tcPr>
          <w:p w:rsidR="005D39E6" w:rsidRPr="009C7251" w:rsidRDefault="005D39E6" w:rsidP="00F940D7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SPECIFICATION</w:t>
            </w:r>
          </w:p>
        </w:tc>
        <w:tc>
          <w:tcPr>
            <w:tcW w:w="2439" w:type="dxa"/>
            <w:gridSpan w:val="6"/>
            <w:vAlign w:val="center"/>
          </w:tcPr>
          <w:p w:rsidR="005D39E6" w:rsidRPr="00FA5128" w:rsidRDefault="005D39E6" w:rsidP="00F940D7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15C7F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Gross </w:t>
            </w:r>
            <w:proofErr w:type="spellStart"/>
            <w:r w:rsidRPr="00C15C7F">
              <w:rPr>
                <w:rFonts w:ascii="Fira Sans" w:hAnsi="Fira Sans"/>
                <w:color w:val="000000" w:themeColor="text1"/>
                <w:sz w:val="16"/>
                <w:szCs w:val="16"/>
              </w:rPr>
              <w:t>written</w:t>
            </w:r>
            <w:proofErr w:type="spellEnd"/>
            <w:r w:rsidRPr="00C15C7F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15C7F">
              <w:rPr>
                <w:rFonts w:ascii="Fira Sans" w:hAnsi="Fira Sans"/>
                <w:color w:val="000000" w:themeColor="text1"/>
                <w:sz w:val="16"/>
                <w:szCs w:val="16"/>
              </w:rPr>
              <w:t>premiums</w:t>
            </w:r>
            <w:proofErr w:type="spellEnd"/>
          </w:p>
        </w:tc>
        <w:tc>
          <w:tcPr>
            <w:tcW w:w="2445" w:type="dxa"/>
            <w:gridSpan w:val="6"/>
          </w:tcPr>
          <w:p w:rsidR="005D39E6" w:rsidRPr="00FA5128" w:rsidRDefault="005D39E6" w:rsidP="00F940D7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15C7F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Gross </w:t>
            </w:r>
            <w:proofErr w:type="spellStart"/>
            <w:r w:rsidRPr="00C15C7F">
              <w:rPr>
                <w:rFonts w:ascii="Fira Sans" w:hAnsi="Fira Sans"/>
                <w:color w:val="000000" w:themeColor="text1"/>
                <w:sz w:val="16"/>
                <w:szCs w:val="16"/>
              </w:rPr>
              <w:t>claims</w:t>
            </w:r>
            <w:proofErr w:type="spellEnd"/>
            <w:r w:rsidRPr="00C15C7F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15C7F">
              <w:rPr>
                <w:rFonts w:ascii="Fira Sans" w:hAnsi="Fira Sans"/>
                <w:color w:val="000000" w:themeColor="text1"/>
                <w:sz w:val="16"/>
                <w:szCs w:val="16"/>
              </w:rPr>
              <w:t>paid</w:t>
            </w:r>
            <w:proofErr w:type="spellEnd"/>
          </w:p>
        </w:tc>
      </w:tr>
      <w:tr w:rsidR="005D39E6" w:rsidRPr="00FA5128" w:rsidTr="00F940D7">
        <w:trPr>
          <w:trHeight w:val="57"/>
        </w:trPr>
        <w:tc>
          <w:tcPr>
            <w:tcW w:w="3053" w:type="dxa"/>
            <w:vMerge/>
            <w:vAlign w:val="center"/>
          </w:tcPr>
          <w:p w:rsidR="005D39E6" w:rsidRPr="00FA5128" w:rsidRDefault="005D39E6" w:rsidP="00F940D7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5D39E6" w:rsidRPr="00FA5128" w:rsidRDefault="001E5A26" w:rsidP="00F940D7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851" w:type="dxa"/>
            <w:gridSpan w:val="2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5D39E6" w:rsidRPr="00FA5128" w:rsidRDefault="001E5A26" w:rsidP="00F940D7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738" w:type="dxa"/>
            <w:gridSpan w:val="2"/>
            <w:vMerge w:val="restart"/>
            <w:vAlign w:val="center"/>
          </w:tcPr>
          <w:p w:rsidR="005D39E6" w:rsidRPr="00FA5128" w:rsidRDefault="001E5A26" w:rsidP="00F940D7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  <w:r w:rsidR="005D39E6">
              <w:rPr>
                <w:color w:val="000000" w:themeColor="text1"/>
                <w:sz w:val="16"/>
                <w:szCs w:val="16"/>
              </w:rPr>
              <w:t>= =100</w:t>
            </w:r>
          </w:p>
        </w:tc>
        <w:tc>
          <w:tcPr>
            <w:tcW w:w="850" w:type="dxa"/>
            <w:gridSpan w:val="2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5D39E6" w:rsidRPr="00FA5128" w:rsidRDefault="001E5A26" w:rsidP="00F940D7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851" w:type="dxa"/>
            <w:gridSpan w:val="2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5D39E6" w:rsidRPr="00FA5128" w:rsidRDefault="001E5A26" w:rsidP="00F940D7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744" w:type="dxa"/>
            <w:gridSpan w:val="2"/>
            <w:vMerge w:val="restart"/>
            <w:vAlign w:val="center"/>
          </w:tcPr>
          <w:p w:rsidR="005D39E6" w:rsidRPr="00FA5128" w:rsidRDefault="001E5A26" w:rsidP="00F940D7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  <w:r w:rsidR="005D39E6">
              <w:rPr>
                <w:color w:val="000000" w:themeColor="text1"/>
                <w:sz w:val="16"/>
                <w:szCs w:val="16"/>
              </w:rPr>
              <w:t>= =100</w:t>
            </w:r>
          </w:p>
        </w:tc>
      </w:tr>
      <w:tr w:rsidR="005D39E6" w:rsidRPr="00FA5128" w:rsidTr="00F940D7">
        <w:trPr>
          <w:trHeight w:val="57"/>
        </w:trPr>
        <w:tc>
          <w:tcPr>
            <w:tcW w:w="3053" w:type="dxa"/>
            <w:vMerge/>
            <w:tcBorders>
              <w:bottom w:val="single" w:sz="12" w:space="0" w:color="212492"/>
            </w:tcBorders>
            <w:vAlign w:val="center"/>
          </w:tcPr>
          <w:p w:rsidR="005D39E6" w:rsidRPr="00FA5128" w:rsidRDefault="005D39E6" w:rsidP="00F940D7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5D39E6" w:rsidRPr="00FA5128" w:rsidRDefault="005D39E6" w:rsidP="00F940D7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million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PLN</w:t>
            </w:r>
          </w:p>
        </w:tc>
        <w:tc>
          <w:tcPr>
            <w:tcW w:w="738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5D39E6" w:rsidRPr="00FA5128" w:rsidRDefault="005D39E6" w:rsidP="00F940D7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bottom w:val="single" w:sz="12" w:space="0" w:color="212492"/>
            </w:tcBorders>
            <w:vAlign w:val="center"/>
          </w:tcPr>
          <w:p w:rsidR="005D39E6" w:rsidRPr="00FA5128" w:rsidRDefault="005D39E6" w:rsidP="00F940D7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million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PLN</w:t>
            </w:r>
          </w:p>
        </w:tc>
        <w:tc>
          <w:tcPr>
            <w:tcW w:w="744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5D39E6" w:rsidRPr="00FA5128" w:rsidRDefault="005D39E6" w:rsidP="00F940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D39E6" w:rsidRPr="00FA5128" w:rsidTr="00F940D7">
        <w:trPr>
          <w:trHeight w:val="57"/>
        </w:trPr>
        <w:tc>
          <w:tcPr>
            <w:tcW w:w="7937" w:type="dxa"/>
            <w:gridSpan w:val="13"/>
            <w:tcBorders>
              <w:top w:val="single" w:sz="12" w:space="0" w:color="212492"/>
            </w:tcBorders>
            <w:vAlign w:val="center"/>
          </w:tcPr>
          <w:p w:rsidR="005D39E6" w:rsidRPr="004B10CA" w:rsidRDefault="005D39E6" w:rsidP="00F940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LIFE</w:t>
            </w:r>
          </w:p>
        </w:tc>
      </w:tr>
      <w:tr w:rsidR="00BC7454" w:rsidRPr="00FA5128" w:rsidTr="00F940D7">
        <w:trPr>
          <w:trHeight w:val="57"/>
        </w:trPr>
        <w:tc>
          <w:tcPr>
            <w:tcW w:w="3061" w:type="dxa"/>
            <w:gridSpan w:val="2"/>
            <w:vAlign w:val="center"/>
          </w:tcPr>
          <w:p w:rsidR="00BC7454" w:rsidRPr="00FA5128" w:rsidRDefault="00BC7454" w:rsidP="00BC7454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850" w:type="dxa"/>
            <w:gridSpan w:val="2"/>
            <w:tcBorders>
              <w:bottom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21 275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20 745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37" w:type="dxa"/>
            <w:gridSpan w:val="2"/>
            <w:tcBorders>
              <w:bottom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97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2" w:type="dxa"/>
            <w:gridSpan w:val="2"/>
            <w:tcBorders>
              <w:bottom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18 565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tcBorders>
              <w:bottom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17 415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37" w:type="dxa"/>
            <w:tcBorders>
              <w:bottom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93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8</w:t>
            </w:r>
          </w:p>
        </w:tc>
      </w:tr>
      <w:tr w:rsidR="00BC7454" w:rsidRPr="00FA5128" w:rsidTr="00F940D7">
        <w:trPr>
          <w:trHeight w:val="57"/>
        </w:trPr>
        <w:tc>
          <w:tcPr>
            <w:tcW w:w="3061" w:type="dxa"/>
            <w:gridSpan w:val="2"/>
            <w:vAlign w:val="center"/>
          </w:tcPr>
          <w:p w:rsidR="00BC7454" w:rsidRPr="000200A8" w:rsidRDefault="00BC7454" w:rsidP="00BC7454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which</w:t>
            </w:r>
            <w:proofErr w:type="spellEnd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850" w:type="dxa"/>
            <w:gridSpan w:val="2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C7454" w:rsidRDefault="00BC7454" w:rsidP="00BC7454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C7454" w:rsidRDefault="00BC7454" w:rsidP="00BC7454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C7454" w:rsidRDefault="00BC7454" w:rsidP="00BC745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C7454" w:rsidRDefault="00BC7454" w:rsidP="00BC7454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bottom"/>
          </w:tcPr>
          <w:p w:rsidR="00BC7454" w:rsidRDefault="00BC7454" w:rsidP="00BC7454">
            <w:pPr>
              <w:rPr>
                <w:sz w:val="20"/>
                <w:szCs w:val="20"/>
              </w:rPr>
            </w:pPr>
          </w:p>
        </w:tc>
      </w:tr>
      <w:tr w:rsidR="00BC7454" w:rsidRPr="00FA5128" w:rsidTr="00F940D7">
        <w:trPr>
          <w:trHeight w:val="57"/>
        </w:trPr>
        <w:tc>
          <w:tcPr>
            <w:tcW w:w="3061" w:type="dxa"/>
            <w:gridSpan w:val="2"/>
            <w:vAlign w:val="center"/>
          </w:tcPr>
          <w:p w:rsidR="00BC7454" w:rsidRPr="000200A8" w:rsidRDefault="00BC7454" w:rsidP="00BC7454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15C7F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Life </w:t>
            </w:r>
            <w:proofErr w:type="spellStart"/>
            <w:r w:rsidRPr="00C15C7F">
              <w:rPr>
                <w:rFonts w:ascii="Fira Sans" w:hAnsi="Fira Sans"/>
                <w:color w:val="000000" w:themeColor="text1"/>
                <w:sz w:val="16"/>
                <w:szCs w:val="16"/>
              </w:rPr>
              <w:t>insurance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7 854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7 955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4</w:t>
            </w:r>
          </w:p>
        </w:tc>
        <w:tc>
          <w:tcPr>
            <w:tcW w:w="737" w:type="dxa"/>
            <w:gridSpan w:val="2"/>
            <w:tcBorders>
              <w:top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101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5 803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6 396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8</w:t>
            </w:r>
          </w:p>
        </w:tc>
        <w:tc>
          <w:tcPr>
            <w:tcW w:w="737" w:type="dxa"/>
            <w:tcBorders>
              <w:top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110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2</w:t>
            </w:r>
          </w:p>
        </w:tc>
      </w:tr>
      <w:tr w:rsidR="00BC7454" w:rsidRPr="00FA5128" w:rsidTr="00F940D7">
        <w:trPr>
          <w:trHeight w:val="57"/>
        </w:trPr>
        <w:tc>
          <w:tcPr>
            <w:tcW w:w="3061" w:type="dxa"/>
            <w:gridSpan w:val="2"/>
            <w:vAlign w:val="center"/>
          </w:tcPr>
          <w:p w:rsidR="00BC7454" w:rsidRPr="00922D0C" w:rsidRDefault="00BC7454" w:rsidP="00BC7454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922D0C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Life insurance linked to capital </w:t>
            </w:r>
            <w:r w:rsidRPr="00922D0C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br/>
              <w:t>insurance fund</w:t>
            </w:r>
          </w:p>
        </w:tc>
        <w:tc>
          <w:tcPr>
            <w:tcW w:w="850" w:type="dxa"/>
            <w:gridSpan w:val="2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6 845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5 884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5</w:t>
            </w:r>
          </w:p>
        </w:tc>
        <w:tc>
          <w:tcPr>
            <w:tcW w:w="737" w:type="dxa"/>
            <w:gridSpan w:val="2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86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0</w:t>
            </w:r>
          </w:p>
        </w:tc>
        <w:tc>
          <w:tcPr>
            <w:tcW w:w="852" w:type="dxa"/>
            <w:gridSpan w:val="2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9 891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8 341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6</w:t>
            </w:r>
          </w:p>
        </w:tc>
        <w:tc>
          <w:tcPr>
            <w:tcW w:w="737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84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3</w:t>
            </w:r>
          </w:p>
        </w:tc>
      </w:tr>
      <w:tr w:rsidR="00BC7454" w:rsidRPr="00FA5128" w:rsidTr="00F940D7">
        <w:trPr>
          <w:trHeight w:val="57"/>
        </w:trPr>
        <w:tc>
          <w:tcPr>
            <w:tcW w:w="3061" w:type="dxa"/>
            <w:gridSpan w:val="2"/>
            <w:vAlign w:val="center"/>
          </w:tcPr>
          <w:p w:rsidR="00BC7454" w:rsidRPr="004653FA" w:rsidRDefault="00BC7454" w:rsidP="00BC7454">
            <w:pPr>
              <w:pStyle w:val="Nagwek9"/>
              <w:tabs>
                <w:tab w:val="right" w:leader="dot" w:pos="4156"/>
              </w:tabs>
              <w:spacing w:before="0"/>
              <w:ind w:left="176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proofErr w:type="spellStart"/>
            <w:r w:rsidRPr="00C15C7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Accident</w:t>
            </w:r>
            <w:proofErr w:type="spellEnd"/>
            <w:r w:rsidRPr="00C15C7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 and </w:t>
            </w:r>
            <w:proofErr w:type="spellStart"/>
            <w:r w:rsidRPr="00C15C7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sickness</w:t>
            </w:r>
            <w:proofErr w:type="spellEnd"/>
            <w:r w:rsidRPr="00C15C7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15C7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insurance</w:t>
            </w:r>
            <w:proofErr w:type="spellEnd"/>
          </w:p>
        </w:tc>
        <w:tc>
          <w:tcPr>
            <w:tcW w:w="850" w:type="dxa"/>
            <w:gridSpan w:val="2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6 320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6 637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737" w:type="dxa"/>
            <w:gridSpan w:val="2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105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0</w:t>
            </w:r>
          </w:p>
        </w:tc>
        <w:tc>
          <w:tcPr>
            <w:tcW w:w="852" w:type="dxa"/>
            <w:gridSpan w:val="2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2 665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2 463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8</w:t>
            </w:r>
          </w:p>
        </w:tc>
        <w:tc>
          <w:tcPr>
            <w:tcW w:w="737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92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4</w:t>
            </w:r>
          </w:p>
        </w:tc>
      </w:tr>
      <w:tr w:rsidR="005D39E6" w:rsidRPr="00FA5128" w:rsidTr="00F940D7">
        <w:trPr>
          <w:trHeight w:val="57"/>
        </w:trPr>
        <w:tc>
          <w:tcPr>
            <w:tcW w:w="7937" w:type="dxa"/>
            <w:gridSpan w:val="13"/>
            <w:vAlign w:val="center"/>
          </w:tcPr>
          <w:p w:rsidR="005D39E6" w:rsidRPr="004B10CA" w:rsidRDefault="005D39E6" w:rsidP="00F940D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NON-LIFE</w:t>
            </w:r>
          </w:p>
        </w:tc>
      </w:tr>
      <w:tr w:rsidR="00BC7454" w:rsidRPr="00FA5128" w:rsidTr="004162F9">
        <w:trPr>
          <w:trHeight w:val="57"/>
        </w:trPr>
        <w:tc>
          <w:tcPr>
            <w:tcW w:w="3061" w:type="dxa"/>
            <w:gridSpan w:val="2"/>
            <w:vAlign w:val="center"/>
          </w:tcPr>
          <w:p w:rsidR="00BC7454" w:rsidRPr="00FA5128" w:rsidRDefault="00BC7454" w:rsidP="00BC7454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850" w:type="dxa"/>
            <w:gridSpan w:val="2"/>
            <w:tcBorders>
              <w:bottom w:val="single" w:sz="4" w:space="0" w:color="212492"/>
            </w:tcBorders>
          </w:tcPr>
          <w:p w:rsidR="00BC7454" w:rsidRPr="003E02E8" w:rsidRDefault="00BC7454" w:rsidP="00BC7454">
            <w:pPr>
              <w:jc w:val="right"/>
              <w:rPr>
                <w:rFonts w:cs="Arial CE"/>
                <w:b/>
                <w:sz w:val="16"/>
                <w:szCs w:val="16"/>
              </w:rPr>
            </w:pPr>
            <w:r w:rsidRPr="003E02E8">
              <w:rPr>
                <w:rFonts w:cs="Arial CE"/>
                <w:b/>
                <w:sz w:val="16"/>
                <w:szCs w:val="16"/>
              </w:rPr>
              <w:t>39 669</w:t>
            </w:r>
            <w:r w:rsidR="004162F9">
              <w:rPr>
                <w:rFonts w:cs="Arial CE"/>
                <w:b/>
                <w:sz w:val="16"/>
                <w:szCs w:val="16"/>
              </w:rPr>
              <w:t>.</w:t>
            </w:r>
            <w:r w:rsidRPr="003E02E8">
              <w:rPr>
                <w:rFonts w:cs="Arial CE"/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4" w:space="0" w:color="212492"/>
            </w:tcBorders>
          </w:tcPr>
          <w:p w:rsidR="00BC7454" w:rsidRPr="003E02E8" w:rsidRDefault="00BC7454" w:rsidP="00BC7454">
            <w:pPr>
              <w:jc w:val="right"/>
              <w:rPr>
                <w:rFonts w:cs="Arial CE"/>
                <w:b/>
                <w:sz w:val="16"/>
                <w:szCs w:val="16"/>
              </w:rPr>
            </w:pPr>
            <w:r w:rsidRPr="003E02E8">
              <w:rPr>
                <w:rFonts w:cs="Arial CE"/>
                <w:b/>
                <w:sz w:val="16"/>
                <w:szCs w:val="16"/>
              </w:rPr>
              <w:t>39 732</w:t>
            </w:r>
            <w:r w:rsidR="004162F9">
              <w:rPr>
                <w:rFonts w:cs="Arial CE"/>
                <w:b/>
                <w:sz w:val="16"/>
                <w:szCs w:val="16"/>
              </w:rPr>
              <w:t>.</w:t>
            </w:r>
            <w:r w:rsidRPr="003E02E8">
              <w:rPr>
                <w:rFonts w:cs="Arial CE"/>
                <w:b/>
                <w:sz w:val="16"/>
                <w:szCs w:val="16"/>
              </w:rPr>
              <w:t>6</w:t>
            </w:r>
          </w:p>
        </w:tc>
        <w:tc>
          <w:tcPr>
            <w:tcW w:w="737" w:type="dxa"/>
            <w:gridSpan w:val="2"/>
            <w:tcBorders>
              <w:bottom w:val="single" w:sz="4" w:space="0" w:color="212492"/>
            </w:tcBorders>
          </w:tcPr>
          <w:p w:rsidR="00BC7454" w:rsidRPr="003E02E8" w:rsidRDefault="00BC7454" w:rsidP="00BC7454">
            <w:pPr>
              <w:jc w:val="right"/>
              <w:rPr>
                <w:rFonts w:cs="Arial CE"/>
                <w:b/>
                <w:sz w:val="16"/>
                <w:szCs w:val="16"/>
              </w:rPr>
            </w:pPr>
            <w:r w:rsidRPr="003E02E8">
              <w:rPr>
                <w:rFonts w:cs="Arial CE"/>
                <w:b/>
                <w:sz w:val="16"/>
                <w:szCs w:val="16"/>
              </w:rPr>
              <w:t>100</w:t>
            </w:r>
            <w:r w:rsidR="004162F9">
              <w:rPr>
                <w:rFonts w:cs="Arial CE"/>
                <w:b/>
                <w:sz w:val="16"/>
                <w:szCs w:val="16"/>
              </w:rPr>
              <w:t>.</w:t>
            </w:r>
            <w:r w:rsidRPr="003E02E8">
              <w:rPr>
                <w:rFonts w:cs="Arial CE"/>
                <w:b/>
                <w:sz w:val="16"/>
                <w:szCs w:val="16"/>
              </w:rPr>
              <w:t>2</w:t>
            </w:r>
          </w:p>
        </w:tc>
        <w:tc>
          <w:tcPr>
            <w:tcW w:w="852" w:type="dxa"/>
            <w:gridSpan w:val="2"/>
            <w:tcBorders>
              <w:bottom w:val="single" w:sz="4" w:space="0" w:color="212492"/>
            </w:tcBorders>
            <w:vAlign w:val="bottom"/>
          </w:tcPr>
          <w:p w:rsidR="00BC7454" w:rsidRPr="003E02E8" w:rsidRDefault="00BC7454" w:rsidP="00BC7454">
            <w:pPr>
              <w:jc w:val="right"/>
              <w:rPr>
                <w:rFonts w:cs="Arial CE"/>
                <w:b/>
                <w:sz w:val="16"/>
                <w:szCs w:val="16"/>
              </w:rPr>
            </w:pPr>
            <w:r w:rsidRPr="003E02E8">
              <w:rPr>
                <w:rFonts w:cs="Arial CE"/>
                <w:b/>
                <w:sz w:val="16"/>
                <w:szCs w:val="16"/>
              </w:rPr>
              <w:t>21 396</w:t>
            </w:r>
            <w:r w:rsidR="004162F9">
              <w:rPr>
                <w:rFonts w:cs="Arial CE"/>
                <w:b/>
                <w:sz w:val="16"/>
                <w:szCs w:val="16"/>
              </w:rPr>
              <w:t>.</w:t>
            </w:r>
            <w:r w:rsidRPr="003E02E8">
              <w:rPr>
                <w:rFonts w:cs="Arial CE"/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4" w:space="0" w:color="212492"/>
            </w:tcBorders>
            <w:vAlign w:val="bottom"/>
          </w:tcPr>
          <w:p w:rsidR="00BC7454" w:rsidRPr="003E02E8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 w:rsidRPr="003E02E8">
              <w:rPr>
                <w:rFonts w:cs="Arial CE"/>
                <w:b/>
                <w:sz w:val="16"/>
                <w:szCs w:val="16"/>
              </w:rPr>
              <w:t>20</w:t>
            </w:r>
            <w:r w:rsidRPr="003E02E8">
              <w:rPr>
                <w:rFonts w:cs="Arial CE"/>
                <w:b/>
                <w:bCs/>
                <w:sz w:val="16"/>
                <w:szCs w:val="16"/>
              </w:rPr>
              <w:t xml:space="preserve"> 928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 w:rsidRPr="003E02E8">
              <w:rPr>
                <w:rFonts w:cs="Arial CE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37" w:type="dxa"/>
            <w:tcBorders>
              <w:bottom w:val="single" w:sz="4" w:space="0" w:color="212492"/>
            </w:tcBorders>
            <w:vAlign w:val="bottom"/>
          </w:tcPr>
          <w:p w:rsidR="00BC7454" w:rsidRPr="003E02E8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 w:rsidRPr="003E02E8">
              <w:rPr>
                <w:rFonts w:cs="Arial CE"/>
                <w:b/>
                <w:bCs/>
                <w:sz w:val="16"/>
                <w:szCs w:val="16"/>
              </w:rPr>
              <w:t>97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 w:rsidRPr="003E02E8">
              <w:rPr>
                <w:rFonts w:cs="Arial CE"/>
                <w:b/>
                <w:bCs/>
                <w:sz w:val="16"/>
                <w:szCs w:val="16"/>
              </w:rPr>
              <w:t>8</w:t>
            </w:r>
          </w:p>
        </w:tc>
      </w:tr>
      <w:tr w:rsidR="00BC7454" w:rsidRPr="00FA5128" w:rsidTr="004162F9">
        <w:trPr>
          <w:trHeight w:val="57"/>
        </w:trPr>
        <w:tc>
          <w:tcPr>
            <w:tcW w:w="3061" w:type="dxa"/>
            <w:gridSpan w:val="2"/>
            <w:vAlign w:val="center"/>
          </w:tcPr>
          <w:p w:rsidR="00BC7454" w:rsidRPr="000200A8" w:rsidRDefault="00BC7454" w:rsidP="00BC7454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which</w:t>
            </w:r>
            <w:proofErr w:type="spellEnd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850" w:type="dxa"/>
            <w:gridSpan w:val="2"/>
            <w:tcBorders>
              <w:top w:val="single" w:sz="4" w:space="0" w:color="212492"/>
              <w:bottom w:val="single" w:sz="4" w:space="0" w:color="212492"/>
              <w:right w:val="nil"/>
            </w:tcBorders>
          </w:tcPr>
          <w:p w:rsidR="00BC7454" w:rsidRDefault="00BC7454" w:rsidP="00BC7454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</w:tcPr>
          <w:p w:rsidR="00BC7454" w:rsidRDefault="00BC7454" w:rsidP="00BC7454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</w:tcPr>
          <w:p w:rsidR="00BC7454" w:rsidRDefault="00BC7454" w:rsidP="00BC7454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C7454" w:rsidRDefault="00BC7454" w:rsidP="00BC7454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bottom"/>
          </w:tcPr>
          <w:p w:rsidR="00BC7454" w:rsidRDefault="00BC7454" w:rsidP="00BC7454">
            <w:pPr>
              <w:rPr>
                <w:sz w:val="20"/>
                <w:szCs w:val="20"/>
              </w:rPr>
            </w:pPr>
          </w:p>
        </w:tc>
      </w:tr>
      <w:tr w:rsidR="00BC7454" w:rsidRPr="00FA5128" w:rsidTr="004162F9">
        <w:trPr>
          <w:trHeight w:val="57"/>
        </w:trPr>
        <w:tc>
          <w:tcPr>
            <w:tcW w:w="3061" w:type="dxa"/>
            <w:gridSpan w:val="2"/>
            <w:vAlign w:val="center"/>
          </w:tcPr>
          <w:p w:rsidR="00BC7454" w:rsidRPr="00F5773F" w:rsidRDefault="00BC7454" w:rsidP="00BC7454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proofErr w:type="spellStart"/>
            <w:r w:rsidRPr="00133BD3">
              <w:rPr>
                <w:rFonts w:ascii="Fira Sans" w:hAnsi="Fira Sans"/>
                <w:color w:val="000000" w:themeColor="text1"/>
                <w:sz w:val="16"/>
                <w:szCs w:val="16"/>
              </w:rPr>
              <w:t>Accident</w:t>
            </w:r>
            <w:proofErr w:type="spellEnd"/>
            <w:r w:rsidRPr="00133BD3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and </w:t>
            </w:r>
            <w:proofErr w:type="spellStart"/>
            <w:r w:rsidRPr="00133BD3">
              <w:rPr>
                <w:rFonts w:ascii="Fira Sans" w:hAnsi="Fira Sans"/>
                <w:color w:val="000000" w:themeColor="text1"/>
                <w:sz w:val="16"/>
                <w:szCs w:val="16"/>
              </w:rPr>
              <w:t>sickness</w:t>
            </w:r>
            <w:proofErr w:type="spellEnd"/>
            <w:r w:rsidRPr="00133BD3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BD3">
              <w:rPr>
                <w:rFonts w:ascii="Fira Sans" w:hAnsi="Fira Sans"/>
                <w:color w:val="000000" w:themeColor="text1"/>
                <w:sz w:val="16"/>
                <w:szCs w:val="16"/>
              </w:rPr>
              <w:t>insurance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212492"/>
            </w:tcBorders>
          </w:tcPr>
          <w:p w:rsidR="00BC7454" w:rsidRPr="003E02E8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 w:rsidRPr="003E02E8">
              <w:rPr>
                <w:rFonts w:cs="Arial CE"/>
                <w:sz w:val="16"/>
                <w:szCs w:val="16"/>
              </w:rPr>
              <w:t>2 704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 w:rsidRPr="003E02E8"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212492"/>
            </w:tcBorders>
          </w:tcPr>
          <w:p w:rsidR="00BC7454" w:rsidRPr="003E02E8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 w:rsidRPr="003E02E8">
              <w:rPr>
                <w:rFonts w:cs="Arial CE"/>
                <w:sz w:val="16"/>
                <w:szCs w:val="16"/>
              </w:rPr>
              <w:t>2 514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 w:rsidRPr="003E02E8">
              <w:rPr>
                <w:rFonts w:cs="Arial CE"/>
                <w:sz w:val="16"/>
                <w:szCs w:val="16"/>
              </w:rPr>
              <w:t>9</w:t>
            </w:r>
          </w:p>
        </w:tc>
        <w:tc>
          <w:tcPr>
            <w:tcW w:w="737" w:type="dxa"/>
            <w:gridSpan w:val="2"/>
            <w:tcBorders>
              <w:top w:val="single" w:sz="4" w:space="0" w:color="212492"/>
            </w:tcBorders>
          </w:tcPr>
          <w:p w:rsidR="00BC7454" w:rsidRPr="003E02E8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 w:rsidRPr="003E02E8">
              <w:rPr>
                <w:rFonts w:cs="Arial CE"/>
                <w:sz w:val="16"/>
                <w:szCs w:val="16"/>
              </w:rPr>
              <w:t>93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 w:rsidRPr="003E02E8">
              <w:rPr>
                <w:rFonts w:cs="Arial CE"/>
                <w:sz w:val="16"/>
                <w:szCs w:val="16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670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593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9</w:t>
            </w:r>
          </w:p>
        </w:tc>
        <w:tc>
          <w:tcPr>
            <w:tcW w:w="737" w:type="dxa"/>
            <w:tcBorders>
              <w:top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88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6</w:t>
            </w:r>
          </w:p>
        </w:tc>
      </w:tr>
      <w:tr w:rsidR="00BC7454" w:rsidRPr="00FA5128" w:rsidTr="004162F9">
        <w:trPr>
          <w:trHeight w:val="57"/>
        </w:trPr>
        <w:tc>
          <w:tcPr>
            <w:tcW w:w="3061" w:type="dxa"/>
            <w:gridSpan w:val="2"/>
            <w:vAlign w:val="center"/>
          </w:tcPr>
          <w:p w:rsidR="00BC7454" w:rsidRPr="00922D0C" w:rsidRDefault="00BC7454" w:rsidP="00BC7454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922D0C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Casco insurance of land vehicles</w:t>
            </w:r>
          </w:p>
        </w:tc>
        <w:tc>
          <w:tcPr>
            <w:tcW w:w="850" w:type="dxa"/>
            <w:gridSpan w:val="2"/>
          </w:tcPr>
          <w:p w:rsidR="00BC7454" w:rsidRPr="003E02E8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 w:rsidRPr="003E02E8">
              <w:rPr>
                <w:rFonts w:cs="Arial CE"/>
                <w:sz w:val="16"/>
                <w:szCs w:val="16"/>
              </w:rPr>
              <w:t>8 668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 w:rsidRPr="003E02E8">
              <w:rPr>
                <w:rFonts w:cs="Arial CE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</w:tcPr>
          <w:p w:rsidR="00BC7454" w:rsidRPr="003E02E8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 w:rsidRPr="003E02E8">
              <w:rPr>
                <w:rFonts w:cs="Arial CE"/>
                <w:sz w:val="16"/>
                <w:szCs w:val="16"/>
              </w:rPr>
              <w:t>8 797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 w:rsidRPr="003E02E8">
              <w:rPr>
                <w:rFonts w:cs="Arial CE"/>
                <w:sz w:val="16"/>
                <w:szCs w:val="16"/>
              </w:rPr>
              <w:t>3</w:t>
            </w:r>
          </w:p>
        </w:tc>
        <w:tc>
          <w:tcPr>
            <w:tcW w:w="737" w:type="dxa"/>
            <w:gridSpan w:val="2"/>
          </w:tcPr>
          <w:p w:rsidR="00BC7454" w:rsidRPr="003E02E8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 w:rsidRPr="003E02E8">
              <w:rPr>
                <w:rFonts w:cs="Arial CE"/>
                <w:sz w:val="16"/>
                <w:szCs w:val="16"/>
              </w:rPr>
              <w:t>101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 w:rsidRPr="003E02E8">
              <w:rPr>
                <w:rFonts w:cs="Arial CE"/>
                <w:sz w:val="16"/>
                <w:szCs w:val="16"/>
              </w:rPr>
              <w:t>5</w:t>
            </w:r>
          </w:p>
        </w:tc>
        <w:tc>
          <w:tcPr>
            <w:tcW w:w="852" w:type="dxa"/>
            <w:gridSpan w:val="2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5 544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5 469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4</w:t>
            </w:r>
          </w:p>
        </w:tc>
        <w:tc>
          <w:tcPr>
            <w:tcW w:w="737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98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6</w:t>
            </w:r>
          </w:p>
        </w:tc>
      </w:tr>
      <w:tr w:rsidR="00BC7454" w:rsidRPr="00FA5128" w:rsidTr="004162F9">
        <w:trPr>
          <w:trHeight w:val="57"/>
        </w:trPr>
        <w:tc>
          <w:tcPr>
            <w:tcW w:w="3061" w:type="dxa"/>
            <w:gridSpan w:val="2"/>
            <w:vAlign w:val="center"/>
          </w:tcPr>
          <w:p w:rsidR="00BC7454" w:rsidRPr="00922D0C" w:rsidRDefault="00BC7454" w:rsidP="00BC7454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922D0C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Insurance against fire and natural forces</w:t>
            </w:r>
          </w:p>
        </w:tc>
        <w:tc>
          <w:tcPr>
            <w:tcW w:w="850" w:type="dxa"/>
            <w:gridSpan w:val="2"/>
          </w:tcPr>
          <w:p w:rsidR="00BC7454" w:rsidRPr="003E02E8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 w:rsidRPr="003E02E8">
              <w:rPr>
                <w:rFonts w:cs="Arial CE"/>
                <w:sz w:val="16"/>
                <w:szCs w:val="16"/>
              </w:rPr>
              <w:t>3 547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 w:rsidRPr="003E02E8"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BC7454" w:rsidRPr="003E02E8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 w:rsidRPr="003E02E8">
              <w:rPr>
                <w:rFonts w:cs="Arial CE"/>
                <w:sz w:val="16"/>
                <w:szCs w:val="16"/>
              </w:rPr>
              <w:t>3 936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 w:rsidRPr="003E02E8">
              <w:rPr>
                <w:rFonts w:cs="Arial CE"/>
                <w:sz w:val="16"/>
                <w:szCs w:val="16"/>
              </w:rPr>
              <w:t>3</w:t>
            </w:r>
          </w:p>
        </w:tc>
        <w:tc>
          <w:tcPr>
            <w:tcW w:w="737" w:type="dxa"/>
            <w:gridSpan w:val="2"/>
          </w:tcPr>
          <w:p w:rsidR="00BC7454" w:rsidRPr="003E02E8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 w:rsidRPr="003E02E8">
              <w:rPr>
                <w:rFonts w:cs="Arial CE"/>
                <w:sz w:val="16"/>
                <w:szCs w:val="16"/>
              </w:rPr>
              <w:t>111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 w:rsidRPr="003E02E8">
              <w:rPr>
                <w:rFonts w:cs="Arial CE"/>
                <w:sz w:val="16"/>
                <w:szCs w:val="16"/>
              </w:rPr>
              <w:t>0</w:t>
            </w:r>
          </w:p>
        </w:tc>
        <w:tc>
          <w:tcPr>
            <w:tcW w:w="852" w:type="dxa"/>
            <w:gridSpan w:val="2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1 671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1 697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7</w:t>
            </w:r>
          </w:p>
        </w:tc>
        <w:tc>
          <w:tcPr>
            <w:tcW w:w="737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101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5</w:t>
            </w:r>
          </w:p>
        </w:tc>
      </w:tr>
      <w:tr w:rsidR="00BC7454" w:rsidRPr="00FA5128" w:rsidTr="004162F9">
        <w:trPr>
          <w:trHeight w:val="57"/>
        </w:trPr>
        <w:tc>
          <w:tcPr>
            <w:tcW w:w="3061" w:type="dxa"/>
            <w:gridSpan w:val="2"/>
            <w:vAlign w:val="center"/>
          </w:tcPr>
          <w:p w:rsidR="00BC7454" w:rsidRPr="00922D0C" w:rsidRDefault="00BC7454" w:rsidP="00BC7454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922D0C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Insurance against other damage and loss of property</w:t>
            </w:r>
          </w:p>
        </w:tc>
        <w:tc>
          <w:tcPr>
            <w:tcW w:w="850" w:type="dxa"/>
            <w:gridSpan w:val="2"/>
          </w:tcPr>
          <w:p w:rsidR="00BC7454" w:rsidRPr="003E02E8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 w:rsidRPr="003E02E8">
              <w:rPr>
                <w:rFonts w:cs="Arial CE"/>
                <w:sz w:val="16"/>
                <w:szCs w:val="16"/>
              </w:rPr>
              <w:t>3 688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 w:rsidRPr="003E02E8">
              <w:rPr>
                <w:rFonts w:cs="Arial CE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</w:tcPr>
          <w:p w:rsidR="00BC7454" w:rsidRPr="003E02E8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 w:rsidRPr="003E02E8">
              <w:rPr>
                <w:rFonts w:cs="Arial CE"/>
                <w:sz w:val="16"/>
                <w:szCs w:val="16"/>
              </w:rPr>
              <w:t>3 664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 w:rsidRPr="003E02E8">
              <w:rPr>
                <w:rFonts w:cs="Arial CE"/>
                <w:sz w:val="16"/>
                <w:szCs w:val="16"/>
              </w:rPr>
              <w:t>2</w:t>
            </w:r>
          </w:p>
        </w:tc>
        <w:tc>
          <w:tcPr>
            <w:tcW w:w="737" w:type="dxa"/>
            <w:gridSpan w:val="2"/>
          </w:tcPr>
          <w:p w:rsidR="00BC7454" w:rsidRPr="003E02E8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 w:rsidRPr="003E02E8">
              <w:rPr>
                <w:rFonts w:cs="Arial CE"/>
                <w:sz w:val="16"/>
                <w:szCs w:val="16"/>
              </w:rPr>
              <w:t>99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 w:rsidRPr="003E02E8">
              <w:rPr>
                <w:rFonts w:cs="Arial CE"/>
                <w:sz w:val="16"/>
                <w:szCs w:val="16"/>
              </w:rPr>
              <w:t>3</w:t>
            </w:r>
          </w:p>
        </w:tc>
        <w:tc>
          <w:tcPr>
            <w:tcW w:w="852" w:type="dxa"/>
            <w:gridSpan w:val="2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1 461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1 710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2</w:t>
            </w:r>
          </w:p>
        </w:tc>
        <w:tc>
          <w:tcPr>
            <w:tcW w:w="737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117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0</w:t>
            </w:r>
          </w:p>
        </w:tc>
      </w:tr>
      <w:tr w:rsidR="00BC7454" w:rsidRPr="00FA5128" w:rsidTr="00F940D7">
        <w:trPr>
          <w:trHeight w:val="57"/>
        </w:trPr>
        <w:tc>
          <w:tcPr>
            <w:tcW w:w="3061" w:type="dxa"/>
            <w:gridSpan w:val="2"/>
            <w:vAlign w:val="center"/>
          </w:tcPr>
          <w:p w:rsidR="00BC7454" w:rsidRPr="00922D0C" w:rsidRDefault="00BC7454" w:rsidP="00BC7454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922D0C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Motor vehicle liability arising out </w:t>
            </w:r>
            <w:r w:rsidRPr="00922D0C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br/>
              <w:t xml:space="preserve">of the </w:t>
            </w:r>
            <w:proofErr w:type="spellStart"/>
            <w:r w:rsidRPr="00922D0C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possesion</w:t>
            </w:r>
            <w:proofErr w:type="spellEnd"/>
            <w:r w:rsidRPr="00922D0C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of land vehicles</w:t>
            </w:r>
          </w:p>
        </w:tc>
        <w:tc>
          <w:tcPr>
            <w:tcW w:w="850" w:type="dxa"/>
            <w:gridSpan w:val="2"/>
            <w:vAlign w:val="bottom"/>
          </w:tcPr>
          <w:p w:rsidR="00BC7454" w:rsidRPr="003E02E8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 w:rsidRPr="003E02E8">
              <w:rPr>
                <w:rFonts w:cs="Arial CE"/>
                <w:sz w:val="16"/>
                <w:szCs w:val="16"/>
              </w:rPr>
              <w:t>14 924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 w:rsidRPr="003E02E8">
              <w:rPr>
                <w:rFonts w:cs="Arial CE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vAlign w:val="bottom"/>
          </w:tcPr>
          <w:p w:rsidR="00BC7454" w:rsidRPr="003E02E8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 w:rsidRPr="003E02E8">
              <w:rPr>
                <w:rFonts w:cs="Arial CE"/>
                <w:sz w:val="16"/>
                <w:szCs w:val="16"/>
              </w:rPr>
              <w:t>14 631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 w:rsidRPr="003E02E8">
              <w:rPr>
                <w:rFonts w:cs="Arial CE"/>
                <w:sz w:val="16"/>
                <w:szCs w:val="16"/>
              </w:rPr>
              <w:t>2</w:t>
            </w:r>
          </w:p>
        </w:tc>
        <w:tc>
          <w:tcPr>
            <w:tcW w:w="737" w:type="dxa"/>
            <w:gridSpan w:val="2"/>
            <w:vAlign w:val="bottom"/>
          </w:tcPr>
          <w:p w:rsidR="00BC7454" w:rsidRPr="003E02E8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 w:rsidRPr="003E02E8">
              <w:rPr>
                <w:rFonts w:cs="Arial CE"/>
                <w:sz w:val="16"/>
                <w:szCs w:val="16"/>
              </w:rPr>
              <w:t>98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 w:rsidRPr="003E02E8">
              <w:rPr>
                <w:rFonts w:cs="Arial CE"/>
                <w:sz w:val="16"/>
                <w:szCs w:val="16"/>
              </w:rPr>
              <w:t>0</w:t>
            </w:r>
          </w:p>
        </w:tc>
        <w:tc>
          <w:tcPr>
            <w:tcW w:w="852" w:type="dxa"/>
            <w:gridSpan w:val="2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9 451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9 002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2</w:t>
            </w:r>
          </w:p>
        </w:tc>
        <w:tc>
          <w:tcPr>
            <w:tcW w:w="737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95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2</w:t>
            </w:r>
          </w:p>
        </w:tc>
      </w:tr>
      <w:tr w:rsidR="00BC7454" w:rsidRPr="00FA5128" w:rsidTr="00BC7454">
        <w:trPr>
          <w:trHeight w:val="57"/>
        </w:trPr>
        <w:tc>
          <w:tcPr>
            <w:tcW w:w="3061" w:type="dxa"/>
            <w:gridSpan w:val="2"/>
            <w:vAlign w:val="center"/>
          </w:tcPr>
          <w:p w:rsidR="00BC7454" w:rsidRPr="00922D0C" w:rsidRDefault="00BC7454" w:rsidP="00BC7454">
            <w:pPr>
              <w:pStyle w:val="Nagwek2"/>
              <w:tabs>
                <w:tab w:val="right" w:leader="dot" w:pos="4156"/>
              </w:tabs>
              <w:spacing w:before="0"/>
              <w:ind w:left="283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922D0C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of which compulsory third-party liability insurance of owners </w:t>
            </w:r>
            <w:r w:rsidRPr="00922D0C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br/>
              <w:t>of motor vehicle</w:t>
            </w:r>
          </w:p>
        </w:tc>
        <w:tc>
          <w:tcPr>
            <w:tcW w:w="850" w:type="dxa"/>
            <w:gridSpan w:val="2"/>
            <w:vAlign w:val="bottom"/>
          </w:tcPr>
          <w:p w:rsidR="00BC7454" w:rsidRPr="003E02E8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 w:rsidRPr="003E02E8">
              <w:rPr>
                <w:rFonts w:cs="Arial CE"/>
                <w:sz w:val="16"/>
                <w:szCs w:val="16"/>
              </w:rPr>
              <w:t>14 658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 w:rsidRPr="003E02E8"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bottom"/>
          </w:tcPr>
          <w:p w:rsidR="00BC7454" w:rsidRPr="003E02E8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 w:rsidRPr="003E02E8">
              <w:rPr>
                <w:rFonts w:cs="Arial CE"/>
                <w:sz w:val="16"/>
                <w:szCs w:val="16"/>
              </w:rPr>
              <w:t>14 349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 w:rsidRPr="003E02E8">
              <w:rPr>
                <w:rFonts w:cs="Arial CE"/>
                <w:sz w:val="16"/>
                <w:szCs w:val="16"/>
              </w:rPr>
              <w:t>9</w:t>
            </w:r>
          </w:p>
        </w:tc>
        <w:tc>
          <w:tcPr>
            <w:tcW w:w="737" w:type="dxa"/>
            <w:gridSpan w:val="2"/>
            <w:vAlign w:val="bottom"/>
          </w:tcPr>
          <w:p w:rsidR="00BC7454" w:rsidRPr="003E02E8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 w:rsidRPr="003E02E8">
              <w:rPr>
                <w:rFonts w:cs="Arial CE"/>
                <w:sz w:val="16"/>
                <w:szCs w:val="16"/>
              </w:rPr>
              <w:t>97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 w:rsidRPr="003E02E8">
              <w:rPr>
                <w:rFonts w:cs="Arial CE"/>
                <w:sz w:val="16"/>
                <w:szCs w:val="16"/>
              </w:rPr>
              <w:t>9</w:t>
            </w:r>
          </w:p>
        </w:tc>
        <w:tc>
          <w:tcPr>
            <w:tcW w:w="852" w:type="dxa"/>
            <w:gridSpan w:val="2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9 326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8 871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9</w:t>
            </w:r>
          </w:p>
        </w:tc>
        <w:tc>
          <w:tcPr>
            <w:tcW w:w="737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95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1</w:t>
            </w:r>
          </w:p>
        </w:tc>
      </w:tr>
      <w:tr w:rsidR="00BC7454" w:rsidRPr="00FA5128" w:rsidTr="004162F9">
        <w:trPr>
          <w:trHeight w:val="57"/>
        </w:trPr>
        <w:tc>
          <w:tcPr>
            <w:tcW w:w="3061" w:type="dxa"/>
            <w:gridSpan w:val="2"/>
            <w:vAlign w:val="center"/>
          </w:tcPr>
          <w:p w:rsidR="00BC7454" w:rsidRPr="00922D0C" w:rsidRDefault="00BC7454" w:rsidP="00BC7454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922D0C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General third-party liability insurance</w:t>
            </w:r>
          </w:p>
        </w:tc>
        <w:tc>
          <w:tcPr>
            <w:tcW w:w="850" w:type="dxa"/>
            <w:gridSpan w:val="2"/>
          </w:tcPr>
          <w:p w:rsidR="00BC7454" w:rsidRPr="003E02E8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 w:rsidRPr="003E02E8">
              <w:rPr>
                <w:rFonts w:cs="Arial CE"/>
                <w:sz w:val="16"/>
                <w:szCs w:val="16"/>
              </w:rPr>
              <w:t>2 383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 w:rsidRPr="003E02E8">
              <w:rPr>
                <w:rFonts w:cs="Arial CE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</w:tcPr>
          <w:p w:rsidR="00BC7454" w:rsidRPr="003E02E8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 w:rsidRPr="003E02E8">
              <w:rPr>
                <w:rFonts w:cs="Arial CE"/>
                <w:sz w:val="16"/>
                <w:szCs w:val="16"/>
              </w:rPr>
              <w:t>2 548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 w:rsidRPr="003E02E8">
              <w:rPr>
                <w:rFonts w:cs="Arial CE"/>
                <w:sz w:val="16"/>
                <w:szCs w:val="16"/>
              </w:rPr>
              <w:t>7</w:t>
            </w:r>
          </w:p>
        </w:tc>
        <w:tc>
          <w:tcPr>
            <w:tcW w:w="737" w:type="dxa"/>
            <w:gridSpan w:val="2"/>
          </w:tcPr>
          <w:p w:rsidR="00BC7454" w:rsidRPr="003E02E8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 w:rsidRPr="003E02E8">
              <w:rPr>
                <w:rFonts w:cs="Arial CE"/>
                <w:sz w:val="16"/>
                <w:szCs w:val="16"/>
              </w:rPr>
              <w:t>106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 w:rsidRPr="003E02E8">
              <w:rPr>
                <w:rFonts w:cs="Arial CE"/>
                <w:sz w:val="16"/>
                <w:szCs w:val="16"/>
              </w:rPr>
              <w:t>9</w:t>
            </w:r>
          </w:p>
        </w:tc>
        <w:tc>
          <w:tcPr>
            <w:tcW w:w="852" w:type="dxa"/>
            <w:gridSpan w:val="2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1 025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1 055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4</w:t>
            </w:r>
          </w:p>
        </w:tc>
        <w:tc>
          <w:tcPr>
            <w:tcW w:w="737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103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0</w:t>
            </w:r>
          </w:p>
        </w:tc>
      </w:tr>
    </w:tbl>
    <w:p w:rsidR="005D39E6" w:rsidRPr="00922D0C" w:rsidRDefault="005D39E6" w:rsidP="005D39E6">
      <w:pPr>
        <w:ind w:left="794" w:hanging="794"/>
        <w:rPr>
          <w:b/>
          <w:spacing w:val="-2"/>
          <w:sz w:val="18"/>
          <w:shd w:val="clear" w:color="auto" w:fill="FFFFFF"/>
          <w:lang w:val="en-GB"/>
        </w:rPr>
      </w:pPr>
      <w:r w:rsidRPr="00922D0C">
        <w:rPr>
          <w:b/>
          <w:spacing w:val="-2"/>
          <w:sz w:val="18"/>
          <w:shd w:val="clear" w:color="auto" w:fill="FFFFFF"/>
          <w:lang w:val="en-GB"/>
        </w:rPr>
        <w:t>Table 2. Gross written premiums and gross claims paid in direct activities</w:t>
      </w:r>
    </w:p>
    <w:p w:rsidR="005D39E6" w:rsidRPr="00922D0C" w:rsidRDefault="005D39E6" w:rsidP="005D39E6">
      <w:pPr>
        <w:rPr>
          <w:sz w:val="16"/>
          <w:szCs w:val="16"/>
          <w:lang w:val="en-GB"/>
        </w:rPr>
      </w:pPr>
    </w:p>
    <w:p w:rsidR="005D39E6" w:rsidRPr="00164991" w:rsidRDefault="005D39E6" w:rsidP="005D39E6">
      <w:pPr>
        <w:pStyle w:val="Nagwek1"/>
        <w:rPr>
          <w:lang w:val="en-GB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43232" behindDoc="1" locked="0" layoutInCell="1" allowOverlap="1" wp14:anchorId="05485575" wp14:editId="430316D6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2F9" w:rsidRPr="00475BA0" w:rsidRDefault="004162F9" w:rsidP="0016499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Gross written premiums </w:t>
                            </w:r>
                            <w:r w:rsidRPr="00164991">
                              <w:rPr>
                                <w:lang w:val="en-GB"/>
                              </w:rPr>
                              <w:t xml:space="preserve">collected from </w:t>
                            </w:r>
                            <w:r>
                              <w:rPr>
                                <w:lang w:val="en-GB"/>
                              </w:rPr>
                              <w:t xml:space="preserve">motor insurance </w:t>
                            </w:r>
                            <w:r w:rsidRPr="00475BA0">
                              <w:rPr>
                                <w:lang w:val="en-GB"/>
                              </w:rPr>
                              <w:t>amounted to PLN 23.</w:t>
                            </w:r>
                            <w:r w:rsidR="004A5DC7">
                              <w:rPr>
                                <w:lang w:val="en-GB"/>
                              </w:rPr>
                              <w:t>4</w:t>
                            </w:r>
                            <w:r w:rsidRPr="00475BA0">
                              <w:rPr>
                                <w:lang w:val="en-GB"/>
                              </w:rPr>
                              <w:t xml:space="preserve"> billion.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85575" id="Pole tekstowe 6" o:spid="_x0000_s1030" type="#_x0000_t202" style="position:absolute;margin-left:411pt;margin-top:13pt;width:135.85pt;height:65.5pt;z-index:-251573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s&#10;+uk/EgIAAP4D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:rsidR="004162F9" w:rsidRPr="00475BA0" w:rsidRDefault="004162F9" w:rsidP="00164991">
                      <w:pPr>
                        <w:pStyle w:val="tekstzboku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Gross written premiums </w:t>
                      </w:r>
                      <w:r w:rsidRPr="00164991">
                        <w:rPr>
                          <w:lang w:val="en-GB"/>
                        </w:rPr>
                        <w:t xml:space="preserve">collected from </w:t>
                      </w:r>
                      <w:r>
                        <w:rPr>
                          <w:lang w:val="en-GB"/>
                        </w:rPr>
                        <w:t xml:space="preserve">motor insurance </w:t>
                      </w:r>
                      <w:r w:rsidRPr="00475BA0">
                        <w:rPr>
                          <w:lang w:val="en-GB"/>
                        </w:rPr>
                        <w:t>amounted to PLN 23.</w:t>
                      </w:r>
                      <w:r w:rsidR="004A5DC7">
                        <w:rPr>
                          <w:lang w:val="en-GB"/>
                        </w:rPr>
                        <w:t>4</w:t>
                      </w:r>
                      <w:r w:rsidRPr="00475BA0">
                        <w:rPr>
                          <w:lang w:val="en-GB"/>
                        </w:rPr>
                        <w:t xml:space="preserve"> billion.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93F11" w:rsidRPr="00164991">
        <w:rPr>
          <w:lang w:val="en-GB"/>
        </w:rPr>
        <w:t xml:space="preserve">Selected </w:t>
      </w:r>
      <w:r w:rsidR="00164991" w:rsidRPr="00164991">
        <w:rPr>
          <w:lang w:val="en-GB"/>
        </w:rPr>
        <w:t>kind</w:t>
      </w:r>
      <w:r w:rsidR="006128DF">
        <w:rPr>
          <w:lang w:val="en-GB"/>
        </w:rPr>
        <w:t>s</w:t>
      </w:r>
      <w:r w:rsidR="00164991" w:rsidRPr="00164991">
        <w:rPr>
          <w:lang w:val="en-GB"/>
        </w:rPr>
        <w:t xml:space="preserve"> of </w:t>
      </w:r>
      <w:r w:rsidR="00164991">
        <w:rPr>
          <w:lang w:val="en-GB"/>
        </w:rPr>
        <w:t xml:space="preserve">insurance </w:t>
      </w:r>
      <w:r w:rsidR="00164991" w:rsidRPr="00164991">
        <w:rPr>
          <w:lang w:val="en-GB"/>
        </w:rPr>
        <w:t>in direct activities</w:t>
      </w:r>
    </w:p>
    <w:p w:rsidR="00DE07A4" w:rsidRDefault="00475BA0" w:rsidP="001358FC">
      <w:pPr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In</w:t>
      </w:r>
      <w:r w:rsidRPr="00164991">
        <w:rPr>
          <w:shd w:val="clear" w:color="auto" w:fill="FFFFFF"/>
          <w:lang w:val="en-GB"/>
        </w:rPr>
        <w:t xml:space="preserve"> total direct activities</w:t>
      </w:r>
      <w:r w:rsidR="00164991" w:rsidRPr="00164991">
        <w:rPr>
          <w:shd w:val="clear" w:color="auto" w:fill="FFFFFF"/>
          <w:lang w:val="en-GB"/>
        </w:rPr>
        <w:t xml:space="preserve">, the </w:t>
      </w:r>
      <w:r>
        <w:rPr>
          <w:shd w:val="clear" w:color="auto" w:fill="FFFFFF"/>
          <w:lang w:val="en-GB"/>
        </w:rPr>
        <w:t xml:space="preserve">life </w:t>
      </w:r>
      <w:r w:rsidRPr="00164991">
        <w:rPr>
          <w:shd w:val="clear" w:color="auto" w:fill="FFFFFF"/>
          <w:lang w:val="en-GB"/>
        </w:rPr>
        <w:t>gross written premium</w:t>
      </w:r>
      <w:r>
        <w:rPr>
          <w:shd w:val="clear" w:color="auto" w:fill="FFFFFF"/>
          <w:lang w:val="en-GB"/>
        </w:rPr>
        <w:t>s</w:t>
      </w:r>
      <w:r w:rsidR="00164991" w:rsidRPr="00164991">
        <w:rPr>
          <w:shd w:val="clear" w:color="auto" w:fill="FFFFFF"/>
          <w:lang w:val="en-GB"/>
        </w:rPr>
        <w:t xml:space="preserve"> accounted for </w:t>
      </w:r>
      <w:r w:rsidR="00883EDC">
        <w:rPr>
          <w:shd w:val="clear" w:color="auto" w:fill="FFFFFF"/>
          <w:lang w:val="en-GB"/>
        </w:rPr>
        <w:t>34.</w:t>
      </w:r>
      <w:r w:rsidR="00AF2F10">
        <w:rPr>
          <w:shd w:val="clear" w:color="auto" w:fill="FFFFFF"/>
          <w:lang w:val="en-GB"/>
        </w:rPr>
        <w:t>3</w:t>
      </w:r>
      <w:r w:rsidR="00164991" w:rsidRPr="00164991">
        <w:rPr>
          <w:shd w:val="clear" w:color="auto" w:fill="FFFFFF"/>
          <w:lang w:val="en-GB"/>
        </w:rPr>
        <w:t xml:space="preserve">%, and </w:t>
      </w:r>
      <w:r w:rsidRPr="00164991">
        <w:rPr>
          <w:shd w:val="clear" w:color="auto" w:fill="FFFFFF"/>
          <w:lang w:val="en-GB"/>
        </w:rPr>
        <w:t xml:space="preserve">the </w:t>
      </w:r>
      <w:r>
        <w:rPr>
          <w:shd w:val="clear" w:color="auto" w:fill="FFFFFF"/>
          <w:lang w:val="en-GB"/>
        </w:rPr>
        <w:br/>
        <w:t xml:space="preserve">non-life </w:t>
      </w:r>
      <w:r w:rsidRPr="00164991">
        <w:rPr>
          <w:shd w:val="clear" w:color="auto" w:fill="FFFFFF"/>
          <w:lang w:val="en-GB"/>
        </w:rPr>
        <w:t>gross written premium</w:t>
      </w:r>
      <w:r>
        <w:rPr>
          <w:shd w:val="clear" w:color="auto" w:fill="FFFFFF"/>
          <w:lang w:val="en-GB"/>
        </w:rPr>
        <w:t>s</w:t>
      </w:r>
      <w:r w:rsidR="00164991" w:rsidRPr="00164991">
        <w:rPr>
          <w:shd w:val="clear" w:color="auto" w:fill="FFFFFF"/>
          <w:lang w:val="en-GB"/>
        </w:rPr>
        <w:t xml:space="preserve"> </w:t>
      </w:r>
      <w:r w:rsidR="00883EDC">
        <w:rPr>
          <w:shd w:val="clear" w:color="auto" w:fill="FFFFFF"/>
          <w:lang w:val="en-GB"/>
        </w:rPr>
        <w:t>–</w:t>
      </w:r>
      <w:r w:rsidR="00164991" w:rsidRPr="00164991">
        <w:rPr>
          <w:shd w:val="clear" w:color="auto" w:fill="FFFFFF"/>
          <w:lang w:val="en-GB"/>
        </w:rPr>
        <w:t xml:space="preserve"> </w:t>
      </w:r>
      <w:r w:rsidR="00883EDC">
        <w:rPr>
          <w:shd w:val="clear" w:color="auto" w:fill="FFFFFF"/>
          <w:lang w:val="en-GB"/>
        </w:rPr>
        <w:t>65.</w:t>
      </w:r>
      <w:r w:rsidR="00AF2F10">
        <w:rPr>
          <w:shd w:val="clear" w:color="auto" w:fill="FFFFFF"/>
          <w:lang w:val="en-GB"/>
        </w:rPr>
        <w:t>7</w:t>
      </w:r>
      <w:r w:rsidR="00164991" w:rsidRPr="00164991">
        <w:rPr>
          <w:shd w:val="clear" w:color="auto" w:fill="FFFFFF"/>
          <w:lang w:val="en-GB"/>
        </w:rPr>
        <w:t xml:space="preserve">%. </w:t>
      </w:r>
      <w:r w:rsidR="001358FC" w:rsidRPr="001358FC">
        <w:rPr>
          <w:shd w:val="clear" w:color="auto" w:fill="FFFFFF"/>
          <w:lang w:val="en-GB"/>
        </w:rPr>
        <w:t xml:space="preserve">The "life insurance" </w:t>
      </w:r>
      <w:r w:rsidR="001358FC">
        <w:rPr>
          <w:shd w:val="clear" w:color="auto" w:fill="FFFFFF"/>
          <w:lang w:val="en-GB"/>
        </w:rPr>
        <w:t>class</w:t>
      </w:r>
      <w:r w:rsidR="001358FC" w:rsidRPr="001358FC">
        <w:rPr>
          <w:shd w:val="clear" w:color="auto" w:fill="FFFFFF"/>
          <w:lang w:val="en-GB"/>
        </w:rPr>
        <w:t xml:space="preserve"> gained a dominant position in </w:t>
      </w:r>
      <w:r w:rsidR="001358FC">
        <w:rPr>
          <w:shd w:val="clear" w:color="auto" w:fill="FFFFFF"/>
          <w:lang w:val="en-GB"/>
        </w:rPr>
        <w:t>division I</w:t>
      </w:r>
      <w:r w:rsidR="001358FC" w:rsidRPr="001358FC">
        <w:rPr>
          <w:shd w:val="clear" w:color="auto" w:fill="FFFFFF"/>
          <w:lang w:val="en-GB"/>
        </w:rPr>
        <w:t xml:space="preserve"> in terms of the value of gross </w:t>
      </w:r>
      <w:r w:rsidR="001358FC">
        <w:rPr>
          <w:shd w:val="clear" w:color="auto" w:fill="FFFFFF"/>
          <w:lang w:val="en-GB"/>
        </w:rPr>
        <w:t>written premiums</w:t>
      </w:r>
      <w:r w:rsidR="001358FC" w:rsidRPr="001358FC">
        <w:rPr>
          <w:shd w:val="clear" w:color="auto" w:fill="FFFFFF"/>
          <w:lang w:val="en-GB"/>
        </w:rPr>
        <w:t xml:space="preserve">. The next item was taken by the </w:t>
      </w:r>
      <w:r w:rsidR="001358FC">
        <w:rPr>
          <w:shd w:val="clear" w:color="auto" w:fill="FFFFFF"/>
          <w:lang w:val="en-GB"/>
        </w:rPr>
        <w:t>class “</w:t>
      </w:r>
      <w:r w:rsidR="00AF2F10">
        <w:rPr>
          <w:shd w:val="clear" w:color="auto" w:fill="FFFFFF"/>
          <w:lang w:val="en-GB"/>
        </w:rPr>
        <w:t>a</w:t>
      </w:r>
      <w:r w:rsidR="00AF2F10" w:rsidRPr="00AF2F10">
        <w:rPr>
          <w:shd w:val="clear" w:color="auto" w:fill="FFFFFF"/>
          <w:lang w:val="en-GB"/>
        </w:rPr>
        <w:t xml:space="preserve">ccident and sickness insurance </w:t>
      </w:r>
      <w:r w:rsidR="001358FC" w:rsidRPr="001358FC">
        <w:rPr>
          <w:shd w:val="clear" w:color="auto" w:fill="FFFFFF"/>
          <w:lang w:val="en-GB"/>
        </w:rPr>
        <w:t>"</w:t>
      </w:r>
      <w:r w:rsidR="001358FC">
        <w:rPr>
          <w:shd w:val="clear" w:color="auto" w:fill="FFFFFF"/>
          <w:lang w:val="en-GB"/>
        </w:rPr>
        <w:t xml:space="preserve">. </w:t>
      </w:r>
      <w:r w:rsidR="00164991" w:rsidRPr="00164991">
        <w:rPr>
          <w:shd w:val="clear" w:color="auto" w:fill="FFFFFF"/>
          <w:lang w:val="en-GB"/>
        </w:rPr>
        <w:t xml:space="preserve">The share of these two </w:t>
      </w:r>
      <w:r w:rsidR="006128DF">
        <w:rPr>
          <w:shd w:val="clear" w:color="auto" w:fill="FFFFFF"/>
          <w:lang w:val="en-GB"/>
        </w:rPr>
        <w:t>classes</w:t>
      </w:r>
      <w:r w:rsidR="00DE07A4">
        <w:rPr>
          <w:shd w:val="clear" w:color="auto" w:fill="FFFFFF"/>
          <w:lang w:val="en-GB"/>
        </w:rPr>
        <w:t xml:space="preserve"> in life</w:t>
      </w:r>
      <w:r w:rsidR="00164991" w:rsidRPr="00164991">
        <w:rPr>
          <w:shd w:val="clear" w:color="auto" w:fill="FFFFFF"/>
          <w:lang w:val="en-GB"/>
        </w:rPr>
        <w:t xml:space="preserve"> </w:t>
      </w:r>
      <w:r w:rsidR="00DE07A4" w:rsidRPr="00164991">
        <w:rPr>
          <w:shd w:val="clear" w:color="auto" w:fill="FFFFFF"/>
          <w:lang w:val="en-GB"/>
        </w:rPr>
        <w:t xml:space="preserve">gross written premiums </w:t>
      </w:r>
      <w:r w:rsidR="00164991" w:rsidRPr="00164991">
        <w:rPr>
          <w:shd w:val="clear" w:color="auto" w:fill="FFFFFF"/>
          <w:lang w:val="en-GB"/>
        </w:rPr>
        <w:t xml:space="preserve">amounted to </w:t>
      </w:r>
      <w:r w:rsidR="00883EDC">
        <w:rPr>
          <w:shd w:val="clear" w:color="auto" w:fill="FFFFFF"/>
          <w:lang w:val="en-GB"/>
        </w:rPr>
        <w:t>3</w:t>
      </w:r>
      <w:r w:rsidR="004A5DC7">
        <w:rPr>
          <w:shd w:val="clear" w:color="auto" w:fill="FFFFFF"/>
          <w:lang w:val="en-GB"/>
        </w:rPr>
        <w:t>8</w:t>
      </w:r>
      <w:r w:rsidR="00883EDC">
        <w:rPr>
          <w:shd w:val="clear" w:color="auto" w:fill="FFFFFF"/>
          <w:lang w:val="en-GB"/>
        </w:rPr>
        <w:t>.</w:t>
      </w:r>
      <w:r w:rsidR="004A5DC7">
        <w:rPr>
          <w:shd w:val="clear" w:color="auto" w:fill="FFFFFF"/>
          <w:lang w:val="en-GB"/>
        </w:rPr>
        <w:t>3</w:t>
      </w:r>
      <w:r w:rsidR="00164991" w:rsidRPr="00164991">
        <w:rPr>
          <w:shd w:val="clear" w:color="auto" w:fill="FFFFFF"/>
          <w:lang w:val="en-GB"/>
        </w:rPr>
        <w:t xml:space="preserve">% and </w:t>
      </w:r>
      <w:r w:rsidR="00883EDC">
        <w:rPr>
          <w:shd w:val="clear" w:color="auto" w:fill="FFFFFF"/>
          <w:lang w:val="en-GB"/>
        </w:rPr>
        <w:t>32</w:t>
      </w:r>
      <w:r w:rsidR="00164991" w:rsidRPr="00164991">
        <w:rPr>
          <w:shd w:val="clear" w:color="auto" w:fill="FFFFFF"/>
          <w:lang w:val="en-GB"/>
        </w:rPr>
        <w:t>.</w:t>
      </w:r>
      <w:r w:rsidR="004A5DC7">
        <w:rPr>
          <w:shd w:val="clear" w:color="auto" w:fill="FFFFFF"/>
          <w:lang w:val="en-GB"/>
        </w:rPr>
        <w:t>0</w:t>
      </w:r>
      <w:r w:rsidR="000F60A0">
        <w:rPr>
          <w:shd w:val="clear" w:color="auto" w:fill="FFFFFF"/>
          <w:lang w:val="en-GB"/>
        </w:rPr>
        <w:t>%</w:t>
      </w:r>
      <w:r w:rsidR="00164991" w:rsidRPr="00164991">
        <w:rPr>
          <w:shd w:val="clear" w:color="auto" w:fill="FFFFFF"/>
          <w:lang w:val="en-GB"/>
        </w:rPr>
        <w:t xml:space="preserve"> respectively</w:t>
      </w:r>
      <w:r w:rsidR="00DE07A4">
        <w:rPr>
          <w:shd w:val="clear" w:color="auto" w:fill="FFFFFF"/>
          <w:lang w:val="en-GB"/>
        </w:rPr>
        <w:t>.</w:t>
      </w:r>
    </w:p>
    <w:p w:rsidR="00DE07A4" w:rsidRPr="00DE07A4" w:rsidRDefault="006045BC" w:rsidP="00FD0428">
      <w:pPr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 xml:space="preserve">The </w:t>
      </w:r>
      <w:r w:rsidR="00DE07A4" w:rsidRPr="00DE07A4">
        <w:rPr>
          <w:shd w:val="clear" w:color="auto" w:fill="FFFFFF"/>
          <w:lang w:val="en-GB"/>
        </w:rPr>
        <w:t xml:space="preserve">gross </w:t>
      </w:r>
      <w:r>
        <w:rPr>
          <w:shd w:val="clear" w:color="auto" w:fill="FFFFFF"/>
          <w:lang w:val="en-GB"/>
        </w:rPr>
        <w:t xml:space="preserve">written </w:t>
      </w:r>
      <w:r w:rsidR="00DE07A4" w:rsidRPr="00DE07A4">
        <w:rPr>
          <w:shd w:val="clear" w:color="auto" w:fill="FFFFFF"/>
          <w:lang w:val="en-GB"/>
        </w:rPr>
        <w:t xml:space="preserve">premiums </w:t>
      </w:r>
      <w:r>
        <w:rPr>
          <w:shd w:val="clear" w:color="auto" w:fill="FFFFFF"/>
          <w:lang w:val="en-GB"/>
        </w:rPr>
        <w:t xml:space="preserve">from motor insurance </w:t>
      </w:r>
      <w:r w:rsidR="00DE07A4" w:rsidRPr="00DE07A4">
        <w:rPr>
          <w:shd w:val="clear" w:color="auto" w:fill="FFFFFF"/>
          <w:lang w:val="en-GB"/>
        </w:rPr>
        <w:t>were the largest item (</w:t>
      </w:r>
      <w:r w:rsidR="001358FC">
        <w:rPr>
          <w:shd w:val="clear" w:color="auto" w:fill="FFFFFF"/>
          <w:lang w:val="en-GB"/>
        </w:rPr>
        <w:t>59.</w:t>
      </w:r>
      <w:r w:rsidR="004A5DC7">
        <w:rPr>
          <w:shd w:val="clear" w:color="auto" w:fill="FFFFFF"/>
          <w:lang w:val="en-GB"/>
        </w:rPr>
        <w:t>0</w:t>
      </w:r>
      <w:r w:rsidR="00DE07A4" w:rsidRPr="00DE07A4">
        <w:rPr>
          <w:shd w:val="clear" w:color="auto" w:fill="FFFFFF"/>
          <w:lang w:val="en-GB"/>
        </w:rPr>
        <w:t xml:space="preserve">% of the value of </w:t>
      </w:r>
      <w:r>
        <w:rPr>
          <w:shd w:val="clear" w:color="auto" w:fill="FFFFFF"/>
          <w:lang w:val="en-GB"/>
        </w:rPr>
        <w:t>premiums</w:t>
      </w:r>
      <w:r w:rsidR="00DE07A4" w:rsidRPr="00DE07A4">
        <w:rPr>
          <w:shd w:val="clear" w:color="auto" w:fill="FFFFFF"/>
          <w:lang w:val="en-GB"/>
        </w:rPr>
        <w:t>)</w:t>
      </w:r>
      <w:r w:rsidRPr="006045BC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>i</w:t>
      </w:r>
      <w:r w:rsidRPr="00DE07A4">
        <w:rPr>
          <w:shd w:val="clear" w:color="auto" w:fill="FFFFFF"/>
          <w:lang w:val="en-GB"/>
        </w:rPr>
        <w:t xml:space="preserve">n </w:t>
      </w:r>
      <w:r>
        <w:rPr>
          <w:shd w:val="clear" w:color="auto" w:fill="FFFFFF"/>
          <w:lang w:val="en-GB"/>
        </w:rPr>
        <w:t>non-life insurance</w:t>
      </w:r>
      <w:r w:rsidR="00DE07A4" w:rsidRPr="00DE07A4">
        <w:rPr>
          <w:shd w:val="clear" w:color="auto" w:fill="FFFFFF"/>
          <w:lang w:val="en-GB"/>
        </w:rPr>
        <w:t xml:space="preserve">. These premiums </w:t>
      </w:r>
      <w:r w:rsidR="004A5DC7">
        <w:rPr>
          <w:shd w:val="clear" w:color="auto" w:fill="FFFFFF"/>
          <w:lang w:val="en-GB"/>
        </w:rPr>
        <w:t>de</w:t>
      </w:r>
      <w:r w:rsidR="00DE07A4" w:rsidRPr="00DE07A4">
        <w:rPr>
          <w:shd w:val="clear" w:color="auto" w:fill="FFFFFF"/>
          <w:lang w:val="en-GB"/>
        </w:rPr>
        <w:t xml:space="preserve">creased by </w:t>
      </w:r>
      <w:r w:rsidR="001358FC">
        <w:rPr>
          <w:shd w:val="clear" w:color="auto" w:fill="FFFFFF"/>
          <w:lang w:val="en-GB"/>
        </w:rPr>
        <w:t>0.</w:t>
      </w:r>
      <w:r w:rsidR="004A5DC7">
        <w:rPr>
          <w:shd w:val="clear" w:color="auto" w:fill="FFFFFF"/>
          <w:lang w:val="en-GB"/>
        </w:rPr>
        <w:t>7</w:t>
      </w:r>
      <w:r w:rsidR="001358FC">
        <w:rPr>
          <w:shd w:val="clear" w:color="auto" w:fill="FFFFFF"/>
          <w:lang w:val="en-GB"/>
        </w:rPr>
        <w:t xml:space="preserve">% </w:t>
      </w:r>
      <w:r w:rsidR="00CB1920">
        <w:rPr>
          <w:shd w:val="clear" w:color="auto" w:fill="FFFFFF"/>
          <w:lang w:val="en-GB"/>
        </w:rPr>
        <w:t xml:space="preserve">compared to 2019 </w:t>
      </w:r>
      <w:r w:rsidR="001358FC">
        <w:rPr>
          <w:shd w:val="clear" w:color="auto" w:fill="FFFFFF"/>
          <w:lang w:val="en-GB"/>
        </w:rPr>
        <w:t xml:space="preserve">and amounted to PLN </w:t>
      </w:r>
      <w:r w:rsidR="004A5DC7" w:rsidRPr="004A5DC7">
        <w:rPr>
          <w:shd w:val="clear" w:color="auto" w:fill="FFFFFF"/>
          <w:lang w:val="en-GB"/>
        </w:rPr>
        <w:t xml:space="preserve">23 428.5 </w:t>
      </w:r>
      <w:r w:rsidR="00DE07A4" w:rsidRPr="00DE07A4">
        <w:rPr>
          <w:shd w:val="clear" w:color="auto" w:fill="FFFFFF"/>
          <w:lang w:val="en-GB"/>
        </w:rPr>
        <w:t xml:space="preserve">million. The share of </w:t>
      </w:r>
      <w:proofErr w:type="spellStart"/>
      <w:r w:rsidR="00DE07A4" w:rsidRPr="00DE07A4">
        <w:rPr>
          <w:shd w:val="clear" w:color="auto" w:fill="FFFFFF"/>
          <w:lang w:val="en-GB"/>
        </w:rPr>
        <w:t>casco</w:t>
      </w:r>
      <w:proofErr w:type="spellEnd"/>
      <w:r w:rsidR="00DE07A4" w:rsidRPr="00DE07A4">
        <w:rPr>
          <w:shd w:val="clear" w:color="auto" w:fill="FFFFFF"/>
          <w:lang w:val="en-GB"/>
        </w:rPr>
        <w:t xml:space="preserve"> insurance of land vehicles in the </w:t>
      </w:r>
      <w:r>
        <w:rPr>
          <w:shd w:val="clear" w:color="auto" w:fill="FFFFFF"/>
          <w:lang w:val="en-GB"/>
        </w:rPr>
        <w:lastRenderedPageBreak/>
        <w:t xml:space="preserve">non-life gross written </w:t>
      </w:r>
      <w:r w:rsidR="00DE07A4" w:rsidRPr="00DE07A4">
        <w:rPr>
          <w:shd w:val="clear" w:color="auto" w:fill="FFFFFF"/>
          <w:lang w:val="en-GB"/>
        </w:rPr>
        <w:t>premiums amounted to 2</w:t>
      </w:r>
      <w:r w:rsidR="004A5DC7">
        <w:rPr>
          <w:shd w:val="clear" w:color="auto" w:fill="FFFFFF"/>
          <w:lang w:val="en-GB"/>
        </w:rPr>
        <w:t>2</w:t>
      </w:r>
      <w:r w:rsidR="00DE07A4" w:rsidRPr="00DE07A4">
        <w:rPr>
          <w:shd w:val="clear" w:color="auto" w:fill="FFFFFF"/>
          <w:lang w:val="en-GB"/>
        </w:rPr>
        <w:t>.</w:t>
      </w:r>
      <w:r w:rsidR="004A5DC7">
        <w:rPr>
          <w:shd w:val="clear" w:color="auto" w:fill="FFFFFF"/>
          <w:lang w:val="en-GB"/>
        </w:rPr>
        <w:t>1</w:t>
      </w:r>
      <w:r w:rsidR="00DE07A4" w:rsidRPr="00DE07A4">
        <w:rPr>
          <w:shd w:val="clear" w:color="auto" w:fill="FFFFFF"/>
          <w:lang w:val="en-GB"/>
        </w:rPr>
        <w:t xml:space="preserve">%, and </w:t>
      </w:r>
      <w:r w:rsidR="00FD0428">
        <w:rPr>
          <w:shd w:val="clear" w:color="auto" w:fill="FFFFFF"/>
          <w:lang w:val="en-GB"/>
        </w:rPr>
        <w:t>m</w:t>
      </w:r>
      <w:r w:rsidR="00FD0428" w:rsidRPr="00FD0428">
        <w:rPr>
          <w:shd w:val="clear" w:color="auto" w:fill="FFFFFF"/>
          <w:lang w:val="en-GB"/>
        </w:rPr>
        <w:t xml:space="preserve">otor vehicle liability arising out of the </w:t>
      </w:r>
      <w:proofErr w:type="spellStart"/>
      <w:r w:rsidR="00FD0428" w:rsidRPr="00FD0428">
        <w:rPr>
          <w:shd w:val="clear" w:color="auto" w:fill="FFFFFF"/>
          <w:lang w:val="en-GB"/>
        </w:rPr>
        <w:t>possesion</w:t>
      </w:r>
      <w:proofErr w:type="spellEnd"/>
      <w:r w:rsidR="00FD0428" w:rsidRPr="00FD0428">
        <w:rPr>
          <w:shd w:val="clear" w:color="auto" w:fill="FFFFFF"/>
          <w:lang w:val="en-GB"/>
        </w:rPr>
        <w:t xml:space="preserve"> of land vehicles</w:t>
      </w:r>
      <w:r w:rsidR="00DE07A4" w:rsidRPr="00DE07A4">
        <w:rPr>
          <w:shd w:val="clear" w:color="auto" w:fill="FFFFFF"/>
          <w:lang w:val="en-GB"/>
        </w:rPr>
        <w:t xml:space="preserve"> </w:t>
      </w:r>
      <w:r w:rsidR="004175DF">
        <w:rPr>
          <w:shd w:val="clear" w:color="auto" w:fill="FFFFFF"/>
          <w:lang w:val="en-GB"/>
        </w:rPr>
        <w:t>over</w:t>
      </w:r>
      <w:r w:rsidR="004A5DC7">
        <w:rPr>
          <w:shd w:val="clear" w:color="auto" w:fill="FFFFFF"/>
          <w:lang w:val="en-GB"/>
        </w:rPr>
        <w:t xml:space="preserve"> 36.8</w:t>
      </w:r>
      <w:r w:rsidR="00DE07A4" w:rsidRPr="00DE07A4">
        <w:rPr>
          <w:shd w:val="clear" w:color="auto" w:fill="FFFFFF"/>
          <w:lang w:val="en-GB"/>
        </w:rPr>
        <w:t>%.</w:t>
      </w:r>
    </w:p>
    <w:p w:rsidR="005D39E6" w:rsidRPr="00A576FD" w:rsidRDefault="00A576FD" w:rsidP="00A576FD">
      <w:pPr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 xml:space="preserve">The </w:t>
      </w:r>
      <w:r w:rsidRPr="00A576FD">
        <w:rPr>
          <w:shd w:val="clear" w:color="auto" w:fill="FFFFFF"/>
          <w:lang w:val="en-GB"/>
        </w:rPr>
        <w:t xml:space="preserve">technical profit of PLN </w:t>
      </w:r>
      <w:r w:rsidR="000F60A0">
        <w:rPr>
          <w:shd w:val="clear" w:color="auto" w:fill="FFFFFF"/>
          <w:lang w:val="en-GB"/>
        </w:rPr>
        <w:t>810</w:t>
      </w:r>
      <w:r w:rsidRPr="00A576FD">
        <w:rPr>
          <w:shd w:val="clear" w:color="auto" w:fill="FFFFFF"/>
          <w:lang w:val="en-GB"/>
        </w:rPr>
        <w:t>.</w:t>
      </w:r>
      <w:r w:rsidR="000F60A0">
        <w:rPr>
          <w:shd w:val="clear" w:color="auto" w:fill="FFFFFF"/>
          <w:lang w:val="en-GB"/>
        </w:rPr>
        <w:t>8</w:t>
      </w:r>
      <w:r w:rsidRPr="00A576FD">
        <w:rPr>
          <w:shd w:val="clear" w:color="auto" w:fill="FFFFFF"/>
          <w:lang w:val="en-GB"/>
        </w:rPr>
        <w:t xml:space="preserve"> million was achieved compared to PLN </w:t>
      </w:r>
      <w:r w:rsidR="000F60A0">
        <w:rPr>
          <w:shd w:val="clear" w:color="auto" w:fill="FFFFFF"/>
          <w:lang w:val="en-GB"/>
        </w:rPr>
        <w:t>458</w:t>
      </w:r>
      <w:r w:rsidRPr="00A576FD">
        <w:rPr>
          <w:shd w:val="clear" w:color="auto" w:fill="FFFFFF"/>
          <w:lang w:val="en-GB"/>
        </w:rPr>
        <w:t>.</w:t>
      </w:r>
      <w:r w:rsidR="000F60A0">
        <w:rPr>
          <w:shd w:val="clear" w:color="auto" w:fill="FFFFFF"/>
          <w:lang w:val="en-GB"/>
        </w:rPr>
        <w:t>0</w:t>
      </w:r>
      <w:r w:rsidRPr="00A576FD">
        <w:rPr>
          <w:shd w:val="clear" w:color="auto" w:fill="FFFFFF"/>
          <w:lang w:val="en-GB"/>
        </w:rPr>
        <w:t xml:space="preserve"> million of profit in </w:t>
      </w:r>
      <w:r w:rsidR="001E5A26">
        <w:rPr>
          <w:shd w:val="clear" w:color="auto" w:fill="FFFFFF"/>
          <w:lang w:val="en-GB"/>
        </w:rPr>
        <w:t>2019</w:t>
      </w:r>
      <w:r>
        <w:rPr>
          <w:shd w:val="clear" w:color="auto" w:fill="FFFFFF"/>
          <w:lang w:val="en-GB"/>
        </w:rPr>
        <w:t xml:space="preserve"> i</w:t>
      </w:r>
      <w:r w:rsidRPr="00A576FD">
        <w:rPr>
          <w:shd w:val="clear" w:color="auto" w:fill="FFFFFF"/>
          <w:lang w:val="en-GB"/>
        </w:rPr>
        <w:t xml:space="preserve">n the </w:t>
      </w:r>
      <w:proofErr w:type="spellStart"/>
      <w:r w:rsidRPr="00A576FD">
        <w:rPr>
          <w:shd w:val="clear" w:color="auto" w:fill="FFFFFF"/>
          <w:lang w:val="en-GB"/>
        </w:rPr>
        <w:t>casco</w:t>
      </w:r>
      <w:proofErr w:type="spellEnd"/>
      <w:r w:rsidRPr="00A576FD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>insurance of land vehicles.</w:t>
      </w:r>
      <w:r w:rsidRPr="00A576FD">
        <w:rPr>
          <w:shd w:val="clear" w:color="auto" w:fill="FFFFFF"/>
          <w:lang w:val="en-GB"/>
        </w:rPr>
        <w:t xml:space="preserve"> In </w:t>
      </w:r>
      <w:r>
        <w:rPr>
          <w:shd w:val="clear" w:color="auto" w:fill="FFFFFF"/>
          <w:lang w:val="en-GB"/>
        </w:rPr>
        <w:t>m</w:t>
      </w:r>
      <w:r w:rsidRPr="00A576FD">
        <w:rPr>
          <w:shd w:val="clear" w:color="auto" w:fill="FFFFFF"/>
          <w:lang w:val="en-GB"/>
        </w:rPr>
        <w:t xml:space="preserve">otor vehicle liability arising out of the </w:t>
      </w:r>
      <w:proofErr w:type="spellStart"/>
      <w:r w:rsidRPr="00A576FD">
        <w:rPr>
          <w:shd w:val="clear" w:color="auto" w:fill="FFFFFF"/>
          <w:lang w:val="en-GB"/>
        </w:rPr>
        <w:t>possesion</w:t>
      </w:r>
      <w:proofErr w:type="spellEnd"/>
      <w:r w:rsidRPr="00A576FD">
        <w:rPr>
          <w:shd w:val="clear" w:color="auto" w:fill="FFFFFF"/>
          <w:lang w:val="en-GB"/>
        </w:rPr>
        <w:t xml:space="preserve"> of land vehicles, </w:t>
      </w:r>
      <w:r>
        <w:rPr>
          <w:shd w:val="clear" w:color="auto" w:fill="FFFFFF"/>
          <w:lang w:val="en-GB"/>
        </w:rPr>
        <w:t>the</w:t>
      </w:r>
      <w:r w:rsidRPr="00A576FD">
        <w:rPr>
          <w:shd w:val="clear" w:color="auto" w:fill="FFFFFF"/>
          <w:lang w:val="en-GB"/>
        </w:rPr>
        <w:t xml:space="preserve"> technical profit of PLN </w:t>
      </w:r>
      <w:r w:rsidR="000F60A0">
        <w:rPr>
          <w:shd w:val="clear" w:color="auto" w:fill="FFFFFF"/>
          <w:lang w:val="en-GB"/>
        </w:rPr>
        <w:t>521</w:t>
      </w:r>
      <w:r w:rsidRPr="00A576FD">
        <w:rPr>
          <w:shd w:val="clear" w:color="auto" w:fill="FFFFFF"/>
          <w:lang w:val="en-GB"/>
        </w:rPr>
        <w:t>.</w:t>
      </w:r>
      <w:r w:rsidR="000F60A0">
        <w:rPr>
          <w:shd w:val="clear" w:color="auto" w:fill="FFFFFF"/>
          <w:lang w:val="en-GB"/>
        </w:rPr>
        <w:t>3</w:t>
      </w:r>
      <w:r w:rsidRPr="00A576FD">
        <w:rPr>
          <w:shd w:val="clear" w:color="auto" w:fill="FFFFFF"/>
          <w:lang w:val="en-GB"/>
        </w:rPr>
        <w:t xml:space="preserve"> million was achieved compared to PLN </w:t>
      </w:r>
      <w:r w:rsidR="000F60A0">
        <w:rPr>
          <w:shd w:val="clear" w:color="auto" w:fill="FFFFFF"/>
          <w:lang w:val="en-GB"/>
        </w:rPr>
        <w:t>903</w:t>
      </w:r>
      <w:r w:rsidRPr="00A576FD">
        <w:rPr>
          <w:shd w:val="clear" w:color="auto" w:fill="FFFFFF"/>
          <w:lang w:val="en-GB"/>
        </w:rPr>
        <w:t>.</w:t>
      </w:r>
      <w:r w:rsidR="000F60A0">
        <w:rPr>
          <w:shd w:val="clear" w:color="auto" w:fill="FFFFFF"/>
          <w:lang w:val="en-GB"/>
        </w:rPr>
        <w:t>5</w:t>
      </w:r>
      <w:r w:rsidRPr="00A576FD">
        <w:rPr>
          <w:shd w:val="clear" w:color="auto" w:fill="FFFFFF"/>
          <w:lang w:val="en-GB"/>
        </w:rPr>
        <w:t xml:space="preserve"> million </w:t>
      </w:r>
      <w:r w:rsidR="00FD0428">
        <w:rPr>
          <w:shd w:val="clear" w:color="auto" w:fill="FFFFFF"/>
          <w:lang w:val="en-GB"/>
        </w:rPr>
        <w:t>of profit in the previous year.</w:t>
      </w:r>
    </w:p>
    <w:p w:rsidR="005D39E6" w:rsidRPr="00526B07" w:rsidRDefault="005D39E6" w:rsidP="005D39E6">
      <w:pPr>
        <w:pStyle w:val="Nagwek1"/>
        <w:rPr>
          <w:lang w:val="en-GB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688FE575" wp14:editId="7362B1E9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2F9" w:rsidRPr="00752D16" w:rsidRDefault="004162F9" w:rsidP="0012268C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752D16">
                              <w:rPr>
                                <w:lang w:val="en-GB"/>
                              </w:rPr>
                              <w:t xml:space="preserve">The total assets </w:t>
                            </w:r>
                            <w:r>
                              <w:rPr>
                                <w:lang w:val="en-GB"/>
                              </w:rPr>
                              <w:t>in</w:t>
                            </w:r>
                            <w:r w:rsidRPr="00752D16">
                              <w:rPr>
                                <w:lang w:val="en-GB"/>
                              </w:rPr>
                              <w:t xml:space="preserve">creased by </w:t>
                            </w:r>
                            <w:r w:rsidR="004175DF">
                              <w:rPr>
                                <w:lang w:val="en-GB"/>
                              </w:rPr>
                              <w:t>5.5</w:t>
                            </w:r>
                            <w:r w:rsidRPr="00752D16">
                              <w:rPr>
                                <w:lang w:val="en-GB"/>
                              </w:rPr>
                              <w:t xml:space="preserve">% </w:t>
                            </w:r>
                            <w:r>
                              <w:rPr>
                                <w:lang w:val="en-GB"/>
                              </w:rPr>
                              <w:t>year-on-year</w:t>
                            </w:r>
                            <w:r w:rsidRPr="00752D16">
                              <w:rPr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FE575" id="Pole tekstowe 7" o:spid="_x0000_s1031" type="#_x0000_t202" style="position:absolute;margin-left:411pt;margin-top:13pt;width:135.85pt;height:65.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" filled="f" stroked="f">
                <v:textbox>
                  <w:txbxContent>
                    <w:p w:rsidR="004162F9" w:rsidRPr="00752D16" w:rsidRDefault="004162F9" w:rsidP="0012268C">
                      <w:pPr>
                        <w:pStyle w:val="tekstzboku"/>
                        <w:rPr>
                          <w:lang w:val="en-GB"/>
                        </w:rPr>
                      </w:pPr>
                      <w:r w:rsidRPr="00752D16">
                        <w:rPr>
                          <w:lang w:val="en-GB"/>
                        </w:rPr>
                        <w:t xml:space="preserve">The total assets </w:t>
                      </w:r>
                      <w:r>
                        <w:rPr>
                          <w:lang w:val="en-GB"/>
                        </w:rPr>
                        <w:t>in</w:t>
                      </w:r>
                      <w:r w:rsidRPr="00752D16">
                        <w:rPr>
                          <w:lang w:val="en-GB"/>
                        </w:rPr>
                        <w:t xml:space="preserve">creased by </w:t>
                      </w:r>
                      <w:r w:rsidR="004175DF">
                        <w:rPr>
                          <w:lang w:val="en-GB"/>
                        </w:rPr>
                        <w:t>5.5</w:t>
                      </w:r>
                      <w:r w:rsidRPr="00752D16">
                        <w:rPr>
                          <w:lang w:val="en-GB"/>
                        </w:rPr>
                        <w:t xml:space="preserve">% </w:t>
                      </w:r>
                      <w:r>
                        <w:rPr>
                          <w:lang w:val="en-GB"/>
                        </w:rPr>
                        <w:t>year-on-year</w:t>
                      </w:r>
                      <w:r w:rsidRPr="00752D16">
                        <w:rPr>
                          <w:lang w:val="en-GB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26B07" w:rsidRPr="00526B07">
        <w:rPr>
          <w:lang w:val="en-GB"/>
        </w:rPr>
        <w:t xml:space="preserve"> </w:t>
      </w:r>
      <w:r w:rsidR="00526B07" w:rsidRPr="00526B07">
        <w:rPr>
          <w:rFonts w:ascii="Fira Sans" w:hAnsi="Fira Sans"/>
          <w:b/>
          <w:noProof/>
          <w:spacing w:val="-2"/>
          <w:szCs w:val="19"/>
          <w:lang w:val="en-GB"/>
        </w:rPr>
        <w:t>Assets and liabilities</w:t>
      </w:r>
    </w:p>
    <w:p w:rsidR="005D39E6" w:rsidRPr="00526B07" w:rsidRDefault="00526B07" w:rsidP="00526B07">
      <w:pPr>
        <w:rPr>
          <w:shd w:val="clear" w:color="auto" w:fill="FFFFFF"/>
          <w:lang w:val="en-GB"/>
        </w:rPr>
      </w:pPr>
      <w:r w:rsidRPr="00526B07">
        <w:rPr>
          <w:shd w:val="clear" w:color="auto" w:fill="FFFFFF"/>
          <w:lang w:val="en-GB"/>
        </w:rPr>
        <w:t xml:space="preserve">The total </w:t>
      </w:r>
      <w:r>
        <w:rPr>
          <w:shd w:val="clear" w:color="auto" w:fill="FFFFFF"/>
          <w:lang w:val="en-GB"/>
        </w:rPr>
        <w:t xml:space="preserve">assets </w:t>
      </w:r>
      <w:r w:rsidRPr="00526B07">
        <w:rPr>
          <w:shd w:val="clear" w:color="auto" w:fill="FFFFFF"/>
          <w:lang w:val="en-GB"/>
        </w:rPr>
        <w:t xml:space="preserve">of insurance companies </w:t>
      </w:r>
      <w:r w:rsidR="0012268C">
        <w:rPr>
          <w:shd w:val="clear" w:color="auto" w:fill="FFFFFF"/>
          <w:lang w:val="en-GB"/>
        </w:rPr>
        <w:t>f</w:t>
      </w:r>
      <w:r w:rsidR="0012268C" w:rsidRPr="0012268C">
        <w:rPr>
          <w:shd w:val="clear" w:color="auto" w:fill="FFFFFF"/>
          <w:lang w:val="en-GB"/>
        </w:rPr>
        <w:t xml:space="preserve">or the year ended 31 December </w:t>
      </w:r>
      <w:r w:rsidR="001E5A26">
        <w:rPr>
          <w:shd w:val="clear" w:color="auto" w:fill="FFFFFF"/>
          <w:lang w:val="en-GB"/>
        </w:rPr>
        <w:t>2020</w:t>
      </w:r>
      <w:r w:rsidR="0012268C">
        <w:rPr>
          <w:shd w:val="clear" w:color="auto" w:fill="FFFFFF"/>
          <w:lang w:val="en-GB"/>
        </w:rPr>
        <w:t xml:space="preserve"> </w:t>
      </w:r>
      <w:r w:rsidRPr="00526B07">
        <w:rPr>
          <w:shd w:val="clear" w:color="auto" w:fill="FFFFFF"/>
          <w:lang w:val="en-GB"/>
        </w:rPr>
        <w:t>amounted to</w:t>
      </w:r>
      <w:r w:rsidR="0012268C">
        <w:rPr>
          <w:shd w:val="clear" w:color="auto" w:fill="FFFFFF"/>
          <w:lang w:val="en-GB"/>
        </w:rPr>
        <w:t xml:space="preserve"> </w:t>
      </w:r>
      <w:r w:rsidR="00FD0428">
        <w:rPr>
          <w:shd w:val="clear" w:color="auto" w:fill="FFFFFF"/>
          <w:lang w:val="en-GB"/>
        </w:rPr>
        <w:t xml:space="preserve">PLN </w:t>
      </w:r>
      <w:r w:rsidR="004175DF" w:rsidRPr="004175DF">
        <w:rPr>
          <w:shd w:val="clear" w:color="auto" w:fill="FFFFFF"/>
          <w:lang w:val="en-GB"/>
        </w:rPr>
        <w:t>204 710</w:t>
      </w:r>
      <w:r w:rsidR="004175DF">
        <w:rPr>
          <w:shd w:val="clear" w:color="auto" w:fill="FFFFFF"/>
          <w:lang w:val="en-GB"/>
        </w:rPr>
        <w:t>.</w:t>
      </w:r>
      <w:r w:rsidR="004175DF" w:rsidRPr="004175DF">
        <w:rPr>
          <w:shd w:val="clear" w:color="auto" w:fill="FFFFFF"/>
          <w:lang w:val="en-GB"/>
        </w:rPr>
        <w:t xml:space="preserve">3 </w:t>
      </w:r>
      <w:r w:rsidRPr="00526B07">
        <w:rPr>
          <w:shd w:val="clear" w:color="auto" w:fill="FFFFFF"/>
          <w:lang w:val="en-GB"/>
        </w:rPr>
        <w:t>million (</w:t>
      </w:r>
      <w:r w:rsidR="00FD0428">
        <w:rPr>
          <w:shd w:val="clear" w:color="auto" w:fill="FFFFFF"/>
          <w:lang w:val="en-GB"/>
        </w:rPr>
        <w:t>inc</w:t>
      </w:r>
      <w:r w:rsidRPr="00526B07">
        <w:rPr>
          <w:shd w:val="clear" w:color="auto" w:fill="FFFFFF"/>
          <w:lang w:val="en-GB"/>
        </w:rPr>
        <w:t xml:space="preserve">rease by </w:t>
      </w:r>
      <w:r w:rsidR="004175DF">
        <w:rPr>
          <w:shd w:val="clear" w:color="auto" w:fill="FFFFFF"/>
          <w:lang w:val="en-GB"/>
        </w:rPr>
        <w:t>5</w:t>
      </w:r>
      <w:r w:rsidRPr="00526B07">
        <w:rPr>
          <w:shd w:val="clear" w:color="auto" w:fill="FFFFFF"/>
          <w:lang w:val="en-GB"/>
        </w:rPr>
        <w:t>.</w:t>
      </w:r>
      <w:r w:rsidR="004175DF">
        <w:rPr>
          <w:shd w:val="clear" w:color="auto" w:fill="FFFFFF"/>
          <w:lang w:val="en-GB"/>
        </w:rPr>
        <w:t>5</w:t>
      </w:r>
      <w:r w:rsidRPr="00526B07">
        <w:rPr>
          <w:shd w:val="clear" w:color="auto" w:fill="FFFFFF"/>
          <w:lang w:val="en-GB"/>
        </w:rPr>
        <w:t xml:space="preserve">% </w:t>
      </w:r>
      <w:r w:rsidR="00752D16">
        <w:rPr>
          <w:shd w:val="clear" w:color="auto" w:fill="FFFFFF"/>
          <w:lang w:val="en-GB"/>
        </w:rPr>
        <w:t>year-on-</w:t>
      </w:r>
      <w:r w:rsidR="0012268C">
        <w:rPr>
          <w:shd w:val="clear" w:color="auto" w:fill="FFFFFF"/>
          <w:lang w:val="en-GB"/>
        </w:rPr>
        <w:t>year</w:t>
      </w:r>
      <w:r w:rsidRPr="00526B07">
        <w:rPr>
          <w:shd w:val="clear" w:color="auto" w:fill="FFFFFF"/>
          <w:lang w:val="en-GB"/>
        </w:rPr>
        <w:t xml:space="preserve">), of which PLN </w:t>
      </w:r>
      <w:r w:rsidR="004175DF" w:rsidRPr="004175DF">
        <w:rPr>
          <w:shd w:val="clear" w:color="auto" w:fill="FFFFFF"/>
          <w:lang w:val="en-GB"/>
        </w:rPr>
        <w:t xml:space="preserve">95 263.2 </w:t>
      </w:r>
      <w:r w:rsidRPr="00526B07">
        <w:rPr>
          <w:shd w:val="clear" w:color="auto" w:fill="FFFFFF"/>
          <w:lang w:val="en-GB"/>
        </w:rPr>
        <w:t xml:space="preserve">million was allocated to </w:t>
      </w:r>
      <w:r w:rsidR="0012268C">
        <w:rPr>
          <w:shd w:val="clear" w:color="auto" w:fill="FFFFFF"/>
          <w:lang w:val="en-GB"/>
        </w:rPr>
        <w:t xml:space="preserve">life </w:t>
      </w:r>
      <w:r w:rsidR="0012268C" w:rsidRPr="0012268C">
        <w:rPr>
          <w:shd w:val="clear" w:color="auto" w:fill="FFFFFF"/>
          <w:lang w:val="en-GB"/>
        </w:rPr>
        <w:t>insurance companies</w:t>
      </w:r>
      <w:r w:rsidRPr="00526B07">
        <w:rPr>
          <w:shd w:val="clear" w:color="auto" w:fill="FFFFFF"/>
          <w:lang w:val="en-GB"/>
        </w:rPr>
        <w:t>,</w:t>
      </w:r>
      <w:r w:rsidR="0012268C">
        <w:rPr>
          <w:shd w:val="clear" w:color="auto" w:fill="FFFFFF"/>
          <w:lang w:val="en-GB"/>
        </w:rPr>
        <w:t xml:space="preserve"> </w:t>
      </w:r>
      <w:r w:rsidRPr="00526B07">
        <w:rPr>
          <w:shd w:val="clear" w:color="auto" w:fill="FFFFFF"/>
          <w:lang w:val="en-GB"/>
        </w:rPr>
        <w:t xml:space="preserve">and PLN </w:t>
      </w:r>
      <w:r w:rsidR="004175DF" w:rsidRPr="004175DF">
        <w:rPr>
          <w:shd w:val="clear" w:color="auto" w:fill="FFFFFF"/>
          <w:lang w:val="en-GB"/>
        </w:rPr>
        <w:t>109</w:t>
      </w:r>
      <w:r w:rsidR="004175DF" w:rsidRPr="00EA3E2C">
        <w:rPr>
          <w:shd w:val="clear" w:color="auto" w:fill="FFFFFF"/>
          <w:lang w:val="en-GB"/>
        </w:rPr>
        <w:t xml:space="preserve"> </w:t>
      </w:r>
      <w:r w:rsidR="004175DF" w:rsidRPr="004175DF">
        <w:rPr>
          <w:shd w:val="clear" w:color="auto" w:fill="FFFFFF"/>
          <w:lang w:val="en-GB"/>
        </w:rPr>
        <w:t xml:space="preserve">447.1 </w:t>
      </w:r>
      <w:r w:rsidRPr="00526B07">
        <w:rPr>
          <w:shd w:val="clear" w:color="auto" w:fill="FFFFFF"/>
          <w:lang w:val="en-GB"/>
        </w:rPr>
        <w:t xml:space="preserve">million </w:t>
      </w:r>
      <w:r w:rsidR="0012268C" w:rsidRPr="0012268C">
        <w:rPr>
          <w:shd w:val="clear" w:color="auto" w:fill="FFFFFF"/>
          <w:lang w:val="en-GB"/>
        </w:rPr>
        <w:t xml:space="preserve">to </w:t>
      </w:r>
      <w:r w:rsidR="0012268C">
        <w:rPr>
          <w:shd w:val="clear" w:color="auto" w:fill="FFFFFF"/>
          <w:lang w:val="en-GB"/>
        </w:rPr>
        <w:t>non-</w:t>
      </w:r>
      <w:r w:rsidR="0012268C" w:rsidRPr="0012268C">
        <w:rPr>
          <w:shd w:val="clear" w:color="auto" w:fill="FFFFFF"/>
          <w:lang w:val="en-GB"/>
        </w:rPr>
        <w:t>life insurance companies</w:t>
      </w:r>
      <w:r w:rsidR="005D39E6" w:rsidRPr="00526B07">
        <w:rPr>
          <w:shd w:val="clear" w:color="auto" w:fill="FFFFFF"/>
          <w:lang w:val="en-GB"/>
        </w:rPr>
        <w:t>.</w:t>
      </w:r>
    </w:p>
    <w:tbl>
      <w:tblPr>
        <w:tblStyle w:val="Siatkatabelijasna1"/>
        <w:tblpPr w:leftFromText="141" w:rightFromText="141" w:vertAnchor="text" w:horzAnchor="margin" w:tblpY="596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54"/>
        <w:gridCol w:w="964"/>
        <w:gridCol w:w="964"/>
        <w:gridCol w:w="964"/>
        <w:gridCol w:w="964"/>
        <w:gridCol w:w="964"/>
        <w:gridCol w:w="964"/>
      </w:tblGrid>
      <w:tr w:rsidR="005D39E6" w:rsidRPr="00FA5128" w:rsidTr="00F940D7">
        <w:trPr>
          <w:trHeight w:val="57"/>
        </w:trPr>
        <w:tc>
          <w:tcPr>
            <w:tcW w:w="2154" w:type="dxa"/>
            <w:vMerge w:val="restart"/>
            <w:vAlign w:val="center"/>
          </w:tcPr>
          <w:p w:rsidR="005D39E6" w:rsidRPr="009C7251" w:rsidRDefault="005D39E6" w:rsidP="00F940D7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SPECIFICATION</w:t>
            </w:r>
          </w:p>
        </w:tc>
        <w:tc>
          <w:tcPr>
            <w:tcW w:w="2892" w:type="dxa"/>
            <w:gridSpan w:val="3"/>
            <w:vAlign w:val="center"/>
          </w:tcPr>
          <w:p w:rsidR="005D39E6" w:rsidRPr="00FA5128" w:rsidRDefault="005D39E6" w:rsidP="00F940D7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Life</w:t>
            </w:r>
          </w:p>
        </w:tc>
        <w:tc>
          <w:tcPr>
            <w:tcW w:w="2892" w:type="dxa"/>
            <w:gridSpan w:val="3"/>
          </w:tcPr>
          <w:p w:rsidR="005D39E6" w:rsidRPr="00FA5128" w:rsidRDefault="005D39E6" w:rsidP="00F940D7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Non-life</w:t>
            </w:r>
          </w:p>
        </w:tc>
      </w:tr>
      <w:tr w:rsidR="005D39E6" w:rsidRPr="00FA5128" w:rsidTr="00F940D7">
        <w:trPr>
          <w:trHeight w:val="57"/>
        </w:trPr>
        <w:tc>
          <w:tcPr>
            <w:tcW w:w="2154" w:type="dxa"/>
            <w:vMerge/>
            <w:vAlign w:val="center"/>
          </w:tcPr>
          <w:p w:rsidR="005D39E6" w:rsidRPr="00FA5128" w:rsidRDefault="005D39E6" w:rsidP="00F940D7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5D39E6" w:rsidRPr="00FA5128" w:rsidRDefault="001E5A26" w:rsidP="00F940D7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5D39E6" w:rsidRPr="00FA5128" w:rsidRDefault="001E5A26" w:rsidP="00F940D7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964" w:type="dxa"/>
            <w:vMerge w:val="restart"/>
            <w:vAlign w:val="center"/>
          </w:tcPr>
          <w:p w:rsidR="005D39E6" w:rsidRPr="00FA5128" w:rsidRDefault="001E5A26" w:rsidP="00F940D7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  <w:r w:rsidR="005D39E6"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5D39E6" w:rsidRPr="00FA5128" w:rsidRDefault="001E5A26" w:rsidP="00F940D7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5D39E6" w:rsidRPr="00FA5128" w:rsidRDefault="001E5A26" w:rsidP="00F940D7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964" w:type="dxa"/>
            <w:vMerge w:val="restart"/>
            <w:vAlign w:val="center"/>
          </w:tcPr>
          <w:p w:rsidR="005D39E6" w:rsidRPr="00FA5128" w:rsidRDefault="001E5A26" w:rsidP="00F940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  <w:r w:rsidR="005D39E6"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5D39E6" w:rsidRPr="00FA5128" w:rsidTr="00F940D7">
        <w:trPr>
          <w:trHeight w:val="57"/>
        </w:trPr>
        <w:tc>
          <w:tcPr>
            <w:tcW w:w="2154" w:type="dxa"/>
            <w:vMerge/>
            <w:tcBorders>
              <w:bottom w:val="single" w:sz="12" w:space="0" w:color="212492"/>
            </w:tcBorders>
            <w:vAlign w:val="center"/>
          </w:tcPr>
          <w:p w:rsidR="005D39E6" w:rsidRPr="00FA5128" w:rsidRDefault="005D39E6" w:rsidP="00F940D7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5D39E6" w:rsidRPr="00FA5128" w:rsidRDefault="005D39E6" w:rsidP="00F940D7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million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PLN</w:t>
            </w:r>
          </w:p>
        </w:tc>
        <w:tc>
          <w:tcPr>
            <w:tcW w:w="964" w:type="dxa"/>
            <w:vMerge/>
            <w:tcBorders>
              <w:bottom w:val="single" w:sz="12" w:space="0" w:color="212492"/>
            </w:tcBorders>
            <w:vAlign w:val="center"/>
          </w:tcPr>
          <w:p w:rsidR="005D39E6" w:rsidRPr="00FA5128" w:rsidRDefault="005D39E6" w:rsidP="00F940D7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bottom w:val="single" w:sz="12" w:space="0" w:color="212492"/>
            </w:tcBorders>
            <w:vAlign w:val="center"/>
          </w:tcPr>
          <w:p w:rsidR="005D39E6" w:rsidRPr="00FA5128" w:rsidRDefault="005D39E6" w:rsidP="00F940D7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million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PLN</w:t>
            </w:r>
          </w:p>
        </w:tc>
        <w:tc>
          <w:tcPr>
            <w:tcW w:w="964" w:type="dxa"/>
            <w:vMerge/>
            <w:tcBorders>
              <w:bottom w:val="single" w:sz="12" w:space="0" w:color="212492"/>
            </w:tcBorders>
            <w:vAlign w:val="center"/>
          </w:tcPr>
          <w:p w:rsidR="005D39E6" w:rsidRPr="00FA5128" w:rsidRDefault="005D39E6" w:rsidP="00F940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C7454" w:rsidRPr="00FA5128" w:rsidTr="00F940D7">
        <w:trPr>
          <w:trHeight w:val="57"/>
        </w:trPr>
        <w:tc>
          <w:tcPr>
            <w:tcW w:w="2154" w:type="dxa"/>
            <w:tcBorders>
              <w:top w:val="single" w:sz="12" w:space="0" w:color="212492"/>
            </w:tcBorders>
            <w:vAlign w:val="center"/>
          </w:tcPr>
          <w:p w:rsidR="00BC7454" w:rsidRPr="00FA5128" w:rsidRDefault="00BC7454" w:rsidP="00BC7454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 ASSETS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93 839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95 263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101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100 112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109 447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109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3</w:t>
            </w:r>
          </w:p>
        </w:tc>
      </w:tr>
      <w:tr w:rsidR="00BC7454" w:rsidRPr="00FA5128" w:rsidTr="00F940D7">
        <w:trPr>
          <w:trHeight w:val="57"/>
        </w:trPr>
        <w:tc>
          <w:tcPr>
            <w:tcW w:w="2154" w:type="dxa"/>
            <w:vAlign w:val="center"/>
          </w:tcPr>
          <w:p w:rsidR="00BC7454" w:rsidRPr="000200A8" w:rsidRDefault="00BC7454" w:rsidP="00BC7454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which</w:t>
            </w:r>
            <w:proofErr w:type="spellEnd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: 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C7454" w:rsidRDefault="00BC7454" w:rsidP="00BC745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C7454" w:rsidRDefault="00BC7454" w:rsidP="00BC745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C7454" w:rsidRDefault="00BC7454" w:rsidP="00BC745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C7454" w:rsidRDefault="00BC7454" w:rsidP="00BC745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bottom"/>
          </w:tcPr>
          <w:p w:rsidR="00BC7454" w:rsidRDefault="00BC7454" w:rsidP="00BC7454">
            <w:pPr>
              <w:rPr>
                <w:sz w:val="20"/>
                <w:szCs w:val="20"/>
              </w:rPr>
            </w:pPr>
          </w:p>
        </w:tc>
      </w:tr>
      <w:tr w:rsidR="00BC7454" w:rsidRPr="00FA5128" w:rsidTr="00F940D7">
        <w:trPr>
          <w:trHeight w:val="57"/>
        </w:trPr>
        <w:tc>
          <w:tcPr>
            <w:tcW w:w="2154" w:type="dxa"/>
            <w:vAlign w:val="center"/>
          </w:tcPr>
          <w:p w:rsidR="00BC7454" w:rsidRPr="000200A8" w:rsidRDefault="00BC7454" w:rsidP="00BC7454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Investments</w:t>
            </w:r>
            <w:proofErr w:type="spellEnd"/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40 362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BC7454" w:rsidRDefault="00BC7454" w:rsidP="00C762A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 xml:space="preserve">41 </w:t>
            </w:r>
            <w:r w:rsidR="00C762A4">
              <w:rPr>
                <w:rFonts w:cs="Arial CE"/>
                <w:sz w:val="16"/>
                <w:szCs w:val="16"/>
              </w:rPr>
              <w:t>241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BC7454" w:rsidRDefault="00BC7454" w:rsidP="00C762A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</w:t>
            </w:r>
            <w:r w:rsidR="00C762A4">
              <w:rPr>
                <w:rFonts w:cs="Arial CE"/>
                <w:sz w:val="16"/>
                <w:szCs w:val="16"/>
              </w:rPr>
              <w:t>2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 w:rsidR="00C762A4">
              <w:rPr>
                <w:rFonts w:cs="Arial CE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79 501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8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88 903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9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111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8</w:t>
            </w:r>
          </w:p>
        </w:tc>
      </w:tr>
      <w:tr w:rsidR="00BC7454" w:rsidRPr="00FA5128" w:rsidTr="00F940D7">
        <w:trPr>
          <w:trHeight w:val="57"/>
        </w:trPr>
        <w:tc>
          <w:tcPr>
            <w:tcW w:w="2154" w:type="dxa"/>
            <w:vAlign w:val="center"/>
          </w:tcPr>
          <w:p w:rsidR="00BC7454" w:rsidRPr="00922D0C" w:rsidRDefault="00BC7454" w:rsidP="00BC7454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922D0C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Net assets for </w:t>
            </w:r>
            <w:r w:rsidRPr="00922D0C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br/>
              <w:t xml:space="preserve">life </w:t>
            </w:r>
            <w:proofErr w:type="spellStart"/>
            <w:r w:rsidRPr="00922D0C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assurance</w:t>
            </w:r>
            <w:r w:rsidRPr="00922D0C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49 053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48 571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99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0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x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x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x</w:t>
            </w:r>
          </w:p>
        </w:tc>
      </w:tr>
      <w:tr w:rsidR="00BC7454" w:rsidRPr="00FA5128" w:rsidTr="00F940D7">
        <w:trPr>
          <w:trHeight w:val="57"/>
        </w:trPr>
        <w:tc>
          <w:tcPr>
            <w:tcW w:w="2154" w:type="dxa"/>
            <w:vAlign w:val="center"/>
          </w:tcPr>
          <w:p w:rsidR="00BC7454" w:rsidRPr="008D4206" w:rsidRDefault="00BC7454" w:rsidP="00BC7454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i w:val="0"/>
                <w:color w:val="000000" w:themeColor="text1"/>
                <w:sz w:val="16"/>
                <w:szCs w:val="16"/>
              </w:rPr>
              <w:t>TOTAL LIABILITIES</w:t>
            </w:r>
            <w:r w:rsidRPr="008D4206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93 839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95 263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101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100 112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109 447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109</w:t>
            </w:r>
            <w:r w:rsidR="004162F9">
              <w:rPr>
                <w:rFonts w:cs="Arial CE"/>
                <w:b/>
                <w:bCs/>
                <w:sz w:val="16"/>
                <w:szCs w:val="16"/>
              </w:rPr>
              <w:t>.</w:t>
            </w:r>
            <w:r>
              <w:rPr>
                <w:rFonts w:cs="Arial CE"/>
                <w:b/>
                <w:bCs/>
                <w:sz w:val="16"/>
                <w:szCs w:val="16"/>
              </w:rPr>
              <w:t>3</w:t>
            </w:r>
          </w:p>
        </w:tc>
      </w:tr>
      <w:tr w:rsidR="00BC7454" w:rsidRPr="00FA5128" w:rsidTr="00F940D7">
        <w:trPr>
          <w:trHeight w:val="57"/>
        </w:trPr>
        <w:tc>
          <w:tcPr>
            <w:tcW w:w="2154" w:type="dxa"/>
            <w:vAlign w:val="center"/>
          </w:tcPr>
          <w:p w:rsidR="00BC7454" w:rsidRPr="00C3702F" w:rsidRDefault="00BC7454" w:rsidP="00BC7454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of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which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: 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C7454" w:rsidRDefault="00BC7454" w:rsidP="00BC745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C7454" w:rsidRDefault="00BC7454" w:rsidP="00BC745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C7454" w:rsidRDefault="00BC7454" w:rsidP="00BC745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C7454" w:rsidRDefault="00BC7454" w:rsidP="00BC745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bottom"/>
          </w:tcPr>
          <w:p w:rsidR="00BC7454" w:rsidRDefault="00BC7454" w:rsidP="00BC7454">
            <w:pPr>
              <w:rPr>
                <w:sz w:val="20"/>
                <w:szCs w:val="20"/>
              </w:rPr>
            </w:pPr>
          </w:p>
        </w:tc>
      </w:tr>
      <w:tr w:rsidR="00BC7454" w:rsidRPr="00FA5128" w:rsidTr="00F940D7">
        <w:trPr>
          <w:trHeight w:val="57"/>
        </w:trPr>
        <w:tc>
          <w:tcPr>
            <w:tcW w:w="2154" w:type="dxa"/>
            <w:vAlign w:val="center"/>
          </w:tcPr>
          <w:p w:rsidR="00BC7454" w:rsidRPr="00C3702F" w:rsidRDefault="00BC7454" w:rsidP="00BC7454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Capital and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reserves</w:t>
            </w:r>
            <w:proofErr w:type="spellEnd"/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11 462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8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12 815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6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111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8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28 543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8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34 079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119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4</w:t>
            </w:r>
          </w:p>
        </w:tc>
      </w:tr>
      <w:tr w:rsidR="00BC7454" w:rsidRPr="00FA5128" w:rsidTr="00F940D7">
        <w:trPr>
          <w:trHeight w:val="57"/>
        </w:trPr>
        <w:tc>
          <w:tcPr>
            <w:tcW w:w="2154" w:type="dxa"/>
            <w:vAlign w:val="center"/>
          </w:tcPr>
          <w:p w:rsidR="00BC7454" w:rsidRPr="00FA5128" w:rsidRDefault="00BC7454" w:rsidP="00BC7454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Technical </w:t>
            </w: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provisions</w:t>
            </w:r>
            <w:proofErr w:type="spellEnd"/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78 940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2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78 828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7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99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9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70 307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5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73 921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7</w:t>
            </w:r>
          </w:p>
        </w:tc>
        <w:tc>
          <w:tcPr>
            <w:tcW w:w="964" w:type="dxa"/>
            <w:vAlign w:val="bottom"/>
          </w:tcPr>
          <w:p w:rsidR="00BC7454" w:rsidRDefault="00BC7454" w:rsidP="00BC745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105</w:t>
            </w:r>
            <w:r w:rsidR="004162F9">
              <w:rPr>
                <w:rFonts w:cs="Arial CE"/>
                <w:sz w:val="16"/>
                <w:szCs w:val="16"/>
              </w:rPr>
              <w:t>.</w:t>
            </w:r>
            <w:r>
              <w:rPr>
                <w:rFonts w:cs="Arial CE"/>
                <w:sz w:val="16"/>
                <w:szCs w:val="16"/>
              </w:rPr>
              <w:t>1</w:t>
            </w:r>
          </w:p>
        </w:tc>
      </w:tr>
    </w:tbl>
    <w:p w:rsidR="005D39E6" w:rsidRPr="00F855D4" w:rsidRDefault="005D39E6" w:rsidP="005D39E6">
      <w:pPr>
        <w:rPr>
          <w:b/>
          <w:spacing w:val="-2"/>
          <w:sz w:val="18"/>
          <w:shd w:val="clear" w:color="auto" w:fill="FFFFFF"/>
          <w:lang w:val="en-GB"/>
        </w:rPr>
      </w:pPr>
      <w:r w:rsidRPr="00922D0C">
        <w:rPr>
          <w:b/>
          <w:spacing w:val="-2"/>
          <w:sz w:val="18"/>
          <w:shd w:val="clear" w:color="auto" w:fill="FFFFFF"/>
          <w:lang w:val="en-GB"/>
        </w:rPr>
        <w:t>Table 3. Assets and liabilities of insu</w:t>
      </w:r>
      <w:r w:rsidR="00BC7454">
        <w:rPr>
          <w:b/>
          <w:spacing w:val="-2"/>
          <w:sz w:val="18"/>
          <w:shd w:val="clear" w:color="auto" w:fill="FFFFFF"/>
          <w:lang w:val="en-GB"/>
        </w:rPr>
        <w:t>rance companies (as of 31st December</w:t>
      </w:r>
      <w:r w:rsidR="00B7230F">
        <w:rPr>
          <w:b/>
          <w:spacing w:val="-2"/>
          <w:sz w:val="18"/>
          <w:shd w:val="clear" w:color="auto" w:fill="FFFFFF"/>
          <w:lang w:val="en-GB"/>
        </w:rPr>
        <w:t>)</w:t>
      </w:r>
    </w:p>
    <w:p w:rsidR="005D39E6" w:rsidRPr="00922D0C" w:rsidRDefault="005D39E6" w:rsidP="005D39E6">
      <w:pPr>
        <w:rPr>
          <w:sz w:val="16"/>
          <w:szCs w:val="16"/>
          <w:lang w:val="en-GB"/>
        </w:rPr>
      </w:pPr>
      <w:r w:rsidRPr="00922D0C">
        <w:rPr>
          <w:i/>
          <w:sz w:val="16"/>
          <w:szCs w:val="16"/>
          <w:vertAlign w:val="superscript"/>
          <w:lang w:val="en-GB"/>
        </w:rPr>
        <w:t>a</w:t>
      </w:r>
      <w:r w:rsidRPr="00922D0C">
        <w:rPr>
          <w:sz w:val="16"/>
          <w:szCs w:val="16"/>
          <w:lang w:val="en-GB"/>
        </w:rPr>
        <w:t xml:space="preserve"> Where the investment risk is borne by the policyholders.</w:t>
      </w:r>
    </w:p>
    <w:p w:rsidR="00151753" w:rsidRDefault="00151753" w:rsidP="005D39E6">
      <w:pPr>
        <w:rPr>
          <w:sz w:val="18"/>
          <w:lang w:val="en-GB"/>
        </w:rPr>
      </w:pPr>
    </w:p>
    <w:p w:rsidR="00151753" w:rsidRDefault="00151753" w:rsidP="005D39E6">
      <w:pPr>
        <w:rPr>
          <w:sz w:val="18"/>
          <w:lang w:val="en-GB"/>
        </w:rPr>
      </w:pPr>
    </w:p>
    <w:p w:rsidR="00E12222" w:rsidRDefault="00E12222" w:rsidP="005D39E6">
      <w:pPr>
        <w:rPr>
          <w:sz w:val="18"/>
          <w:lang w:val="en-GB"/>
        </w:rPr>
      </w:pPr>
    </w:p>
    <w:p w:rsidR="00E12222" w:rsidRDefault="00E12222" w:rsidP="005D39E6">
      <w:pPr>
        <w:rPr>
          <w:sz w:val="18"/>
          <w:lang w:val="en-GB"/>
        </w:rPr>
      </w:pPr>
    </w:p>
    <w:p w:rsidR="00151753" w:rsidRPr="00BB0409" w:rsidRDefault="001E5A26" w:rsidP="005D39E6">
      <w:pPr>
        <w:rPr>
          <w:sz w:val="17"/>
          <w:szCs w:val="17"/>
          <w:lang w:val="en-GB"/>
        </w:rPr>
      </w:pPr>
      <w:r w:rsidRPr="00BB0409">
        <w:rPr>
          <w:bCs/>
          <w:sz w:val="17"/>
          <w:szCs w:val="17"/>
          <w:shd w:val="clear" w:color="auto" w:fill="FFFFFF"/>
          <w:lang w:val="en-US"/>
        </w:rPr>
        <w:t xml:space="preserve">In case of quoting Statistics Poland data, please provide information: “Source of data: Statistics </w:t>
      </w:r>
      <w:r w:rsidR="00BB0409">
        <w:rPr>
          <w:bCs/>
          <w:sz w:val="17"/>
          <w:szCs w:val="17"/>
          <w:shd w:val="clear" w:color="auto" w:fill="FFFFFF"/>
          <w:lang w:val="en-US"/>
        </w:rPr>
        <w:br/>
      </w:r>
      <w:r w:rsidRPr="00BB0409">
        <w:rPr>
          <w:bCs/>
          <w:sz w:val="17"/>
          <w:szCs w:val="17"/>
          <w:shd w:val="clear" w:color="auto" w:fill="FFFFFF"/>
          <w:lang w:val="en-US"/>
        </w:rPr>
        <w:t xml:space="preserve">Poland”, and in case of publishing calculations made on data published by Statistics Poland, </w:t>
      </w:r>
      <w:r w:rsidR="00BB0409">
        <w:rPr>
          <w:bCs/>
          <w:sz w:val="17"/>
          <w:szCs w:val="17"/>
          <w:shd w:val="clear" w:color="auto" w:fill="FFFFFF"/>
          <w:lang w:val="en-US"/>
        </w:rPr>
        <w:br/>
      </w:r>
      <w:r w:rsidRPr="00BB0409">
        <w:rPr>
          <w:bCs/>
          <w:sz w:val="17"/>
          <w:szCs w:val="17"/>
          <w:shd w:val="clear" w:color="auto" w:fill="FFFFFF"/>
          <w:lang w:val="en-US"/>
        </w:rPr>
        <w:t>please include the following disclaimer: “Own study based on figures from Statistics Poland”.</w:t>
      </w:r>
    </w:p>
    <w:p w:rsidR="00151753" w:rsidRDefault="00151753" w:rsidP="005D39E6">
      <w:pPr>
        <w:rPr>
          <w:sz w:val="18"/>
          <w:lang w:val="en-GB"/>
        </w:rPr>
      </w:pPr>
    </w:p>
    <w:p w:rsidR="00151753" w:rsidRDefault="00BB0409" w:rsidP="005D39E6">
      <w:pPr>
        <w:rPr>
          <w:sz w:val="18"/>
          <w:lang w:val="en-GB"/>
        </w:rPr>
      </w:pPr>
      <w:r w:rsidRPr="009E1E75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2C5033E1" wp14:editId="1BE2F883">
                <wp:simplePos x="0" y="0"/>
                <wp:positionH relativeFrom="margin">
                  <wp:posOffset>-76015</wp:posOffset>
                </wp:positionH>
                <wp:positionV relativeFrom="paragraph">
                  <wp:posOffset>370195</wp:posOffset>
                </wp:positionV>
                <wp:extent cx="5105400" cy="50292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2F9" w:rsidRPr="00BB0409" w:rsidRDefault="004162F9" w:rsidP="005D39E6">
                            <w:pPr>
                              <w:spacing w:before="80"/>
                              <w:rPr>
                                <w:sz w:val="17"/>
                                <w:szCs w:val="17"/>
                                <w:lang w:val="en-GB"/>
                              </w:rPr>
                            </w:pPr>
                            <w:r w:rsidRPr="00BB0409">
                              <w:rPr>
                                <w:rFonts w:cs="Arial"/>
                                <w:bCs/>
                                <w:sz w:val="17"/>
                                <w:szCs w:val="17"/>
                                <w:lang w:val="en-GB"/>
                              </w:rPr>
                              <w:t xml:space="preserve">This news releases has been prepared on data received on </w:t>
                            </w:r>
                            <w:r w:rsidR="00C762A4">
                              <w:rPr>
                                <w:rFonts w:cs="Arial"/>
                                <w:bCs/>
                                <w:sz w:val="17"/>
                                <w:szCs w:val="17"/>
                                <w:lang w:val="en-GB"/>
                              </w:rPr>
                              <w:t>26</w:t>
                            </w:r>
                            <w:r w:rsidRPr="00BB0409">
                              <w:rPr>
                                <w:rFonts w:cs="Arial"/>
                                <w:bCs/>
                                <w:sz w:val="17"/>
                                <w:szCs w:val="17"/>
                                <w:lang w:val="en-GB"/>
                              </w:rPr>
                              <w:t>/03/2021 from the Polish Financial Supervision Authority.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033E1" id="_x0000_s1032" type="#_x0000_t202" style="position:absolute;margin-left:-6pt;margin-top:29.15pt;width:402pt;height:39.6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" stroked="f">
                <v:textbox>
                  <w:txbxContent>
                    <w:p w:rsidR="004162F9" w:rsidRPr="00BB0409" w:rsidRDefault="004162F9" w:rsidP="005D39E6">
                      <w:pPr>
                        <w:spacing w:before="80"/>
                        <w:rPr>
                          <w:sz w:val="17"/>
                          <w:szCs w:val="17"/>
                          <w:lang w:val="en-GB"/>
                        </w:rPr>
                      </w:pPr>
                      <w:r w:rsidRPr="00BB0409">
                        <w:rPr>
                          <w:rFonts w:cs="Arial"/>
                          <w:bCs/>
                          <w:sz w:val="17"/>
                          <w:szCs w:val="17"/>
                          <w:lang w:val="en-GB"/>
                        </w:rPr>
                        <w:t xml:space="preserve">This news releases has been prepared on data received on </w:t>
                      </w:r>
                      <w:r w:rsidR="00C762A4">
                        <w:rPr>
                          <w:rFonts w:cs="Arial"/>
                          <w:bCs/>
                          <w:sz w:val="17"/>
                          <w:szCs w:val="17"/>
                          <w:lang w:val="en-GB"/>
                        </w:rPr>
                        <w:t>26</w:t>
                      </w:r>
                      <w:r w:rsidRPr="00BB0409">
                        <w:rPr>
                          <w:rFonts w:cs="Arial"/>
                          <w:bCs/>
                          <w:sz w:val="17"/>
                          <w:szCs w:val="17"/>
                          <w:lang w:val="en-GB"/>
                        </w:rPr>
                        <w:t>/03/2021 from the Polish Financial Supervision Authority.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D39E6" w:rsidRPr="00922D0C" w:rsidRDefault="005D39E6" w:rsidP="005D39E6">
      <w:pPr>
        <w:rPr>
          <w:sz w:val="18"/>
          <w:lang w:val="en-GB"/>
        </w:rPr>
      </w:pPr>
    </w:p>
    <w:p w:rsidR="00694AF0" w:rsidRPr="005D39E6" w:rsidRDefault="00694AF0" w:rsidP="00E76D26">
      <w:pPr>
        <w:rPr>
          <w:sz w:val="18"/>
          <w:lang w:val="en-GB"/>
        </w:rPr>
        <w:sectPr w:rsidR="00694AF0" w:rsidRPr="005D39E6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5D39E6" w:rsidRDefault="000470AA" w:rsidP="000470AA">
      <w:pPr>
        <w:rPr>
          <w:sz w:val="18"/>
          <w:lang w:val="en-GB"/>
        </w:rPr>
      </w:pPr>
    </w:p>
    <w:tbl>
      <w:tblPr>
        <w:tblpPr w:leftFromText="141" w:rightFromText="141" w:bottomFromText="160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5D39E6" w:rsidTr="00F940D7">
        <w:trPr>
          <w:trHeight w:val="1506"/>
        </w:trPr>
        <w:tc>
          <w:tcPr>
            <w:tcW w:w="4165" w:type="dxa"/>
            <w:hideMark/>
          </w:tcPr>
          <w:p w:rsidR="005D39E6" w:rsidRDefault="005D39E6" w:rsidP="005D39E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:rsidR="005D39E6" w:rsidRDefault="005D39E6" w:rsidP="005D39E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Macroeconomics Studies</w:t>
            </w:r>
          </w:p>
          <w:p w:rsidR="005D39E6" w:rsidRDefault="005D39E6" w:rsidP="005D39E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and Finance Department</w:t>
            </w:r>
          </w:p>
          <w:p w:rsidR="005D39E6" w:rsidRPr="00922D0C" w:rsidRDefault="005D39E6" w:rsidP="005D39E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922D0C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 xml:space="preserve">Director </w:t>
            </w:r>
            <w:proofErr w:type="spellStart"/>
            <w:r w:rsidRPr="00922D0C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Miroslaw</w:t>
            </w:r>
            <w:proofErr w:type="spellEnd"/>
            <w:r w:rsidRPr="00922D0C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 xml:space="preserve"> </w:t>
            </w:r>
            <w:proofErr w:type="spellStart"/>
            <w:r w:rsidRPr="00922D0C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Blazej</w:t>
            </w:r>
            <w:proofErr w:type="spellEnd"/>
          </w:p>
          <w:p w:rsidR="005D39E6" w:rsidRDefault="005D39E6" w:rsidP="005D39E6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Office: tel. (+48 22)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608 37 73</w:t>
            </w:r>
          </w:p>
        </w:tc>
        <w:tc>
          <w:tcPr>
            <w:tcW w:w="3728" w:type="dxa"/>
            <w:hideMark/>
          </w:tcPr>
          <w:p w:rsidR="005D39E6" w:rsidRDefault="005D39E6" w:rsidP="005D39E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The Spoke</w:t>
            </w:r>
            <w:r w:rsidR="00FD0428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person for the President </w:t>
            </w:r>
          </w:p>
          <w:p w:rsidR="005D39E6" w:rsidRDefault="005D39E6" w:rsidP="005D39E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of Statistic Poland</w:t>
            </w:r>
          </w:p>
          <w:p w:rsidR="005D39E6" w:rsidRDefault="005D39E6" w:rsidP="005D39E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 Banaszek</w:t>
            </w:r>
          </w:p>
          <w:p w:rsidR="005D39E6" w:rsidRDefault="005D39E6" w:rsidP="005D39E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</w:tc>
      </w:tr>
    </w:tbl>
    <w:p w:rsidR="005D39E6" w:rsidRDefault="005D39E6" w:rsidP="005D39E6">
      <w:pPr>
        <w:rPr>
          <w:sz w:val="20"/>
          <w:lang w:val="en-US"/>
        </w:rPr>
      </w:pPr>
    </w:p>
    <w:p w:rsidR="005D39E6" w:rsidRDefault="005D39E6" w:rsidP="005D39E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5D39E6" w:rsidRPr="00BC7454" w:rsidTr="00F940D7">
        <w:trPr>
          <w:trHeight w:val="610"/>
        </w:trPr>
        <w:tc>
          <w:tcPr>
            <w:tcW w:w="2721" w:type="pct"/>
            <w:vMerge w:val="restart"/>
            <w:vAlign w:val="center"/>
            <w:hideMark/>
          </w:tcPr>
          <w:p w:rsidR="005D39E6" w:rsidRDefault="005D39E6" w:rsidP="005D39E6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Press Office</w:t>
            </w:r>
          </w:p>
          <w:p w:rsidR="005D39E6" w:rsidRDefault="005D39E6" w:rsidP="005D39E6">
            <w:pPr>
              <w:rPr>
                <w:sz w:val="20"/>
                <w:lang w:val="en-US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922D0C">
              <w:rPr>
                <w:sz w:val="20"/>
                <w:lang w:val="en-GB"/>
              </w:rPr>
              <w:t>608 34 91, 608 38 04</w:t>
            </w:r>
          </w:p>
          <w:p w:rsidR="005D39E6" w:rsidRDefault="005D39E6" w:rsidP="005D39E6">
            <w:pPr>
              <w:rPr>
                <w:sz w:val="18"/>
                <w:lang w:val="en-US"/>
              </w:rPr>
            </w:pPr>
            <w:r>
              <w:rPr>
                <w:b/>
                <w:sz w:val="20"/>
                <w:lang w:val="en-GB"/>
              </w:rPr>
              <w:t>e-mail:</w:t>
            </w:r>
            <w:bookmarkStart w:id="0" w:name="_GoBack"/>
            <w:r w:rsidRPr="002737CA">
              <w:rPr>
                <w:sz w:val="20"/>
                <w:lang w:val="en-GB"/>
              </w:rPr>
              <w:t xml:space="preserve"> </w:t>
            </w:r>
            <w:hyperlink r:id="rId18" w:history="1">
              <w:r w:rsidRPr="002737CA">
                <w:rPr>
                  <w:rStyle w:val="Hipercze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  <w:bookmarkEnd w:id="0"/>
          </w:p>
        </w:tc>
        <w:tc>
          <w:tcPr>
            <w:tcW w:w="369" w:type="pct"/>
            <w:vAlign w:val="center"/>
            <w:hideMark/>
          </w:tcPr>
          <w:p w:rsidR="005D39E6" w:rsidRDefault="005D39E6" w:rsidP="005D39E6">
            <w:pPr>
              <w:rPr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48352" behindDoc="0" locked="0" layoutInCell="1" allowOverlap="1" wp14:anchorId="73E3EC7B" wp14:editId="09F41BC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  <w:hideMark/>
          </w:tcPr>
          <w:p w:rsidR="005D39E6" w:rsidRDefault="005D39E6" w:rsidP="005D39E6">
            <w:pPr>
              <w:rPr>
                <w:sz w:val="18"/>
                <w:lang w:val="en-US"/>
              </w:rPr>
            </w:pPr>
            <w:r>
              <w:rPr>
                <w:sz w:val="20"/>
                <w:lang w:val="en-US"/>
              </w:rPr>
              <w:t>www.stat.gov.pl/en/</w:t>
            </w:r>
          </w:p>
        </w:tc>
      </w:tr>
      <w:tr w:rsidR="005D39E6" w:rsidTr="00F940D7">
        <w:trPr>
          <w:trHeight w:val="436"/>
        </w:trPr>
        <w:tc>
          <w:tcPr>
            <w:tcW w:w="0" w:type="auto"/>
            <w:vMerge/>
            <w:vAlign w:val="center"/>
            <w:hideMark/>
          </w:tcPr>
          <w:p w:rsidR="005D39E6" w:rsidRDefault="005D39E6" w:rsidP="005D39E6">
            <w:pPr>
              <w:spacing w:before="0" w:after="0" w:line="240" w:lineRule="auto"/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  <w:hideMark/>
          </w:tcPr>
          <w:p w:rsidR="005D39E6" w:rsidRDefault="005D39E6" w:rsidP="005D39E6">
            <w:pPr>
              <w:rPr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50400" behindDoc="0" locked="0" layoutInCell="1" allowOverlap="1" wp14:anchorId="74D97255" wp14:editId="5504220F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hideMark/>
          </w:tcPr>
          <w:p w:rsidR="005D39E6" w:rsidRDefault="005D39E6" w:rsidP="005D39E6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5D39E6" w:rsidTr="00F940D7">
        <w:trPr>
          <w:trHeight w:val="436"/>
        </w:trPr>
        <w:tc>
          <w:tcPr>
            <w:tcW w:w="0" w:type="auto"/>
            <w:vMerge/>
            <w:vAlign w:val="center"/>
            <w:hideMark/>
          </w:tcPr>
          <w:p w:rsidR="005D39E6" w:rsidRDefault="005D39E6" w:rsidP="005D39E6">
            <w:pPr>
              <w:spacing w:before="0" w:after="0" w:line="240" w:lineRule="auto"/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  <w:hideMark/>
          </w:tcPr>
          <w:p w:rsidR="005D39E6" w:rsidRDefault="005D39E6" w:rsidP="005D39E6">
            <w:pPr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49376" behindDoc="0" locked="0" layoutInCell="1" allowOverlap="1" wp14:anchorId="1A9B8AF8" wp14:editId="5C2F06B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hideMark/>
          </w:tcPr>
          <w:p w:rsidR="005D39E6" w:rsidRDefault="005D39E6" w:rsidP="005D39E6">
            <w:pPr>
              <w:rPr>
                <w:sz w:val="20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GlownyUrzadStatystyczny</w:t>
            </w:r>
            <w:proofErr w:type="spellEnd"/>
          </w:p>
        </w:tc>
      </w:tr>
    </w:tbl>
    <w:p w:rsidR="005D39E6" w:rsidRDefault="005D39E6" w:rsidP="005D39E6">
      <w:pPr>
        <w:rPr>
          <w:sz w:val="20"/>
        </w:rPr>
      </w:pPr>
    </w:p>
    <w:p w:rsidR="005D39E6" w:rsidRPr="00001C5B" w:rsidRDefault="005D39E6" w:rsidP="005D39E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1320696E" wp14:editId="5D794C1E">
                <wp:simplePos x="0" y="0"/>
                <wp:positionH relativeFrom="margin">
                  <wp:posOffset>19050</wp:posOffset>
                </wp:positionH>
                <wp:positionV relativeFrom="paragraph">
                  <wp:posOffset>422910</wp:posOffset>
                </wp:positionV>
                <wp:extent cx="6559550" cy="2930525"/>
                <wp:effectExtent l="0" t="0" r="12700" b="2222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293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2F9" w:rsidRDefault="004162F9" w:rsidP="005D39E6">
                            <w:pPr>
                              <w:rPr>
                                <w:b/>
                              </w:rPr>
                            </w:pPr>
                          </w:p>
                          <w:p w:rsidR="004162F9" w:rsidRPr="00922D0C" w:rsidRDefault="004162F9" w:rsidP="005D39E6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22D0C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4162F9" w:rsidRPr="00922D0C" w:rsidRDefault="007D0B40" w:rsidP="005D39E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2" w:history="1">
                              <w:r w:rsidR="004162F9" w:rsidRPr="00922D0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Polish insurance market 2018</w:t>
                              </w:r>
                            </w:hyperlink>
                          </w:p>
                          <w:p w:rsidR="004162F9" w:rsidRPr="00922D0C" w:rsidRDefault="004162F9" w:rsidP="005D39E6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4162F9" w:rsidRPr="00922D0C" w:rsidRDefault="004162F9" w:rsidP="005D39E6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22D0C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4162F9" w:rsidRPr="00922D0C" w:rsidRDefault="007D0B40" w:rsidP="005D39E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3" w:history="1">
                              <w:r w:rsidR="004162F9" w:rsidRPr="00922D0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Financial Results of Insurance Companies</w:t>
                              </w:r>
                            </w:hyperlink>
                          </w:p>
                          <w:p w:rsidR="004162F9" w:rsidRPr="00922D0C" w:rsidRDefault="004162F9" w:rsidP="005D39E6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4162F9" w:rsidRPr="00922D0C" w:rsidRDefault="004162F9" w:rsidP="005D39E6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22D0C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4162F9" w:rsidRPr="00922D0C" w:rsidRDefault="007D0B40" w:rsidP="005D39E6">
                            <w:pPr>
                              <w:rPr>
                                <w:color w:val="001D77"/>
                                <w:lang w:val="en-GB"/>
                              </w:rPr>
                            </w:pPr>
                            <w:hyperlink r:id="rId24" w:history="1">
                              <w:r w:rsidR="004162F9" w:rsidRPr="00922D0C">
                                <w:rPr>
                                  <w:rStyle w:val="Hipercze"/>
                                  <w:rFonts w:cstheme="minorBidi"/>
                                  <w:color w:val="001D77"/>
                                  <w:lang w:val="en-GB"/>
                                </w:rPr>
                                <w:t>Insurance undertaking</w:t>
                              </w:r>
                            </w:hyperlink>
                          </w:p>
                          <w:p w:rsidR="004162F9" w:rsidRPr="005960DB" w:rsidRDefault="007D0B40" w:rsidP="005D39E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4162F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Gross </w:t>
                              </w:r>
                              <w:proofErr w:type="spellStart"/>
                              <w:r w:rsidR="004162F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written</w:t>
                              </w:r>
                              <w:proofErr w:type="spellEnd"/>
                              <w:r w:rsidR="004162F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</w:t>
                              </w:r>
                              <w:proofErr w:type="spellStart"/>
                              <w:r w:rsidR="004162F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premium</w:t>
                              </w:r>
                              <w:proofErr w:type="spellEnd"/>
                            </w:hyperlink>
                          </w:p>
                          <w:p w:rsidR="004162F9" w:rsidRPr="008B7EFE" w:rsidRDefault="004162F9" w:rsidP="005D39E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0696E" id="_x0000_s1033" type="#_x0000_t202" style="position:absolute;margin-left:1.5pt;margin-top:33.3pt;width:516.5pt;height:230.7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" fillcolor="#f2f2f2 [3052]" strokecolor="white [3212]">
                <v:textbox>
                  <w:txbxContent>
                    <w:p w:rsidR="004162F9" w:rsidRDefault="004162F9" w:rsidP="005D39E6">
                      <w:pPr>
                        <w:rPr>
                          <w:b/>
                        </w:rPr>
                      </w:pPr>
                    </w:p>
                    <w:p w:rsidR="004162F9" w:rsidRPr="00922D0C" w:rsidRDefault="004162F9" w:rsidP="005D39E6">
                      <w:pPr>
                        <w:rPr>
                          <w:b/>
                          <w:lang w:val="en-GB"/>
                        </w:rPr>
                      </w:pPr>
                      <w:r w:rsidRPr="00922D0C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4162F9" w:rsidRPr="00922D0C" w:rsidRDefault="004162F9" w:rsidP="005D39E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26" w:history="1">
                        <w:r w:rsidRPr="00922D0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Polish insurance market 2018</w:t>
                        </w:r>
                      </w:hyperlink>
                    </w:p>
                    <w:p w:rsidR="004162F9" w:rsidRPr="00922D0C" w:rsidRDefault="004162F9" w:rsidP="005D39E6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4162F9" w:rsidRPr="00922D0C" w:rsidRDefault="004162F9" w:rsidP="005D39E6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22D0C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4162F9" w:rsidRPr="00922D0C" w:rsidRDefault="004162F9" w:rsidP="005D39E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27" w:history="1">
                        <w:r w:rsidRPr="00922D0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Financial Results of Insurance Companies</w:t>
                        </w:r>
                      </w:hyperlink>
                    </w:p>
                    <w:p w:rsidR="004162F9" w:rsidRPr="00922D0C" w:rsidRDefault="004162F9" w:rsidP="005D39E6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4162F9" w:rsidRPr="00922D0C" w:rsidRDefault="004162F9" w:rsidP="005D39E6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22D0C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4162F9" w:rsidRPr="00922D0C" w:rsidRDefault="004162F9" w:rsidP="005D39E6">
                      <w:pPr>
                        <w:rPr>
                          <w:color w:val="001D77"/>
                          <w:lang w:val="en-GB"/>
                        </w:rPr>
                      </w:pPr>
                      <w:hyperlink r:id="rId28" w:history="1">
                        <w:r w:rsidRPr="00922D0C">
                          <w:rPr>
                            <w:rStyle w:val="Hipercze"/>
                            <w:rFonts w:cstheme="minorBidi"/>
                            <w:color w:val="001D77"/>
                            <w:lang w:val="en-GB"/>
                          </w:rPr>
                          <w:t>Insurance undertaking</w:t>
                        </w:r>
                      </w:hyperlink>
                    </w:p>
                    <w:p w:rsidR="004162F9" w:rsidRPr="005960DB" w:rsidRDefault="004162F9" w:rsidP="005D39E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9" w:history="1"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Gross </w:t>
                        </w:r>
                        <w:proofErr w:type="spellStart"/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written</w:t>
                        </w:r>
                        <w:proofErr w:type="spellEnd"/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premium</w:t>
                        </w:r>
                        <w:proofErr w:type="spellEnd"/>
                      </w:hyperlink>
                    </w:p>
                    <w:p w:rsidR="004162F9" w:rsidRPr="008B7EFE" w:rsidRDefault="004162F9" w:rsidP="005D39E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D39E6" w:rsidRPr="00001C5B" w:rsidSect="003B18B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B40" w:rsidRDefault="007D0B40" w:rsidP="000662E2">
      <w:pPr>
        <w:spacing w:after="0" w:line="240" w:lineRule="auto"/>
      </w:pPr>
      <w:r>
        <w:separator/>
      </w:r>
    </w:p>
  </w:endnote>
  <w:endnote w:type="continuationSeparator" w:id="0">
    <w:p w:rsidR="007D0B40" w:rsidRDefault="007D0B4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4162F9" w:rsidRDefault="004162F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7CA">
          <w:rPr>
            <w:noProof/>
          </w:rPr>
          <w:t>4</w:t>
        </w:r>
        <w:r>
          <w:fldChar w:fldCharType="end"/>
        </w:r>
      </w:p>
    </w:sdtContent>
  </w:sdt>
  <w:p w:rsidR="004162F9" w:rsidRDefault="004162F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4162F9" w:rsidRDefault="004162F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7CA">
          <w:rPr>
            <w:noProof/>
          </w:rPr>
          <w:t>1</w:t>
        </w:r>
        <w:r>
          <w:fldChar w:fldCharType="end"/>
        </w:r>
      </w:p>
    </w:sdtContent>
  </w:sdt>
  <w:p w:rsidR="004162F9" w:rsidRDefault="004162F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4162F9" w:rsidRDefault="004162F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7CA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B40" w:rsidRDefault="007D0B40" w:rsidP="000662E2">
      <w:pPr>
        <w:spacing w:after="0" w:line="240" w:lineRule="auto"/>
      </w:pPr>
      <w:r>
        <w:separator/>
      </w:r>
    </w:p>
  </w:footnote>
  <w:footnote w:type="continuationSeparator" w:id="0">
    <w:p w:rsidR="007D0B40" w:rsidRDefault="007D0B4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2F9" w:rsidRDefault="004162F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D10F4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4162F9" w:rsidRDefault="004162F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2F9" w:rsidRDefault="004162F9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39BE28B5" wp14:editId="4F2C7FF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55800" cy="744855"/>
          <wp:effectExtent l="0" t="0" r="0" b="0"/>
          <wp:wrapSquare wrapText="bothSides"/>
          <wp:docPr id="15" name="Obraz 15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162F9" w:rsidRPr="003C6C8D" w:rsidRDefault="004162F9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F80E9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162F9" w:rsidRPr="003C6C8D" w:rsidRDefault="004162F9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4162F9" w:rsidRDefault="004162F9">
    <w:pPr>
      <w:pStyle w:val="Nagwek"/>
      <w:rPr>
        <w:noProof/>
        <w:lang w:eastAsia="pl-PL"/>
      </w:rPr>
    </w:pPr>
  </w:p>
  <w:p w:rsidR="004162F9" w:rsidRDefault="004162F9">
    <w:pPr>
      <w:pStyle w:val="Nagwek"/>
      <w:rPr>
        <w:noProof/>
        <w:lang w:eastAsia="pl-PL"/>
      </w:rPr>
    </w:pPr>
  </w:p>
  <w:p w:rsidR="004162F9" w:rsidRDefault="004162F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62F9" w:rsidRPr="00C97596" w:rsidRDefault="004162F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01.04.2021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162F9" w:rsidRPr="00C97596" w:rsidRDefault="004162F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01.04.2021</w:t>
                    </w:r>
                  </w:p>
                </w:txbxContent>
              </v:textbox>
            </v:shape>
          </w:pict>
        </mc:Fallback>
      </mc:AlternateContent>
    </w:r>
  </w:p>
  <w:p w:rsidR="004162F9" w:rsidRDefault="004162F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2F9" w:rsidRDefault="004162F9"/>
  <w:p w:rsidR="004162F9" w:rsidRDefault="004162F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6pt;height:125pt;visibility:visible;mso-wrap-style:square" o:bullet="t">
        <v:imagedata r:id="rId1" o:title=""/>
      </v:shape>
    </w:pict>
  </w:numPicBullet>
  <w:numPicBullet w:numPicBulletId="1">
    <w:pict>
      <v:shape id="_x0000_i1031" type="#_x0000_t75" style="width:123.6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4582E"/>
    <w:rsid w:val="000470AA"/>
    <w:rsid w:val="00057CA1"/>
    <w:rsid w:val="000662E2"/>
    <w:rsid w:val="00066883"/>
    <w:rsid w:val="000670DE"/>
    <w:rsid w:val="00074DD8"/>
    <w:rsid w:val="000806F7"/>
    <w:rsid w:val="00093C74"/>
    <w:rsid w:val="000B0727"/>
    <w:rsid w:val="000C0DD6"/>
    <w:rsid w:val="000C135D"/>
    <w:rsid w:val="000D1D43"/>
    <w:rsid w:val="000D1EAB"/>
    <w:rsid w:val="000D225C"/>
    <w:rsid w:val="000D2A5C"/>
    <w:rsid w:val="000E0918"/>
    <w:rsid w:val="000F60A0"/>
    <w:rsid w:val="001011C3"/>
    <w:rsid w:val="00110D87"/>
    <w:rsid w:val="00114DB9"/>
    <w:rsid w:val="00116087"/>
    <w:rsid w:val="0012268C"/>
    <w:rsid w:val="00130296"/>
    <w:rsid w:val="001358FC"/>
    <w:rsid w:val="001423B6"/>
    <w:rsid w:val="001448A7"/>
    <w:rsid w:val="00146621"/>
    <w:rsid w:val="00151753"/>
    <w:rsid w:val="00162325"/>
    <w:rsid w:val="00164991"/>
    <w:rsid w:val="00177791"/>
    <w:rsid w:val="001951DA"/>
    <w:rsid w:val="001A174F"/>
    <w:rsid w:val="001C3269"/>
    <w:rsid w:val="001C7430"/>
    <w:rsid w:val="001D1DB4"/>
    <w:rsid w:val="001D2736"/>
    <w:rsid w:val="001E12BD"/>
    <w:rsid w:val="001E5A26"/>
    <w:rsid w:val="00223CE0"/>
    <w:rsid w:val="0024161F"/>
    <w:rsid w:val="0024457F"/>
    <w:rsid w:val="0025563A"/>
    <w:rsid w:val="0025668C"/>
    <w:rsid w:val="002574F9"/>
    <w:rsid w:val="00262B61"/>
    <w:rsid w:val="002737CA"/>
    <w:rsid w:val="00276811"/>
    <w:rsid w:val="00282699"/>
    <w:rsid w:val="002921B7"/>
    <w:rsid w:val="002926DF"/>
    <w:rsid w:val="00296697"/>
    <w:rsid w:val="002A6113"/>
    <w:rsid w:val="002B0472"/>
    <w:rsid w:val="002B6B12"/>
    <w:rsid w:val="002D5D08"/>
    <w:rsid w:val="002E6140"/>
    <w:rsid w:val="002E6985"/>
    <w:rsid w:val="002E71B6"/>
    <w:rsid w:val="002F77C8"/>
    <w:rsid w:val="00304F22"/>
    <w:rsid w:val="00306C7C"/>
    <w:rsid w:val="00322EDD"/>
    <w:rsid w:val="00331527"/>
    <w:rsid w:val="00332320"/>
    <w:rsid w:val="00347D72"/>
    <w:rsid w:val="00357611"/>
    <w:rsid w:val="00367237"/>
    <w:rsid w:val="0037077F"/>
    <w:rsid w:val="00372411"/>
    <w:rsid w:val="00373882"/>
    <w:rsid w:val="00377569"/>
    <w:rsid w:val="003843DB"/>
    <w:rsid w:val="00391300"/>
    <w:rsid w:val="00393761"/>
    <w:rsid w:val="00397D18"/>
    <w:rsid w:val="003A1B36"/>
    <w:rsid w:val="003A2056"/>
    <w:rsid w:val="003B1454"/>
    <w:rsid w:val="003B18B6"/>
    <w:rsid w:val="003C59E0"/>
    <w:rsid w:val="003C6C8D"/>
    <w:rsid w:val="003D4F95"/>
    <w:rsid w:val="003D5F42"/>
    <w:rsid w:val="003D60A9"/>
    <w:rsid w:val="003D75E8"/>
    <w:rsid w:val="003F4C97"/>
    <w:rsid w:val="003F7A34"/>
    <w:rsid w:val="003F7FE6"/>
    <w:rsid w:val="00400193"/>
    <w:rsid w:val="00406905"/>
    <w:rsid w:val="004162F9"/>
    <w:rsid w:val="004175DF"/>
    <w:rsid w:val="004212E7"/>
    <w:rsid w:val="0042446D"/>
    <w:rsid w:val="00427BF8"/>
    <w:rsid w:val="00431C02"/>
    <w:rsid w:val="00437395"/>
    <w:rsid w:val="00445047"/>
    <w:rsid w:val="00463E39"/>
    <w:rsid w:val="004657FC"/>
    <w:rsid w:val="004733F6"/>
    <w:rsid w:val="00474E69"/>
    <w:rsid w:val="00475BA0"/>
    <w:rsid w:val="0049621B"/>
    <w:rsid w:val="004A0E25"/>
    <w:rsid w:val="004A5DC7"/>
    <w:rsid w:val="004B0A1D"/>
    <w:rsid w:val="004C1895"/>
    <w:rsid w:val="004C6D40"/>
    <w:rsid w:val="004E114C"/>
    <w:rsid w:val="004F0C3C"/>
    <w:rsid w:val="004F63FC"/>
    <w:rsid w:val="00505A92"/>
    <w:rsid w:val="005203F1"/>
    <w:rsid w:val="00521BC3"/>
    <w:rsid w:val="00526B07"/>
    <w:rsid w:val="00533632"/>
    <w:rsid w:val="00541E6E"/>
    <w:rsid w:val="0054251F"/>
    <w:rsid w:val="005520D8"/>
    <w:rsid w:val="00556CF1"/>
    <w:rsid w:val="005762A7"/>
    <w:rsid w:val="005916D7"/>
    <w:rsid w:val="005A698C"/>
    <w:rsid w:val="005D39E6"/>
    <w:rsid w:val="005E0799"/>
    <w:rsid w:val="005F5A80"/>
    <w:rsid w:val="006044FF"/>
    <w:rsid w:val="006045BC"/>
    <w:rsid w:val="00607CC5"/>
    <w:rsid w:val="006128DF"/>
    <w:rsid w:val="00614035"/>
    <w:rsid w:val="00620C66"/>
    <w:rsid w:val="00620D13"/>
    <w:rsid w:val="00633014"/>
    <w:rsid w:val="0063437B"/>
    <w:rsid w:val="00663999"/>
    <w:rsid w:val="006673CA"/>
    <w:rsid w:val="00673C26"/>
    <w:rsid w:val="00674057"/>
    <w:rsid w:val="006812AF"/>
    <w:rsid w:val="0068327D"/>
    <w:rsid w:val="00693F11"/>
    <w:rsid w:val="00694AF0"/>
    <w:rsid w:val="006A4686"/>
    <w:rsid w:val="006B0E9E"/>
    <w:rsid w:val="006B5AE4"/>
    <w:rsid w:val="006D1507"/>
    <w:rsid w:val="006D4054"/>
    <w:rsid w:val="006E02EC"/>
    <w:rsid w:val="007211B1"/>
    <w:rsid w:val="0073223E"/>
    <w:rsid w:val="00746187"/>
    <w:rsid w:val="00752D16"/>
    <w:rsid w:val="0076254F"/>
    <w:rsid w:val="00770EF8"/>
    <w:rsid w:val="007801F5"/>
    <w:rsid w:val="00783CA4"/>
    <w:rsid w:val="007842FB"/>
    <w:rsid w:val="00786124"/>
    <w:rsid w:val="0079514B"/>
    <w:rsid w:val="007A2DC1"/>
    <w:rsid w:val="007D0B40"/>
    <w:rsid w:val="007D3319"/>
    <w:rsid w:val="007D335D"/>
    <w:rsid w:val="007D79BC"/>
    <w:rsid w:val="007E3314"/>
    <w:rsid w:val="007E4B03"/>
    <w:rsid w:val="007F24CD"/>
    <w:rsid w:val="007F324B"/>
    <w:rsid w:val="0080553C"/>
    <w:rsid w:val="00805B46"/>
    <w:rsid w:val="00825DC2"/>
    <w:rsid w:val="00834AD3"/>
    <w:rsid w:val="00843795"/>
    <w:rsid w:val="00847F0F"/>
    <w:rsid w:val="00852448"/>
    <w:rsid w:val="0088258A"/>
    <w:rsid w:val="00883EDC"/>
    <w:rsid w:val="00886332"/>
    <w:rsid w:val="008A26D9"/>
    <w:rsid w:val="008B001E"/>
    <w:rsid w:val="008B7DAA"/>
    <w:rsid w:val="008C0C29"/>
    <w:rsid w:val="008F175D"/>
    <w:rsid w:val="008F3638"/>
    <w:rsid w:val="008F4441"/>
    <w:rsid w:val="008F6F31"/>
    <w:rsid w:val="008F74DF"/>
    <w:rsid w:val="009127BA"/>
    <w:rsid w:val="00915AA6"/>
    <w:rsid w:val="009227A6"/>
    <w:rsid w:val="00933EC1"/>
    <w:rsid w:val="0094540F"/>
    <w:rsid w:val="009530DB"/>
    <w:rsid w:val="00953676"/>
    <w:rsid w:val="0095512A"/>
    <w:rsid w:val="009705EE"/>
    <w:rsid w:val="00977927"/>
    <w:rsid w:val="0098135C"/>
    <w:rsid w:val="0098156A"/>
    <w:rsid w:val="00985CF5"/>
    <w:rsid w:val="009908E1"/>
    <w:rsid w:val="00991BAC"/>
    <w:rsid w:val="009A5961"/>
    <w:rsid w:val="009A6EA0"/>
    <w:rsid w:val="009C1335"/>
    <w:rsid w:val="009C1AB2"/>
    <w:rsid w:val="009C7251"/>
    <w:rsid w:val="009E2E91"/>
    <w:rsid w:val="00A139F5"/>
    <w:rsid w:val="00A24587"/>
    <w:rsid w:val="00A365F4"/>
    <w:rsid w:val="00A41F83"/>
    <w:rsid w:val="00A47D80"/>
    <w:rsid w:val="00A53132"/>
    <w:rsid w:val="00A563F2"/>
    <w:rsid w:val="00A566E8"/>
    <w:rsid w:val="00A576FD"/>
    <w:rsid w:val="00A810F9"/>
    <w:rsid w:val="00A86ECC"/>
    <w:rsid w:val="00A86FCC"/>
    <w:rsid w:val="00AA710D"/>
    <w:rsid w:val="00AB3A81"/>
    <w:rsid w:val="00AB4EAF"/>
    <w:rsid w:val="00AB5DFF"/>
    <w:rsid w:val="00AB6D25"/>
    <w:rsid w:val="00AB70F5"/>
    <w:rsid w:val="00AC3FCE"/>
    <w:rsid w:val="00AE2D4B"/>
    <w:rsid w:val="00AE4F99"/>
    <w:rsid w:val="00AF2F10"/>
    <w:rsid w:val="00B12859"/>
    <w:rsid w:val="00B130BA"/>
    <w:rsid w:val="00B1321E"/>
    <w:rsid w:val="00B14952"/>
    <w:rsid w:val="00B31E5A"/>
    <w:rsid w:val="00B46AFA"/>
    <w:rsid w:val="00B653AB"/>
    <w:rsid w:val="00B65F9E"/>
    <w:rsid w:val="00B66B19"/>
    <w:rsid w:val="00B7230F"/>
    <w:rsid w:val="00B914E9"/>
    <w:rsid w:val="00B956EE"/>
    <w:rsid w:val="00BA2BA1"/>
    <w:rsid w:val="00BB0409"/>
    <w:rsid w:val="00BB4F09"/>
    <w:rsid w:val="00BC0ABD"/>
    <w:rsid w:val="00BC39B4"/>
    <w:rsid w:val="00BC7454"/>
    <w:rsid w:val="00BD4E33"/>
    <w:rsid w:val="00BE13B8"/>
    <w:rsid w:val="00C030DE"/>
    <w:rsid w:val="00C22105"/>
    <w:rsid w:val="00C244B6"/>
    <w:rsid w:val="00C32CD5"/>
    <w:rsid w:val="00C3702F"/>
    <w:rsid w:val="00C64A37"/>
    <w:rsid w:val="00C7158E"/>
    <w:rsid w:val="00C7250B"/>
    <w:rsid w:val="00C7346B"/>
    <w:rsid w:val="00C762A4"/>
    <w:rsid w:val="00C77C0E"/>
    <w:rsid w:val="00C813A7"/>
    <w:rsid w:val="00C91687"/>
    <w:rsid w:val="00C9209D"/>
    <w:rsid w:val="00C924A8"/>
    <w:rsid w:val="00C945FE"/>
    <w:rsid w:val="00C96FAA"/>
    <w:rsid w:val="00C97A04"/>
    <w:rsid w:val="00CA107B"/>
    <w:rsid w:val="00CA484D"/>
    <w:rsid w:val="00CA4FB6"/>
    <w:rsid w:val="00CA67C4"/>
    <w:rsid w:val="00CB1920"/>
    <w:rsid w:val="00CB41A7"/>
    <w:rsid w:val="00CC739E"/>
    <w:rsid w:val="00CD58B7"/>
    <w:rsid w:val="00CF4099"/>
    <w:rsid w:val="00D00796"/>
    <w:rsid w:val="00D261A2"/>
    <w:rsid w:val="00D30555"/>
    <w:rsid w:val="00D30C3F"/>
    <w:rsid w:val="00D56728"/>
    <w:rsid w:val="00D616D2"/>
    <w:rsid w:val="00D63899"/>
    <w:rsid w:val="00D63B5F"/>
    <w:rsid w:val="00D64203"/>
    <w:rsid w:val="00D70EF7"/>
    <w:rsid w:val="00D8397C"/>
    <w:rsid w:val="00D94EED"/>
    <w:rsid w:val="00D96026"/>
    <w:rsid w:val="00DA7C1C"/>
    <w:rsid w:val="00DB147A"/>
    <w:rsid w:val="00DB1B7A"/>
    <w:rsid w:val="00DC6708"/>
    <w:rsid w:val="00DE07A4"/>
    <w:rsid w:val="00E01436"/>
    <w:rsid w:val="00E045BD"/>
    <w:rsid w:val="00E12222"/>
    <w:rsid w:val="00E17B77"/>
    <w:rsid w:val="00E23337"/>
    <w:rsid w:val="00E259EA"/>
    <w:rsid w:val="00E31ACC"/>
    <w:rsid w:val="00E32061"/>
    <w:rsid w:val="00E42FF9"/>
    <w:rsid w:val="00E43BB3"/>
    <w:rsid w:val="00E4714C"/>
    <w:rsid w:val="00E51AEB"/>
    <w:rsid w:val="00E522A7"/>
    <w:rsid w:val="00E54452"/>
    <w:rsid w:val="00E664C5"/>
    <w:rsid w:val="00E671A2"/>
    <w:rsid w:val="00E76D26"/>
    <w:rsid w:val="00E84408"/>
    <w:rsid w:val="00EA2F2A"/>
    <w:rsid w:val="00EA3E2C"/>
    <w:rsid w:val="00EB1390"/>
    <w:rsid w:val="00EB2C71"/>
    <w:rsid w:val="00EB4340"/>
    <w:rsid w:val="00EB556D"/>
    <w:rsid w:val="00EB5A7D"/>
    <w:rsid w:val="00EC77C6"/>
    <w:rsid w:val="00ED55C0"/>
    <w:rsid w:val="00ED682B"/>
    <w:rsid w:val="00EE1252"/>
    <w:rsid w:val="00EE41D5"/>
    <w:rsid w:val="00F00931"/>
    <w:rsid w:val="00F037A4"/>
    <w:rsid w:val="00F06B26"/>
    <w:rsid w:val="00F27C8F"/>
    <w:rsid w:val="00F32749"/>
    <w:rsid w:val="00F37172"/>
    <w:rsid w:val="00F418D1"/>
    <w:rsid w:val="00F4477E"/>
    <w:rsid w:val="00F670E8"/>
    <w:rsid w:val="00F67D8F"/>
    <w:rsid w:val="00F802BE"/>
    <w:rsid w:val="00F86024"/>
    <w:rsid w:val="00F8611A"/>
    <w:rsid w:val="00F940D7"/>
    <w:rsid w:val="00FA24EF"/>
    <w:rsid w:val="00FA4729"/>
    <w:rsid w:val="00FA5128"/>
    <w:rsid w:val="00FB42D4"/>
    <w:rsid w:val="00FB5906"/>
    <w:rsid w:val="00FB762F"/>
    <w:rsid w:val="00FC2AED"/>
    <w:rsid w:val="00FC3748"/>
    <w:rsid w:val="00FC3926"/>
    <w:rsid w:val="00FD0428"/>
    <w:rsid w:val="00FD5EA7"/>
    <w:rsid w:val="00FD670D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">
    <w:name w:val="Siatka tabeli — jasna1"/>
    <w:basedOn w:val="Standardowy"/>
    <w:uiPriority w:val="40"/>
    <w:rsid w:val="005D39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20C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topics/economic-activities-finances/financial-results/polish-insurance-market-in-2018,2,8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stat.gov.pl/en/metainformations/glossary/terms-used-in-official-statistics/1562,term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s://stat.gov.pl/en/metainformations/glossary/terms-used-in-official-statistics/1562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s://stat.gov.pl/en/metainformations/glossary/terms-used-in-official-statistics/1568,term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s://stat.gov.pl/en/metainformations/glossary/terms-used-in-official-statistics/1568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s://stat.gov.pl/en/topics/economic-activities-finances/financial-results/polish-insurance-market-in-2018,2,8.html" TargetMode="External"/><Relationship Id="rId27" Type="http://schemas.openxmlformats.org/officeDocument/2006/relationships/hyperlink" Target="http://bdm.stat.gov.pl/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nalepah\AppData\Roaming\Microsoft\Excel\GUS-2020_IV-Kw_dane%20przekopiowane_wst&#281;pne%20(version%201).xlsb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nalepah\AppData\Roaming\Microsoft\Excel\GUS-2020_IV-Kw_dane%20przekopiowane_wst&#281;pne%20(version%201).xlsb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150148852544818E-2"/>
          <c:y val="0.11876112450327368"/>
          <c:w val="0.8252774479341215"/>
          <c:h val="0.76147383696167126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Arkusz1!$J$8</c:f>
              <c:strCache>
                <c:ptCount val="1"/>
                <c:pt idx="0">
                  <c:v>Balance on technical account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numRef>
              <c:f>Arkusz1!$C$7:$G$7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Arkusz1!$C$8:$G$8</c:f>
              <c:numCache>
                <c:formatCode>0</c:formatCode>
                <c:ptCount val="5"/>
                <c:pt idx="0">
                  <c:v>2939.87522868</c:v>
                </c:pt>
                <c:pt idx="1">
                  <c:v>3043.26913848</c:v>
                </c:pt>
                <c:pt idx="2">
                  <c:v>3082.0634063100001</c:v>
                </c:pt>
                <c:pt idx="3">
                  <c:v>3263.59817716</c:v>
                </c:pt>
                <c:pt idx="4">
                  <c:v>2970.2736735899998</c:v>
                </c:pt>
              </c:numCache>
            </c:numRef>
          </c:val>
        </c:ser>
        <c:ser>
          <c:idx val="4"/>
          <c:order val="1"/>
          <c:tx>
            <c:strRef>
              <c:f>Arkusz1!$J$9</c:f>
              <c:strCache>
                <c:ptCount val="1"/>
                <c:pt idx="0">
                  <c:v>Net profit (loss)</c:v>
                </c:pt>
              </c:strCache>
            </c:strRef>
          </c:tx>
          <c:spPr>
            <a:solidFill>
              <a:srgbClr val="008542"/>
            </a:solidFill>
          </c:spPr>
          <c:invertIfNegative val="0"/>
          <c:cat>
            <c:numRef>
              <c:f>Arkusz1!$C$7:$G$7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Arkusz1!$C$9:$G$9</c:f>
              <c:numCache>
                <c:formatCode>0</c:formatCode>
                <c:ptCount val="5"/>
                <c:pt idx="0">
                  <c:v>2169.8536620599998</c:v>
                </c:pt>
                <c:pt idx="1">
                  <c:v>2277.96521575</c:v>
                </c:pt>
                <c:pt idx="2">
                  <c:v>2444.2767445999998</c:v>
                </c:pt>
                <c:pt idx="3">
                  <c:v>2573.1457301400001</c:v>
                </c:pt>
                <c:pt idx="4">
                  <c:v>2207.8130577299999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51391536"/>
        <c:axId val="1951392080"/>
      </c:barChart>
      <c:catAx>
        <c:axId val="1951391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1951392080"/>
        <c:crossesAt val="0"/>
        <c:auto val="1"/>
        <c:lblAlgn val="ctr"/>
        <c:lblOffset val="100"/>
        <c:noMultiLvlLbl val="0"/>
      </c:catAx>
      <c:valAx>
        <c:axId val="1951392080"/>
        <c:scaling>
          <c:orientation val="minMax"/>
          <c:max val="5200"/>
          <c:min val="0"/>
        </c:scaling>
        <c:delete val="0"/>
        <c:axPos val="l"/>
        <c:majorGridlines>
          <c:spPr>
            <a:ln>
              <a:solidFill>
                <a:srgbClr val="D9D9D9"/>
              </a:solidFill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/>
                </a:pPr>
                <a:r>
                  <a:rPr lang="pl-PL"/>
                  <a:t>PLN million</a:t>
                </a:r>
              </a:p>
            </c:rich>
          </c:tx>
          <c:layout>
            <c:manualLayout>
              <c:xMode val="edge"/>
              <c:yMode val="edge"/>
              <c:x val="2.8380598766617593E-4"/>
              <c:y val="1.0090405365995919E-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spPr>
          <a:ln>
            <a:noFill/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1951391536"/>
        <c:crosses val="autoZero"/>
        <c:crossBetween val="between"/>
        <c:majorUnit val="1000"/>
      </c:valAx>
    </c:plotArea>
    <c:legend>
      <c:legendPos val="b"/>
      <c:layout>
        <c:manualLayout>
          <c:xMode val="edge"/>
          <c:yMode val="edge"/>
          <c:x val="0.14240603622360329"/>
          <c:y val="0.13504526748971193"/>
          <c:w val="0.49252641630531774"/>
          <c:h val="0.27140166666666671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Fira Sans" panose="020B0503050000020004" pitchFamily="34" charset="0"/>
          <a:ea typeface="Fira Sans" panose="020B0503050000020004" pitchFamily="34" charset="0"/>
          <a:cs typeface="Calibri"/>
        </a:defRPr>
      </a:pPr>
      <a:endParaRPr lang="pl-PL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150148852544818E-2"/>
          <c:y val="0.10868798450796947"/>
          <c:w val="0.8252774479341215"/>
          <c:h val="0.75470040819026785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Arkusz1!$J$8</c:f>
              <c:strCache>
                <c:ptCount val="1"/>
                <c:pt idx="0">
                  <c:v>Balance on technical account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numRef>
              <c:f>Arkusz1!$K$7:$O$7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Arkusz1!$K$8:$O$8</c:f>
              <c:numCache>
                <c:formatCode>0</c:formatCode>
                <c:ptCount val="5"/>
                <c:pt idx="0">
                  <c:v>366.47954771999997</c:v>
                </c:pt>
                <c:pt idx="1">
                  <c:v>2069.36215515</c:v>
                </c:pt>
                <c:pt idx="2">
                  <c:v>2926.9892081600001</c:v>
                </c:pt>
                <c:pt idx="3">
                  <c:v>2926.30955537</c:v>
                </c:pt>
                <c:pt idx="4">
                  <c:v>3132.4950153</c:v>
                </c:pt>
              </c:numCache>
            </c:numRef>
          </c:val>
        </c:ser>
        <c:ser>
          <c:idx val="4"/>
          <c:order val="1"/>
          <c:tx>
            <c:strRef>
              <c:f>Arkusz1!$J$9</c:f>
              <c:strCache>
                <c:ptCount val="1"/>
                <c:pt idx="0">
                  <c:v>Net profit (loss)</c:v>
                </c:pt>
              </c:strCache>
            </c:strRef>
          </c:tx>
          <c:spPr>
            <a:solidFill>
              <a:srgbClr val="008542"/>
            </a:solidFill>
          </c:spPr>
          <c:invertIfNegative val="0"/>
          <c:cat>
            <c:numRef>
              <c:f>Arkusz1!$K$7:$O$7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Arkusz1!$K$9:$O$9</c:f>
              <c:numCache>
                <c:formatCode>0</c:formatCode>
                <c:ptCount val="5"/>
                <c:pt idx="0">
                  <c:v>1928.9474510900002</c:v>
                </c:pt>
                <c:pt idx="1">
                  <c:v>3485.9889288899999</c:v>
                </c:pt>
                <c:pt idx="2">
                  <c:v>4243.96655164</c:v>
                </c:pt>
                <c:pt idx="3">
                  <c:v>4637.9917501100008</c:v>
                </c:pt>
                <c:pt idx="4">
                  <c:v>3878.9165661800002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51392624"/>
        <c:axId val="1951390992"/>
      </c:barChart>
      <c:catAx>
        <c:axId val="1951392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1951390992"/>
        <c:crossesAt val="0"/>
        <c:auto val="1"/>
        <c:lblAlgn val="ctr"/>
        <c:lblOffset val="100"/>
        <c:noMultiLvlLbl val="0"/>
      </c:catAx>
      <c:valAx>
        <c:axId val="1951390992"/>
        <c:scaling>
          <c:orientation val="minMax"/>
          <c:max val="5200"/>
          <c:min val="0"/>
        </c:scaling>
        <c:delete val="0"/>
        <c:axPos val="l"/>
        <c:majorGridlines>
          <c:spPr>
            <a:ln>
              <a:solidFill>
                <a:srgbClr val="D9D9D9"/>
              </a:solidFill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/>
                </a:pPr>
                <a:r>
                  <a:rPr lang="pl-PL"/>
                  <a:t>PLN million</a:t>
                </a:r>
              </a:p>
            </c:rich>
          </c:tx>
          <c:layout>
            <c:manualLayout>
              <c:xMode val="edge"/>
              <c:yMode val="edge"/>
              <c:x val="2.8380598766617593E-4"/>
              <c:y val="1.0087869451101221E-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spPr>
          <a:ln>
            <a:noFill/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1951392624"/>
        <c:crosses val="autoZero"/>
        <c:crossBetween val="between"/>
        <c:majorUnit val="1000"/>
      </c:valAx>
    </c:plotArea>
    <c:legend>
      <c:legendPos val="b"/>
      <c:layout>
        <c:manualLayout>
          <c:xMode val="edge"/>
          <c:yMode val="edge"/>
          <c:x val="0.1133499775942641"/>
          <c:y val="7.8058641975308651E-2"/>
          <c:w val="0.43420971768772815"/>
          <c:h val="0.31812222222222231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Fira Sans" panose="020B0503050000020004" pitchFamily="34" charset="0"/>
          <a:ea typeface="Fira Sans" panose="020B0503050000020004" pitchFamily="34" charset="0"/>
          <a:cs typeface="Calibri"/>
        </a:defRPr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Odbiorcy2 xmlns="9070EBFB-EDD5-4A8B-ADA9-FC396769AC9B" xsi:nil="true"/>
    <Osoba xmlns="9070EBFB-EDD5-4A8B-ADA9-FC396769AC9B">STAT\KARCZMARSKIJ</Osoba>
    <_SourceUrl xmlns="http://schemas.microsoft.com/sharepoint/v3" xsi:nil="true"/>
    <NazwaPliku xmlns="9070EBFB-EDD5-4A8B-ADA9-FC396769AC9B">Informacja sygnalna_szablon 2019 EN GUS.DOCX.DOCX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BBAB6-5F41-42A6-ABC0-F188997497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F904F4AF-CEC3-4F3E-9B67-F13E946AC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2DAEF4-AEE4-4C4E-973C-1FF44E50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7097</TotalTime>
  <Pages>5</Pages>
  <Words>974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2021-03-22T08:23:00Z</cp:lastPrinted>
  <dcterms:created xsi:type="dcterms:W3CDTF">2021-02-18T13:04:00Z</dcterms:created>
  <dcterms:modified xsi:type="dcterms:W3CDTF">2021-03-31T11:48:00Z</dcterms:modified>
</cp:coreProperties>
</file>