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27D70" w14:textId="77777777" w:rsidR="00393761" w:rsidRPr="00785F40" w:rsidRDefault="00B20874" w:rsidP="00B20874">
      <w:pPr>
        <w:pStyle w:val="tytuinformacji"/>
        <w:rPr>
          <w:sz w:val="32"/>
          <w:lang w:val="en-US"/>
        </w:rPr>
      </w:pPr>
      <w:bookmarkStart w:id="0" w:name="_GoBack"/>
      <w:bookmarkEnd w:id="0"/>
      <w:r w:rsidRPr="00B20874">
        <w:rPr>
          <w:shd w:val="clear" w:color="auto" w:fill="FFFFFF"/>
          <w:lang w:val="en-US"/>
        </w:rPr>
        <w:t>Factoring activit</w:t>
      </w:r>
      <w:r w:rsidR="00D17A54">
        <w:rPr>
          <w:shd w:val="clear" w:color="auto" w:fill="FFFFFF"/>
          <w:lang w:val="en-US"/>
        </w:rPr>
        <w:t>y</w:t>
      </w:r>
      <w:r w:rsidRPr="00B20874">
        <w:rPr>
          <w:shd w:val="clear" w:color="auto" w:fill="FFFFFF"/>
          <w:lang w:val="en-US"/>
        </w:rPr>
        <w:t xml:space="preserve"> of </w:t>
      </w:r>
      <w:r w:rsidR="00C56E2F" w:rsidRPr="00B20874">
        <w:rPr>
          <w:shd w:val="clear" w:color="auto" w:fill="FFFFFF"/>
          <w:lang w:val="en-US"/>
        </w:rPr>
        <w:t xml:space="preserve">financial </w:t>
      </w:r>
      <w:r w:rsidRPr="00B20874">
        <w:rPr>
          <w:shd w:val="clear" w:color="auto" w:fill="FFFFFF"/>
          <w:lang w:val="en-US"/>
        </w:rPr>
        <w:t>enterprises</w:t>
      </w:r>
      <w:r>
        <w:rPr>
          <w:shd w:val="clear" w:color="auto" w:fill="FFFFFF"/>
          <w:lang w:val="en-US"/>
        </w:rPr>
        <w:t xml:space="preserve"> </w:t>
      </w:r>
      <w:r w:rsidRPr="00B20874">
        <w:rPr>
          <w:shd w:val="clear" w:color="auto" w:fill="FFFFFF"/>
          <w:lang w:val="en-US"/>
        </w:rPr>
        <w:t>in 20</w:t>
      </w:r>
      <w:r w:rsidR="00FF6792">
        <w:rPr>
          <w:shd w:val="clear" w:color="auto" w:fill="FFFFFF"/>
          <w:lang w:val="en-US"/>
        </w:rPr>
        <w:t>20</w:t>
      </w:r>
    </w:p>
    <w:p w14:paraId="5732F978" w14:textId="77777777" w:rsidR="00003437" w:rsidRDefault="00003437" w:rsidP="00D33CF4">
      <w:pPr>
        <w:pStyle w:val="LID"/>
        <w:rPr>
          <w:lang w:val="en-US"/>
        </w:rPr>
      </w:pPr>
      <w:r w:rsidRPr="00074DD8">
        <mc:AlternateContent>
          <mc:Choice Requires="wps">
            <w:drawing>
              <wp:anchor distT="45720" distB="45720" distL="114300" distR="114300" simplePos="0" relativeHeight="251655680" behindDoc="0" locked="0" layoutInCell="1" allowOverlap="1" wp14:anchorId="7531E42B" wp14:editId="160B2E13">
                <wp:simplePos x="0" y="0"/>
                <wp:positionH relativeFrom="margin">
                  <wp:align>left</wp:align>
                </wp:positionH>
                <wp:positionV relativeFrom="paragraph">
                  <wp:posOffset>83427</wp:posOffset>
                </wp:positionV>
                <wp:extent cx="1828800" cy="112395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23950"/>
                        </a:xfrm>
                        <a:prstGeom prst="rect">
                          <a:avLst/>
                        </a:prstGeom>
                        <a:solidFill>
                          <a:srgbClr val="001D77"/>
                        </a:solidFill>
                        <a:ln w="9525">
                          <a:noFill/>
                          <a:miter lim="800000"/>
                          <a:headEnd/>
                          <a:tailEnd/>
                        </a:ln>
                      </wps:spPr>
                      <wps:txbx>
                        <w:txbxContent>
                          <w:p w14:paraId="5A5A06A1" w14:textId="536321AC" w:rsidR="00933EC1" w:rsidRPr="00785F40" w:rsidRDefault="00C47003" w:rsidP="00633014">
                            <w:pPr>
                              <w:spacing w:after="0" w:line="240" w:lineRule="auto"/>
                              <w:rPr>
                                <w:rFonts w:ascii="Fira Sans SemiBold" w:hAnsi="Fira Sans SemiBold"/>
                                <w:color w:val="FFFFFF" w:themeColor="background1"/>
                                <w:sz w:val="72"/>
                                <w:lang w:val="en-US"/>
                              </w:rPr>
                            </w:pPr>
                            <w:r w:rsidRPr="00C47003">
                              <w:rPr>
                                <w:noProof/>
                                <w:lang w:eastAsia="pl-PL"/>
                              </w:rPr>
                              <w:drawing>
                                <wp:inline distT="0" distB="0" distL="0" distR="0" wp14:anchorId="4436F20F" wp14:editId="0AF10ADC">
                                  <wp:extent cx="335280" cy="335280"/>
                                  <wp:effectExtent l="0" t="0" r="7620" b="762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sidR="007801F5" w:rsidRPr="00785F40">
                              <w:rPr>
                                <w:noProof/>
                                <w:color w:val="001D77"/>
                                <w:lang w:val="en-US" w:eastAsia="pl-PL"/>
                              </w:rPr>
                              <w:t xml:space="preserve"> </w:t>
                            </w:r>
                            <w:r w:rsidR="001E3145">
                              <w:rPr>
                                <w:rFonts w:ascii="Fira Sans SemiBold" w:hAnsi="Fira Sans SemiBold"/>
                                <w:color w:val="FFFFFF" w:themeColor="background1"/>
                                <w:sz w:val="72"/>
                                <w:lang w:val="en-US"/>
                              </w:rPr>
                              <w:t>98.1</w:t>
                            </w:r>
                          </w:p>
                          <w:p w14:paraId="4ABD4074" w14:textId="77777777" w:rsidR="00933EC1" w:rsidRPr="00785F40" w:rsidRDefault="00C56E2F" w:rsidP="0031470A">
                            <w:pPr>
                              <w:pStyle w:val="tekstnaniebieskimtle"/>
                              <w:rPr>
                                <w:color w:val="FFFFFF" w:themeColor="background1"/>
                                <w:sz w:val="18"/>
                                <w:szCs w:val="20"/>
                                <w:lang w:val="en-US"/>
                              </w:rPr>
                            </w:pPr>
                            <w:r>
                              <w:rPr>
                                <w:lang w:val="en-US"/>
                              </w:rPr>
                              <w:t>D</w:t>
                            </w:r>
                            <w:r w:rsidR="0031470A" w:rsidRPr="0031470A">
                              <w:rPr>
                                <w:lang w:val="en-US"/>
                              </w:rPr>
                              <w:t>ynamics</w:t>
                            </w:r>
                            <w:r>
                              <w:rPr>
                                <w:lang w:val="en-US"/>
                              </w:rPr>
                              <w:t xml:space="preserve"> of</w:t>
                            </w:r>
                            <w:r w:rsidR="00CF5EAD">
                              <w:rPr>
                                <w:lang w:val="en-US"/>
                              </w:rPr>
                              <w:t xml:space="preserve"> </w:t>
                            </w:r>
                            <w:r w:rsidR="0031470A" w:rsidRPr="0031470A">
                              <w:rPr>
                                <w:lang w:val="en-US"/>
                              </w:rPr>
                              <w:t>purchased receivables</w:t>
                            </w:r>
                            <w:r w:rsidRPr="00C56E2F">
                              <w:rPr>
                                <w:lang w:val="en-US"/>
                              </w:rPr>
                              <w:t xml:space="preserve"> </w:t>
                            </w:r>
                            <w:r>
                              <w:rPr>
                                <w:lang w:val="en-US"/>
                              </w:rPr>
                              <w:t>v</w:t>
                            </w:r>
                            <w:r w:rsidRPr="0031470A">
                              <w:rPr>
                                <w:lang w:val="en-US"/>
                              </w:rPr>
                              <w:t>alue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531E42B" id="_x0000_t202" coordsize="21600,21600" o:spt="202" path="m,l,21600r21600,l21600,xe">
                <v:stroke joinstyle="miter"/>
                <v:path gradientshapeok="t" o:connecttype="rect"/>
              </v:shapetype>
              <v:shape id="Pole tekstowe 2" o:spid="_x0000_s1026" type="#_x0000_t202" style="position:absolute;margin-left:0;margin-top:6.55pt;width:2in;height:88.5pt;z-index:2516556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" fillcolor="#001d77" stroked="f">
                <v:textbox>
                  <w:txbxContent>
                    <w:p w14:paraId="5A5A06A1" w14:textId="536321AC" w:rsidR="00933EC1" w:rsidRPr="00785F40" w:rsidRDefault="00C47003" w:rsidP="00633014">
                      <w:pPr>
                        <w:spacing w:after="0" w:line="240" w:lineRule="auto"/>
                        <w:rPr>
                          <w:rFonts w:ascii="Fira Sans SemiBold" w:hAnsi="Fira Sans SemiBold"/>
                          <w:color w:val="FFFFFF" w:themeColor="background1"/>
                          <w:sz w:val="72"/>
                          <w:lang w:val="en-US"/>
                        </w:rPr>
                      </w:pPr>
                      <w:r w:rsidRPr="00C47003">
                        <w:rPr>
                          <w:noProof/>
                          <w:lang w:eastAsia="pl-PL"/>
                        </w:rPr>
                        <w:drawing>
                          <wp:inline distT="0" distB="0" distL="0" distR="0" wp14:anchorId="4436F20F" wp14:editId="0AF10ADC">
                            <wp:extent cx="335280" cy="335280"/>
                            <wp:effectExtent l="0" t="0" r="7620" b="762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sidR="007801F5" w:rsidRPr="00785F40">
                        <w:rPr>
                          <w:noProof/>
                          <w:color w:val="001D77"/>
                          <w:lang w:val="en-US" w:eastAsia="pl-PL"/>
                        </w:rPr>
                        <w:t xml:space="preserve"> </w:t>
                      </w:r>
                      <w:r w:rsidR="001E3145">
                        <w:rPr>
                          <w:rFonts w:ascii="Fira Sans SemiBold" w:hAnsi="Fira Sans SemiBold"/>
                          <w:color w:val="FFFFFF" w:themeColor="background1"/>
                          <w:sz w:val="72"/>
                          <w:lang w:val="en-US"/>
                        </w:rPr>
                        <w:t>98.1</w:t>
                      </w:r>
                    </w:p>
                    <w:p w14:paraId="4ABD4074" w14:textId="77777777" w:rsidR="00933EC1" w:rsidRPr="00785F40" w:rsidRDefault="00C56E2F" w:rsidP="0031470A">
                      <w:pPr>
                        <w:pStyle w:val="tekstnaniebieskimtle"/>
                        <w:rPr>
                          <w:color w:val="FFFFFF" w:themeColor="background1"/>
                          <w:sz w:val="18"/>
                          <w:szCs w:val="20"/>
                          <w:lang w:val="en-US"/>
                        </w:rPr>
                      </w:pPr>
                      <w:r>
                        <w:rPr>
                          <w:lang w:val="en-US"/>
                        </w:rPr>
                        <w:t>D</w:t>
                      </w:r>
                      <w:r w:rsidR="0031470A" w:rsidRPr="0031470A">
                        <w:rPr>
                          <w:lang w:val="en-US"/>
                        </w:rPr>
                        <w:t>ynamics</w:t>
                      </w:r>
                      <w:r>
                        <w:rPr>
                          <w:lang w:val="en-US"/>
                        </w:rPr>
                        <w:t xml:space="preserve"> of</w:t>
                      </w:r>
                      <w:r w:rsidR="00CF5EAD">
                        <w:rPr>
                          <w:lang w:val="en-US"/>
                        </w:rPr>
                        <w:t xml:space="preserve"> </w:t>
                      </w:r>
                      <w:r w:rsidR="0031470A" w:rsidRPr="0031470A">
                        <w:rPr>
                          <w:lang w:val="en-US"/>
                        </w:rPr>
                        <w:t>purchased receivables</w:t>
                      </w:r>
                      <w:r w:rsidRPr="00C56E2F">
                        <w:rPr>
                          <w:lang w:val="en-US"/>
                        </w:rPr>
                        <w:t xml:space="preserve"> </w:t>
                      </w:r>
                      <w:r>
                        <w:rPr>
                          <w:lang w:val="en-US"/>
                        </w:rPr>
                        <w:t>v</w:t>
                      </w:r>
                      <w:r w:rsidRPr="0031470A">
                        <w:rPr>
                          <w:lang w:val="en-US"/>
                        </w:rPr>
                        <w:t>alue</w:t>
                      </w:r>
                    </w:p>
                  </w:txbxContent>
                </v:textbox>
                <w10:wrap type="square" anchorx="margin"/>
              </v:shape>
            </w:pict>
          </mc:Fallback>
        </mc:AlternateContent>
      </w:r>
      <w:r w:rsidR="00B537BA" w:rsidRPr="00802E0F">
        <w:rPr>
          <w:lang w:val="en-US"/>
        </w:rPr>
        <w:t xml:space="preserve"> In 2020, the study covered 52 entities conducting factoring activities. The number of purchased invoices by the surveyed companies increased by 4.7% compared to the previous year, and the value of purchased receivables decreased by 1.9% compared to the previous year. </w:t>
      </w:r>
      <w:r w:rsidR="00B537BA" w:rsidRPr="00B537BA">
        <w:t>The number of clients using factoring services increased by 12.0%.</w:t>
      </w:r>
    </w:p>
    <w:p w14:paraId="59994AE2" w14:textId="77777777" w:rsidR="00D33CF4" w:rsidRPr="00785F40" w:rsidRDefault="00D33CF4" w:rsidP="00074DD8">
      <w:pPr>
        <w:pStyle w:val="Nagwek1"/>
        <w:rPr>
          <w:shd w:val="clear" w:color="auto" w:fill="FFFFFF"/>
          <w:lang w:val="en-US"/>
        </w:rPr>
      </w:pPr>
    </w:p>
    <w:p w14:paraId="68DA9538" w14:textId="77777777" w:rsidR="00C22105" w:rsidRPr="00785F40" w:rsidRDefault="009227A6" w:rsidP="00074DD8">
      <w:pPr>
        <w:pStyle w:val="Nagwek1"/>
        <w:rPr>
          <w:lang w:val="en-US"/>
        </w:rPr>
      </w:pPr>
      <w:r w:rsidRPr="00633014">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45F34A78" wp14:editId="217CC6F2">
                <wp:simplePos x="0" y="0"/>
                <wp:positionH relativeFrom="column">
                  <wp:posOffset>5233035</wp:posOffset>
                </wp:positionH>
                <wp:positionV relativeFrom="paragraph">
                  <wp:posOffset>155204</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1A5C6BA0" w14:textId="77777777" w:rsidR="00D616D2" w:rsidRPr="00785F40" w:rsidRDefault="004F483F" w:rsidP="00D616D2">
                            <w:pPr>
                              <w:spacing w:after="0"/>
                              <w:rPr>
                                <w:rFonts w:eastAsia="Times New Roman" w:cs="Times New Roman"/>
                                <w:bCs/>
                                <w:color w:val="001D77"/>
                                <w:sz w:val="18"/>
                                <w:szCs w:val="18"/>
                                <w:lang w:val="en-US" w:eastAsia="pl-PL"/>
                              </w:rPr>
                            </w:pPr>
                            <w:r w:rsidRPr="004F483F">
                              <w:rPr>
                                <w:rFonts w:eastAsia="Times New Roman" w:cs="Times New Roman"/>
                                <w:bCs/>
                                <w:color w:val="001D77"/>
                                <w:sz w:val="18"/>
                                <w:szCs w:val="18"/>
                                <w:lang w:val="en" w:eastAsia="pl-PL"/>
                              </w:rPr>
                              <w:t>In 20</w:t>
                            </w:r>
                            <w:r w:rsidR="00FF6792">
                              <w:rPr>
                                <w:rFonts w:eastAsia="Times New Roman" w:cs="Times New Roman"/>
                                <w:bCs/>
                                <w:color w:val="001D77"/>
                                <w:sz w:val="18"/>
                                <w:szCs w:val="18"/>
                                <w:lang w:val="en" w:eastAsia="pl-PL"/>
                              </w:rPr>
                              <w:t>20</w:t>
                            </w:r>
                            <w:r w:rsidRPr="004F483F">
                              <w:rPr>
                                <w:rFonts w:eastAsia="Times New Roman" w:cs="Times New Roman"/>
                                <w:bCs/>
                                <w:color w:val="001D77"/>
                                <w:sz w:val="18"/>
                                <w:szCs w:val="18"/>
                                <w:lang w:val="en" w:eastAsia="pl-PL"/>
                              </w:rPr>
                              <w:t>, factoring companies purchased 1</w:t>
                            </w:r>
                            <w:r w:rsidR="00FF6792">
                              <w:rPr>
                                <w:rFonts w:eastAsia="Times New Roman" w:cs="Times New Roman"/>
                                <w:bCs/>
                                <w:color w:val="001D77"/>
                                <w:sz w:val="18"/>
                                <w:szCs w:val="18"/>
                                <w:lang w:val="en" w:eastAsia="pl-PL"/>
                              </w:rPr>
                              <w:t>4</w:t>
                            </w:r>
                            <w:r w:rsidRPr="004F483F">
                              <w:rPr>
                                <w:rFonts w:eastAsia="Times New Roman" w:cs="Times New Roman"/>
                                <w:bCs/>
                                <w:color w:val="001D77"/>
                                <w:sz w:val="18"/>
                                <w:szCs w:val="18"/>
                                <w:lang w:val="en" w:eastAsia="pl-PL"/>
                              </w:rPr>
                              <w:t>.</w:t>
                            </w:r>
                            <w:r w:rsidR="00FF6792">
                              <w:rPr>
                                <w:rFonts w:eastAsia="Times New Roman" w:cs="Times New Roman"/>
                                <w:bCs/>
                                <w:color w:val="001D77"/>
                                <w:sz w:val="18"/>
                                <w:szCs w:val="18"/>
                                <w:lang w:val="en" w:eastAsia="pl-PL"/>
                              </w:rPr>
                              <w:t>0</w:t>
                            </w:r>
                            <w:r w:rsidRPr="004F483F">
                              <w:rPr>
                                <w:rFonts w:eastAsia="Times New Roman" w:cs="Times New Roman"/>
                                <w:bCs/>
                                <w:color w:val="001D77"/>
                                <w:sz w:val="18"/>
                                <w:szCs w:val="18"/>
                                <w:lang w:val="en" w:eastAsia="pl-PL"/>
                              </w:rPr>
                              <w:t xml:space="preserve"> million invoices worth PLN 31</w:t>
                            </w:r>
                            <w:r w:rsidR="00FF6792">
                              <w:rPr>
                                <w:rFonts w:eastAsia="Times New Roman" w:cs="Times New Roman"/>
                                <w:bCs/>
                                <w:color w:val="001D77"/>
                                <w:sz w:val="18"/>
                                <w:szCs w:val="18"/>
                                <w:lang w:val="en" w:eastAsia="pl-PL"/>
                              </w:rPr>
                              <w:t>1</w:t>
                            </w:r>
                            <w:r w:rsidRPr="004F483F">
                              <w:rPr>
                                <w:rFonts w:eastAsia="Times New Roman" w:cs="Times New Roman"/>
                                <w:bCs/>
                                <w:color w:val="001D77"/>
                                <w:sz w:val="18"/>
                                <w:szCs w:val="18"/>
                                <w:lang w:val="en" w:eastAsia="pl-PL"/>
                              </w:rPr>
                              <w:t>.</w:t>
                            </w:r>
                            <w:r w:rsidR="00FF6792">
                              <w:rPr>
                                <w:rFonts w:eastAsia="Times New Roman" w:cs="Times New Roman"/>
                                <w:bCs/>
                                <w:color w:val="001D77"/>
                                <w:sz w:val="18"/>
                                <w:szCs w:val="18"/>
                                <w:lang w:val="en" w:eastAsia="pl-PL"/>
                              </w:rPr>
                              <w:t>3</w:t>
                            </w:r>
                            <w:r w:rsidRPr="004F483F">
                              <w:rPr>
                                <w:rFonts w:eastAsia="Times New Roman" w:cs="Times New Roman"/>
                                <w:bCs/>
                                <w:color w:val="001D77"/>
                                <w:sz w:val="18"/>
                                <w:szCs w:val="18"/>
                                <w:lang w:val="en" w:eastAsia="pl-PL"/>
                              </w:rPr>
                              <w:t xml:space="preserve"> 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F34A78" id="_x0000_s1027" type="#_x0000_t202" style="position:absolute;margin-left:412.05pt;margin-top:12.2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" filled="f" stroked="f">
                <v:textbox>
                  <w:txbxContent>
                    <w:p w14:paraId="1A5C6BA0" w14:textId="77777777" w:rsidR="00D616D2" w:rsidRPr="00785F40" w:rsidRDefault="004F483F" w:rsidP="00D616D2">
                      <w:pPr>
                        <w:spacing w:after="0"/>
                        <w:rPr>
                          <w:rFonts w:eastAsia="Times New Roman" w:cs="Times New Roman"/>
                          <w:bCs/>
                          <w:color w:val="001D77"/>
                          <w:sz w:val="18"/>
                          <w:szCs w:val="18"/>
                          <w:lang w:val="en-US" w:eastAsia="pl-PL"/>
                        </w:rPr>
                      </w:pPr>
                      <w:r w:rsidRPr="004F483F">
                        <w:rPr>
                          <w:rFonts w:eastAsia="Times New Roman" w:cs="Times New Roman"/>
                          <w:bCs/>
                          <w:color w:val="001D77"/>
                          <w:sz w:val="18"/>
                          <w:szCs w:val="18"/>
                          <w:lang w:val="en" w:eastAsia="pl-PL"/>
                        </w:rPr>
                        <w:t>In 20</w:t>
                      </w:r>
                      <w:r w:rsidR="00FF6792">
                        <w:rPr>
                          <w:rFonts w:eastAsia="Times New Roman" w:cs="Times New Roman"/>
                          <w:bCs/>
                          <w:color w:val="001D77"/>
                          <w:sz w:val="18"/>
                          <w:szCs w:val="18"/>
                          <w:lang w:val="en" w:eastAsia="pl-PL"/>
                        </w:rPr>
                        <w:t>20</w:t>
                      </w:r>
                      <w:r w:rsidRPr="004F483F">
                        <w:rPr>
                          <w:rFonts w:eastAsia="Times New Roman" w:cs="Times New Roman"/>
                          <w:bCs/>
                          <w:color w:val="001D77"/>
                          <w:sz w:val="18"/>
                          <w:szCs w:val="18"/>
                          <w:lang w:val="en" w:eastAsia="pl-PL"/>
                        </w:rPr>
                        <w:t>, factoring companies purchased 1</w:t>
                      </w:r>
                      <w:r w:rsidR="00FF6792">
                        <w:rPr>
                          <w:rFonts w:eastAsia="Times New Roman" w:cs="Times New Roman"/>
                          <w:bCs/>
                          <w:color w:val="001D77"/>
                          <w:sz w:val="18"/>
                          <w:szCs w:val="18"/>
                          <w:lang w:val="en" w:eastAsia="pl-PL"/>
                        </w:rPr>
                        <w:t>4</w:t>
                      </w:r>
                      <w:r w:rsidRPr="004F483F">
                        <w:rPr>
                          <w:rFonts w:eastAsia="Times New Roman" w:cs="Times New Roman"/>
                          <w:bCs/>
                          <w:color w:val="001D77"/>
                          <w:sz w:val="18"/>
                          <w:szCs w:val="18"/>
                          <w:lang w:val="en" w:eastAsia="pl-PL"/>
                        </w:rPr>
                        <w:t>.</w:t>
                      </w:r>
                      <w:r w:rsidR="00FF6792">
                        <w:rPr>
                          <w:rFonts w:eastAsia="Times New Roman" w:cs="Times New Roman"/>
                          <w:bCs/>
                          <w:color w:val="001D77"/>
                          <w:sz w:val="18"/>
                          <w:szCs w:val="18"/>
                          <w:lang w:val="en" w:eastAsia="pl-PL"/>
                        </w:rPr>
                        <w:t>0</w:t>
                      </w:r>
                      <w:r w:rsidRPr="004F483F">
                        <w:rPr>
                          <w:rFonts w:eastAsia="Times New Roman" w:cs="Times New Roman"/>
                          <w:bCs/>
                          <w:color w:val="001D77"/>
                          <w:sz w:val="18"/>
                          <w:szCs w:val="18"/>
                          <w:lang w:val="en" w:eastAsia="pl-PL"/>
                        </w:rPr>
                        <w:t xml:space="preserve"> million invoices worth PLN 31</w:t>
                      </w:r>
                      <w:r w:rsidR="00FF6792">
                        <w:rPr>
                          <w:rFonts w:eastAsia="Times New Roman" w:cs="Times New Roman"/>
                          <w:bCs/>
                          <w:color w:val="001D77"/>
                          <w:sz w:val="18"/>
                          <w:szCs w:val="18"/>
                          <w:lang w:val="en" w:eastAsia="pl-PL"/>
                        </w:rPr>
                        <w:t>1</w:t>
                      </w:r>
                      <w:r w:rsidRPr="004F483F">
                        <w:rPr>
                          <w:rFonts w:eastAsia="Times New Roman" w:cs="Times New Roman"/>
                          <w:bCs/>
                          <w:color w:val="001D77"/>
                          <w:sz w:val="18"/>
                          <w:szCs w:val="18"/>
                          <w:lang w:val="en" w:eastAsia="pl-PL"/>
                        </w:rPr>
                        <w:t>.</w:t>
                      </w:r>
                      <w:r w:rsidR="00FF6792">
                        <w:rPr>
                          <w:rFonts w:eastAsia="Times New Roman" w:cs="Times New Roman"/>
                          <w:bCs/>
                          <w:color w:val="001D77"/>
                          <w:sz w:val="18"/>
                          <w:szCs w:val="18"/>
                          <w:lang w:val="en" w:eastAsia="pl-PL"/>
                        </w:rPr>
                        <w:t>3</w:t>
                      </w:r>
                      <w:r w:rsidRPr="004F483F">
                        <w:rPr>
                          <w:rFonts w:eastAsia="Times New Roman" w:cs="Times New Roman"/>
                          <w:bCs/>
                          <w:color w:val="001D77"/>
                          <w:sz w:val="18"/>
                          <w:szCs w:val="18"/>
                          <w:lang w:val="en" w:eastAsia="pl-PL"/>
                        </w:rPr>
                        <w:t xml:space="preserve"> billion</w:t>
                      </w:r>
                    </w:p>
                  </w:txbxContent>
                </v:textbox>
                <w10:wrap type="tight"/>
              </v:shape>
            </w:pict>
          </mc:Fallback>
        </mc:AlternateContent>
      </w:r>
      <w:r w:rsidR="00B73F22" w:rsidRPr="00785F40">
        <w:rPr>
          <w:lang w:val="en-US"/>
        </w:rPr>
        <w:t xml:space="preserve">Basic data on </w:t>
      </w:r>
      <w:r w:rsidR="00B20874">
        <w:rPr>
          <w:lang w:val="en-US"/>
        </w:rPr>
        <w:t xml:space="preserve">factoring </w:t>
      </w:r>
      <w:r w:rsidR="00B73F22" w:rsidRPr="00785F40">
        <w:rPr>
          <w:lang w:val="en-US"/>
        </w:rPr>
        <w:t>companies</w:t>
      </w:r>
    </w:p>
    <w:p w14:paraId="249B6C5F" w14:textId="77777777" w:rsidR="00E97A00" w:rsidRDefault="00B20874" w:rsidP="00E97A00">
      <w:pPr>
        <w:pStyle w:val="HTML-wstpniesformatowany"/>
        <w:rPr>
          <w:rFonts w:ascii="Fira Sans" w:eastAsiaTheme="minorHAnsi" w:hAnsi="Fira Sans" w:cstheme="minorBidi"/>
          <w:sz w:val="19"/>
          <w:szCs w:val="22"/>
          <w:shd w:val="clear" w:color="auto" w:fill="FFFFFF"/>
          <w:lang w:val="en" w:eastAsia="en-US"/>
        </w:rPr>
      </w:pPr>
      <w:r w:rsidRPr="00B20874">
        <w:rPr>
          <w:rFonts w:ascii="Fira Sans" w:eastAsiaTheme="minorHAnsi" w:hAnsi="Fira Sans" w:cstheme="minorBidi"/>
          <w:sz w:val="19"/>
          <w:szCs w:val="22"/>
          <w:shd w:val="clear" w:color="auto" w:fill="FFFFFF"/>
          <w:lang w:val="en" w:eastAsia="en-US"/>
        </w:rPr>
        <w:t>In the group of 5</w:t>
      </w:r>
      <w:r w:rsidR="00FF6792">
        <w:rPr>
          <w:rFonts w:ascii="Fira Sans" w:eastAsiaTheme="minorHAnsi" w:hAnsi="Fira Sans" w:cstheme="minorBidi"/>
          <w:sz w:val="19"/>
          <w:szCs w:val="22"/>
          <w:shd w:val="clear" w:color="auto" w:fill="FFFFFF"/>
          <w:lang w:val="en" w:eastAsia="en-US"/>
        </w:rPr>
        <w:t>2</w:t>
      </w:r>
      <w:r w:rsidRPr="00B20874">
        <w:rPr>
          <w:rFonts w:ascii="Fira Sans" w:eastAsiaTheme="minorHAnsi" w:hAnsi="Fira Sans" w:cstheme="minorBidi"/>
          <w:sz w:val="19"/>
          <w:szCs w:val="22"/>
          <w:shd w:val="clear" w:color="auto" w:fill="FFFFFF"/>
          <w:lang w:val="en" w:eastAsia="en-US"/>
        </w:rPr>
        <w:t xml:space="preserve"> surveyed entities conducting factoring activities in 20</w:t>
      </w:r>
      <w:r w:rsidR="00FF6792">
        <w:rPr>
          <w:rFonts w:ascii="Fira Sans" w:eastAsiaTheme="minorHAnsi" w:hAnsi="Fira Sans" w:cstheme="minorBidi"/>
          <w:sz w:val="19"/>
          <w:szCs w:val="22"/>
          <w:shd w:val="clear" w:color="auto" w:fill="FFFFFF"/>
          <w:lang w:val="en" w:eastAsia="en-US"/>
        </w:rPr>
        <w:t>20</w:t>
      </w:r>
      <w:r w:rsidRPr="00B20874">
        <w:rPr>
          <w:rFonts w:ascii="Fira Sans" w:eastAsiaTheme="minorHAnsi" w:hAnsi="Fira Sans" w:cstheme="minorBidi"/>
          <w:sz w:val="19"/>
          <w:szCs w:val="22"/>
          <w:shd w:val="clear" w:color="auto" w:fill="FFFFFF"/>
          <w:lang w:val="en" w:eastAsia="en-US"/>
        </w:rPr>
        <w:t>, there were 4</w:t>
      </w:r>
      <w:r w:rsidR="00FF6792">
        <w:rPr>
          <w:rFonts w:ascii="Fira Sans" w:eastAsiaTheme="minorHAnsi" w:hAnsi="Fira Sans" w:cstheme="minorBidi"/>
          <w:sz w:val="19"/>
          <w:szCs w:val="22"/>
          <w:shd w:val="clear" w:color="auto" w:fill="FFFFFF"/>
          <w:lang w:val="en" w:eastAsia="en-US"/>
        </w:rPr>
        <w:t>3</w:t>
      </w:r>
      <w:r w:rsidRPr="00B20874">
        <w:rPr>
          <w:rFonts w:ascii="Fira Sans" w:eastAsiaTheme="minorHAnsi" w:hAnsi="Fira Sans" w:cstheme="minorBidi"/>
          <w:sz w:val="19"/>
          <w:szCs w:val="22"/>
          <w:shd w:val="clear" w:color="auto" w:fill="FFFFFF"/>
          <w:lang w:val="en" w:eastAsia="en-US"/>
        </w:rPr>
        <w:t xml:space="preserve"> non-banking enterprises conducting this type of activity and </w:t>
      </w:r>
      <w:r w:rsidR="00FF6792">
        <w:rPr>
          <w:rFonts w:ascii="Fira Sans" w:eastAsiaTheme="minorHAnsi" w:hAnsi="Fira Sans" w:cstheme="minorBidi"/>
          <w:sz w:val="19"/>
          <w:szCs w:val="22"/>
          <w:shd w:val="clear" w:color="auto" w:fill="FFFFFF"/>
          <w:lang w:val="en" w:eastAsia="en-US"/>
        </w:rPr>
        <w:t>9</w:t>
      </w:r>
      <w:r w:rsidRPr="00B20874">
        <w:rPr>
          <w:rFonts w:ascii="Fira Sans" w:eastAsiaTheme="minorHAnsi" w:hAnsi="Fira Sans" w:cstheme="minorBidi"/>
          <w:sz w:val="19"/>
          <w:szCs w:val="22"/>
          <w:shd w:val="clear" w:color="auto" w:fill="FFFFFF"/>
          <w:lang w:val="en" w:eastAsia="en-US"/>
        </w:rPr>
        <w:t xml:space="preserve"> commercial banks that dealt with factoring alongside statutory banking activities.</w:t>
      </w:r>
    </w:p>
    <w:tbl>
      <w:tblPr>
        <w:tblStyle w:val="Siatkatabelijasna1"/>
        <w:tblpPr w:leftFromText="141" w:rightFromText="141" w:vertAnchor="text" w:horzAnchor="margin" w:tblpY="596"/>
        <w:tblW w:w="7923"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3085"/>
        <w:gridCol w:w="1612"/>
        <w:gridCol w:w="1613"/>
        <w:gridCol w:w="1613"/>
      </w:tblGrid>
      <w:tr w:rsidR="00387093" w:rsidRPr="00FA5128" w14:paraId="30A000F1" w14:textId="77777777" w:rsidTr="00C35180">
        <w:trPr>
          <w:trHeight w:val="57"/>
        </w:trPr>
        <w:tc>
          <w:tcPr>
            <w:tcW w:w="3085" w:type="dxa"/>
            <w:vMerge w:val="restart"/>
            <w:vAlign w:val="center"/>
          </w:tcPr>
          <w:p w14:paraId="799948FB" w14:textId="77777777" w:rsidR="00387093" w:rsidRPr="009C7251" w:rsidRDefault="00387093" w:rsidP="00C35180">
            <w:pPr>
              <w:pStyle w:val="Nagwek1"/>
              <w:tabs>
                <w:tab w:val="right" w:leader="dot" w:pos="4139"/>
              </w:tabs>
              <w:jc w:val="center"/>
              <w:outlineLvl w:val="0"/>
              <w:rPr>
                <w:rFonts w:ascii="Fira Sans" w:hAnsi="Fira Sans" w:cs="Arial"/>
                <w:b/>
                <w:bCs w:val="0"/>
                <w:color w:val="000000" w:themeColor="text1"/>
                <w:sz w:val="16"/>
                <w:szCs w:val="16"/>
              </w:rPr>
            </w:pPr>
            <w:r w:rsidRPr="00387093">
              <w:rPr>
                <w:rFonts w:ascii="Fira Sans" w:hAnsi="Fira Sans" w:cs="Arial"/>
                <w:color w:val="000000" w:themeColor="text1"/>
                <w:sz w:val="16"/>
                <w:szCs w:val="16"/>
              </w:rPr>
              <w:t>SPECIFICATION</w:t>
            </w:r>
          </w:p>
        </w:tc>
        <w:tc>
          <w:tcPr>
            <w:tcW w:w="1612" w:type="dxa"/>
            <w:vAlign w:val="center"/>
          </w:tcPr>
          <w:p w14:paraId="0891C889" w14:textId="77777777" w:rsidR="00387093" w:rsidRPr="00FA5128" w:rsidRDefault="00C43A21" w:rsidP="00C35180">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Total</w:t>
            </w:r>
            <w:r w:rsidR="00387093">
              <w:rPr>
                <w:rFonts w:ascii="Fira Sans" w:hAnsi="Fira Sans"/>
                <w:color w:val="000000" w:themeColor="text1"/>
                <w:sz w:val="16"/>
                <w:szCs w:val="16"/>
              </w:rPr>
              <w:t xml:space="preserve"> </w:t>
            </w:r>
          </w:p>
        </w:tc>
        <w:tc>
          <w:tcPr>
            <w:tcW w:w="1613" w:type="dxa"/>
            <w:vAlign w:val="center"/>
          </w:tcPr>
          <w:p w14:paraId="5BC6F347" w14:textId="77777777" w:rsidR="00387093" w:rsidRPr="00FA5128" w:rsidRDefault="00C43A21" w:rsidP="00C35180">
            <w:pPr>
              <w:pStyle w:val="Nagwek3"/>
              <w:spacing w:before="0"/>
              <w:jc w:val="center"/>
              <w:outlineLvl w:val="2"/>
              <w:rPr>
                <w:rFonts w:ascii="Fira Sans" w:hAnsi="Fira Sans"/>
                <w:color w:val="000000" w:themeColor="text1"/>
                <w:sz w:val="16"/>
                <w:szCs w:val="16"/>
              </w:rPr>
            </w:pPr>
            <w:r w:rsidRPr="00C43A21">
              <w:rPr>
                <w:rFonts w:ascii="Fira Sans" w:hAnsi="Fira Sans"/>
                <w:color w:val="000000" w:themeColor="text1"/>
                <w:sz w:val="16"/>
                <w:szCs w:val="16"/>
              </w:rPr>
              <w:t>Non-banking factoring enterprises</w:t>
            </w:r>
          </w:p>
        </w:tc>
        <w:tc>
          <w:tcPr>
            <w:tcW w:w="1613" w:type="dxa"/>
            <w:vAlign w:val="center"/>
          </w:tcPr>
          <w:p w14:paraId="7A6FDDE1" w14:textId="77777777" w:rsidR="00387093" w:rsidRPr="00FA5128" w:rsidRDefault="00C43A21" w:rsidP="00C35180">
            <w:pPr>
              <w:pStyle w:val="Nagwek3"/>
              <w:spacing w:before="0"/>
              <w:jc w:val="center"/>
              <w:outlineLvl w:val="2"/>
              <w:rPr>
                <w:rFonts w:ascii="Fira Sans" w:hAnsi="Fira Sans"/>
                <w:color w:val="000000" w:themeColor="text1"/>
                <w:sz w:val="16"/>
                <w:szCs w:val="16"/>
              </w:rPr>
            </w:pPr>
            <w:r w:rsidRPr="00C43A21">
              <w:rPr>
                <w:rFonts w:ascii="Fira Sans" w:hAnsi="Fira Sans"/>
                <w:color w:val="000000" w:themeColor="text1"/>
                <w:sz w:val="16"/>
                <w:szCs w:val="16"/>
              </w:rPr>
              <w:t>Factoring activity in banks</w:t>
            </w:r>
          </w:p>
        </w:tc>
      </w:tr>
      <w:tr w:rsidR="00387093" w:rsidRPr="00FA5128" w14:paraId="4AF2F233" w14:textId="77777777" w:rsidTr="00C35180">
        <w:trPr>
          <w:trHeight w:val="57"/>
        </w:trPr>
        <w:tc>
          <w:tcPr>
            <w:tcW w:w="3085" w:type="dxa"/>
            <w:vMerge/>
            <w:tcBorders>
              <w:bottom w:val="single" w:sz="12" w:space="0" w:color="001D77"/>
            </w:tcBorders>
            <w:vAlign w:val="center"/>
          </w:tcPr>
          <w:p w14:paraId="0550EF4D" w14:textId="77777777" w:rsidR="00387093" w:rsidRPr="00FA5128" w:rsidRDefault="00387093" w:rsidP="00C35180">
            <w:pPr>
              <w:pStyle w:val="Nagwek1"/>
              <w:tabs>
                <w:tab w:val="right" w:leader="dot" w:pos="4139"/>
              </w:tabs>
              <w:jc w:val="center"/>
              <w:outlineLvl w:val="0"/>
              <w:rPr>
                <w:rFonts w:cs="Arial"/>
                <w:b/>
                <w:color w:val="000000" w:themeColor="text1"/>
                <w:sz w:val="16"/>
                <w:szCs w:val="16"/>
              </w:rPr>
            </w:pPr>
          </w:p>
        </w:tc>
        <w:tc>
          <w:tcPr>
            <w:tcW w:w="4838" w:type="dxa"/>
            <w:gridSpan w:val="3"/>
            <w:tcBorders>
              <w:bottom w:val="single" w:sz="12" w:space="0" w:color="001D77"/>
            </w:tcBorders>
            <w:vAlign w:val="center"/>
          </w:tcPr>
          <w:p w14:paraId="0CF916F8" w14:textId="77777777" w:rsidR="00387093" w:rsidRPr="004F483F" w:rsidRDefault="004F483F" w:rsidP="00422086">
            <w:pPr>
              <w:jc w:val="center"/>
              <w:rPr>
                <w:color w:val="000000" w:themeColor="text1"/>
                <w:sz w:val="16"/>
                <w:szCs w:val="16"/>
                <w:lang w:val="en-US"/>
              </w:rPr>
            </w:pPr>
            <w:r w:rsidRPr="004F483F">
              <w:rPr>
                <w:color w:val="000000" w:themeColor="text1"/>
                <w:sz w:val="16"/>
                <w:szCs w:val="16"/>
                <w:lang w:val="en-US"/>
              </w:rPr>
              <w:t xml:space="preserve">Number of </w:t>
            </w:r>
            <w:r w:rsidR="00422086">
              <w:rPr>
                <w:color w:val="000000" w:themeColor="text1"/>
                <w:sz w:val="16"/>
                <w:szCs w:val="16"/>
                <w:lang w:val="en-US"/>
              </w:rPr>
              <w:t>e</w:t>
            </w:r>
            <w:r w:rsidRPr="004F483F">
              <w:rPr>
                <w:color w:val="000000" w:themeColor="text1"/>
                <w:sz w:val="16"/>
                <w:szCs w:val="16"/>
                <w:lang w:val="en-US"/>
              </w:rPr>
              <w:t>ntities</w:t>
            </w:r>
          </w:p>
        </w:tc>
      </w:tr>
      <w:tr w:rsidR="00FF6792" w:rsidRPr="00FA5128" w14:paraId="514F60EA" w14:textId="77777777" w:rsidTr="00C35180">
        <w:trPr>
          <w:trHeight w:val="57"/>
        </w:trPr>
        <w:tc>
          <w:tcPr>
            <w:tcW w:w="3085" w:type="dxa"/>
            <w:tcBorders>
              <w:top w:val="single" w:sz="12" w:space="0" w:color="001D77"/>
              <w:bottom w:val="single" w:sz="4" w:space="0" w:color="001D77"/>
            </w:tcBorders>
            <w:vAlign w:val="center"/>
          </w:tcPr>
          <w:p w14:paraId="65425AA7" w14:textId="77777777" w:rsidR="00FF6792" w:rsidRPr="004F483F" w:rsidRDefault="00FF6792" w:rsidP="00FF6792">
            <w:pPr>
              <w:pStyle w:val="Nagwek5"/>
              <w:tabs>
                <w:tab w:val="right" w:leader="dot" w:pos="4156"/>
              </w:tabs>
              <w:spacing w:before="0"/>
              <w:contextualSpacing/>
              <w:outlineLvl w:val="4"/>
              <w:rPr>
                <w:rFonts w:ascii="Fira Sans" w:hAnsi="Fira Sans"/>
                <w:b/>
                <w:color w:val="000000" w:themeColor="text1"/>
                <w:sz w:val="16"/>
                <w:szCs w:val="16"/>
                <w:lang w:val="en-US"/>
              </w:rPr>
            </w:pPr>
            <w:r w:rsidRPr="004F483F">
              <w:rPr>
                <w:rFonts w:ascii="Fira Sans" w:hAnsi="Fira Sans"/>
                <w:b/>
                <w:color w:val="000000" w:themeColor="text1"/>
                <w:sz w:val="16"/>
                <w:szCs w:val="16"/>
                <w:lang w:val="en-US"/>
              </w:rPr>
              <w:t>Total entities surveyed</w:t>
            </w:r>
          </w:p>
        </w:tc>
        <w:tc>
          <w:tcPr>
            <w:tcW w:w="1612" w:type="dxa"/>
            <w:tcBorders>
              <w:top w:val="single" w:sz="12" w:space="0" w:color="001D77"/>
              <w:bottom w:val="single" w:sz="4" w:space="0" w:color="001D77"/>
            </w:tcBorders>
            <w:vAlign w:val="center"/>
          </w:tcPr>
          <w:p w14:paraId="3D9CA77D" w14:textId="77777777" w:rsidR="00FF6792" w:rsidRPr="00FA5128" w:rsidRDefault="00FF6792" w:rsidP="00FF6792">
            <w:pPr>
              <w:jc w:val="right"/>
              <w:rPr>
                <w:rFonts w:cs="Arial"/>
                <w:b/>
                <w:color w:val="000000" w:themeColor="text1"/>
                <w:sz w:val="16"/>
                <w:szCs w:val="16"/>
              </w:rPr>
            </w:pPr>
            <w:r>
              <w:rPr>
                <w:rFonts w:cs="Arial"/>
                <w:b/>
                <w:color w:val="000000" w:themeColor="text1"/>
                <w:sz w:val="16"/>
                <w:szCs w:val="16"/>
              </w:rPr>
              <w:t>52</w:t>
            </w:r>
          </w:p>
        </w:tc>
        <w:tc>
          <w:tcPr>
            <w:tcW w:w="1613" w:type="dxa"/>
            <w:tcBorders>
              <w:top w:val="single" w:sz="12" w:space="0" w:color="001D77"/>
              <w:bottom w:val="single" w:sz="4" w:space="0" w:color="001D77"/>
            </w:tcBorders>
            <w:vAlign w:val="center"/>
          </w:tcPr>
          <w:p w14:paraId="3DD232B0" w14:textId="77777777" w:rsidR="00FF6792" w:rsidRPr="00FA5128" w:rsidRDefault="00FF6792" w:rsidP="00FF6792">
            <w:pPr>
              <w:jc w:val="right"/>
              <w:rPr>
                <w:rFonts w:cs="Arial"/>
                <w:b/>
                <w:color w:val="000000" w:themeColor="text1"/>
                <w:sz w:val="16"/>
                <w:szCs w:val="16"/>
              </w:rPr>
            </w:pPr>
            <w:r>
              <w:rPr>
                <w:rFonts w:cs="Arial"/>
                <w:b/>
                <w:color w:val="000000" w:themeColor="text1"/>
                <w:sz w:val="16"/>
                <w:szCs w:val="16"/>
              </w:rPr>
              <w:t>43</w:t>
            </w:r>
          </w:p>
        </w:tc>
        <w:tc>
          <w:tcPr>
            <w:tcW w:w="1613" w:type="dxa"/>
            <w:tcBorders>
              <w:top w:val="single" w:sz="12" w:space="0" w:color="001D77"/>
              <w:bottom w:val="single" w:sz="4" w:space="0" w:color="001D77"/>
            </w:tcBorders>
            <w:vAlign w:val="center"/>
          </w:tcPr>
          <w:p w14:paraId="43EF6054" w14:textId="77777777" w:rsidR="00FF6792" w:rsidRPr="00FA5128" w:rsidRDefault="00FF6792" w:rsidP="00FF6792">
            <w:pPr>
              <w:jc w:val="right"/>
              <w:rPr>
                <w:rFonts w:cs="Arial"/>
                <w:b/>
                <w:color w:val="000000" w:themeColor="text1"/>
                <w:sz w:val="16"/>
                <w:szCs w:val="16"/>
              </w:rPr>
            </w:pPr>
            <w:r>
              <w:rPr>
                <w:rFonts w:cs="Arial"/>
                <w:b/>
                <w:color w:val="000000" w:themeColor="text1"/>
                <w:sz w:val="16"/>
                <w:szCs w:val="16"/>
              </w:rPr>
              <w:t>9</w:t>
            </w:r>
          </w:p>
        </w:tc>
      </w:tr>
      <w:tr w:rsidR="00FF6792" w:rsidRPr="005E7160" w14:paraId="787AC35A" w14:textId="77777777" w:rsidTr="00C35180">
        <w:trPr>
          <w:trHeight w:val="57"/>
        </w:trPr>
        <w:tc>
          <w:tcPr>
            <w:tcW w:w="3085" w:type="dxa"/>
            <w:tcBorders>
              <w:top w:val="single" w:sz="4" w:space="0" w:color="001D77"/>
            </w:tcBorders>
            <w:vAlign w:val="center"/>
          </w:tcPr>
          <w:p w14:paraId="6D45C826" w14:textId="77777777" w:rsidR="00FF6792" w:rsidRPr="00C43A21" w:rsidRDefault="00FF6792" w:rsidP="00FF6792">
            <w:pPr>
              <w:pStyle w:val="Nagwek8"/>
              <w:tabs>
                <w:tab w:val="right" w:leader="dot" w:pos="4156"/>
              </w:tabs>
              <w:spacing w:before="0"/>
              <w:contextualSpacing/>
              <w:outlineLvl w:val="7"/>
              <w:rPr>
                <w:rFonts w:ascii="Fira Sans" w:hAnsi="Fira Sans"/>
                <w:color w:val="000000" w:themeColor="text1"/>
                <w:sz w:val="16"/>
                <w:szCs w:val="16"/>
                <w:lang w:val="en-US"/>
              </w:rPr>
            </w:pPr>
            <w:r w:rsidRPr="00C43A21">
              <w:rPr>
                <w:rFonts w:ascii="Fira Sans" w:hAnsi="Fira Sans"/>
                <w:color w:val="000000" w:themeColor="text1"/>
                <w:sz w:val="16"/>
                <w:szCs w:val="16"/>
                <w:lang w:val="en-US"/>
              </w:rPr>
              <w:t>Factoring – the only type of activity</w:t>
            </w:r>
          </w:p>
        </w:tc>
        <w:tc>
          <w:tcPr>
            <w:tcW w:w="1612" w:type="dxa"/>
            <w:tcBorders>
              <w:top w:val="single" w:sz="4" w:space="0" w:color="001D77"/>
            </w:tcBorders>
            <w:vAlign w:val="center"/>
          </w:tcPr>
          <w:p w14:paraId="291C3D29" w14:textId="77777777" w:rsidR="00FF6792" w:rsidRPr="005E7160" w:rsidRDefault="00FF6792" w:rsidP="00FF6792">
            <w:pPr>
              <w:jc w:val="right"/>
              <w:rPr>
                <w:rFonts w:cs="Arial"/>
                <w:color w:val="000000" w:themeColor="text1"/>
                <w:sz w:val="16"/>
                <w:szCs w:val="16"/>
              </w:rPr>
            </w:pPr>
            <w:r>
              <w:rPr>
                <w:rFonts w:cs="Arial"/>
                <w:color w:val="000000" w:themeColor="text1"/>
                <w:sz w:val="16"/>
                <w:szCs w:val="16"/>
              </w:rPr>
              <w:t>28</w:t>
            </w:r>
          </w:p>
        </w:tc>
        <w:tc>
          <w:tcPr>
            <w:tcW w:w="1613" w:type="dxa"/>
            <w:tcBorders>
              <w:top w:val="single" w:sz="4" w:space="0" w:color="001D77"/>
            </w:tcBorders>
            <w:vAlign w:val="center"/>
          </w:tcPr>
          <w:p w14:paraId="3B632257" w14:textId="77777777" w:rsidR="00FF6792" w:rsidRPr="005E7160" w:rsidRDefault="00FF6792" w:rsidP="00FF6792">
            <w:pPr>
              <w:jc w:val="right"/>
              <w:rPr>
                <w:rFonts w:cs="Arial"/>
                <w:color w:val="000000" w:themeColor="text1"/>
                <w:sz w:val="16"/>
                <w:szCs w:val="16"/>
              </w:rPr>
            </w:pPr>
            <w:r>
              <w:rPr>
                <w:rFonts w:cs="Arial"/>
                <w:color w:val="000000" w:themeColor="text1"/>
                <w:sz w:val="16"/>
                <w:szCs w:val="16"/>
              </w:rPr>
              <w:t>28</w:t>
            </w:r>
          </w:p>
        </w:tc>
        <w:tc>
          <w:tcPr>
            <w:tcW w:w="1613" w:type="dxa"/>
            <w:tcBorders>
              <w:top w:val="single" w:sz="4" w:space="0" w:color="001D77"/>
            </w:tcBorders>
            <w:vAlign w:val="center"/>
          </w:tcPr>
          <w:p w14:paraId="65293247" w14:textId="77777777" w:rsidR="00FF6792" w:rsidRPr="005E7160" w:rsidRDefault="00FF6792" w:rsidP="00FF6792">
            <w:pPr>
              <w:jc w:val="right"/>
              <w:rPr>
                <w:rFonts w:cs="Arial"/>
                <w:color w:val="000000" w:themeColor="text1"/>
                <w:sz w:val="16"/>
                <w:szCs w:val="16"/>
              </w:rPr>
            </w:pPr>
            <w:r>
              <w:rPr>
                <w:rFonts w:cs="Arial"/>
                <w:color w:val="000000" w:themeColor="text1"/>
                <w:sz w:val="16"/>
                <w:szCs w:val="16"/>
              </w:rPr>
              <w:t>-</w:t>
            </w:r>
          </w:p>
        </w:tc>
      </w:tr>
      <w:tr w:rsidR="00FF6792" w:rsidRPr="005E7160" w14:paraId="2FECD15E" w14:textId="77777777" w:rsidTr="00C35180">
        <w:trPr>
          <w:trHeight w:val="57"/>
        </w:trPr>
        <w:tc>
          <w:tcPr>
            <w:tcW w:w="3085" w:type="dxa"/>
            <w:vAlign w:val="center"/>
          </w:tcPr>
          <w:p w14:paraId="18A553AD" w14:textId="77777777" w:rsidR="00FF6792" w:rsidRPr="00C43A21" w:rsidRDefault="00FF6792" w:rsidP="00FF6792">
            <w:pPr>
              <w:pStyle w:val="Nagwek8"/>
              <w:tabs>
                <w:tab w:val="right" w:leader="dot" w:pos="4156"/>
              </w:tabs>
              <w:spacing w:before="0"/>
              <w:contextualSpacing/>
              <w:outlineLvl w:val="7"/>
              <w:rPr>
                <w:rFonts w:ascii="Fira Sans" w:hAnsi="Fira Sans"/>
                <w:color w:val="000000" w:themeColor="text1"/>
                <w:sz w:val="16"/>
                <w:szCs w:val="16"/>
                <w:lang w:val="en-US"/>
              </w:rPr>
            </w:pPr>
            <w:r w:rsidRPr="00C43A21">
              <w:rPr>
                <w:rFonts w:ascii="Fira Sans" w:hAnsi="Fira Sans"/>
                <w:color w:val="000000" w:themeColor="text1"/>
                <w:sz w:val="16"/>
                <w:szCs w:val="16"/>
                <w:lang w:val="en-US"/>
              </w:rPr>
              <w:t>Factoring – parent type of activity</w:t>
            </w:r>
          </w:p>
        </w:tc>
        <w:tc>
          <w:tcPr>
            <w:tcW w:w="1612" w:type="dxa"/>
            <w:vAlign w:val="center"/>
          </w:tcPr>
          <w:p w14:paraId="1987D09E" w14:textId="77777777" w:rsidR="00FF6792" w:rsidRPr="005E7160" w:rsidRDefault="00FF6792" w:rsidP="00FF6792">
            <w:pPr>
              <w:jc w:val="right"/>
              <w:rPr>
                <w:rFonts w:cs="Arial"/>
                <w:color w:val="000000" w:themeColor="text1"/>
                <w:sz w:val="16"/>
                <w:szCs w:val="16"/>
              </w:rPr>
            </w:pPr>
            <w:r>
              <w:rPr>
                <w:rFonts w:cs="Arial"/>
                <w:color w:val="000000" w:themeColor="text1"/>
                <w:sz w:val="16"/>
                <w:szCs w:val="16"/>
              </w:rPr>
              <w:t>3</w:t>
            </w:r>
          </w:p>
        </w:tc>
        <w:tc>
          <w:tcPr>
            <w:tcW w:w="1613" w:type="dxa"/>
            <w:vAlign w:val="center"/>
          </w:tcPr>
          <w:p w14:paraId="0A5AFCCB" w14:textId="77777777" w:rsidR="00FF6792" w:rsidRPr="005E7160" w:rsidRDefault="00FF6792" w:rsidP="00FF6792">
            <w:pPr>
              <w:jc w:val="right"/>
              <w:rPr>
                <w:rFonts w:cs="Arial"/>
                <w:color w:val="000000" w:themeColor="text1"/>
                <w:sz w:val="16"/>
                <w:szCs w:val="16"/>
              </w:rPr>
            </w:pPr>
            <w:r>
              <w:rPr>
                <w:rFonts w:cs="Arial"/>
                <w:color w:val="000000" w:themeColor="text1"/>
                <w:sz w:val="16"/>
                <w:szCs w:val="16"/>
              </w:rPr>
              <w:t>3</w:t>
            </w:r>
          </w:p>
        </w:tc>
        <w:tc>
          <w:tcPr>
            <w:tcW w:w="1613" w:type="dxa"/>
            <w:vAlign w:val="center"/>
          </w:tcPr>
          <w:p w14:paraId="5FA09E7B" w14:textId="77777777" w:rsidR="00FF6792" w:rsidRPr="005E7160" w:rsidRDefault="00FF6792" w:rsidP="00FF6792">
            <w:pPr>
              <w:jc w:val="right"/>
              <w:rPr>
                <w:rFonts w:cs="Arial"/>
                <w:color w:val="000000" w:themeColor="text1"/>
                <w:sz w:val="16"/>
                <w:szCs w:val="16"/>
              </w:rPr>
            </w:pPr>
            <w:r>
              <w:rPr>
                <w:rFonts w:cs="Arial"/>
                <w:color w:val="000000" w:themeColor="text1"/>
                <w:sz w:val="16"/>
                <w:szCs w:val="16"/>
              </w:rPr>
              <w:t>-</w:t>
            </w:r>
          </w:p>
        </w:tc>
      </w:tr>
      <w:tr w:rsidR="00FF6792" w:rsidRPr="005E7160" w14:paraId="3277768E" w14:textId="77777777" w:rsidTr="00C35180">
        <w:trPr>
          <w:trHeight w:val="57"/>
        </w:trPr>
        <w:tc>
          <w:tcPr>
            <w:tcW w:w="3085" w:type="dxa"/>
            <w:vAlign w:val="center"/>
          </w:tcPr>
          <w:p w14:paraId="2B28C037" w14:textId="77777777" w:rsidR="00FF6792" w:rsidRPr="005E7160" w:rsidRDefault="00FF6792" w:rsidP="00FF6792">
            <w:pPr>
              <w:pStyle w:val="Nagwek8"/>
              <w:tabs>
                <w:tab w:val="right" w:leader="dot" w:pos="4156"/>
              </w:tabs>
              <w:spacing w:before="0"/>
              <w:contextualSpacing/>
              <w:outlineLvl w:val="7"/>
              <w:rPr>
                <w:rFonts w:ascii="Fira Sans" w:hAnsi="Fira Sans"/>
                <w:color w:val="000000" w:themeColor="text1"/>
                <w:sz w:val="16"/>
                <w:szCs w:val="16"/>
              </w:rPr>
            </w:pPr>
            <w:r w:rsidRPr="00C43A21">
              <w:rPr>
                <w:rFonts w:ascii="Fira Sans" w:hAnsi="Fira Sans"/>
                <w:color w:val="000000" w:themeColor="text1"/>
                <w:sz w:val="16"/>
                <w:szCs w:val="16"/>
              </w:rPr>
              <w:t>Factoring – ancillary activity</w:t>
            </w:r>
          </w:p>
        </w:tc>
        <w:tc>
          <w:tcPr>
            <w:tcW w:w="1612" w:type="dxa"/>
            <w:vAlign w:val="center"/>
          </w:tcPr>
          <w:p w14:paraId="5562D93E" w14:textId="77777777" w:rsidR="00FF6792" w:rsidRPr="005E7160" w:rsidRDefault="00FF6792" w:rsidP="00FF6792">
            <w:pPr>
              <w:jc w:val="right"/>
              <w:rPr>
                <w:rFonts w:cs="Arial"/>
                <w:color w:val="000000" w:themeColor="text1"/>
                <w:sz w:val="16"/>
                <w:szCs w:val="16"/>
              </w:rPr>
            </w:pPr>
            <w:r>
              <w:rPr>
                <w:rFonts w:cs="Arial"/>
                <w:color w:val="000000" w:themeColor="text1"/>
                <w:sz w:val="16"/>
                <w:szCs w:val="16"/>
              </w:rPr>
              <w:t>21</w:t>
            </w:r>
          </w:p>
        </w:tc>
        <w:tc>
          <w:tcPr>
            <w:tcW w:w="1613" w:type="dxa"/>
            <w:vAlign w:val="center"/>
          </w:tcPr>
          <w:p w14:paraId="4C350281" w14:textId="77777777" w:rsidR="00FF6792" w:rsidRPr="005E7160" w:rsidRDefault="00FF6792" w:rsidP="00FF6792">
            <w:pPr>
              <w:jc w:val="right"/>
              <w:rPr>
                <w:rFonts w:cs="Arial"/>
                <w:color w:val="000000" w:themeColor="text1"/>
                <w:sz w:val="16"/>
                <w:szCs w:val="16"/>
              </w:rPr>
            </w:pPr>
            <w:r>
              <w:rPr>
                <w:rFonts w:cs="Arial"/>
                <w:color w:val="000000" w:themeColor="text1"/>
                <w:sz w:val="16"/>
                <w:szCs w:val="16"/>
              </w:rPr>
              <w:t>12</w:t>
            </w:r>
          </w:p>
        </w:tc>
        <w:tc>
          <w:tcPr>
            <w:tcW w:w="1613" w:type="dxa"/>
            <w:vAlign w:val="center"/>
          </w:tcPr>
          <w:p w14:paraId="28ADE6AE" w14:textId="77777777" w:rsidR="00FF6792" w:rsidRPr="005E7160" w:rsidRDefault="00FF6792" w:rsidP="00FF6792">
            <w:pPr>
              <w:jc w:val="right"/>
              <w:rPr>
                <w:rFonts w:cs="Arial"/>
                <w:color w:val="000000" w:themeColor="text1"/>
                <w:sz w:val="16"/>
                <w:szCs w:val="16"/>
              </w:rPr>
            </w:pPr>
            <w:r>
              <w:rPr>
                <w:rFonts w:cs="Arial"/>
                <w:color w:val="000000" w:themeColor="text1"/>
                <w:sz w:val="16"/>
                <w:szCs w:val="16"/>
              </w:rPr>
              <w:t>9</w:t>
            </w:r>
          </w:p>
        </w:tc>
      </w:tr>
    </w:tbl>
    <w:p w14:paraId="2C0BFB28" w14:textId="77777777" w:rsidR="00387093" w:rsidRDefault="00387093" w:rsidP="00387093">
      <w:pPr>
        <w:pStyle w:val="tytuwykresu"/>
        <w:ind w:left="567" w:hanging="567"/>
        <w:rPr>
          <w:shd w:val="clear" w:color="auto" w:fill="FFFFFF"/>
          <w:lang w:val="en"/>
        </w:rPr>
      </w:pPr>
      <w:r w:rsidRPr="00785F40">
        <w:rPr>
          <w:lang w:val="en-US"/>
        </w:rPr>
        <w:t>Table 1.</w:t>
      </w:r>
      <w:r w:rsidRPr="00785F40">
        <w:rPr>
          <w:shd w:val="clear" w:color="auto" w:fill="FFFFFF"/>
          <w:lang w:val="en-US"/>
        </w:rPr>
        <w:t xml:space="preserve"> </w:t>
      </w:r>
      <w:r w:rsidRPr="00B20874">
        <w:rPr>
          <w:shd w:val="clear" w:color="auto" w:fill="FFFFFF"/>
          <w:lang w:val="en-US"/>
        </w:rPr>
        <w:t>Activities of the surveyed entities</w:t>
      </w:r>
    </w:p>
    <w:p w14:paraId="62AEF1A4" w14:textId="77777777" w:rsidR="00387093" w:rsidRDefault="00387093" w:rsidP="00E97A00">
      <w:pPr>
        <w:pStyle w:val="HTML-wstpniesformatowany"/>
        <w:rPr>
          <w:rFonts w:ascii="Fira Sans" w:eastAsiaTheme="minorHAnsi" w:hAnsi="Fira Sans" w:cstheme="minorBidi"/>
          <w:sz w:val="19"/>
          <w:szCs w:val="22"/>
          <w:shd w:val="clear" w:color="auto" w:fill="FFFFFF"/>
          <w:lang w:val="en" w:eastAsia="en-US"/>
        </w:rPr>
      </w:pPr>
    </w:p>
    <w:p w14:paraId="6C78FEB0" w14:textId="6CC193D2" w:rsidR="00387093" w:rsidRPr="00A45EE5" w:rsidRDefault="00422086" w:rsidP="00387093">
      <w:pPr>
        <w:pStyle w:val="Nagwek1"/>
        <w:rPr>
          <w:rFonts w:ascii="Fira Sans" w:eastAsiaTheme="minorHAnsi" w:hAnsi="Fira Sans" w:cstheme="minorBidi"/>
          <w:bCs w:val="0"/>
          <w:color w:val="auto"/>
          <w:szCs w:val="22"/>
          <w:shd w:val="clear" w:color="auto" w:fill="FFFFFF"/>
          <w:lang w:val="en" w:eastAsia="en-US"/>
        </w:rPr>
      </w:pPr>
      <w:bookmarkStart w:id="1" w:name="_Hlk76487376"/>
      <w:r w:rsidRPr="00A45EE5">
        <w:rPr>
          <w:rFonts w:ascii="Fira Sans" w:eastAsiaTheme="minorHAnsi" w:hAnsi="Fira Sans" w:cstheme="minorBidi"/>
          <w:bCs w:val="0"/>
          <w:color w:val="auto"/>
          <w:szCs w:val="22"/>
          <w:shd w:val="clear" w:color="auto" w:fill="FFFFFF"/>
          <w:lang w:val="en" w:eastAsia="en-US"/>
        </w:rPr>
        <w:t xml:space="preserve">Among </w:t>
      </w:r>
      <w:r w:rsidR="00387093" w:rsidRPr="00A45EE5">
        <w:rPr>
          <w:rFonts w:ascii="Fira Sans" w:eastAsiaTheme="minorHAnsi" w:hAnsi="Fira Sans" w:cstheme="minorBidi"/>
          <w:bCs w:val="0"/>
          <w:color w:val="auto"/>
          <w:szCs w:val="22"/>
          <w:shd w:val="clear" w:color="auto" w:fill="FFFFFF"/>
          <w:lang w:val="en" w:eastAsia="en-US"/>
        </w:rPr>
        <w:t>the non-banking factoring enterprises, 2</w:t>
      </w:r>
      <w:r w:rsidR="00B537BA" w:rsidRPr="00A45EE5">
        <w:rPr>
          <w:rFonts w:ascii="Fira Sans" w:eastAsiaTheme="minorHAnsi" w:hAnsi="Fira Sans" w:cstheme="minorBidi"/>
          <w:bCs w:val="0"/>
          <w:color w:val="auto"/>
          <w:szCs w:val="22"/>
          <w:shd w:val="clear" w:color="auto" w:fill="FFFFFF"/>
          <w:lang w:val="en" w:eastAsia="en-US"/>
        </w:rPr>
        <w:t>5</w:t>
      </w:r>
      <w:r w:rsidR="00387093" w:rsidRPr="00A45EE5">
        <w:rPr>
          <w:rFonts w:ascii="Fira Sans" w:eastAsiaTheme="minorHAnsi" w:hAnsi="Fira Sans" w:cstheme="minorBidi"/>
          <w:bCs w:val="0"/>
          <w:color w:val="auto"/>
          <w:szCs w:val="22"/>
          <w:shd w:val="clear" w:color="auto" w:fill="FFFFFF"/>
          <w:lang w:val="en" w:eastAsia="en-US"/>
        </w:rPr>
        <w:t xml:space="preserve"> belonged to capital groups, </w:t>
      </w:r>
      <w:r w:rsidRPr="00A45EE5">
        <w:rPr>
          <w:rFonts w:ascii="Fira Sans" w:eastAsiaTheme="minorHAnsi" w:hAnsi="Fira Sans" w:cstheme="minorBidi"/>
          <w:bCs w:val="0"/>
          <w:color w:val="auto"/>
          <w:szCs w:val="22"/>
          <w:shd w:val="clear" w:color="auto" w:fill="FFFFFF"/>
          <w:lang w:val="en" w:eastAsia="en-US"/>
        </w:rPr>
        <w:t xml:space="preserve">of which </w:t>
      </w:r>
      <w:r w:rsidR="00387093" w:rsidRPr="00A45EE5">
        <w:rPr>
          <w:rFonts w:ascii="Fira Sans" w:eastAsiaTheme="minorHAnsi" w:hAnsi="Fira Sans" w:cstheme="minorBidi"/>
          <w:bCs w:val="0"/>
          <w:color w:val="auto"/>
          <w:szCs w:val="22"/>
          <w:shd w:val="clear" w:color="auto" w:fill="FFFFFF"/>
          <w:lang w:val="en" w:eastAsia="en-US"/>
        </w:rPr>
        <w:t>2</w:t>
      </w:r>
      <w:r w:rsidR="00B537BA" w:rsidRPr="00A45EE5">
        <w:rPr>
          <w:rFonts w:ascii="Fira Sans" w:eastAsiaTheme="minorHAnsi" w:hAnsi="Fira Sans" w:cstheme="minorBidi"/>
          <w:bCs w:val="0"/>
          <w:color w:val="auto"/>
          <w:szCs w:val="22"/>
          <w:shd w:val="clear" w:color="auto" w:fill="FFFFFF"/>
          <w:lang w:val="en" w:eastAsia="en-US"/>
        </w:rPr>
        <w:t>3</w:t>
      </w:r>
      <w:r w:rsidR="00387093" w:rsidRPr="00A45EE5">
        <w:rPr>
          <w:rFonts w:ascii="Fira Sans" w:eastAsiaTheme="minorHAnsi" w:hAnsi="Fira Sans" w:cstheme="minorBidi"/>
          <w:bCs w:val="0"/>
          <w:color w:val="auto"/>
          <w:szCs w:val="22"/>
          <w:shd w:val="clear" w:color="auto" w:fill="FFFFFF"/>
          <w:lang w:val="en" w:eastAsia="en-US"/>
        </w:rPr>
        <w:t xml:space="preserve"> were subsidiaries, </w:t>
      </w:r>
      <w:r w:rsidR="00B537BA" w:rsidRPr="00A45EE5">
        <w:rPr>
          <w:rFonts w:ascii="Fira Sans" w:eastAsiaTheme="minorHAnsi" w:hAnsi="Fira Sans" w:cstheme="minorBidi"/>
          <w:bCs w:val="0"/>
          <w:color w:val="auto"/>
          <w:szCs w:val="22"/>
          <w:shd w:val="clear" w:color="auto" w:fill="FFFFFF"/>
          <w:lang w:val="en" w:eastAsia="en-US"/>
        </w:rPr>
        <w:t>and two</w:t>
      </w:r>
      <w:r w:rsidR="00387093" w:rsidRPr="00A45EE5">
        <w:rPr>
          <w:rFonts w:ascii="Fira Sans" w:eastAsiaTheme="minorHAnsi" w:hAnsi="Fira Sans" w:cstheme="minorBidi"/>
          <w:bCs w:val="0"/>
          <w:color w:val="auto"/>
          <w:szCs w:val="22"/>
          <w:shd w:val="clear" w:color="auto" w:fill="FFFFFF"/>
          <w:lang w:val="en" w:eastAsia="en-US"/>
        </w:rPr>
        <w:t xml:space="preserve"> </w:t>
      </w:r>
      <w:r w:rsidR="00B537BA" w:rsidRPr="00A45EE5">
        <w:rPr>
          <w:rFonts w:ascii="Fira Sans" w:eastAsiaTheme="minorHAnsi" w:hAnsi="Fira Sans" w:cstheme="minorBidi"/>
          <w:bCs w:val="0"/>
          <w:color w:val="auto"/>
          <w:szCs w:val="22"/>
          <w:shd w:val="clear" w:color="auto" w:fill="FFFFFF"/>
          <w:lang w:val="en" w:eastAsia="en-US"/>
        </w:rPr>
        <w:t>were</w:t>
      </w:r>
      <w:r w:rsidRPr="00A45EE5">
        <w:rPr>
          <w:rFonts w:ascii="Fira Sans" w:eastAsiaTheme="minorHAnsi" w:hAnsi="Fira Sans" w:cstheme="minorBidi"/>
          <w:bCs w:val="0"/>
          <w:color w:val="auto"/>
          <w:szCs w:val="22"/>
          <w:shd w:val="clear" w:color="auto" w:fill="FFFFFF"/>
          <w:lang w:val="en" w:eastAsia="en-US"/>
        </w:rPr>
        <w:t xml:space="preserve"> </w:t>
      </w:r>
      <w:r w:rsidR="00387093" w:rsidRPr="00A45EE5">
        <w:rPr>
          <w:rFonts w:ascii="Fira Sans" w:eastAsiaTheme="minorHAnsi" w:hAnsi="Fira Sans" w:cstheme="minorBidi"/>
          <w:bCs w:val="0"/>
          <w:color w:val="auto"/>
          <w:szCs w:val="22"/>
          <w:shd w:val="clear" w:color="auto" w:fill="FFFFFF"/>
          <w:lang w:val="en" w:eastAsia="en-US"/>
        </w:rPr>
        <w:t>parent entit</w:t>
      </w:r>
      <w:r w:rsidR="001E3145">
        <w:rPr>
          <w:rFonts w:ascii="Fira Sans" w:eastAsiaTheme="minorHAnsi" w:hAnsi="Fira Sans" w:cstheme="minorBidi"/>
          <w:bCs w:val="0"/>
          <w:color w:val="auto"/>
          <w:szCs w:val="22"/>
          <w:shd w:val="clear" w:color="auto" w:fill="FFFFFF"/>
          <w:lang w:val="en" w:eastAsia="en-US"/>
        </w:rPr>
        <w:t>ies</w:t>
      </w:r>
      <w:r w:rsidR="00387093" w:rsidRPr="00A45EE5">
        <w:rPr>
          <w:rFonts w:ascii="Fira Sans" w:eastAsiaTheme="minorHAnsi" w:hAnsi="Fira Sans" w:cstheme="minorBidi"/>
          <w:bCs w:val="0"/>
          <w:color w:val="auto"/>
          <w:szCs w:val="22"/>
          <w:shd w:val="clear" w:color="auto" w:fill="FFFFFF"/>
          <w:lang w:val="en" w:eastAsia="en-US"/>
        </w:rPr>
        <w:t xml:space="preserve"> and three </w:t>
      </w:r>
      <w:r w:rsidRPr="00A45EE5">
        <w:rPr>
          <w:rFonts w:ascii="Fira Sans" w:eastAsiaTheme="minorHAnsi" w:hAnsi="Fira Sans" w:cstheme="minorBidi"/>
          <w:bCs w:val="0"/>
          <w:color w:val="auto"/>
          <w:szCs w:val="22"/>
          <w:shd w:val="clear" w:color="auto" w:fill="FFFFFF"/>
          <w:lang w:val="en" w:eastAsia="en-US"/>
        </w:rPr>
        <w:t xml:space="preserve">were </w:t>
      </w:r>
      <w:r w:rsidR="00387093" w:rsidRPr="00A45EE5">
        <w:rPr>
          <w:rFonts w:ascii="Fira Sans" w:eastAsiaTheme="minorHAnsi" w:hAnsi="Fira Sans" w:cstheme="minorBidi"/>
          <w:bCs w:val="0"/>
          <w:color w:val="auto"/>
          <w:szCs w:val="22"/>
          <w:shd w:val="clear" w:color="auto" w:fill="FFFFFF"/>
          <w:lang w:val="en" w:eastAsia="en-US"/>
        </w:rPr>
        <w:t xml:space="preserve">parent and subsidiary entities simultaneously. </w:t>
      </w:r>
      <w:r w:rsidRPr="00A45EE5">
        <w:rPr>
          <w:rFonts w:ascii="Fira Sans" w:eastAsiaTheme="minorHAnsi" w:hAnsi="Fira Sans" w:cstheme="minorBidi"/>
          <w:bCs w:val="0"/>
          <w:color w:val="auto"/>
          <w:szCs w:val="22"/>
          <w:shd w:val="clear" w:color="auto" w:fill="FFFFFF"/>
          <w:lang w:val="en" w:eastAsia="en-US"/>
        </w:rPr>
        <w:t>A</w:t>
      </w:r>
      <w:r w:rsidR="00387093" w:rsidRPr="00A45EE5">
        <w:rPr>
          <w:rFonts w:ascii="Fira Sans" w:eastAsiaTheme="minorHAnsi" w:hAnsi="Fira Sans" w:cstheme="minorBidi"/>
          <w:bCs w:val="0"/>
          <w:color w:val="auto"/>
          <w:szCs w:val="22"/>
          <w:shd w:val="clear" w:color="auto" w:fill="FFFFFF"/>
          <w:lang w:val="en" w:eastAsia="en-US"/>
        </w:rPr>
        <w:t xml:space="preserve">mong the examined banks, </w:t>
      </w:r>
      <w:r w:rsidR="00B537BA" w:rsidRPr="00A45EE5">
        <w:rPr>
          <w:rFonts w:ascii="Fira Sans" w:eastAsiaTheme="minorHAnsi" w:hAnsi="Fira Sans" w:cstheme="minorBidi"/>
          <w:bCs w:val="0"/>
          <w:color w:val="auto"/>
          <w:szCs w:val="22"/>
          <w:shd w:val="clear" w:color="auto" w:fill="FFFFFF"/>
          <w:lang w:val="en" w:eastAsia="en-US"/>
        </w:rPr>
        <w:t>8</w:t>
      </w:r>
      <w:r w:rsidR="00387093" w:rsidRPr="00A45EE5">
        <w:rPr>
          <w:rFonts w:ascii="Fira Sans" w:eastAsiaTheme="minorHAnsi" w:hAnsi="Fira Sans" w:cstheme="minorBidi"/>
          <w:bCs w:val="0"/>
          <w:color w:val="auto"/>
          <w:szCs w:val="22"/>
          <w:shd w:val="clear" w:color="auto" w:fill="FFFFFF"/>
          <w:lang w:val="en" w:eastAsia="en-US"/>
        </w:rPr>
        <w:t xml:space="preserve"> belonged to capital groups.</w:t>
      </w:r>
    </w:p>
    <w:bookmarkEnd w:id="1"/>
    <w:p w14:paraId="78CF852B" w14:textId="77777777" w:rsidR="00387093" w:rsidRPr="00387093" w:rsidRDefault="00387093" w:rsidP="00387093">
      <w:pPr>
        <w:pStyle w:val="Nagwek1"/>
        <w:rPr>
          <w:rFonts w:ascii="Fira Sans" w:eastAsiaTheme="minorHAnsi" w:hAnsi="Fira Sans" w:cstheme="minorBidi"/>
          <w:bCs w:val="0"/>
          <w:color w:val="auto"/>
          <w:szCs w:val="22"/>
          <w:shd w:val="clear" w:color="auto" w:fill="FFFFFF"/>
          <w:lang w:val="en" w:eastAsia="en-US"/>
        </w:rPr>
      </w:pPr>
      <w:r w:rsidRPr="00387093">
        <w:rPr>
          <w:rFonts w:ascii="Fira Sans" w:eastAsiaTheme="minorHAnsi" w:hAnsi="Fira Sans" w:cstheme="minorBidi"/>
          <w:bCs w:val="0"/>
          <w:color w:val="auto"/>
          <w:szCs w:val="22"/>
          <w:shd w:val="clear" w:color="auto" w:fill="FFFFFF"/>
          <w:lang w:val="en" w:eastAsia="en-US"/>
        </w:rPr>
        <w:t>In thirty-three non-bank</w:t>
      </w:r>
      <w:r w:rsidR="00422086">
        <w:rPr>
          <w:rFonts w:ascii="Fira Sans" w:eastAsiaTheme="minorHAnsi" w:hAnsi="Fira Sans" w:cstheme="minorBidi"/>
          <w:bCs w:val="0"/>
          <w:color w:val="auto"/>
          <w:szCs w:val="22"/>
          <w:shd w:val="clear" w:color="auto" w:fill="FFFFFF"/>
          <w:lang w:val="en" w:eastAsia="en-US"/>
        </w:rPr>
        <w:t>ing</w:t>
      </w:r>
      <w:r w:rsidRPr="00387093">
        <w:rPr>
          <w:rFonts w:ascii="Fira Sans" w:eastAsiaTheme="minorHAnsi" w:hAnsi="Fira Sans" w:cstheme="minorBidi"/>
          <w:bCs w:val="0"/>
          <w:color w:val="auto"/>
          <w:szCs w:val="22"/>
          <w:shd w:val="clear" w:color="auto" w:fill="FFFFFF"/>
          <w:lang w:val="en" w:eastAsia="en-US"/>
        </w:rPr>
        <w:t xml:space="preserve"> factoring enterprises, domestic capital dominated, in </w:t>
      </w:r>
      <w:r w:rsidR="00B537BA">
        <w:rPr>
          <w:rFonts w:ascii="Fira Sans" w:eastAsiaTheme="minorHAnsi" w:hAnsi="Fira Sans" w:cstheme="minorBidi"/>
          <w:bCs w:val="0"/>
          <w:color w:val="auto"/>
          <w:szCs w:val="22"/>
          <w:shd w:val="clear" w:color="auto" w:fill="FFFFFF"/>
          <w:lang w:val="en" w:eastAsia="en-US"/>
        </w:rPr>
        <w:t>nine</w:t>
      </w:r>
      <w:r w:rsidRPr="00387093">
        <w:rPr>
          <w:rFonts w:ascii="Fira Sans" w:eastAsiaTheme="minorHAnsi" w:hAnsi="Fira Sans" w:cstheme="minorBidi"/>
          <w:bCs w:val="0"/>
          <w:color w:val="auto"/>
          <w:szCs w:val="22"/>
          <w:shd w:val="clear" w:color="auto" w:fill="FFFFFF"/>
          <w:lang w:val="en" w:eastAsia="en-US"/>
        </w:rPr>
        <w:t xml:space="preserve"> </w:t>
      </w:r>
      <w:r w:rsidR="00F00ABE">
        <w:rPr>
          <w:rFonts w:ascii="Fira Sans" w:eastAsiaTheme="minorHAnsi" w:hAnsi="Fira Sans" w:cstheme="minorBidi"/>
          <w:bCs w:val="0"/>
          <w:color w:val="auto"/>
          <w:szCs w:val="22"/>
          <w:shd w:val="clear" w:color="auto" w:fill="FFFFFF"/>
          <w:lang w:val="en" w:eastAsia="en-US"/>
        </w:rPr>
        <w:t xml:space="preserve">- </w:t>
      </w:r>
      <w:r w:rsidRPr="00387093">
        <w:rPr>
          <w:rFonts w:ascii="Fira Sans" w:eastAsiaTheme="minorHAnsi" w:hAnsi="Fira Sans" w:cstheme="minorBidi"/>
          <w:bCs w:val="0"/>
          <w:color w:val="auto"/>
          <w:szCs w:val="22"/>
          <w:shd w:val="clear" w:color="auto" w:fill="FFFFFF"/>
          <w:lang w:val="en" w:eastAsia="en-US"/>
        </w:rPr>
        <w:t>foreign capital, while one enterprise had a 50% share of domestic and foreign capital. In the group of non-banking factoring enterprises, joint-stock companies (2</w:t>
      </w:r>
      <w:r w:rsidR="00B537BA">
        <w:rPr>
          <w:rFonts w:ascii="Fira Sans" w:eastAsiaTheme="minorHAnsi" w:hAnsi="Fira Sans" w:cstheme="minorBidi"/>
          <w:bCs w:val="0"/>
          <w:color w:val="auto"/>
          <w:szCs w:val="22"/>
          <w:shd w:val="clear" w:color="auto" w:fill="FFFFFF"/>
          <w:lang w:val="en" w:eastAsia="en-US"/>
        </w:rPr>
        <w:t>2</w:t>
      </w:r>
      <w:r w:rsidRPr="00387093">
        <w:rPr>
          <w:rFonts w:ascii="Fira Sans" w:eastAsiaTheme="minorHAnsi" w:hAnsi="Fira Sans" w:cstheme="minorBidi"/>
          <w:bCs w:val="0"/>
          <w:color w:val="auto"/>
          <w:szCs w:val="22"/>
          <w:shd w:val="clear" w:color="auto" w:fill="FFFFFF"/>
          <w:lang w:val="en" w:eastAsia="en-US"/>
        </w:rPr>
        <w:t xml:space="preserve"> units) and limited liability companies (</w:t>
      </w:r>
      <w:r w:rsidR="00B537BA">
        <w:rPr>
          <w:rFonts w:ascii="Fira Sans" w:eastAsiaTheme="minorHAnsi" w:hAnsi="Fira Sans" w:cstheme="minorBidi"/>
          <w:bCs w:val="0"/>
          <w:color w:val="auto"/>
          <w:szCs w:val="22"/>
          <w:shd w:val="clear" w:color="auto" w:fill="FFFFFF"/>
          <w:lang w:val="en" w:eastAsia="en-US"/>
        </w:rPr>
        <w:t>19</w:t>
      </w:r>
      <w:r w:rsidRPr="00387093">
        <w:rPr>
          <w:rFonts w:ascii="Fira Sans" w:eastAsiaTheme="minorHAnsi" w:hAnsi="Fira Sans" w:cstheme="minorBidi"/>
          <w:bCs w:val="0"/>
          <w:color w:val="auto"/>
          <w:szCs w:val="22"/>
          <w:shd w:val="clear" w:color="auto" w:fill="FFFFFF"/>
          <w:lang w:val="en" w:eastAsia="en-US"/>
        </w:rPr>
        <w:t xml:space="preserve"> units) dominated, two enterprises had a different organizational form.</w:t>
      </w:r>
    </w:p>
    <w:p w14:paraId="4C34BDBA" w14:textId="77777777" w:rsidR="00387093" w:rsidRDefault="00701C71" w:rsidP="00387093">
      <w:pPr>
        <w:pStyle w:val="Nagwek1"/>
        <w:rPr>
          <w:rFonts w:ascii="Fira Sans" w:eastAsiaTheme="minorHAnsi" w:hAnsi="Fira Sans" w:cstheme="minorBidi"/>
          <w:bCs w:val="0"/>
          <w:color w:val="auto"/>
          <w:szCs w:val="22"/>
          <w:shd w:val="clear" w:color="auto" w:fill="FFFFFF"/>
          <w:lang w:val="en" w:eastAsia="en-US"/>
        </w:rPr>
      </w:pPr>
      <w:r w:rsidRPr="00701C71">
        <w:rPr>
          <w:rFonts w:ascii="Fira Sans" w:eastAsiaTheme="minorHAnsi" w:hAnsi="Fira Sans" w:cstheme="minorBidi"/>
          <w:b/>
          <w:bCs w:val="0"/>
          <w:noProof/>
          <w:color w:val="auto"/>
          <w:spacing w:val="-2"/>
          <w:szCs w:val="19"/>
        </w:rPr>
        <mc:AlternateContent>
          <mc:Choice Requires="wps">
            <w:drawing>
              <wp:anchor distT="45720" distB="45720" distL="114300" distR="114300" simplePos="0" relativeHeight="251657728" behindDoc="1" locked="0" layoutInCell="1" allowOverlap="1" wp14:anchorId="4AE8F43A" wp14:editId="65EE2564">
                <wp:simplePos x="0" y="0"/>
                <wp:positionH relativeFrom="column">
                  <wp:posOffset>5303520</wp:posOffset>
                </wp:positionH>
                <wp:positionV relativeFrom="paragraph">
                  <wp:posOffset>525780</wp:posOffset>
                </wp:positionV>
                <wp:extent cx="1725295" cy="831850"/>
                <wp:effectExtent l="0" t="0" r="0" b="6350"/>
                <wp:wrapTight wrapText="bothSides">
                  <wp:wrapPolygon edited="0">
                    <wp:start x="715" y="0"/>
                    <wp:lineTo x="715" y="21270"/>
                    <wp:lineTo x="20749" y="21270"/>
                    <wp:lineTo x="20749" y="0"/>
                    <wp:lineTo x="715" y="0"/>
                  </wp:wrapPolygon>
                </wp:wrapTight>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2ACAEC18" w14:textId="77777777" w:rsidR="00701C71" w:rsidRPr="00785F40" w:rsidRDefault="00701C71" w:rsidP="00701C71">
                            <w:pPr>
                              <w:spacing w:after="0"/>
                              <w:rPr>
                                <w:rFonts w:eastAsia="Times New Roman" w:cs="Times New Roman"/>
                                <w:bCs/>
                                <w:color w:val="001D77"/>
                                <w:sz w:val="18"/>
                                <w:szCs w:val="18"/>
                                <w:lang w:val="en-US" w:eastAsia="pl-PL"/>
                              </w:rPr>
                            </w:pPr>
                            <w:r w:rsidRPr="00701C71">
                              <w:rPr>
                                <w:rFonts w:eastAsia="Times New Roman" w:cs="Times New Roman"/>
                                <w:bCs/>
                                <w:color w:val="001D77"/>
                                <w:sz w:val="18"/>
                                <w:szCs w:val="18"/>
                                <w:lang w:val="en" w:eastAsia="pl-PL"/>
                              </w:rPr>
                              <w:t>26 factoring companies surveyed noticed the impact of the "coronavirus" pandemic on their activities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E8F43A" id="Pole tekstowe 13" o:spid="_x0000_s1028" type="#_x0000_t202" style="position:absolute;margin-left:417.6pt;margin-top:41.4pt;width:135.85pt;height:65.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" filled="f" stroked="f">
                <v:textbox>
                  <w:txbxContent>
                    <w:p w14:paraId="2ACAEC18" w14:textId="77777777" w:rsidR="00701C71" w:rsidRPr="00785F40" w:rsidRDefault="00701C71" w:rsidP="00701C71">
                      <w:pPr>
                        <w:spacing w:after="0"/>
                        <w:rPr>
                          <w:rFonts w:eastAsia="Times New Roman" w:cs="Times New Roman"/>
                          <w:bCs/>
                          <w:color w:val="001D77"/>
                          <w:sz w:val="18"/>
                          <w:szCs w:val="18"/>
                          <w:lang w:val="en-US" w:eastAsia="pl-PL"/>
                        </w:rPr>
                      </w:pPr>
                      <w:r w:rsidRPr="00701C71">
                        <w:rPr>
                          <w:rFonts w:eastAsia="Times New Roman" w:cs="Times New Roman"/>
                          <w:bCs/>
                          <w:color w:val="001D77"/>
                          <w:sz w:val="18"/>
                          <w:szCs w:val="18"/>
                          <w:lang w:val="en" w:eastAsia="pl-PL"/>
                        </w:rPr>
                        <w:t>26 factoring companies surveyed noticed the impact of the "coronavirus" pandemic on their activities</w:t>
                      </w:r>
                    </w:p>
                  </w:txbxContent>
                </v:textbox>
                <w10:wrap type="tight"/>
              </v:shape>
            </w:pict>
          </mc:Fallback>
        </mc:AlternateContent>
      </w:r>
      <w:r w:rsidR="00387093" w:rsidRPr="00387093">
        <w:rPr>
          <w:rFonts w:ascii="Fira Sans" w:eastAsiaTheme="minorHAnsi" w:hAnsi="Fira Sans" w:cstheme="minorBidi"/>
          <w:bCs w:val="0"/>
          <w:color w:val="auto"/>
          <w:szCs w:val="22"/>
          <w:shd w:val="clear" w:color="auto" w:fill="FFFFFF"/>
          <w:lang w:val="en" w:eastAsia="en-US"/>
        </w:rPr>
        <w:t>Non-bank</w:t>
      </w:r>
      <w:r w:rsidR="00F00ABE">
        <w:rPr>
          <w:rFonts w:ascii="Fira Sans" w:eastAsiaTheme="minorHAnsi" w:hAnsi="Fira Sans" w:cstheme="minorBidi"/>
          <w:bCs w:val="0"/>
          <w:color w:val="auto"/>
          <w:szCs w:val="22"/>
          <w:shd w:val="clear" w:color="auto" w:fill="FFFFFF"/>
          <w:lang w:val="en" w:eastAsia="en-US"/>
        </w:rPr>
        <w:t>ing</w:t>
      </w:r>
      <w:r w:rsidR="00387093" w:rsidRPr="00387093">
        <w:rPr>
          <w:rFonts w:ascii="Fira Sans" w:eastAsiaTheme="minorHAnsi" w:hAnsi="Fira Sans" w:cstheme="minorBidi"/>
          <w:bCs w:val="0"/>
          <w:color w:val="auto"/>
          <w:szCs w:val="22"/>
          <w:shd w:val="clear" w:color="auto" w:fill="FFFFFF"/>
          <w:lang w:val="en" w:eastAsia="en-US"/>
        </w:rPr>
        <w:t xml:space="preserve"> factoring companies employed 1,</w:t>
      </w:r>
      <w:r>
        <w:rPr>
          <w:rFonts w:ascii="Fira Sans" w:eastAsiaTheme="minorHAnsi" w:hAnsi="Fira Sans" w:cstheme="minorBidi"/>
          <w:bCs w:val="0"/>
          <w:color w:val="auto"/>
          <w:szCs w:val="22"/>
          <w:shd w:val="clear" w:color="auto" w:fill="FFFFFF"/>
          <w:lang w:val="en" w:eastAsia="en-US"/>
        </w:rPr>
        <w:t>407</w:t>
      </w:r>
      <w:r w:rsidR="00387093" w:rsidRPr="00387093">
        <w:rPr>
          <w:rFonts w:ascii="Fira Sans" w:eastAsiaTheme="minorHAnsi" w:hAnsi="Fira Sans" w:cstheme="minorBidi"/>
          <w:bCs w:val="0"/>
          <w:color w:val="auto"/>
          <w:szCs w:val="22"/>
          <w:shd w:val="clear" w:color="auto" w:fill="FFFFFF"/>
          <w:lang w:val="en" w:eastAsia="en-US"/>
        </w:rPr>
        <w:t xml:space="preserve"> people on the basis of an employment contract, 11</w:t>
      </w:r>
      <w:r>
        <w:rPr>
          <w:rFonts w:ascii="Fira Sans" w:eastAsiaTheme="minorHAnsi" w:hAnsi="Fira Sans" w:cstheme="minorBidi"/>
          <w:bCs w:val="0"/>
          <w:color w:val="auto"/>
          <w:szCs w:val="22"/>
          <w:shd w:val="clear" w:color="auto" w:fill="FFFFFF"/>
          <w:lang w:val="en" w:eastAsia="en-US"/>
        </w:rPr>
        <w:t>3</w:t>
      </w:r>
      <w:r w:rsidR="00387093" w:rsidRPr="00387093">
        <w:rPr>
          <w:rFonts w:ascii="Fira Sans" w:eastAsiaTheme="minorHAnsi" w:hAnsi="Fira Sans" w:cstheme="minorBidi"/>
          <w:bCs w:val="0"/>
          <w:color w:val="auto"/>
          <w:szCs w:val="22"/>
          <w:shd w:val="clear" w:color="auto" w:fill="FFFFFF"/>
          <w:lang w:val="en" w:eastAsia="en-US"/>
        </w:rPr>
        <w:t xml:space="preserve"> based on a mandate contract, agency contract or specific work contract, and 25</w:t>
      </w:r>
      <w:r>
        <w:rPr>
          <w:rFonts w:ascii="Fira Sans" w:eastAsiaTheme="minorHAnsi" w:hAnsi="Fira Sans" w:cstheme="minorBidi"/>
          <w:bCs w:val="0"/>
          <w:color w:val="auto"/>
          <w:szCs w:val="22"/>
          <w:shd w:val="clear" w:color="auto" w:fill="FFFFFF"/>
          <w:lang w:val="en" w:eastAsia="en-US"/>
        </w:rPr>
        <w:t>4</w:t>
      </w:r>
      <w:r w:rsidR="00387093" w:rsidRPr="00387093">
        <w:rPr>
          <w:rFonts w:ascii="Fira Sans" w:eastAsiaTheme="minorHAnsi" w:hAnsi="Fira Sans" w:cstheme="minorBidi"/>
          <w:bCs w:val="0"/>
          <w:color w:val="auto"/>
          <w:szCs w:val="22"/>
          <w:shd w:val="clear" w:color="auto" w:fill="FFFFFF"/>
          <w:lang w:val="en" w:eastAsia="en-US"/>
        </w:rPr>
        <w:t xml:space="preserve"> based on the Business Activity Act. The distribution network consisted of a total of 34</w:t>
      </w:r>
      <w:r>
        <w:rPr>
          <w:rFonts w:ascii="Fira Sans" w:eastAsiaTheme="minorHAnsi" w:hAnsi="Fira Sans" w:cstheme="minorBidi"/>
          <w:bCs w:val="0"/>
          <w:color w:val="auto"/>
          <w:szCs w:val="22"/>
          <w:shd w:val="clear" w:color="auto" w:fill="FFFFFF"/>
          <w:lang w:val="en" w:eastAsia="en-US"/>
        </w:rPr>
        <w:t>2</w:t>
      </w:r>
      <w:r w:rsidR="00387093" w:rsidRPr="00387093">
        <w:rPr>
          <w:rFonts w:ascii="Fira Sans" w:eastAsiaTheme="minorHAnsi" w:hAnsi="Fira Sans" w:cstheme="minorBidi"/>
          <w:bCs w:val="0"/>
          <w:color w:val="auto"/>
          <w:szCs w:val="22"/>
          <w:shd w:val="clear" w:color="auto" w:fill="FFFFFF"/>
          <w:lang w:val="en" w:eastAsia="en-US"/>
        </w:rPr>
        <w:t xml:space="preserve"> branches, representative offices and </w:t>
      </w:r>
      <w:r w:rsidR="00F00ABE">
        <w:rPr>
          <w:rFonts w:ascii="Fira Sans" w:eastAsiaTheme="minorHAnsi" w:hAnsi="Fira Sans" w:cstheme="minorBidi"/>
          <w:bCs w:val="0"/>
          <w:color w:val="auto"/>
          <w:szCs w:val="22"/>
          <w:shd w:val="clear" w:color="auto" w:fill="FFFFFF"/>
          <w:lang w:val="en" w:eastAsia="en-US"/>
        </w:rPr>
        <w:t>affiliate</w:t>
      </w:r>
      <w:r w:rsidR="00F00ABE" w:rsidRPr="00387093">
        <w:rPr>
          <w:rFonts w:ascii="Fira Sans" w:eastAsiaTheme="minorHAnsi" w:hAnsi="Fira Sans" w:cstheme="minorBidi"/>
          <w:bCs w:val="0"/>
          <w:color w:val="auto"/>
          <w:szCs w:val="22"/>
          <w:shd w:val="clear" w:color="auto" w:fill="FFFFFF"/>
          <w:lang w:val="en" w:eastAsia="en-US"/>
        </w:rPr>
        <w:t>s</w:t>
      </w:r>
      <w:r w:rsidR="00B86A48">
        <w:rPr>
          <w:rFonts w:ascii="Fira Sans" w:eastAsiaTheme="minorHAnsi" w:hAnsi="Fira Sans" w:cstheme="minorBidi"/>
          <w:bCs w:val="0"/>
          <w:color w:val="auto"/>
          <w:szCs w:val="22"/>
          <w:shd w:val="clear" w:color="auto" w:fill="FFFFFF"/>
          <w:lang w:val="en" w:eastAsia="en-US"/>
        </w:rPr>
        <w:t>.</w:t>
      </w:r>
    </w:p>
    <w:p w14:paraId="1E5F7332" w14:textId="1946AE79" w:rsidR="00701C71" w:rsidRPr="00021CE9" w:rsidRDefault="00701C71" w:rsidP="00701C71">
      <w:pPr>
        <w:rPr>
          <w:color w:val="1F3864" w:themeColor="accent5" w:themeShade="80"/>
          <w:lang w:val="en"/>
        </w:rPr>
      </w:pPr>
      <w:bookmarkStart w:id="2" w:name="_Hlk76487451"/>
      <w:r w:rsidRPr="00021CE9">
        <w:rPr>
          <w:color w:val="1F3864" w:themeColor="accent5" w:themeShade="80"/>
          <w:lang w:val="en"/>
        </w:rPr>
        <w:t xml:space="preserve">Twenty-six of the surveyed </w:t>
      </w:r>
      <w:r w:rsidR="001E3145" w:rsidRPr="00021CE9">
        <w:rPr>
          <w:color w:val="1F3864" w:themeColor="accent5" w:themeShade="80"/>
          <w:lang w:val="en"/>
        </w:rPr>
        <w:t xml:space="preserve">factoring </w:t>
      </w:r>
      <w:r w:rsidRPr="00021CE9">
        <w:rPr>
          <w:color w:val="1F3864" w:themeColor="accent5" w:themeShade="80"/>
          <w:lang w:val="en"/>
        </w:rPr>
        <w:t xml:space="preserve">companies have observed the impact of </w:t>
      </w:r>
      <w:r w:rsidR="001E3145" w:rsidRPr="00021CE9">
        <w:rPr>
          <w:color w:val="1F3864" w:themeColor="accent5" w:themeShade="80"/>
          <w:lang w:val="en"/>
        </w:rPr>
        <w:t xml:space="preserve">“coronavirus” pandemic </w:t>
      </w:r>
      <w:r w:rsidRPr="00021CE9">
        <w:rPr>
          <w:color w:val="1F3864" w:themeColor="accent5" w:themeShade="80"/>
          <w:lang w:val="en"/>
        </w:rPr>
        <w:t>on their business, of which 18 companies rated it as "slightly negative", 6 as a "major negative", one</w:t>
      </w:r>
      <w:r w:rsidR="001E3145" w:rsidRPr="00021CE9">
        <w:rPr>
          <w:color w:val="1F3864" w:themeColor="accent5" w:themeShade="80"/>
          <w:lang w:val="en"/>
        </w:rPr>
        <w:t xml:space="preserve"> as</w:t>
      </w:r>
      <w:r w:rsidRPr="00021CE9">
        <w:rPr>
          <w:color w:val="1F3864" w:themeColor="accent5" w:themeShade="80"/>
          <w:lang w:val="en"/>
        </w:rPr>
        <w:t xml:space="preserve"> threatening the stability of the company and one as "slightly positive"</w:t>
      </w:r>
    </w:p>
    <w:bookmarkEnd w:id="2"/>
    <w:p w14:paraId="4ED30AD9" w14:textId="77777777" w:rsidR="00701C71" w:rsidRPr="00701C71" w:rsidRDefault="00701C71" w:rsidP="00701C71">
      <w:pPr>
        <w:rPr>
          <w:lang w:val="en"/>
        </w:rPr>
      </w:pPr>
    </w:p>
    <w:p w14:paraId="1153FDD4" w14:textId="77777777" w:rsidR="00DC02DB" w:rsidRPr="00785F40" w:rsidRDefault="00DC02DB" w:rsidP="00DC02DB">
      <w:pPr>
        <w:pStyle w:val="Nagwek1"/>
        <w:rPr>
          <w:b/>
          <w:noProof/>
          <w:color w:val="212492"/>
          <w:spacing w:val="-2"/>
          <w:lang w:val="en-US"/>
        </w:rPr>
      </w:pPr>
      <w:r w:rsidRPr="00987586">
        <w:rPr>
          <w:b/>
          <w:noProof/>
          <w:color w:val="212492"/>
          <w:spacing w:val="-2"/>
        </w:rPr>
        <w:lastRenderedPageBreak/>
        <mc:AlternateContent>
          <mc:Choice Requires="wps">
            <w:drawing>
              <wp:anchor distT="45720" distB="45720" distL="114300" distR="114300" simplePos="0" relativeHeight="251737088" behindDoc="1" locked="0" layoutInCell="1" allowOverlap="1" wp14:anchorId="7C1D62BD" wp14:editId="0E61DEB4">
                <wp:simplePos x="0" y="0"/>
                <wp:positionH relativeFrom="column">
                  <wp:posOffset>5248275</wp:posOffset>
                </wp:positionH>
                <wp:positionV relativeFrom="paragraph">
                  <wp:posOffset>168275</wp:posOffset>
                </wp:positionV>
                <wp:extent cx="1725295" cy="1057275"/>
                <wp:effectExtent l="0" t="0" r="0" b="0"/>
                <wp:wrapTight wrapText="bothSides">
                  <wp:wrapPolygon edited="0">
                    <wp:start x="715" y="0"/>
                    <wp:lineTo x="715" y="21016"/>
                    <wp:lineTo x="20749" y="21016"/>
                    <wp:lineTo x="20749" y="0"/>
                    <wp:lineTo x="715"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57275"/>
                        </a:xfrm>
                        <a:prstGeom prst="rect">
                          <a:avLst/>
                        </a:prstGeom>
                        <a:noFill/>
                        <a:ln w="9525">
                          <a:noFill/>
                          <a:miter lim="800000"/>
                          <a:headEnd/>
                          <a:tailEnd/>
                        </a:ln>
                      </wps:spPr>
                      <wps:txbx>
                        <w:txbxContent>
                          <w:p w14:paraId="5CCDEA2F" w14:textId="77777777" w:rsidR="000C4EE5" w:rsidRPr="00785F40" w:rsidRDefault="004F483F" w:rsidP="00711EEC">
                            <w:pPr>
                              <w:pStyle w:val="tekstzboku"/>
                              <w:rPr>
                                <w:lang w:val="en-US"/>
                              </w:rPr>
                            </w:pPr>
                            <w:r>
                              <w:rPr>
                                <w:lang w:val="en"/>
                              </w:rPr>
                              <w:t>2</w:t>
                            </w:r>
                            <w:r w:rsidR="00701C71">
                              <w:rPr>
                                <w:lang w:val="en"/>
                              </w:rPr>
                              <w:t>1</w:t>
                            </w:r>
                            <w:r w:rsidRPr="004F483F">
                              <w:rPr>
                                <w:lang w:val="en"/>
                              </w:rPr>
                              <w:t>.</w:t>
                            </w:r>
                            <w:r w:rsidR="00701C71">
                              <w:rPr>
                                <w:lang w:val="en"/>
                              </w:rPr>
                              <w:t>3</w:t>
                            </w:r>
                            <w:r w:rsidRPr="004F483F">
                              <w:rPr>
                                <w:lang w:val="en"/>
                              </w:rPr>
                              <w:t xml:space="preserve"> thousand </w:t>
                            </w:r>
                            <w:r w:rsidR="00534734">
                              <w:rPr>
                                <w:lang w:val="en"/>
                              </w:rPr>
                              <w:t>customers</w:t>
                            </w:r>
                            <w:r w:rsidR="00534734" w:rsidRPr="004F483F">
                              <w:rPr>
                                <w:lang w:val="en"/>
                              </w:rPr>
                              <w:t xml:space="preserve"> </w:t>
                            </w:r>
                            <w:r w:rsidRPr="004F483F">
                              <w:rPr>
                                <w:lang w:val="en"/>
                              </w:rPr>
                              <w:t>used factoring services in 20</w:t>
                            </w:r>
                            <w:r w:rsidR="00701C71">
                              <w:rPr>
                                <w:lang w:val="en"/>
                              </w:rPr>
                              <w:t>20</w:t>
                            </w:r>
                          </w:p>
                          <w:p w14:paraId="629DE989" w14:textId="77777777" w:rsidR="00711EEC" w:rsidRPr="00785F40" w:rsidRDefault="00711EEC" w:rsidP="00DC02DB">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1D62BD" id="Pole tekstowe 6" o:spid="_x0000_s1029" type="#_x0000_t202" style="position:absolute;margin-left:413.25pt;margin-top:13.25pt;width:135.85pt;height:83.25pt;z-index:-25157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" filled="f" stroked="f">
                <v:textbox>
                  <w:txbxContent>
                    <w:p w14:paraId="5CCDEA2F" w14:textId="77777777" w:rsidR="000C4EE5" w:rsidRPr="00785F40" w:rsidRDefault="004F483F" w:rsidP="00711EEC">
                      <w:pPr>
                        <w:pStyle w:val="tekstzboku"/>
                        <w:rPr>
                          <w:lang w:val="en-US"/>
                        </w:rPr>
                      </w:pPr>
                      <w:r>
                        <w:rPr>
                          <w:lang w:val="en"/>
                        </w:rPr>
                        <w:t>2</w:t>
                      </w:r>
                      <w:r w:rsidR="00701C71">
                        <w:rPr>
                          <w:lang w:val="en"/>
                        </w:rPr>
                        <w:t>1</w:t>
                      </w:r>
                      <w:r w:rsidRPr="004F483F">
                        <w:rPr>
                          <w:lang w:val="en"/>
                        </w:rPr>
                        <w:t>.</w:t>
                      </w:r>
                      <w:r w:rsidR="00701C71">
                        <w:rPr>
                          <w:lang w:val="en"/>
                        </w:rPr>
                        <w:t>3</w:t>
                      </w:r>
                      <w:r w:rsidRPr="004F483F">
                        <w:rPr>
                          <w:lang w:val="en"/>
                        </w:rPr>
                        <w:t xml:space="preserve"> thousand </w:t>
                      </w:r>
                      <w:r w:rsidR="00534734">
                        <w:rPr>
                          <w:lang w:val="en"/>
                        </w:rPr>
                        <w:t>customers</w:t>
                      </w:r>
                      <w:r w:rsidR="00534734" w:rsidRPr="004F483F">
                        <w:rPr>
                          <w:lang w:val="en"/>
                        </w:rPr>
                        <w:t xml:space="preserve"> </w:t>
                      </w:r>
                      <w:r w:rsidRPr="004F483F">
                        <w:rPr>
                          <w:lang w:val="en"/>
                        </w:rPr>
                        <w:t>used factoring services in 20</w:t>
                      </w:r>
                      <w:r w:rsidR="00701C71">
                        <w:rPr>
                          <w:lang w:val="en"/>
                        </w:rPr>
                        <w:t>20</w:t>
                      </w:r>
                    </w:p>
                    <w:p w14:paraId="629DE989" w14:textId="77777777" w:rsidR="00711EEC" w:rsidRPr="00785F40" w:rsidRDefault="00711EEC" w:rsidP="00DC02DB">
                      <w:pPr>
                        <w:pStyle w:val="tekstzboku"/>
                        <w:rPr>
                          <w:lang w:val="en-US"/>
                        </w:rPr>
                      </w:pPr>
                    </w:p>
                  </w:txbxContent>
                </v:textbox>
                <w10:wrap type="tight"/>
              </v:shape>
            </w:pict>
          </mc:Fallback>
        </mc:AlternateContent>
      </w:r>
      <w:r w:rsidRPr="00785F40">
        <w:rPr>
          <w:lang w:val="en-US"/>
        </w:rPr>
        <w:t xml:space="preserve">Characteristics of </w:t>
      </w:r>
      <w:r w:rsidR="00387093">
        <w:rPr>
          <w:lang w:val="en-US"/>
        </w:rPr>
        <w:t>factor</w:t>
      </w:r>
      <w:r w:rsidRPr="00785F40">
        <w:rPr>
          <w:lang w:val="en-US"/>
        </w:rPr>
        <w:t>ing services</w:t>
      </w:r>
    </w:p>
    <w:p w14:paraId="5E3D5D12" w14:textId="77777777" w:rsidR="00A45EE5" w:rsidRDefault="00A45EE5" w:rsidP="00A45EE5">
      <w:pPr>
        <w:pStyle w:val="HTML-wstpniesformatowany"/>
        <w:spacing w:before="240" w:after="120"/>
        <w:rPr>
          <w:rFonts w:ascii="Fira Sans" w:hAnsi="Fira Sans"/>
          <w:sz w:val="19"/>
          <w:szCs w:val="19"/>
          <w:shd w:val="clear" w:color="auto" w:fill="FFFFFF"/>
          <w:lang w:val="en-US" w:eastAsia="en-US"/>
        </w:rPr>
      </w:pPr>
      <w:r w:rsidRPr="00A45EE5">
        <w:rPr>
          <w:rFonts w:ascii="Fira Sans" w:hAnsi="Fira Sans"/>
          <w:sz w:val="19"/>
          <w:szCs w:val="19"/>
          <w:shd w:val="clear" w:color="auto" w:fill="FFFFFF"/>
          <w:lang w:val="en-US" w:eastAsia="en-US"/>
        </w:rPr>
        <w:t>In 2020, factoring services were used by 21,331 clients. In this number, 26.9% of clients ope-rated in the field of trade, 23.7% - transport, 19.7% - industry, and 10.4% - services</w:t>
      </w:r>
    </w:p>
    <w:p w14:paraId="73285813" w14:textId="77777777" w:rsidR="00307986" w:rsidRDefault="00307986" w:rsidP="00A45EE5">
      <w:pPr>
        <w:pStyle w:val="HTML-wstpniesformatowany"/>
        <w:spacing w:before="120" w:after="120"/>
        <w:rPr>
          <w:rFonts w:ascii="Fira Sans" w:hAnsi="Fira Sans"/>
          <w:sz w:val="19"/>
          <w:szCs w:val="19"/>
          <w:shd w:val="clear" w:color="auto" w:fill="FFFFFF"/>
          <w:lang w:val="en-US" w:eastAsia="en-US"/>
        </w:rPr>
      </w:pPr>
      <w:r w:rsidRPr="00307986">
        <w:rPr>
          <w:rFonts w:ascii="Fira Sans" w:hAnsi="Fira Sans"/>
          <w:sz w:val="19"/>
          <w:szCs w:val="19"/>
          <w:shd w:val="clear" w:color="auto" w:fill="FFFFFF"/>
          <w:lang w:val="en-US" w:eastAsia="en-US"/>
        </w:rPr>
        <w:t>The value of purchased receivables by the examined factoring companies (in total) decreased by 1.9%, from PLN 317,285 million in 2019 to PLN 311,343 million in 2020.</w:t>
      </w:r>
    </w:p>
    <w:p w14:paraId="6DC7B740" w14:textId="77777777" w:rsidR="00CF5EAD" w:rsidRPr="00B86A48" w:rsidRDefault="00CF5EAD" w:rsidP="00A45EE5">
      <w:pPr>
        <w:pStyle w:val="HTML-wstpniesformatowany"/>
        <w:spacing w:before="120" w:after="120"/>
        <w:rPr>
          <w:rFonts w:ascii="Fira Sans" w:eastAsiaTheme="minorHAnsi" w:hAnsi="Fira Sans" w:cstheme="minorBidi"/>
          <w:sz w:val="19"/>
          <w:szCs w:val="22"/>
          <w:shd w:val="clear" w:color="auto" w:fill="FFFFFF"/>
          <w:lang w:val="en-US" w:eastAsia="en-US"/>
        </w:rPr>
      </w:pPr>
    </w:p>
    <w:tbl>
      <w:tblPr>
        <w:tblStyle w:val="Siatkatabelijasna1"/>
        <w:tblpPr w:leftFromText="141" w:rightFromText="141" w:vertAnchor="text" w:horzAnchor="margin" w:tblpY="596"/>
        <w:tblW w:w="7923"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3085"/>
        <w:gridCol w:w="806"/>
        <w:gridCol w:w="806"/>
        <w:gridCol w:w="806"/>
        <w:gridCol w:w="807"/>
        <w:gridCol w:w="806"/>
        <w:gridCol w:w="807"/>
      </w:tblGrid>
      <w:tr w:rsidR="00C43A21" w:rsidRPr="00FA5128" w14:paraId="3705F2F6" w14:textId="77777777" w:rsidTr="00C35180">
        <w:trPr>
          <w:trHeight w:val="57"/>
        </w:trPr>
        <w:tc>
          <w:tcPr>
            <w:tcW w:w="3085" w:type="dxa"/>
            <w:vMerge w:val="restart"/>
            <w:vAlign w:val="center"/>
          </w:tcPr>
          <w:p w14:paraId="21CE1740" w14:textId="77777777" w:rsidR="00C43A21" w:rsidRPr="009C7251" w:rsidRDefault="00C43A21" w:rsidP="00C43A21">
            <w:pPr>
              <w:pStyle w:val="Nagwek1"/>
              <w:tabs>
                <w:tab w:val="right" w:leader="dot" w:pos="4139"/>
              </w:tabs>
              <w:jc w:val="center"/>
              <w:outlineLvl w:val="0"/>
              <w:rPr>
                <w:rFonts w:ascii="Fira Sans" w:hAnsi="Fira Sans" w:cs="Arial"/>
                <w:b/>
                <w:bCs w:val="0"/>
                <w:color w:val="000000" w:themeColor="text1"/>
                <w:sz w:val="16"/>
                <w:szCs w:val="16"/>
              </w:rPr>
            </w:pPr>
            <w:r w:rsidRPr="00387093">
              <w:rPr>
                <w:rFonts w:ascii="Fira Sans" w:hAnsi="Fira Sans" w:cs="Arial"/>
                <w:color w:val="000000" w:themeColor="text1"/>
                <w:sz w:val="16"/>
                <w:szCs w:val="16"/>
              </w:rPr>
              <w:t>SPECIFICATIO</w:t>
            </w:r>
            <w:r w:rsidR="005D2410">
              <w:rPr>
                <w:rFonts w:ascii="Fira Sans" w:hAnsi="Fira Sans" w:cs="Arial"/>
                <w:color w:val="000000" w:themeColor="text1"/>
                <w:sz w:val="16"/>
                <w:szCs w:val="16"/>
              </w:rPr>
              <w:t>N</w:t>
            </w:r>
          </w:p>
        </w:tc>
        <w:tc>
          <w:tcPr>
            <w:tcW w:w="1612" w:type="dxa"/>
            <w:gridSpan w:val="2"/>
            <w:vAlign w:val="center"/>
          </w:tcPr>
          <w:p w14:paraId="7A5EB59B" w14:textId="77777777" w:rsidR="00C43A21" w:rsidRPr="00FA5128" w:rsidRDefault="00C43A21" w:rsidP="00C43A21">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 xml:space="preserve">Total </w:t>
            </w:r>
          </w:p>
        </w:tc>
        <w:tc>
          <w:tcPr>
            <w:tcW w:w="1613" w:type="dxa"/>
            <w:gridSpan w:val="2"/>
            <w:vAlign w:val="center"/>
          </w:tcPr>
          <w:p w14:paraId="1E6A06D4" w14:textId="77777777" w:rsidR="00C43A21" w:rsidRPr="00FA5128" w:rsidRDefault="00C43A21" w:rsidP="00C43A21">
            <w:pPr>
              <w:pStyle w:val="Nagwek3"/>
              <w:spacing w:before="0"/>
              <w:jc w:val="center"/>
              <w:outlineLvl w:val="2"/>
              <w:rPr>
                <w:rFonts w:ascii="Fira Sans" w:hAnsi="Fira Sans"/>
                <w:color w:val="000000" w:themeColor="text1"/>
                <w:sz w:val="16"/>
                <w:szCs w:val="16"/>
              </w:rPr>
            </w:pPr>
            <w:r w:rsidRPr="00C43A21">
              <w:rPr>
                <w:rFonts w:ascii="Fira Sans" w:hAnsi="Fira Sans"/>
                <w:color w:val="000000" w:themeColor="text1"/>
                <w:sz w:val="16"/>
                <w:szCs w:val="16"/>
              </w:rPr>
              <w:t>Non-banking factoring enterprises</w:t>
            </w:r>
          </w:p>
        </w:tc>
        <w:tc>
          <w:tcPr>
            <w:tcW w:w="1613" w:type="dxa"/>
            <w:gridSpan w:val="2"/>
            <w:vAlign w:val="center"/>
          </w:tcPr>
          <w:p w14:paraId="6494AEE2" w14:textId="77777777" w:rsidR="00C43A21" w:rsidRPr="00FA5128" w:rsidRDefault="00C43A21" w:rsidP="00C43A21">
            <w:pPr>
              <w:pStyle w:val="Nagwek3"/>
              <w:spacing w:before="0"/>
              <w:jc w:val="center"/>
              <w:outlineLvl w:val="2"/>
              <w:rPr>
                <w:rFonts w:ascii="Fira Sans" w:hAnsi="Fira Sans"/>
                <w:color w:val="000000" w:themeColor="text1"/>
                <w:sz w:val="16"/>
                <w:szCs w:val="16"/>
              </w:rPr>
            </w:pPr>
            <w:r w:rsidRPr="00C43A21">
              <w:rPr>
                <w:rFonts w:ascii="Fira Sans" w:hAnsi="Fira Sans"/>
                <w:color w:val="000000" w:themeColor="text1"/>
                <w:sz w:val="16"/>
                <w:szCs w:val="16"/>
              </w:rPr>
              <w:t>Factoring activity in banks</w:t>
            </w:r>
          </w:p>
        </w:tc>
      </w:tr>
      <w:tr w:rsidR="000A2B89" w:rsidRPr="00FA5128" w14:paraId="462613B2" w14:textId="77777777" w:rsidTr="00C35180">
        <w:trPr>
          <w:trHeight w:val="57"/>
        </w:trPr>
        <w:tc>
          <w:tcPr>
            <w:tcW w:w="3085" w:type="dxa"/>
            <w:vMerge/>
            <w:tcBorders>
              <w:bottom w:val="single" w:sz="12" w:space="0" w:color="212492"/>
            </w:tcBorders>
            <w:vAlign w:val="center"/>
          </w:tcPr>
          <w:p w14:paraId="7A469F8E" w14:textId="77777777" w:rsidR="000A2B89" w:rsidRPr="00FA5128" w:rsidRDefault="000A2B89" w:rsidP="000A2B89">
            <w:pPr>
              <w:pStyle w:val="Nagwek1"/>
              <w:tabs>
                <w:tab w:val="right" w:leader="dot" w:pos="4139"/>
              </w:tabs>
              <w:jc w:val="center"/>
              <w:outlineLvl w:val="0"/>
              <w:rPr>
                <w:rFonts w:cs="Arial"/>
                <w:b/>
                <w:color w:val="000000" w:themeColor="text1"/>
                <w:sz w:val="16"/>
                <w:szCs w:val="16"/>
              </w:rPr>
            </w:pPr>
          </w:p>
        </w:tc>
        <w:tc>
          <w:tcPr>
            <w:tcW w:w="806" w:type="dxa"/>
            <w:tcBorders>
              <w:bottom w:val="single" w:sz="12" w:space="0" w:color="212492"/>
            </w:tcBorders>
            <w:vAlign w:val="center"/>
          </w:tcPr>
          <w:p w14:paraId="026402C6" w14:textId="77777777" w:rsidR="000A2B89" w:rsidRPr="00FA5128" w:rsidRDefault="000A2B89" w:rsidP="000A2B89">
            <w:pPr>
              <w:jc w:val="center"/>
              <w:rPr>
                <w:color w:val="000000" w:themeColor="text1"/>
                <w:sz w:val="16"/>
                <w:szCs w:val="16"/>
              </w:rPr>
            </w:pPr>
            <w:r>
              <w:rPr>
                <w:color w:val="000000" w:themeColor="text1"/>
                <w:sz w:val="16"/>
                <w:szCs w:val="16"/>
              </w:rPr>
              <w:t>2019</w:t>
            </w:r>
          </w:p>
        </w:tc>
        <w:tc>
          <w:tcPr>
            <w:tcW w:w="806" w:type="dxa"/>
            <w:tcBorders>
              <w:bottom w:val="single" w:sz="12" w:space="0" w:color="212492"/>
            </w:tcBorders>
            <w:vAlign w:val="center"/>
          </w:tcPr>
          <w:p w14:paraId="51CB26E4" w14:textId="77777777" w:rsidR="000A2B89" w:rsidRPr="00FA5128" w:rsidRDefault="000A2B89" w:rsidP="000A2B89">
            <w:pPr>
              <w:jc w:val="center"/>
              <w:rPr>
                <w:color w:val="000000" w:themeColor="text1"/>
                <w:sz w:val="16"/>
                <w:szCs w:val="16"/>
              </w:rPr>
            </w:pPr>
            <w:r>
              <w:rPr>
                <w:color w:val="000000" w:themeColor="text1"/>
                <w:sz w:val="16"/>
                <w:szCs w:val="16"/>
              </w:rPr>
              <w:t>2020</w:t>
            </w:r>
          </w:p>
        </w:tc>
        <w:tc>
          <w:tcPr>
            <w:tcW w:w="806" w:type="dxa"/>
            <w:tcBorders>
              <w:bottom w:val="single" w:sz="12" w:space="0" w:color="212492"/>
            </w:tcBorders>
            <w:vAlign w:val="center"/>
          </w:tcPr>
          <w:p w14:paraId="799FE52C" w14:textId="77777777" w:rsidR="000A2B89" w:rsidRPr="00FA5128" w:rsidRDefault="000A2B89" w:rsidP="000A2B89">
            <w:pPr>
              <w:jc w:val="center"/>
              <w:rPr>
                <w:color w:val="000000" w:themeColor="text1"/>
                <w:sz w:val="16"/>
                <w:szCs w:val="16"/>
              </w:rPr>
            </w:pPr>
            <w:r>
              <w:rPr>
                <w:color w:val="000000" w:themeColor="text1"/>
                <w:sz w:val="16"/>
                <w:szCs w:val="16"/>
              </w:rPr>
              <w:t>2019</w:t>
            </w:r>
          </w:p>
        </w:tc>
        <w:tc>
          <w:tcPr>
            <w:tcW w:w="807" w:type="dxa"/>
            <w:tcBorders>
              <w:bottom w:val="single" w:sz="12" w:space="0" w:color="212492"/>
            </w:tcBorders>
            <w:vAlign w:val="center"/>
          </w:tcPr>
          <w:p w14:paraId="0627D2DB" w14:textId="77777777" w:rsidR="000A2B89" w:rsidRPr="00FA5128" w:rsidRDefault="000A2B89" w:rsidP="000A2B89">
            <w:pPr>
              <w:jc w:val="center"/>
              <w:rPr>
                <w:color w:val="000000" w:themeColor="text1"/>
                <w:sz w:val="16"/>
                <w:szCs w:val="16"/>
              </w:rPr>
            </w:pPr>
            <w:r>
              <w:rPr>
                <w:color w:val="000000" w:themeColor="text1"/>
                <w:sz w:val="16"/>
                <w:szCs w:val="16"/>
              </w:rPr>
              <w:t>2020</w:t>
            </w:r>
          </w:p>
        </w:tc>
        <w:tc>
          <w:tcPr>
            <w:tcW w:w="806" w:type="dxa"/>
            <w:tcBorders>
              <w:bottom w:val="single" w:sz="12" w:space="0" w:color="212492"/>
            </w:tcBorders>
            <w:vAlign w:val="center"/>
          </w:tcPr>
          <w:p w14:paraId="40D0D76D" w14:textId="77777777" w:rsidR="000A2B89" w:rsidRPr="00FA5128" w:rsidRDefault="000A2B89" w:rsidP="000A2B89">
            <w:pPr>
              <w:jc w:val="center"/>
              <w:rPr>
                <w:color w:val="000000" w:themeColor="text1"/>
                <w:sz w:val="16"/>
                <w:szCs w:val="16"/>
              </w:rPr>
            </w:pPr>
            <w:r>
              <w:rPr>
                <w:color w:val="000000" w:themeColor="text1"/>
                <w:sz w:val="16"/>
                <w:szCs w:val="16"/>
              </w:rPr>
              <w:t>2019</w:t>
            </w:r>
          </w:p>
        </w:tc>
        <w:tc>
          <w:tcPr>
            <w:tcW w:w="807" w:type="dxa"/>
            <w:tcBorders>
              <w:bottom w:val="single" w:sz="12" w:space="0" w:color="212492"/>
            </w:tcBorders>
            <w:vAlign w:val="center"/>
          </w:tcPr>
          <w:p w14:paraId="26E54F75" w14:textId="77777777" w:rsidR="000A2B89" w:rsidRPr="00FA5128" w:rsidRDefault="000A2B89" w:rsidP="000A2B89">
            <w:pPr>
              <w:jc w:val="center"/>
              <w:rPr>
                <w:color w:val="000000" w:themeColor="text1"/>
                <w:sz w:val="16"/>
                <w:szCs w:val="16"/>
              </w:rPr>
            </w:pPr>
            <w:r>
              <w:rPr>
                <w:color w:val="000000" w:themeColor="text1"/>
                <w:sz w:val="16"/>
                <w:szCs w:val="16"/>
              </w:rPr>
              <w:t>2020</w:t>
            </w:r>
          </w:p>
        </w:tc>
      </w:tr>
      <w:tr w:rsidR="000A2B89" w:rsidRPr="00FA5128" w14:paraId="299CB138" w14:textId="77777777" w:rsidTr="00C35180">
        <w:trPr>
          <w:trHeight w:val="57"/>
        </w:trPr>
        <w:tc>
          <w:tcPr>
            <w:tcW w:w="3085" w:type="dxa"/>
            <w:tcBorders>
              <w:top w:val="single" w:sz="12" w:space="0" w:color="212492"/>
              <w:bottom w:val="single" w:sz="4" w:space="0" w:color="212492"/>
            </w:tcBorders>
            <w:vAlign w:val="center"/>
          </w:tcPr>
          <w:p w14:paraId="3DCE657C" w14:textId="77777777" w:rsidR="000A2B89" w:rsidRPr="00C43A21" w:rsidRDefault="000A2B89" w:rsidP="000A2B89">
            <w:pPr>
              <w:pStyle w:val="Nagwek5"/>
              <w:tabs>
                <w:tab w:val="right" w:leader="dot" w:pos="4156"/>
              </w:tabs>
              <w:spacing w:before="0"/>
              <w:contextualSpacing/>
              <w:outlineLvl w:val="4"/>
              <w:rPr>
                <w:rFonts w:ascii="Fira Sans" w:hAnsi="Fira Sans"/>
                <w:color w:val="000000" w:themeColor="text1"/>
                <w:sz w:val="16"/>
                <w:szCs w:val="16"/>
                <w:lang w:val="en-US"/>
              </w:rPr>
            </w:pPr>
            <w:r w:rsidRPr="00C43A21">
              <w:rPr>
                <w:rFonts w:ascii="Fira Sans" w:hAnsi="Fira Sans"/>
                <w:color w:val="000000" w:themeColor="text1"/>
                <w:sz w:val="16"/>
                <w:szCs w:val="16"/>
                <w:lang w:val="en-US"/>
              </w:rPr>
              <w:t>Number of customers (factor</w:t>
            </w:r>
            <w:r>
              <w:rPr>
                <w:rFonts w:ascii="Fira Sans" w:hAnsi="Fira Sans"/>
                <w:color w:val="000000" w:themeColor="text1"/>
                <w:sz w:val="16"/>
                <w:szCs w:val="16"/>
                <w:lang w:val="en-US"/>
              </w:rPr>
              <w:t>ers</w:t>
            </w:r>
            <w:r w:rsidRPr="00C43A21">
              <w:rPr>
                <w:rFonts w:ascii="Fira Sans" w:hAnsi="Fira Sans"/>
                <w:color w:val="000000" w:themeColor="text1"/>
                <w:sz w:val="16"/>
                <w:szCs w:val="16"/>
                <w:lang w:val="en-US"/>
              </w:rPr>
              <w:t>)</w:t>
            </w:r>
          </w:p>
        </w:tc>
        <w:tc>
          <w:tcPr>
            <w:tcW w:w="806" w:type="dxa"/>
            <w:tcBorders>
              <w:top w:val="single" w:sz="12" w:space="0" w:color="212492"/>
              <w:bottom w:val="single" w:sz="4" w:space="0" w:color="212492"/>
            </w:tcBorders>
            <w:vAlign w:val="center"/>
          </w:tcPr>
          <w:p w14:paraId="32182D60" w14:textId="77777777" w:rsidR="000A2B89" w:rsidRPr="006F0031" w:rsidRDefault="000A2B89" w:rsidP="000A2B89">
            <w:pPr>
              <w:spacing w:line="240" w:lineRule="auto"/>
              <w:jc w:val="right"/>
              <w:rPr>
                <w:rFonts w:cs="Arial"/>
                <w:bCs/>
                <w:sz w:val="16"/>
                <w:szCs w:val="16"/>
              </w:rPr>
            </w:pPr>
            <w:r>
              <w:rPr>
                <w:rFonts w:cs="Arial"/>
                <w:bCs/>
                <w:sz w:val="16"/>
                <w:szCs w:val="16"/>
              </w:rPr>
              <w:t xml:space="preserve">19 040 </w:t>
            </w:r>
          </w:p>
        </w:tc>
        <w:tc>
          <w:tcPr>
            <w:tcW w:w="806" w:type="dxa"/>
            <w:tcBorders>
              <w:top w:val="single" w:sz="12" w:space="0" w:color="212492"/>
              <w:bottom w:val="single" w:sz="4" w:space="0" w:color="212492"/>
            </w:tcBorders>
            <w:vAlign w:val="center"/>
          </w:tcPr>
          <w:p w14:paraId="649181DB" w14:textId="77777777" w:rsidR="000A2B89" w:rsidRPr="006F0031" w:rsidRDefault="000A2B89" w:rsidP="000A2B89">
            <w:pPr>
              <w:spacing w:line="240" w:lineRule="auto"/>
              <w:jc w:val="right"/>
              <w:rPr>
                <w:rFonts w:cs="Arial"/>
                <w:bCs/>
                <w:sz w:val="16"/>
                <w:szCs w:val="16"/>
              </w:rPr>
            </w:pPr>
            <w:r w:rsidRPr="006F0031">
              <w:rPr>
                <w:rFonts w:cs="Arial"/>
                <w:bCs/>
                <w:sz w:val="16"/>
                <w:szCs w:val="16"/>
              </w:rPr>
              <w:t>21 331</w:t>
            </w:r>
          </w:p>
        </w:tc>
        <w:tc>
          <w:tcPr>
            <w:tcW w:w="806" w:type="dxa"/>
            <w:tcBorders>
              <w:top w:val="single" w:sz="12" w:space="0" w:color="212492"/>
              <w:bottom w:val="single" w:sz="4" w:space="0" w:color="212492"/>
            </w:tcBorders>
            <w:vAlign w:val="center"/>
          </w:tcPr>
          <w:p w14:paraId="3D2FA16D" w14:textId="77777777" w:rsidR="000A2B89" w:rsidRPr="006F0031" w:rsidRDefault="000A2B89" w:rsidP="000A2B89">
            <w:pPr>
              <w:spacing w:line="240" w:lineRule="auto"/>
              <w:jc w:val="right"/>
              <w:rPr>
                <w:rFonts w:cs="Arial"/>
                <w:bCs/>
                <w:sz w:val="16"/>
                <w:szCs w:val="16"/>
              </w:rPr>
            </w:pPr>
            <w:r w:rsidRPr="006F0031">
              <w:rPr>
                <w:rFonts w:cs="Arial"/>
                <w:bCs/>
                <w:sz w:val="16"/>
                <w:szCs w:val="16"/>
              </w:rPr>
              <w:t>16 625</w:t>
            </w:r>
          </w:p>
        </w:tc>
        <w:tc>
          <w:tcPr>
            <w:tcW w:w="807" w:type="dxa"/>
            <w:tcBorders>
              <w:top w:val="single" w:sz="12" w:space="0" w:color="212492"/>
              <w:bottom w:val="single" w:sz="4" w:space="0" w:color="212492"/>
            </w:tcBorders>
            <w:vAlign w:val="center"/>
          </w:tcPr>
          <w:p w14:paraId="67509788" w14:textId="77777777" w:rsidR="000A2B89" w:rsidRPr="006F0031" w:rsidRDefault="000A2B89" w:rsidP="000A2B89">
            <w:pPr>
              <w:spacing w:line="240" w:lineRule="auto"/>
              <w:jc w:val="right"/>
              <w:rPr>
                <w:rFonts w:cs="Arial"/>
                <w:bCs/>
                <w:sz w:val="16"/>
                <w:szCs w:val="16"/>
              </w:rPr>
            </w:pPr>
            <w:r w:rsidRPr="006F0031">
              <w:rPr>
                <w:rFonts w:cs="Arial"/>
                <w:bCs/>
                <w:sz w:val="16"/>
                <w:szCs w:val="16"/>
              </w:rPr>
              <w:t>18 424</w:t>
            </w:r>
          </w:p>
        </w:tc>
        <w:tc>
          <w:tcPr>
            <w:tcW w:w="806" w:type="dxa"/>
            <w:tcBorders>
              <w:top w:val="single" w:sz="12" w:space="0" w:color="212492"/>
              <w:bottom w:val="single" w:sz="4" w:space="0" w:color="212492"/>
            </w:tcBorders>
            <w:vAlign w:val="center"/>
          </w:tcPr>
          <w:p w14:paraId="19D21A72" w14:textId="77777777" w:rsidR="000A2B89" w:rsidRPr="006F0031" w:rsidRDefault="000A2B89" w:rsidP="000A2B89">
            <w:pPr>
              <w:spacing w:line="240" w:lineRule="auto"/>
              <w:jc w:val="right"/>
              <w:rPr>
                <w:rFonts w:cs="Arial"/>
                <w:bCs/>
                <w:sz w:val="16"/>
                <w:szCs w:val="16"/>
              </w:rPr>
            </w:pPr>
            <w:r w:rsidRPr="006F0031">
              <w:rPr>
                <w:rFonts w:cs="Arial"/>
                <w:bCs/>
                <w:sz w:val="16"/>
                <w:szCs w:val="16"/>
              </w:rPr>
              <w:t>2 415</w:t>
            </w:r>
          </w:p>
        </w:tc>
        <w:tc>
          <w:tcPr>
            <w:tcW w:w="807" w:type="dxa"/>
            <w:tcBorders>
              <w:top w:val="single" w:sz="12" w:space="0" w:color="212492"/>
              <w:bottom w:val="single" w:sz="4" w:space="0" w:color="212492"/>
            </w:tcBorders>
            <w:vAlign w:val="center"/>
          </w:tcPr>
          <w:p w14:paraId="2C4D3951" w14:textId="77777777" w:rsidR="000A2B89" w:rsidRPr="006F0031" w:rsidRDefault="000A2B89" w:rsidP="000A2B89">
            <w:pPr>
              <w:spacing w:line="240" w:lineRule="auto"/>
              <w:jc w:val="right"/>
              <w:rPr>
                <w:rFonts w:cs="Arial"/>
                <w:bCs/>
                <w:sz w:val="16"/>
                <w:szCs w:val="16"/>
              </w:rPr>
            </w:pPr>
            <w:r w:rsidRPr="006F0031">
              <w:rPr>
                <w:rFonts w:cs="Arial"/>
                <w:bCs/>
                <w:sz w:val="16"/>
                <w:szCs w:val="16"/>
              </w:rPr>
              <w:t>2 907</w:t>
            </w:r>
          </w:p>
        </w:tc>
      </w:tr>
      <w:tr w:rsidR="000A2B89" w:rsidRPr="005E7160" w14:paraId="4840E05B" w14:textId="77777777" w:rsidTr="00C35180">
        <w:trPr>
          <w:trHeight w:val="57"/>
        </w:trPr>
        <w:tc>
          <w:tcPr>
            <w:tcW w:w="3085" w:type="dxa"/>
            <w:tcBorders>
              <w:top w:val="single" w:sz="4" w:space="0" w:color="212492"/>
            </w:tcBorders>
            <w:vAlign w:val="center"/>
          </w:tcPr>
          <w:p w14:paraId="7B476E2F" w14:textId="77777777" w:rsidR="000A2B89" w:rsidRPr="00C43A21" w:rsidRDefault="000A2B89" w:rsidP="000A2B89">
            <w:pPr>
              <w:pStyle w:val="Nagwek8"/>
              <w:tabs>
                <w:tab w:val="right" w:leader="dot" w:pos="4156"/>
              </w:tabs>
              <w:spacing w:before="0"/>
              <w:contextualSpacing/>
              <w:outlineLvl w:val="7"/>
              <w:rPr>
                <w:rFonts w:ascii="Fira Sans" w:hAnsi="Fira Sans"/>
                <w:color w:val="000000" w:themeColor="text1"/>
                <w:sz w:val="16"/>
                <w:szCs w:val="16"/>
                <w:lang w:val="en-US"/>
              </w:rPr>
            </w:pPr>
            <w:r w:rsidRPr="00C43A21">
              <w:rPr>
                <w:rFonts w:ascii="Fira Sans" w:hAnsi="Fira Sans"/>
                <w:color w:val="000000" w:themeColor="text1"/>
                <w:sz w:val="16"/>
                <w:szCs w:val="16"/>
                <w:lang w:val="en-US"/>
              </w:rPr>
              <w:t xml:space="preserve">Number of  purchased invoices </w:t>
            </w:r>
          </w:p>
          <w:p w14:paraId="7E5AEDCB" w14:textId="77777777" w:rsidR="000A2B89" w:rsidRPr="00C43A21" w:rsidRDefault="000A2B89" w:rsidP="000A2B89">
            <w:pPr>
              <w:pStyle w:val="Nagwek8"/>
              <w:tabs>
                <w:tab w:val="right" w:leader="dot" w:pos="4156"/>
              </w:tabs>
              <w:spacing w:before="0"/>
              <w:contextualSpacing/>
              <w:outlineLvl w:val="7"/>
              <w:rPr>
                <w:rFonts w:ascii="Fira Sans" w:hAnsi="Fira Sans"/>
                <w:i/>
                <w:color w:val="000000" w:themeColor="text1"/>
                <w:sz w:val="16"/>
                <w:szCs w:val="16"/>
                <w:lang w:val="en-US"/>
              </w:rPr>
            </w:pPr>
            <w:r w:rsidRPr="00C43A21">
              <w:rPr>
                <w:rFonts w:ascii="Fira Sans" w:hAnsi="Fira Sans"/>
                <w:color w:val="000000" w:themeColor="text1"/>
                <w:sz w:val="16"/>
                <w:szCs w:val="16"/>
                <w:lang w:val="en-US"/>
              </w:rPr>
              <w:t>in thousand</w:t>
            </w:r>
          </w:p>
        </w:tc>
        <w:tc>
          <w:tcPr>
            <w:tcW w:w="806" w:type="dxa"/>
            <w:tcBorders>
              <w:top w:val="single" w:sz="4" w:space="0" w:color="212492"/>
            </w:tcBorders>
            <w:vAlign w:val="center"/>
          </w:tcPr>
          <w:p w14:paraId="0161742B" w14:textId="77777777" w:rsidR="000A2B89" w:rsidRPr="00FF53A9" w:rsidRDefault="000A2B89" w:rsidP="000A2B89">
            <w:pPr>
              <w:spacing w:line="240" w:lineRule="auto"/>
              <w:jc w:val="right"/>
              <w:rPr>
                <w:rFonts w:cs="Arial"/>
                <w:bCs/>
                <w:sz w:val="16"/>
                <w:szCs w:val="16"/>
              </w:rPr>
            </w:pPr>
            <w:r>
              <w:rPr>
                <w:rFonts w:cs="Arial"/>
                <w:bCs/>
                <w:sz w:val="16"/>
                <w:szCs w:val="16"/>
              </w:rPr>
              <w:t>13 388</w:t>
            </w:r>
          </w:p>
        </w:tc>
        <w:tc>
          <w:tcPr>
            <w:tcW w:w="806" w:type="dxa"/>
            <w:tcBorders>
              <w:top w:val="single" w:sz="4" w:space="0" w:color="212492"/>
            </w:tcBorders>
            <w:vAlign w:val="center"/>
          </w:tcPr>
          <w:p w14:paraId="12B24CFF" w14:textId="77777777" w:rsidR="000A2B89" w:rsidRPr="00FF53A9" w:rsidRDefault="000A2B89" w:rsidP="000A2B89">
            <w:pPr>
              <w:spacing w:line="240" w:lineRule="auto"/>
              <w:jc w:val="right"/>
              <w:rPr>
                <w:rFonts w:cs="Arial"/>
                <w:bCs/>
                <w:sz w:val="16"/>
                <w:szCs w:val="16"/>
              </w:rPr>
            </w:pPr>
            <w:r w:rsidRPr="00FF53A9">
              <w:rPr>
                <w:rFonts w:cs="Arial"/>
                <w:bCs/>
                <w:sz w:val="16"/>
                <w:szCs w:val="16"/>
              </w:rPr>
              <w:t>14 021</w:t>
            </w:r>
          </w:p>
        </w:tc>
        <w:tc>
          <w:tcPr>
            <w:tcW w:w="806" w:type="dxa"/>
            <w:tcBorders>
              <w:top w:val="single" w:sz="4" w:space="0" w:color="212492"/>
            </w:tcBorders>
            <w:vAlign w:val="center"/>
          </w:tcPr>
          <w:p w14:paraId="5D408F07" w14:textId="77777777" w:rsidR="000A2B89" w:rsidRPr="00FF53A9" w:rsidRDefault="000A2B89" w:rsidP="000A2B89">
            <w:pPr>
              <w:spacing w:line="240" w:lineRule="auto"/>
              <w:jc w:val="right"/>
              <w:rPr>
                <w:rFonts w:cs="Arial"/>
                <w:bCs/>
                <w:sz w:val="16"/>
                <w:szCs w:val="16"/>
              </w:rPr>
            </w:pPr>
            <w:r w:rsidRPr="00FF53A9">
              <w:rPr>
                <w:rFonts w:cs="Arial"/>
                <w:bCs/>
                <w:sz w:val="16"/>
                <w:szCs w:val="16"/>
              </w:rPr>
              <w:t>11 047</w:t>
            </w:r>
          </w:p>
        </w:tc>
        <w:tc>
          <w:tcPr>
            <w:tcW w:w="807" w:type="dxa"/>
            <w:tcBorders>
              <w:top w:val="single" w:sz="4" w:space="0" w:color="212492"/>
            </w:tcBorders>
            <w:vAlign w:val="center"/>
          </w:tcPr>
          <w:p w14:paraId="10BBF452" w14:textId="77777777" w:rsidR="000A2B89" w:rsidRPr="00FF53A9" w:rsidRDefault="000A2B89" w:rsidP="000A2B89">
            <w:pPr>
              <w:spacing w:line="240" w:lineRule="auto"/>
              <w:jc w:val="right"/>
              <w:rPr>
                <w:rFonts w:cs="Arial"/>
                <w:bCs/>
                <w:sz w:val="16"/>
                <w:szCs w:val="16"/>
              </w:rPr>
            </w:pPr>
            <w:r w:rsidRPr="00FF53A9">
              <w:rPr>
                <w:rFonts w:cs="Arial"/>
                <w:bCs/>
                <w:sz w:val="16"/>
                <w:szCs w:val="16"/>
              </w:rPr>
              <w:t>11 951</w:t>
            </w:r>
          </w:p>
        </w:tc>
        <w:tc>
          <w:tcPr>
            <w:tcW w:w="806" w:type="dxa"/>
            <w:tcBorders>
              <w:top w:val="single" w:sz="4" w:space="0" w:color="212492"/>
            </w:tcBorders>
            <w:vAlign w:val="center"/>
          </w:tcPr>
          <w:p w14:paraId="1598B7D2" w14:textId="77777777" w:rsidR="000A2B89" w:rsidRPr="00FF53A9" w:rsidRDefault="000A2B89" w:rsidP="000A2B89">
            <w:pPr>
              <w:spacing w:line="240" w:lineRule="auto"/>
              <w:jc w:val="right"/>
              <w:rPr>
                <w:rFonts w:cs="Arial"/>
                <w:bCs/>
                <w:sz w:val="16"/>
                <w:szCs w:val="16"/>
              </w:rPr>
            </w:pPr>
            <w:r w:rsidRPr="00FF53A9">
              <w:rPr>
                <w:rFonts w:cs="Arial"/>
                <w:bCs/>
                <w:sz w:val="16"/>
                <w:szCs w:val="16"/>
              </w:rPr>
              <w:t>2 342</w:t>
            </w:r>
          </w:p>
        </w:tc>
        <w:tc>
          <w:tcPr>
            <w:tcW w:w="807" w:type="dxa"/>
            <w:tcBorders>
              <w:top w:val="single" w:sz="4" w:space="0" w:color="212492"/>
            </w:tcBorders>
            <w:vAlign w:val="center"/>
          </w:tcPr>
          <w:p w14:paraId="1ED0B873" w14:textId="77777777" w:rsidR="000A2B89" w:rsidRPr="00FF53A9" w:rsidRDefault="000A2B89" w:rsidP="000A2B89">
            <w:pPr>
              <w:spacing w:line="240" w:lineRule="auto"/>
              <w:jc w:val="right"/>
              <w:rPr>
                <w:rFonts w:cs="Arial"/>
                <w:bCs/>
                <w:sz w:val="16"/>
                <w:szCs w:val="16"/>
              </w:rPr>
            </w:pPr>
            <w:r w:rsidRPr="00FF53A9">
              <w:rPr>
                <w:rFonts w:cs="Arial"/>
                <w:bCs/>
                <w:sz w:val="16"/>
                <w:szCs w:val="16"/>
              </w:rPr>
              <w:t>2 070</w:t>
            </w:r>
          </w:p>
        </w:tc>
      </w:tr>
      <w:tr w:rsidR="000A2B89" w:rsidRPr="00085B80" w14:paraId="647F95D4" w14:textId="77777777" w:rsidTr="00C35180">
        <w:trPr>
          <w:trHeight w:val="57"/>
        </w:trPr>
        <w:tc>
          <w:tcPr>
            <w:tcW w:w="3085" w:type="dxa"/>
            <w:vAlign w:val="center"/>
          </w:tcPr>
          <w:p w14:paraId="7BEBCEF5" w14:textId="77777777" w:rsidR="000A2B89" w:rsidRPr="00085B80" w:rsidRDefault="000A2B89" w:rsidP="000A2B89">
            <w:pPr>
              <w:pStyle w:val="Nagwek8"/>
              <w:tabs>
                <w:tab w:val="right" w:leader="dot" w:pos="4156"/>
              </w:tabs>
              <w:spacing w:before="0"/>
              <w:contextualSpacing/>
              <w:outlineLvl w:val="7"/>
              <w:rPr>
                <w:rFonts w:ascii="Fira Sans" w:hAnsi="Fira Sans"/>
                <w:color w:val="000000" w:themeColor="text1"/>
                <w:sz w:val="16"/>
                <w:szCs w:val="16"/>
                <w:lang w:val="en-US"/>
              </w:rPr>
            </w:pPr>
            <w:r w:rsidRPr="00085B80">
              <w:rPr>
                <w:rFonts w:ascii="Fira Sans" w:hAnsi="Fira Sans"/>
                <w:color w:val="000000" w:themeColor="text1"/>
                <w:sz w:val="16"/>
                <w:szCs w:val="16"/>
                <w:lang w:val="en-US"/>
              </w:rPr>
              <w:t>Value of purchased receivables</w:t>
            </w:r>
          </w:p>
          <w:p w14:paraId="206F8D49" w14:textId="77777777" w:rsidR="000A2B89" w:rsidRPr="00085B80" w:rsidRDefault="000A2B89" w:rsidP="000A2B89">
            <w:pPr>
              <w:pStyle w:val="Nagwek8"/>
              <w:tabs>
                <w:tab w:val="right" w:leader="dot" w:pos="4156"/>
              </w:tabs>
              <w:spacing w:before="0"/>
              <w:contextualSpacing/>
              <w:outlineLvl w:val="7"/>
              <w:rPr>
                <w:rFonts w:ascii="Fira Sans" w:hAnsi="Fira Sans"/>
                <w:i/>
                <w:color w:val="000000" w:themeColor="text1"/>
                <w:sz w:val="16"/>
                <w:szCs w:val="16"/>
                <w:lang w:val="en-US"/>
              </w:rPr>
            </w:pPr>
            <w:r w:rsidRPr="00085B80">
              <w:rPr>
                <w:rFonts w:ascii="Fira Sans" w:hAnsi="Fira Sans"/>
                <w:color w:val="000000" w:themeColor="text1"/>
                <w:sz w:val="16"/>
                <w:szCs w:val="16"/>
                <w:lang w:val="en-US"/>
              </w:rPr>
              <w:t>in PLN million</w:t>
            </w:r>
          </w:p>
        </w:tc>
        <w:tc>
          <w:tcPr>
            <w:tcW w:w="806" w:type="dxa"/>
            <w:vAlign w:val="center"/>
          </w:tcPr>
          <w:p w14:paraId="728BDBCB" w14:textId="77777777" w:rsidR="000A2B89" w:rsidRPr="00FF53A9" w:rsidRDefault="000A2B89" w:rsidP="000A2B89">
            <w:pPr>
              <w:spacing w:line="240" w:lineRule="auto"/>
              <w:jc w:val="right"/>
              <w:rPr>
                <w:rFonts w:cs="Arial"/>
                <w:bCs/>
                <w:sz w:val="16"/>
                <w:szCs w:val="16"/>
              </w:rPr>
            </w:pPr>
            <w:r w:rsidRPr="00FF53A9">
              <w:rPr>
                <w:rFonts w:cs="Arial"/>
                <w:bCs/>
                <w:sz w:val="16"/>
                <w:szCs w:val="16"/>
              </w:rPr>
              <w:t>31</w:t>
            </w:r>
            <w:r>
              <w:rPr>
                <w:rFonts w:cs="Arial"/>
                <w:bCs/>
                <w:sz w:val="16"/>
                <w:szCs w:val="16"/>
              </w:rPr>
              <w:t>7</w:t>
            </w:r>
            <w:r w:rsidRPr="00FF53A9">
              <w:rPr>
                <w:rFonts w:cs="Arial"/>
                <w:bCs/>
                <w:sz w:val="16"/>
                <w:szCs w:val="16"/>
              </w:rPr>
              <w:t xml:space="preserve"> </w:t>
            </w:r>
            <w:r>
              <w:rPr>
                <w:rFonts w:cs="Arial"/>
                <w:bCs/>
                <w:sz w:val="16"/>
                <w:szCs w:val="16"/>
              </w:rPr>
              <w:t>285</w:t>
            </w:r>
          </w:p>
        </w:tc>
        <w:tc>
          <w:tcPr>
            <w:tcW w:w="806" w:type="dxa"/>
            <w:vAlign w:val="center"/>
          </w:tcPr>
          <w:p w14:paraId="7A7BF660" w14:textId="77777777" w:rsidR="000A2B89" w:rsidRPr="00FF53A9" w:rsidRDefault="000A2B89" w:rsidP="000A2B89">
            <w:pPr>
              <w:spacing w:line="240" w:lineRule="auto"/>
              <w:jc w:val="right"/>
              <w:rPr>
                <w:rFonts w:cs="Arial"/>
                <w:bCs/>
                <w:sz w:val="16"/>
                <w:szCs w:val="16"/>
              </w:rPr>
            </w:pPr>
            <w:r w:rsidRPr="00FF53A9">
              <w:rPr>
                <w:rFonts w:cs="Arial"/>
                <w:bCs/>
                <w:sz w:val="16"/>
                <w:szCs w:val="16"/>
              </w:rPr>
              <w:t>311 343</w:t>
            </w:r>
          </w:p>
        </w:tc>
        <w:tc>
          <w:tcPr>
            <w:tcW w:w="806" w:type="dxa"/>
            <w:vAlign w:val="center"/>
          </w:tcPr>
          <w:p w14:paraId="00A7B5FE" w14:textId="77777777" w:rsidR="000A2B89" w:rsidRPr="00FF53A9" w:rsidRDefault="000A2B89" w:rsidP="000A2B89">
            <w:pPr>
              <w:spacing w:line="240" w:lineRule="auto"/>
              <w:jc w:val="right"/>
              <w:rPr>
                <w:rFonts w:cs="Arial"/>
                <w:bCs/>
                <w:sz w:val="16"/>
                <w:szCs w:val="16"/>
              </w:rPr>
            </w:pPr>
            <w:r w:rsidRPr="00FF53A9">
              <w:rPr>
                <w:rFonts w:cs="Arial"/>
                <w:bCs/>
                <w:sz w:val="16"/>
                <w:szCs w:val="16"/>
              </w:rPr>
              <w:t>250 632</w:t>
            </w:r>
          </w:p>
        </w:tc>
        <w:tc>
          <w:tcPr>
            <w:tcW w:w="807" w:type="dxa"/>
            <w:vAlign w:val="center"/>
          </w:tcPr>
          <w:p w14:paraId="3CFD8127" w14:textId="77777777" w:rsidR="000A2B89" w:rsidRPr="00FF53A9" w:rsidRDefault="000A2B89" w:rsidP="000A2B89">
            <w:pPr>
              <w:spacing w:line="240" w:lineRule="auto"/>
              <w:jc w:val="right"/>
              <w:rPr>
                <w:rFonts w:cs="Arial"/>
                <w:bCs/>
                <w:sz w:val="16"/>
                <w:szCs w:val="16"/>
              </w:rPr>
            </w:pPr>
            <w:r w:rsidRPr="00FF53A9">
              <w:rPr>
                <w:rFonts w:cs="Arial"/>
                <w:bCs/>
                <w:sz w:val="16"/>
                <w:szCs w:val="16"/>
              </w:rPr>
              <w:t>246 288</w:t>
            </w:r>
          </w:p>
        </w:tc>
        <w:tc>
          <w:tcPr>
            <w:tcW w:w="806" w:type="dxa"/>
            <w:vAlign w:val="center"/>
          </w:tcPr>
          <w:p w14:paraId="645091A1" w14:textId="77777777" w:rsidR="000A2B89" w:rsidRPr="00FF53A9" w:rsidRDefault="000A2B89" w:rsidP="000A2B89">
            <w:pPr>
              <w:spacing w:line="240" w:lineRule="auto"/>
              <w:jc w:val="right"/>
              <w:rPr>
                <w:rFonts w:cs="Arial"/>
                <w:bCs/>
                <w:sz w:val="16"/>
                <w:szCs w:val="16"/>
              </w:rPr>
            </w:pPr>
            <w:r w:rsidRPr="00FF53A9">
              <w:rPr>
                <w:rFonts w:cs="Arial"/>
                <w:bCs/>
                <w:sz w:val="16"/>
                <w:szCs w:val="16"/>
              </w:rPr>
              <w:t>66 653</w:t>
            </w:r>
          </w:p>
        </w:tc>
        <w:tc>
          <w:tcPr>
            <w:tcW w:w="807" w:type="dxa"/>
            <w:vAlign w:val="center"/>
          </w:tcPr>
          <w:p w14:paraId="01EFB857" w14:textId="77777777" w:rsidR="000A2B89" w:rsidRPr="00FF53A9" w:rsidRDefault="000A2B89" w:rsidP="000A2B89">
            <w:pPr>
              <w:spacing w:line="240" w:lineRule="auto"/>
              <w:jc w:val="right"/>
              <w:rPr>
                <w:rFonts w:cs="Arial"/>
                <w:bCs/>
                <w:sz w:val="16"/>
                <w:szCs w:val="16"/>
              </w:rPr>
            </w:pPr>
            <w:r w:rsidRPr="00FF53A9">
              <w:rPr>
                <w:rFonts w:cs="Arial"/>
                <w:bCs/>
                <w:sz w:val="16"/>
                <w:szCs w:val="16"/>
              </w:rPr>
              <w:t>65 055</w:t>
            </w:r>
          </w:p>
        </w:tc>
      </w:tr>
    </w:tbl>
    <w:p w14:paraId="0DA3D703" w14:textId="77777777" w:rsidR="00B86A48" w:rsidRPr="00085B80" w:rsidRDefault="00B86A48" w:rsidP="00B86A48">
      <w:pPr>
        <w:rPr>
          <w:b/>
          <w:spacing w:val="-2"/>
          <w:sz w:val="18"/>
          <w:shd w:val="clear" w:color="auto" w:fill="FFFFFF"/>
          <w:lang w:val="en-US"/>
        </w:rPr>
      </w:pPr>
      <w:r w:rsidRPr="00085B80">
        <w:rPr>
          <w:b/>
          <w:spacing w:val="-2"/>
          <w:sz w:val="18"/>
          <w:shd w:val="clear" w:color="auto" w:fill="FFFFFF"/>
          <w:lang w:val="en-US"/>
        </w:rPr>
        <w:t xml:space="preserve">Table 2. </w:t>
      </w:r>
      <w:r w:rsidR="00085B80" w:rsidRPr="00085B80">
        <w:rPr>
          <w:b/>
          <w:spacing w:val="-2"/>
          <w:sz w:val="18"/>
          <w:shd w:val="clear" w:color="auto" w:fill="FFFFFF"/>
          <w:lang w:val="en-US"/>
        </w:rPr>
        <w:t>Basic information on the activities of factoring companies</w:t>
      </w:r>
    </w:p>
    <w:p w14:paraId="617C5545" w14:textId="77777777" w:rsidR="00362B2B" w:rsidRPr="00A45EE5" w:rsidRDefault="00362B2B" w:rsidP="002C5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shd w:val="clear" w:color="auto" w:fill="FFFFFF"/>
          <w:lang w:val="en-US"/>
        </w:rPr>
      </w:pPr>
    </w:p>
    <w:p w14:paraId="79E02755" w14:textId="1D0FB60D" w:rsidR="00A45EE5" w:rsidRPr="00785F40" w:rsidRDefault="00A45EE5" w:rsidP="00DA5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240" w:lineRule="auto"/>
        <w:rPr>
          <w:shd w:val="clear" w:color="auto" w:fill="FFFFFF"/>
          <w:lang w:val="en-US"/>
        </w:rPr>
      </w:pPr>
      <w:r w:rsidRPr="00A45EE5">
        <w:rPr>
          <w:shd w:val="clear" w:color="auto" w:fill="FFFFFF"/>
          <w:lang w:val="en-US"/>
        </w:rPr>
        <w:t>In domestic factoring, the value of purchased receivables decreased by 2.7%, and in foreign factoring it increased by 2.8%. Domestic factoring accounted for 84.2% of the total value of purchased receivables, and foreign factoring for 15.8%. In domestic factoring, the most frequently used factoring was non-recourse factoring (47.3%), recourse factoring (29.5%), reverse factoring (20.6%) and mixed factoring (2.7%).</w:t>
      </w:r>
      <w:r w:rsidR="000A2B89">
        <w:rPr>
          <w:shd w:val="clear" w:color="auto" w:fill="FFFFFF"/>
          <w:lang w:val="en-US"/>
        </w:rPr>
        <w:t xml:space="preserve"> </w:t>
      </w:r>
      <w:r w:rsidR="000A2B89" w:rsidRPr="000A2B89">
        <w:rPr>
          <w:shd w:val="clear" w:color="auto" w:fill="FFFFFF"/>
          <w:lang w:val="en-US"/>
        </w:rPr>
        <w:t>For two years, there has been an increase in the value of purchased receivables in reverse factoring, at the expense of the value of purchased receivables in non-recourse factoring.</w:t>
      </w:r>
    </w:p>
    <w:p w14:paraId="2751DDF8" w14:textId="77777777" w:rsidR="00B86A48" w:rsidRPr="00785F40" w:rsidRDefault="00B86A48" w:rsidP="00B86A48">
      <w:pPr>
        <w:rPr>
          <w:b/>
          <w:lang w:val="en-US"/>
        </w:rPr>
      </w:pPr>
      <w:r w:rsidRPr="00785F40">
        <w:rPr>
          <w:b/>
          <w:lang w:val="en-US"/>
        </w:rPr>
        <w:t>Chart 1.</w:t>
      </w:r>
      <w:r w:rsidRPr="00785F40">
        <w:rPr>
          <w:b/>
          <w:shd w:val="clear" w:color="auto" w:fill="FFFFFF"/>
          <w:lang w:val="en-US"/>
        </w:rPr>
        <w:t xml:space="preserve"> </w:t>
      </w:r>
      <w:r w:rsidR="00085B80" w:rsidRPr="00085B80">
        <w:rPr>
          <w:b/>
          <w:shd w:val="clear" w:color="auto" w:fill="FFFFFF"/>
          <w:lang w:val="en"/>
        </w:rPr>
        <w:t>Value of purchased receivables in domestic factoring</w:t>
      </w:r>
    </w:p>
    <w:p w14:paraId="0ABD30C3" w14:textId="77777777" w:rsidR="00B86A48" w:rsidRPr="00785F40" w:rsidRDefault="00184FC6" w:rsidP="00277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shd w:val="clear" w:color="auto" w:fill="FFFFFF"/>
          <w:lang w:val="en-US"/>
        </w:rPr>
      </w:pPr>
      <w:r>
        <w:rPr>
          <w:noProof/>
          <w:lang w:eastAsia="pl-PL"/>
        </w:rPr>
        <w:drawing>
          <wp:inline distT="0" distB="0" distL="0" distR="0" wp14:anchorId="5BA9648C" wp14:editId="0C8341CE">
            <wp:extent cx="5122545" cy="2987675"/>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7046F20" w14:textId="77777777" w:rsidR="00A45EE5" w:rsidRPr="00A45EE5" w:rsidRDefault="00A45EE5" w:rsidP="00A45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hd w:val="clear" w:color="auto" w:fill="FFFFFF"/>
          <w:lang w:val="en"/>
        </w:rPr>
      </w:pPr>
      <w:bookmarkStart w:id="3" w:name="_Hlk76487625"/>
      <w:r>
        <w:rPr>
          <w:shd w:val="clear" w:color="auto" w:fill="FFFFFF"/>
          <w:lang w:val="en"/>
        </w:rPr>
        <w:t>I</w:t>
      </w:r>
      <w:r w:rsidRPr="00A45EE5">
        <w:rPr>
          <w:shd w:val="clear" w:color="auto" w:fill="FFFFFF"/>
          <w:lang w:val="en"/>
        </w:rPr>
        <w:t>n commercial banks</w:t>
      </w:r>
      <w:r w:rsidR="001E3145">
        <w:rPr>
          <w:shd w:val="clear" w:color="auto" w:fill="FFFFFF"/>
          <w:lang w:val="en"/>
        </w:rPr>
        <w:t>,</w:t>
      </w:r>
      <w:r w:rsidRPr="00A45EE5">
        <w:rPr>
          <w:shd w:val="clear" w:color="auto" w:fill="FFFFFF"/>
          <w:lang w:val="en"/>
        </w:rPr>
        <w:t xml:space="preserve"> that conducted factoring activities, the value of purchased receivables decreased by 2.4%, of which domestic factoring accounted for 86.4%, and factoring in foreign trade - 13.6%.</w:t>
      </w:r>
      <w:bookmarkEnd w:id="3"/>
    </w:p>
    <w:p w14:paraId="2027E0A4" w14:textId="77777777" w:rsidR="00A45EE5" w:rsidRPr="00A45EE5" w:rsidRDefault="00A45EE5" w:rsidP="00A45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hd w:val="clear" w:color="auto" w:fill="FFFFFF"/>
          <w:lang w:val="en"/>
        </w:rPr>
      </w:pPr>
      <w:r w:rsidRPr="00A45EE5">
        <w:rPr>
          <w:shd w:val="clear" w:color="auto" w:fill="FFFFFF"/>
          <w:lang w:val="en"/>
        </w:rPr>
        <w:t>In the group of non-banking factoring enterprises, the value of purchased receivables decreased by 1.7%, of which domestic factoring accounted for 83.6%, and factoring in foreign trade - 16.4%.</w:t>
      </w:r>
    </w:p>
    <w:p w14:paraId="34E1A807" w14:textId="2BE903D5" w:rsidR="00A45EE5" w:rsidRPr="00A45EE5" w:rsidRDefault="00A45EE5" w:rsidP="00A45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hd w:val="clear" w:color="auto" w:fill="FFFFFF"/>
          <w:lang w:val="en"/>
        </w:rPr>
      </w:pPr>
      <w:r w:rsidRPr="00A45EE5">
        <w:rPr>
          <w:shd w:val="clear" w:color="auto" w:fill="FFFFFF"/>
          <w:lang w:val="en"/>
        </w:rPr>
        <w:lastRenderedPageBreak/>
        <w:t xml:space="preserve">The value of funds </w:t>
      </w:r>
      <w:r w:rsidR="00802E0F" w:rsidRPr="00A45EE5">
        <w:rPr>
          <w:shd w:val="clear" w:color="auto" w:fill="FFFFFF"/>
          <w:lang w:val="en"/>
        </w:rPr>
        <w:t xml:space="preserve">involved </w:t>
      </w:r>
      <w:r w:rsidRPr="00A45EE5">
        <w:rPr>
          <w:shd w:val="clear" w:color="auto" w:fill="FFFFFF"/>
          <w:lang w:val="en"/>
        </w:rPr>
        <w:t>by enterprises dealing with factoring activities (in total) at the end of 2020 decreased by 0.7%. In total, 84.7% of financial resources were involved in domestic factoring, and 15.3% in foreign factoring.</w:t>
      </w:r>
    </w:p>
    <w:p w14:paraId="4FF7F413" w14:textId="77777777" w:rsidR="00A45EE5" w:rsidRPr="00A45EE5" w:rsidRDefault="00A45EE5" w:rsidP="00A45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hd w:val="clear" w:color="auto" w:fill="FFFFFF"/>
          <w:lang w:val="en"/>
        </w:rPr>
      </w:pPr>
      <w:r w:rsidRPr="00A45EE5">
        <w:rPr>
          <w:shd w:val="clear" w:color="auto" w:fill="FFFFFF"/>
          <w:lang w:val="en"/>
        </w:rPr>
        <w:t xml:space="preserve">Banks </w:t>
      </w:r>
      <w:bookmarkStart w:id="4" w:name="_Hlk76487682"/>
      <w:r w:rsidRPr="00A45EE5">
        <w:rPr>
          <w:shd w:val="clear" w:color="auto" w:fill="FFFFFF"/>
          <w:lang w:val="en"/>
        </w:rPr>
        <w:t>involved</w:t>
      </w:r>
      <w:bookmarkEnd w:id="4"/>
      <w:r w:rsidRPr="00A45EE5">
        <w:rPr>
          <w:shd w:val="clear" w:color="auto" w:fill="FFFFFF"/>
          <w:lang w:val="en"/>
        </w:rPr>
        <w:t xml:space="preserve"> funds in the amount of PLN 13,407 million for the factoring activity, of which 87.6% was domestic factoring and 12.4% foreign factoring.</w:t>
      </w:r>
    </w:p>
    <w:p w14:paraId="765B6D71" w14:textId="77777777" w:rsidR="00A45EE5" w:rsidRPr="00A45EE5" w:rsidRDefault="00A45EE5" w:rsidP="00A45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hd w:val="clear" w:color="auto" w:fill="FFFFFF"/>
          <w:lang w:val="en"/>
        </w:rPr>
      </w:pPr>
      <w:r w:rsidRPr="00A45EE5">
        <w:rPr>
          <w:shd w:val="clear" w:color="auto" w:fill="FFFFFF"/>
          <w:lang w:val="en"/>
        </w:rPr>
        <w:t>Non-bank factoring companies committed funds worth PLN 29,125 million, of which 83.5% in domestic factoring and 16.5% in foreign factoring.</w:t>
      </w:r>
    </w:p>
    <w:p w14:paraId="2C828183" w14:textId="77777777" w:rsidR="00A45EE5" w:rsidRPr="00A45EE5" w:rsidRDefault="00A45EE5" w:rsidP="00A45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hd w:val="clear" w:color="auto" w:fill="FFFFFF"/>
          <w:lang w:val="en"/>
        </w:rPr>
      </w:pPr>
      <w:r w:rsidRPr="00A45EE5">
        <w:rPr>
          <w:shd w:val="clear" w:color="auto" w:fill="FFFFFF"/>
          <w:lang w:val="en"/>
        </w:rPr>
        <w:t>The factoring activity of the surveyed entities was financed in total from loans (37.2%) and bank loans (27.7%), in 23.1% from own funds and in 12.1% from corporate bonds and other sources.</w:t>
      </w:r>
    </w:p>
    <w:p w14:paraId="25AF4300" w14:textId="77777777" w:rsidR="00A45EE5" w:rsidRPr="00A45EE5" w:rsidRDefault="00A45EE5" w:rsidP="00A45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hd w:val="clear" w:color="auto" w:fill="FFFFFF"/>
          <w:lang w:val="en"/>
        </w:rPr>
      </w:pPr>
      <w:r w:rsidRPr="00A45EE5">
        <w:rPr>
          <w:shd w:val="clear" w:color="auto" w:fill="FFFFFF"/>
          <w:lang w:val="en"/>
        </w:rPr>
        <w:t>Banks financed factoring activities in 84.9% from their own resources, and in 15.1% from other sources.</w:t>
      </w:r>
    </w:p>
    <w:p w14:paraId="4FAA2A9F" w14:textId="77777777" w:rsidR="00A45EE5" w:rsidRDefault="00A45EE5" w:rsidP="00A45EE5">
      <w:pPr>
        <w:rPr>
          <w:shd w:val="clear" w:color="auto" w:fill="FFFFFF"/>
          <w:lang w:val="en"/>
        </w:rPr>
      </w:pPr>
      <w:r w:rsidRPr="00A45EE5">
        <w:rPr>
          <w:shd w:val="clear" w:color="auto" w:fill="FFFFFF"/>
          <w:lang w:val="en"/>
        </w:rPr>
        <w:t>In non-banking enterprises, factoring activities were financed in 49.2% from loans, 36.6% from bank loans, 10.4% from corporate bonds, and in 3.8% from own funds and other sources.</w:t>
      </w:r>
    </w:p>
    <w:p w14:paraId="4E31E483" w14:textId="77777777" w:rsidR="00E73765" w:rsidRDefault="00921967" w:rsidP="00A45EE5">
      <w:pPr>
        <w:rPr>
          <w:rFonts w:ascii="Fira Sans SemiBold" w:eastAsia="Times New Roman" w:hAnsi="Fira Sans SemiBold" w:cs="Times New Roman"/>
          <w:bCs/>
          <w:color w:val="001D77"/>
          <w:szCs w:val="24"/>
          <w:lang w:val="en" w:eastAsia="pl-PL"/>
        </w:rPr>
      </w:pPr>
      <w:r w:rsidRPr="00921967">
        <w:rPr>
          <w:noProof/>
          <w:color w:val="FF0000"/>
          <w:spacing w:val="-2"/>
          <w:szCs w:val="19"/>
          <w:lang w:eastAsia="pl-PL"/>
        </w:rPr>
        <mc:AlternateContent>
          <mc:Choice Requires="wps">
            <w:drawing>
              <wp:anchor distT="45720" distB="45720" distL="114300" distR="114300" simplePos="0" relativeHeight="251656704" behindDoc="1" locked="0" layoutInCell="1" allowOverlap="1" wp14:anchorId="22802161" wp14:editId="288D39CA">
                <wp:simplePos x="0" y="0"/>
                <wp:positionH relativeFrom="page">
                  <wp:posOffset>5716905</wp:posOffset>
                </wp:positionH>
                <wp:positionV relativeFrom="paragraph">
                  <wp:posOffset>53975</wp:posOffset>
                </wp:positionV>
                <wp:extent cx="1725295" cy="815340"/>
                <wp:effectExtent l="0" t="0" r="0" b="3810"/>
                <wp:wrapTight wrapText="bothSides">
                  <wp:wrapPolygon edited="0">
                    <wp:start x="715" y="0"/>
                    <wp:lineTo x="715" y="21196"/>
                    <wp:lineTo x="20749" y="21196"/>
                    <wp:lineTo x="20749" y="0"/>
                    <wp:lineTo x="715"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15340"/>
                        </a:xfrm>
                        <a:prstGeom prst="rect">
                          <a:avLst/>
                        </a:prstGeom>
                        <a:noFill/>
                        <a:ln w="9525">
                          <a:noFill/>
                          <a:miter lim="800000"/>
                          <a:headEnd/>
                          <a:tailEnd/>
                        </a:ln>
                      </wps:spPr>
                      <wps:txbx>
                        <w:txbxContent>
                          <w:p w14:paraId="458016C6" w14:textId="77777777" w:rsidR="0065657F" w:rsidRPr="00785F40" w:rsidRDefault="009A78D3" w:rsidP="0065657F">
                            <w:pPr>
                              <w:spacing w:after="0"/>
                              <w:rPr>
                                <w:rFonts w:eastAsia="Times New Roman" w:cs="Times New Roman"/>
                                <w:bCs/>
                                <w:color w:val="001D77"/>
                                <w:sz w:val="18"/>
                                <w:szCs w:val="18"/>
                                <w:lang w:val="en-US" w:eastAsia="pl-PL"/>
                              </w:rPr>
                            </w:pPr>
                            <w:r w:rsidRPr="009A78D3">
                              <w:rPr>
                                <w:rFonts w:eastAsia="Times New Roman" w:cs="Times New Roman"/>
                                <w:bCs/>
                                <w:color w:val="001D77"/>
                                <w:sz w:val="18"/>
                                <w:szCs w:val="18"/>
                                <w:lang w:val="en-US" w:eastAsia="pl-PL"/>
                              </w:rPr>
                              <w:t>The value of assets of enterprises</w:t>
                            </w:r>
                            <w:r w:rsidR="001E3145">
                              <w:rPr>
                                <w:rFonts w:eastAsia="Times New Roman" w:cs="Times New Roman"/>
                                <w:bCs/>
                                <w:color w:val="001D77"/>
                                <w:sz w:val="18"/>
                                <w:szCs w:val="18"/>
                                <w:lang w:val="en-US" w:eastAsia="pl-PL"/>
                              </w:rPr>
                              <w:t>,</w:t>
                            </w:r>
                            <w:r w:rsidRPr="009A78D3">
                              <w:rPr>
                                <w:rFonts w:eastAsia="Times New Roman" w:cs="Times New Roman"/>
                                <w:bCs/>
                                <w:color w:val="001D77"/>
                                <w:sz w:val="18"/>
                                <w:szCs w:val="18"/>
                                <w:lang w:val="en-US" w:eastAsia="pl-PL"/>
                              </w:rPr>
                              <w:t xml:space="preserve"> in which factoring was the only or dominant type of activity</w:t>
                            </w:r>
                            <w:r w:rsidR="001E3145">
                              <w:rPr>
                                <w:rFonts w:eastAsia="Times New Roman" w:cs="Times New Roman"/>
                                <w:bCs/>
                                <w:color w:val="001D77"/>
                                <w:sz w:val="18"/>
                                <w:szCs w:val="18"/>
                                <w:lang w:val="en-US" w:eastAsia="pl-PL"/>
                              </w:rPr>
                              <w:t>,</w:t>
                            </w:r>
                            <w:r w:rsidRPr="009A78D3">
                              <w:rPr>
                                <w:rFonts w:eastAsia="Times New Roman" w:cs="Times New Roman"/>
                                <w:bCs/>
                                <w:color w:val="001D77"/>
                                <w:sz w:val="18"/>
                                <w:szCs w:val="18"/>
                                <w:lang w:val="en-US" w:eastAsia="pl-PL"/>
                              </w:rPr>
                              <w:t xml:space="preserve"> increased by 2.7%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802161" id="Pole tekstowe 5" o:spid="_x0000_s1030" type="#_x0000_t202" style="position:absolute;margin-left:450.15pt;margin-top:4.25pt;width:135.85pt;height:64.2pt;z-index:-2516597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" filled="f" stroked="f">
                <v:textbox>
                  <w:txbxContent>
                    <w:p w14:paraId="458016C6" w14:textId="77777777" w:rsidR="0065657F" w:rsidRPr="00785F40" w:rsidRDefault="009A78D3" w:rsidP="0065657F">
                      <w:pPr>
                        <w:spacing w:after="0"/>
                        <w:rPr>
                          <w:rFonts w:eastAsia="Times New Roman" w:cs="Times New Roman"/>
                          <w:bCs/>
                          <w:color w:val="001D77"/>
                          <w:sz w:val="18"/>
                          <w:szCs w:val="18"/>
                          <w:lang w:val="en-US" w:eastAsia="pl-PL"/>
                        </w:rPr>
                      </w:pPr>
                      <w:r w:rsidRPr="009A78D3">
                        <w:rPr>
                          <w:rFonts w:eastAsia="Times New Roman" w:cs="Times New Roman"/>
                          <w:bCs/>
                          <w:color w:val="001D77"/>
                          <w:sz w:val="18"/>
                          <w:szCs w:val="18"/>
                          <w:lang w:val="en-US" w:eastAsia="pl-PL"/>
                        </w:rPr>
                        <w:t>The value of assets of enterprises</w:t>
                      </w:r>
                      <w:r w:rsidR="001E3145">
                        <w:rPr>
                          <w:rFonts w:eastAsia="Times New Roman" w:cs="Times New Roman"/>
                          <w:bCs/>
                          <w:color w:val="001D77"/>
                          <w:sz w:val="18"/>
                          <w:szCs w:val="18"/>
                          <w:lang w:val="en-US" w:eastAsia="pl-PL"/>
                        </w:rPr>
                        <w:t>,</w:t>
                      </w:r>
                      <w:r w:rsidRPr="009A78D3">
                        <w:rPr>
                          <w:rFonts w:eastAsia="Times New Roman" w:cs="Times New Roman"/>
                          <w:bCs/>
                          <w:color w:val="001D77"/>
                          <w:sz w:val="18"/>
                          <w:szCs w:val="18"/>
                          <w:lang w:val="en-US" w:eastAsia="pl-PL"/>
                        </w:rPr>
                        <w:t xml:space="preserve"> in which factoring was the only or dominant type of activity</w:t>
                      </w:r>
                      <w:r w:rsidR="001E3145">
                        <w:rPr>
                          <w:rFonts w:eastAsia="Times New Roman" w:cs="Times New Roman"/>
                          <w:bCs/>
                          <w:color w:val="001D77"/>
                          <w:sz w:val="18"/>
                          <w:szCs w:val="18"/>
                          <w:lang w:val="en-US" w:eastAsia="pl-PL"/>
                        </w:rPr>
                        <w:t>,</w:t>
                      </w:r>
                      <w:r w:rsidRPr="009A78D3">
                        <w:rPr>
                          <w:rFonts w:eastAsia="Times New Roman" w:cs="Times New Roman"/>
                          <w:bCs/>
                          <w:color w:val="001D77"/>
                          <w:sz w:val="18"/>
                          <w:szCs w:val="18"/>
                          <w:lang w:val="en-US" w:eastAsia="pl-PL"/>
                        </w:rPr>
                        <w:t xml:space="preserve"> increased by 2.7% </w:t>
                      </w:r>
                    </w:p>
                  </w:txbxContent>
                </v:textbox>
                <w10:wrap type="tight" anchorx="page"/>
              </v:shape>
            </w:pict>
          </mc:Fallback>
        </mc:AlternateContent>
      </w:r>
      <w:r w:rsidR="00FE7252" w:rsidRPr="00FE7252">
        <w:rPr>
          <w:rFonts w:ascii="Fira Sans SemiBold" w:eastAsia="Times New Roman" w:hAnsi="Fira Sans SemiBold" w:cs="Times New Roman"/>
          <w:bCs/>
          <w:color w:val="001D77"/>
          <w:szCs w:val="24"/>
          <w:lang w:val="en" w:eastAsia="pl-PL"/>
        </w:rPr>
        <w:t xml:space="preserve">Financial situation of </w:t>
      </w:r>
      <w:r w:rsidR="00D17A54">
        <w:rPr>
          <w:rFonts w:ascii="Fira Sans SemiBold" w:eastAsia="Times New Roman" w:hAnsi="Fira Sans SemiBold" w:cs="Times New Roman"/>
          <w:bCs/>
          <w:color w:val="001D77"/>
          <w:szCs w:val="24"/>
          <w:lang w:val="en" w:eastAsia="pl-PL"/>
        </w:rPr>
        <w:t xml:space="preserve">surveyed </w:t>
      </w:r>
      <w:r w:rsidR="00B86A48">
        <w:rPr>
          <w:rFonts w:ascii="Fira Sans SemiBold" w:eastAsia="Times New Roman" w:hAnsi="Fira Sans SemiBold" w:cs="Times New Roman"/>
          <w:bCs/>
          <w:color w:val="001D77"/>
          <w:szCs w:val="24"/>
          <w:lang w:val="en" w:eastAsia="pl-PL"/>
        </w:rPr>
        <w:t>factor</w:t>
      </w:r>
      <w:r w:rsidR="00FE7252" w:rsidRPr="00FE7252">
        <w:rPr>
          <w:rFonts w:ascii="Fira Sans SemiBold" w:eastAsia="Times New Roman" w:hAnsi="Fira Sans SemiBold" w:cs="Times New Roman"/>
          <w:bCs/>
          <w:color w:val="001D77"/>
          <w:szCs w:val="24"/>
          <w:lang w:val="en" w:eastAsia="pl-PL"/>
        </w:rPr>
        <w:t>ing companies</w:t>
      </w:r>
    </w:p>
    <w:p w14:paraId="6B184BC1" w14:textId="77777777" w:rsidR="009A78D3" w:rsidRPr="009A78D3" w:rsidRDefault="009A78D3" w:rsidP="009A78D3">
      <w:pPr>
        <w:rPr>
          <w:spacing w:val="-2"/>
          <w:szCs w:val="19"/>
          <w:lang w:val="en-US"/>
        </w:rPr>
      </w:pPr>
      <w:r w:rsidRPr="009A78D3">
        <w:rPr>
          <w:spacing w:val="-2"/>
          <w:szCs w:val="19"/>
          <w:lang w:val="en-US"/>
        </w:rPr>
        <w:t>From among the surveyed group of non-banking enterprises, whose factoring activity was the only or dominant type of activity, 30 companies kept full accounting, and one led the books of revenues and expenses. In 2020, the value of these companies' assets increased by 2.7% to PLN 28,756 million. The dominant item of property was current assets - PLN 28,490 million. The share of short-term receivables in current assets was 68.9% and amounted to PLN 19,625 million. This value increased by 0.1% compared to 2019. The second largest item of current assets was short-term investments - PLN 8,847 million (31.1%), which mainly consisted of short-term financial assets (98.5%) .</w:t>
      </w:r>
    </w:p>
    <w:p w14:paraId="1E1F26F9" w14:textId="77777777" w:rsidR="009A78D3" w:rsidRPr="009A78D3" w:rsidRDefault="009A78D3" w:rsidP="009A78D3">
      <w:pPr>
        <w:rPr>
          <w:spacing w:val="-2"/>
          <w:szCs w:val="19"/>
          <w:lang w:val="en-US"/>
        </w:rPr>
      </w:pPr>
      <w:r w:rsidRPr="009A78D3">
        <w:rPr>
          <w:spacing w:val="-2"/>
          <w:szCs w:val="19"/>
          <w:lang w:val="en-US"/>
        </w:rPr>
        <w:t>In the total liabilities of 30 non-banking enterprises conducting factoring activity, 96.4% of the value were liabilities and provisions for liabilities, and 3.6% - equity.</w:t>
      </w:r>
    </w:p>
    <w:p w14:paraId="2C26DBAD" w14:textId="77777777" w:rsidR="009A78D3" w:rsidRPr="009A78D3" w:rsidRDefault="009A78D3" w:rsidP="009A78D3">
      <w:pPr>
        <w:rPr>
          <w:spacing w:val="-2"/>
          <w:szCs w:val="19"/>
          <w:lang w:val="en-US"/>
        </w:rPr>
      </w:pPr>
      <w:r>
        <w:rPr>
          <w:spacing w:val="-2"/>
          <w:szCs w:val="19"/>
          <w:lang w:val="en-US"/>
        </w:rPr>
        <w:t>R</w:t>
      </w:r>
      <w:r w:rsidRPr="009A78D3">
        <w:rPr>
          <w:spacing w:val="-2"/>
          <w:szCs w:val="19"/>
          <w:lang w:val="en-US"/>
        </w:rPr>
        <w:t>evenues from the total activity of these 30 companies amounted to PLN 973 million and decreased by 6.5% compared to December 2019, of which sales revenues accounted for 92.1%. Total operating costs decreased by 10.9% and amounted to PLN 758 million.</w:t>
      </w:r>
    </w:p>
    <w:p w14:paraId="69C63EAE" w14:textId="77777777" w:rsidR="00C43A21" w:rsidRDefault="000A2B89" w:rsidP="009A78D3">
      <w:pPr>
        <w:rPr>
          <w:spacing w:val="-2"/>
          <w:szCs w:val="19"/>
          <w:lang w:val="en-US"/>
        </w:rPr>
      </w:pPr>
      <w:r w:rsidRPr="000A2B89">
        <w:rPr>
          <w:spacing w:val="-2"/>
          <w:szCs w:val="19"/>
          <w:lang w:val="en-US"/>
        </w:rPr>
        <w:t>The net financial result of 30 non-banking enterprises with full accounting, whose factoring activity was the sole or dominant type of activity, amounted to PLN 162 million. Ten of this group of companies suffered losses, while the remaining companies reported profits.</w:t>
      </w:r>
    </w:p>
    <w:p w14:paraId="755F9A4F" w14:textId="77777777" w:rsidR="00C43A21" w:rsidRDefault="00C43A21" w:rsidP="00C43A21">
      <w:pPr>
        <w:rPr>
          <w:shd w:val="clear" w:color="auto" w:fill="FFFFFF"/>
          <w:lang w:val="en"/>
        </w:rPr>
      </w:pPr>
    </w:p>
    <w:p w14:paraId="6FAFC7A0" w14:textId="77777777" w:rsidR="009A78D3" w:rsidRDefault="009A78D3" w:rsidP="00C43A21">
      <w:pPr>
        <w:rPr>
          <w:shd w:val="clear" w:color="auto" w:fill="FFFFFF"/>
          <w:lang w:val="en"/>
        </w:rPr>
      </w:pPr>
    </w:p>
    <w:p w14:paraId="458A39F0" w14:textId="77777777" w:rsidR="009A78D3" w:rsidRDefault="009A78D3" w:rsidP="00C43A21">
      <w:pPr>
        <w:rPr>
          <w:shd w:val="clear" w:color="auto" w:fill="FFFFFF"/>
          <w:lang w:val="en"/>
        </w:rPr>
      </w:pPr>
    </w:p>
    <w:p w14:paraId="62DD8CEB" w14:textId="77777777" w:rsidR="009A78D3" w:rsidRDefault="009A78D3" w:rsidP="00C43A21">
      <w:pPr>
        <w:rPr>
          <w:shd w:val="clear" w:color="auto" w:fill="FFFFFF"/>
          <w:lang w:val="en"/>
        </w:rPr>
      </w:pPr>
    </w:p>
    <w:p w14:paraId="68740051" w14:textId="77777777" w:rsidR="00E23177" w:rsidRDefault="00E23177" w:rsidP="00E23177">
      <w:pPr>
        <w:rPr>
          <w:rFonts w:cs="Arial"/>
          <w:lang w:val="en-US"/>
        </w:rPr>
      </w:pPr>
      <w:r w:rsidRPr="00C704E3">
        <w:rPr>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453D0150" w14:textId="77777777" w:rsidR="00E23177" w:rsidRPr="00785F40" w:rsidRDefault="00E23177" w:rsidP="00E76D26">
      <w:pPr>
        <w:rPr>
          <w:sz w:val="18"/>
          <w:lang w:val="en-US"/>
        </w:rPr>
        <w:sectPr w:rsidR="00E23177" w:rsidRPr="00785F40" w:rsidSect="00B72F9E">
          <w:headerReference w:type="default" r:id="rId13"/>
          <w:footerReference w:type="default" r:id="rId14"/>
          <w:headerReference w:type="first" r:id="rId15"/>
          <w:footerReference w:type="first" r:id="rId16"/>
          <w:type w:val="continuous"/>
          <w:pgSz w:w="11906" w:h="16838"/>
          <w:pgMar w:top="720" w:right="3119" w:bottom="720" w:left="720" w:header="284" w:footer="283" w:gutter="0"/>
          <w:cols w:space="708"/>
          <w:titlePg/>
          <w:docGrid w:linePitch="360"/>
        </w:sectPr>
      </w:pPr>
    </w:p>
    <w:p w14:paraId="50682464" w14:textId="77777777" w:rsidR="000470AA" w:rsidRPr="00785F40"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195"/>
        <w:gridCol w:w="3728"/>
      </w:tblGrid>
      <w:tr w:rsidR="000470AA" w:rsidRPr="001E3145" w14:paraId="2BAB34FD" w14:textId="77777777" w:rsidTr="009A5961">
        <w:trPr>
          <w:trHeight w:val="1506"/>
        </w:trPr>
        <w:tc>
          <w:tcPr>
            <w:tcW w:w="4195" w:type="dxa"/>
          </w:tcPr>
          <w:p w14:paraId="4648F15C" w14:textId="77777777" w:rsidR="0025563A" w:rsidRPr="00785F40" w:rsidRDefault="001D2736" w:rsidP="0025563A">
            <w:pPr>
              <w:spacing w:before="0" w:after="0" w:line="276" w:lineRule="auto"/>
              <w:ind w:left="-108"/>
              <w:rPr>
                <w:rFonts w:cs="Arial"/>
                <w:color w:val="000000" w:themeColor="text1"/>
                <w:sz w:val="20"/>
                <w:lang w:val="en-US"/>
              </w:rPr>
            </w:pPr>
            <w:r w:rsidRPr="00785F40">
              <w:rPr>
                <w:rFonts w:cs="Arial"/>
                <w:color w:val="000000" w:themeColor="text1"/>
                <w:sz w:val="20"/>
                <w:lang w:val="en-US"/>
              </w:rPr>
              <w:t>Prepared by</w:t>
            </w:r>
            <w:r w:rsidR="000470AA" w:rsidRPr="00785F40">
              <w:rPr>
                <w:rFonts w:cs="Arial"/>
                <w:color w:val="000000" w:themeColor="text1"/>
                <w:sz w:val="20"/>
                <w:lang w:val="en-US"/>
              </w:rPr>
              <w:t>:</w:t>
            </w:r>
          </w:p>
          <w:p w14:paraId="776038E0" w14:textId="77777777" w:rsidR="00FA4729" w:rsidRPr="00785F40" w:rsidRDefault="006A0213" w:rsidP="00FA4729">
            <w:pPr>
              <w:spacing w:before="0" w:after="0" w:line="276" w:lineRule="auto"/>
              <w:ind w:left="-108"/>
              <w:rPr>
                <w:rFonts w:cs="Arial"/>
                <w:b/>
                <w:color w:val="000000" w:themeColor="text1"/>
                <w:sz w:val="20"/>
                <w:lang w:val="en-US"/>
              </w:rPr>
            </w:pPr>
            <w:r w:rsidRPr="00785F40">
              <w:rPr>
                <w:rFonts w:cs="Arial"/>
                <w:b/>
                <w:color w:val="000000" w:themeColor="text1"/>
                <w:sz w:val="20"/>
                <w:lang w:val="en-US"/>
              </w:rPr>
              <w:t xml:space="preserve">Macroeconomic Studies and Finance </w:t>
            </w:r>
            <w:r w:rsidRPr="00785F40">
              <w:rPr>
                <w:rFonts w:cs="Arial"/>
                <w:b/>
                <w:color w:val="000000" w:themeColor="text1"/>
                <w:sz w:val="20"/>
                <w:lang w:val="en-US"/>
              </w:rPr>
              <w:br/>
              <w:t xml:space="preserve">Statistics </w:t>
            </w:r>
            <w:r w:rsidR="00FA4729" w:rsidRPr="00785F40">
              <w:rPr>
                <w:rFonts w:cs="Arial"/>
                <w:b/>
                <w:color w:val="000000" w:themeColor="text1"/>
                <w:sz w:val="20"/>
                <w:lang w:val="en-US"/>
              </w:rPr>
              <w:t>Department</w:t>
            </w:r>
          </w:p>
          <w:p w14:paraId="4172DD24" w14:textId="77777777" w:rsidR="00FA4729" w:rsidRPr="00785F40" w:rsidRDefault="00FA4729" w:rsidP="00FA4729">
            <w:pPr>
              <w:spacing w:before="0" w:after="0" w:line="276" w:lineRule="auto"/>
              <w:ind w:left="-108"/>
              <w:rPr>
                <w:rFonts w:cs="Arial"/>
                <w:b/>
                <w:color w:val="000000" w:themeColor="text1"/>
                <w:sz w:val="20"/>
                <w:lang w:val="en-US"/>
              </w:rPr>
            </w:pPr>
            <w:r w:rsidRPr="00785F40">
              <w:rPr>
                <w:rFonts w:cs="Arial"/>
                <w:b/>
                <w:color w:val="000000" w:themeColor="text1"/>
                <w:sz w:val="20"/>
                <w:lang w:val="en-US"/>
              </w:rPr>
              <w:t xml:space="preserve">Director </w:t>
            </w:r>
            <w:r w:rsidR="00AD40D1" w:rsidRPr="00785F40">
              <w:rPr>
                <w:rFonts w:cs="Arial"/>
                <w:b/>
                <w:color w:val="000000" w:themeColor="text1"/>
                <w:sz w:val="20"/>
                <w:lang w:val="en-US"/>
              </w:rPr>
              <w:t>Mirosław</w:t>
            </w:r>
            <w:r w:rsidRPr="00785F40">
              <w:rPr>
                <w:rFonts w:cs="Arial"/>
                <w:b/>
                <w:color w:val="000000" w:themeColor="text1"/>
                <w:sz w:val="20"/>
                <w:lang w:val="en-US"/>
              </w:rPr>
              <w:t xml:space="preserve"> </w:t>
            </w:r>
            <w:r w:rsidR="00AD40D1" w:rsidRPr="00785F40">
              <w:rPr>
                <w:rFonts w:cs="Arial"/>
                <w:b/>
                <w:color w:val="000000" w:themeColor="text1"/>
                <w:sz w:val="20"/>
                <w:lang w:val="en-US"/>
              </w:rPr>
              <w:t>Błażej</w:t>
            </w:r>
          </w:p>
          <w:p w14:paraId="6E9A79FA" w14:textId="77777777" w:rsidR="00F418D1" w:rsidRPr="008F3638" w:rsidRDefault="00F418D1" w:rsidP="00F418D1">
            <w:pPr>
              <w:pStyle w:val="Nagwek3"/>
              <w:spacing w:before="0" w:line="240" w:lineRule="auto"/>
              <w:ind w:left="-108"/>
              <w:rPr>
                <w:rFonts w:ascii="Fira Sans" w:hAnsi="Fira Sans" w:cs="Arial"/>
                <w:color w:val="000000" w:themeColor="text1"/>
                <w:sz w:val="20"/>
                <w:lang w:val="fi-FI"/>
              </w:rPr>
            </w:pPr>
            <w:r w:rsidRPr="003A56B5">
              <w:rPr>
                <w:rFonts w:ascii="Fira Sans" w:hAnsi="Fira Sans" w:cs="Arial"/>
                <w:color w:val="000000" w:themeColor="text1"/>
                <w:sz w:val="20"/>
                <w:lang w:val="fi-FI"/>
              </w:rPr>
              <w:t xml:space="preserve">Office: tel. (+48 22) </w:t>
            </w:r>
            <w:r w:rsidR="00AD40D1">
              <w:rPr>
                <w:rFonts w:ascii="Fira Sans" w:hAnsi="Fira Sans" w:cs="Arial"/>
                <w:color w:val="000000" w:themeColor="text1"/>
                <w:sz w:val="20"/>
                <w:lang w:val="fi-FI"/>
              </w:rPr>
              <w:t>608</w:t>
            </w:r>
            <w:r>
              <w:rPr>
                <w:rFonts w:ascii="Fira Sans" w:hAnsi="Fira Sans" w:cs="Arial"/>
                <w:color w:val="000000" w:themeColor="text1"/>
                <w:sz w:val="20"/>
                <w:lang w:val="fi-FI"/>
              </w:rPr>
              <w:t xml:space="preserve"> </w:t>
            </w:r>
            <w:r w:rsidR="00AD40D1">
              <w:rPr>
                <w:rFonts w:ascii="Fira Sans" w:hAnsi="Fira Sans" w:cs="Arial"/>
                <w:color w:val="000000" w:themeColor="text1"/>
                <w:sz w:val="20"/>
                <w:lang w:val="fi-FI"/>
              </w:rPr>
              <w:t>37</w:t>
            </w:r>
            <w:r>
              <w:rPr>
                <w:rFonts w:ascii="Fira Sans" w:hAnsi="Fira Sans" w:cs="Arial"/>
                <w:color w:val="000000" w:themeColor="text1"/>
                <w:sz w:val="20"/>
                <w:lang w:val="fi-FI"/>
              </w:rPr>
              <w:t xml:space="preserve"> </w:t>
            </w:r>
            <w:r w:rsidR="00AD40D1">
              <w:rPr>
                <w:rFonts w:ascii="Fira Sans" w:hAnsi="Fira Sans" w:cs="Arial"/>
                <w:color w:val="000000" w:themeColor="text1"/>
                <w:sz w:val="20"/>
                <w:lang w:val="fi-FI"/>
              </w:rPr>
              <w:t>73</w:t>
            </w:r>
          </w:p>
          <w:p w14:paraId="37466C19" w14:textId="77777777" w:rsidR="000470AA" w:rsidRPr="00A24587" w:rsidRDefault="000470AA" w:rsidP="009A5961">
            <w:pPr>
              <w:pStyle w:val="Nagwek3"/>
              <w:spacing w:before="0" w:line="240" w:lineRule="auto"/>
              <w:ind w:left="-108"/>
              <w:rPr>
                <w:rFonts w:ascii="Fira Sans" w:hAnsi="Fira Sans"/>
                <w:b/>
                <w:color w:val="000000" w:themeColor="text1"/>
                <w:sz w:val="20"/>
                <w:szCs w:val="20"/>
                <w:lang w:val="fi-FI"/>
              </w:rPr>
            </w:pPr>
          </w:p>
        </w:tc>
        <w:tc>
          <w:tcPr>
            <w:tcW w:w="3728" w:type="dxa"/>
          </w:tcPr>
          <w:p w14:paraId="23ADD3B9" w14:textId="77777777" w:rsidR="00AC3FCE" w:rsidRPr="00785F40" w:rsidRDefault="001D2736" w:rsidP="00E23337">
            <w:pPr>
              <w:spacing w:before="0" w:after="0" w:line="276" w:lineRule="auto"/>
              <w:rPr>
                <w:rFonts w:cs="Arial"/>
                <w:b/>
                <w:color w:val="000000" w:themeColor="text1"/>
                <w:sz w:val="20"/>
                <w:lang w:val="en-US"/>
              </w:rPr>
            </w:pPr>
            <w:r w:rsidRPr="00785F40">
              <w:rPr>
                <w:rFonts w:cs="Arial"/>
                <w:color w:val="000000" w:themeColor="text1"/>
                <w:sz w:val="20"/>
                <w:lang w:val="en-US"/>
              </w:rPr>
              <w:t>Issued by</w:t>
            </w:r>
            <w:r w:rsidR="000470AA" w:rsidRPr="00785F40">
              <w:rPr>
                <w:rFonts w:cs="Arial"/>
                <w:color w:val="000000" w:themeColor="text1"/>
                <w:sz w:val="20"/>
                <w:lang w:val="en-US"/>
              </w:rPr>
              <w:t>:</w:t>
            </w:r>
            <w:r w:rsidR="000470AA" w:rsidRPr="00785F40">
              <w:rPr>
                <w:rFonts w:cs="Arial"/>
                <w:color w:val="000000" w:themeColor="text1"/>
                <w:sz w:val="20"/>
                <w:lang w:val="en-US"/>
              </w:rPr>
              <w:br/>
            </w:r>
            <w:r w:rsidR="00AC3FCE" w:rsidRPr="00785F40">
              <w:rPr>
                <w:rFonts w:cs="Arial"/>
                <w:b/>
                <w:color w:val="000000" w:themeColor="text1"/>
                <w:sz w:val="20"/>
                <w:lang w:val="en-US"/>
              </w:rPr>
              <w:t>The Spoke</w:t>
            </w:r>
            <w:r w:rsidR="004B381A" w:rsidRPr="00785F40">
              <w:rPr>
                <w:rFonts w:cs="Arial"/>
                <w:b/>
                <w:color w:val="000000" w:themeColor="text1"/>
                <w:sz w:val="20"/>
                <w:lang w:val="en-US"/>
              </w:rPr>
              <w:t>s</w:t>
            </w:r>
            <w:r w:rsidR="00AC3FCE" w:rsidRPr="00785F40">
              <w:rPr>
                <w:rFonts w:cs="Arial"/>
                <w:b/>
                <w:color w:val="000000" w:themeColor="text1"/>
                <w:sz w:val="20"/>
                <w:lang w:val="en-US"/>
              </w:rPr>
              <w:t>person</w:t>
            </w:r>
            <w:r w:rsidRPr="00785F40">
              <w:rPr>
                <w:rFonts w:cs="Arial"/>
                <w:b/>
                <w:color w:val="000000" w:themeColor="text1"/>
                <w:sz w:val="20"/>
                <w:lang w:val="en-US"/>
              </w:rPr>
              <w:t xml:space="preserve"> </w:t>
            </w:r>
            <w:r w:rsidR="00AC3FCE" w:rsidRPr="00785F40">
              <w:rPr>
                <w:rFonts w:cs="Arial"/>
                <w:b/>
                <w:color w:val="000000" w:themeColor="text1"/>
                <w:sz w:val="20"/>
                <w:lang w:val="en-US"/>
              </w:rPr>
              <w:t>for</w:t>
            </w:r>
            <w:r w:rsidRPr="00785F40">
              <w:rPr>
                <w:rFonts w:cs="Arial"/>
                <w:b/>
                <w:color w:val="000000" w:themeColor="text1"/>
                <w:sz w:val="20"/>
                <w:lang w:val="en-US"/>
              </w:rPr>
              <w:t xml:space="preserve"> the President</w:t>
            </w:r>
            <w:r w:rsidR="00AC3FCE" w:rsidRPr="00785F40">
              <w:rPr>
                <w:rFonts w:cs="Arial"/>
                <w:b/>
                <w:color w:val="000000" w:themeColor="text1"/>
                <w:sz w:val="20"/>
                <w:lang w:val="en-US"/>
              </w:rPr>
              <w:t xml:space="preserve"> </w:t>
            </w:r>
          </w:p>
          <w:p w14:paraId="5EA03579" w14:textId="77777777" w:rsidR="000470AA" w:rsidRPr="00785F40" w:rsidRDefault="002D5D08" w:rsidP="00E23337">
            <w:pPr>
              <w:spacing w:before="0" w:after="0" w:line="276" w:lineRule="auto"/>
              <w:rPr>
                <w:rFonts w:cs="Arial"/>
                <w:b/>
                <w:color w:val="000000" w:themeColor="text1"/>
                <w:sz w:val="20"/>
                <w:lang w:val="en-US"/>
              </w:rPr>
            </w:pPr>
            <w:r w:rsidRPr="00785F40">
              <w:rPr>
                <w:rFonts w:cs="Arial"/>
                <w:b/>
                <w:color w:val="000000" w:themeColor="text1"/>
                <w:sz w:val="20"/>
                <w:lang w:val="en-US"/>
              </w:rPr>
              <w:t>o</w:t>
            </w:r>
            <w:r w:rsidR="00AC3FCE" w:rsidRPr="00785F40">
              <w:rPr>
                <w:rFonts w:cs="Arial"/>
                <w:b/>
                <w:color w:val="000000" w:themeColor="text1"/>
                <w:sz w:val="20"/>
                <w:lang w:val="en-US"/>
              </w:rPr>
              <w:t>f</w:t>
            </w:r>
            <w:r w:rsidRPr="00785F40">
              <w:rPr>
                <w:rFonts w:cs="Arial"/>
                <w:b/>
                <w:color w:val="000000" w:themeColor="text1"/>
                <w:sz w:val="20"/>
                <w:lang w:val="en-US"/>
              </w:rPr>
              <w:t xml:space="preserve"> </w:t>
            </w:r>
            <w:r w:rsidR="00AC3FCE" w:rsidRPr="00785F40">
              <w:rPr>
                <w:rFonts w:cs="Arial"/>
                <w:b/>
                <w:color w:val="000000" w:themeColor="text1"/>
                <w:sz w:val="20"/>
                <w:lang w:val="en-US"/>
              </w:rPr>
              <w:t xml:space="preserve"> Statistic</w:t>
            </w:r>
            <w:r w:rsidRPr="00785F40">
              <w:rPr>
                <w:rFonts w:cs="Arial"/>
                <w:b/>
                <w:color w:val="000000" w:themeColor="text1"/>
                <w:sz w:val="20"/>
                <w:lang w:val="en-US"/>
              </w:rPr>
              <w:t>s</w:t>
            </w:r>
            <w:r w:rsidR="00AC3FCE" w:rsidRPr="00785F40">
              <w:rPr>
                <w:rFonts w:cs="Arial"/>
                <w:b/>
                <w:color w:val="000000" w:themeColor="text1"/>
                <w:sz w:val="20"/>
                <w:lang w:val="en-US"/>
              </w:rPr>
              <w:t xml:space="preserve"> Poland</w:t>
            </w:r>
          </w:p>
          <w:p w14:paraId="433057EC" w14:textId="77777777" w:rsidR="00FA4729" w:rsidRPr="00785F40" w:rsidRDefault="00FA4729" w:rsidP="00FA4729">
            <w:pPr>
              <w:pStyle w:val="Nagwek3"/>
              <w:spacing w:before="0" w:line="240" w:lineRule="auto"/>
              <w:rPr>
                <w:rFonts w:ascii="Fira Sans" w:hAnsi="Fira Sans" w:cs="Arial"/>
                <w:b/>
                <w:color w:val="000000" w:themeColor="text1"/>
                <w:sz w:val="20"/>
                <w:szCs w:val="28"/>
                <w:lang w:val="en-US"/>
              </w:rPr>
            </w:pPr>
            <w:r w:rsidRPr="00785F40">
              <w:rPr>
                <w:rFonts w:ascii="Fira Sans" w:hAnsi="Fira Sans" w:cs="Arial"/>
                <w:b/>
                <w:color w:val="000000" w:themeColor="text1"/>
                <w:sz w:val="20"/>
                <w:szCs w:val="28"/>
                <w:lang w:val="en-US"/>
              </w:rPr>
              <w:t>Karolina</w:t>
            </w:r>
            <w:r w:rsidRPr="00785F40">
              <w:rPr>
                <w:rFonts w:ascii="Fira Sans" w:hAnsi="Fira Sans" w:cs="Arial"/>
                <w:b/>
                <w:color w:val="auto"/>
                <w:sz w:val="20"/>
                <w:szCs w:val="28"/>
                <w:lang w:val="en-US"/>
              </w:rPr>
              <w:t xml:space="preserve"> Banaszek</w:t>
            </w:r>
          </w:p>
          <w:p w14:paraId="30A9C0F7" w14:textId="77777777" w:rsidR="00F418D1" w:rsidRPr="008F3638" w:rsidRDefault="00F418D1" w:rsidP="00F418D1">
            <w:pPr>
              <w:pStyle w:val="Nagwek3"/>
              <w:spacing w:before="0" w:line="240" w:lineRule="auto"/>
              <w:rPr>
                <w:rFonts w:ascii="Fira Sans" w:hAnsi="Fira Sans" w:cs="Arial"/>
                <w:color w:val="000000" w:themeColor="text1"/>
                <w:sz w:val="20"/>
                <w:lang w:val="fi-FI"/>
              </w:rPr>
            </w:pPr>
            <w:r>
              <w:rPr>
                <w:rFonts w:ascii="Fira Sans" w:hAnsi="Fira Sans" w:cs="Arial"/>
                <w:color w:val="000000" w:themeColor="text1"/>
                <w:sz w:val="20"/>
                <w:lang w:val="fi-FI"/>
              </w:rPr>
              <w:t>Mobile:</w:t>
            </w:r>
            <w:r w:rsidRPr="003A56B5">
              <w:rPr>
                <w:rFonts w:ascii="Fira Sans" w:hAnsi="Fira Sans" w:cs="Arial"/>
                <w:color w:val="000000" w:themeColor="text1"/>
                <w:sz w:val="20"/>
                <w:lang w:val="fi-FI"/>
              </w:rPr>
              <w:t xml:space="preserve"> (+48) </w:t>
            </w:r>
            <w:r w:rsidRPr="00F60BA8">
              <w:rPr>
                <w:rFonts w:ascii="Fira Sans" w:hAnsi="Fira Sans" w:cs="Arial"/>
                <w:color w:val="000000" w:themeColor="text1"/>
                <w:sz w:val="20"/>
                <w:lang w:val="fi-FI"/>
              </w:rPr>
              <w:t>695 255</w:t>
            </w:r>
            <w:r>
              <w:rPr>
                <w:rFonts w:ascii="Fira Sans" w:hAnsi="Fira Sans" w:cs="Arial"/>
                <w:color w:val="000000" w:themeColor="text1"/>
                <w:sz w:val="20"/>
                <w:lang w:val="fi-FI"/>
              </w:rPr>
              <w:t> </w:t>
            </w:r>
            <w:r w:rsidRPr="00F60BA8">
              <w:rPr>
                <w:rFonts w:ascii="Fira Sans" w:hAnsi="Fira Sans" w:cs="Arial"/>
                <w:color w:val="000000" w:themeColor="text1"/>
                <w:sz w:val="20"/>
                <w:lang w:val="fi-FI"/>
              </w:rPr>
              <w:t>011</w:t>
            </w:r>
          </w:p>
          <w:p w14:paraId="7B5CA176" w14:textId="77777777" w:rsidR="000470AA" w:rsidRPr="008F3638" w:rsidRDefault="000470AA" w:rsidP="00D00796">
            <w:pPr>
              <w:pStyle w:val="Nagwek3"/>
              <w:spacing w:before="0" w:line="240" w:lineRule="auto"/>
              <w:rPr>
                <w:rFonts w:ascii="Fira Sans" w:hAnsi="Fira Sans" w:cs="Arial"/>
                <w:color w:val="000000" w:themeColor="text1"/>
                <w:sz w:val="20"/>
                <w:szCs w:val="20"/>
                <w:lang w:val="en-US"/>
              </w:rPr>
            </w:pPr>
          </w:p>
        </w:tc>
      </w:tr>
    </w:tbl>
    <w:p w14:paraId="621C90F8" w14:textId="77777777" w:rsidR="000470AA" w:rsidRPr="00785F40" w:rsidRDefault="000470AA" w:rsidP="000470AA">
      <w:pPr>
        <w:rPr>
          <w:sz w:val="20"/>
          <w:lang w:val="en-US"/>
        </w:rPr>
      </w:pPr>
    </w:p>
    <w:p w14:paraId="7CF269BC" w14:textId="77777777" w:rsidR="000470AA" w:rsidRPr="00785F40" w:rsidRDefault="000470AA" w:rsidP="000470A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470AA" w:rsidRPr="001E3145" w14:paraId="33A468FF" w14:textId="77777777" w:rsidTr="00A24587">
        <w:trPr>
          <w:trHeight w:val="610"/>
        </w:trPr>
        <w:tc>
          <w:tcPr>
            <w:tcW w:w="2721" w:type="pct"/>
            <w:vMerge w:val="restart"/>
          </w:tcPr>
          <w:p w14:paraId="7ACF43DC" w14:textId="77777777" w:rsidR="000470AA" w:rsidRPr="00785F40" w:rsidRDefault="001D2736" w:rsidP="00A24587">
            <w:pPr>
              <w:rPr>
                <w:b/>
                <w:sz w:val="20"/>
                <w:lang w:val="en-US"/>
              </w:rPr>
            </w:pPr>
            <w:r w:rsidRPr="00785F40">
              <w:rPr>
                <w:b/>
                <w:sz w:val="20"/>
                <w:lang w:val="en-US"/>
              </w:rPr>
              <w:t>Press Office</w:t>
            </w:r>
          </w:p>
          <w:p w14:paraId="7C6B44C8" w14:textId="77777777" w:rsidR="00F418D1" w:rsidRPr="00785F40" w:rsidRDefault="00F418D1" w:rsidP="00F418D1">
            <w:pPr>
              <w:rPr>
                <w:sz w:val="20"/>
                <w:lang w:val="en-US"/>
              </w:rPr>
            </w:pPr>
            <w:r w:rsidRPr="003A56B5">
              <w:rPr>
                <w:rFonts w:cs="Arial"/>
                <w:color w:val="000000" w:themeColor="text1"/>
                <w:sz w:val="20"/>
                <w:szCs w:val="24"/>
                <w:lang w:val="fi-FI"/>
              </w:rPr>
              <w:t xml:space="preserve">Office: tel. (+48 22) </w:t>
            </w:r>
            <w:r w:rsidRPr="00785F40">
              <w:rPr>
                <w:sz w:val="20"/>
                <w:lang w:val="en-US"/>
              </w:rPr>
              <w:t xml:space="preserve">608 34 91, 608 38 04 </w:t>
            </w:r>
          </w:p>
          <w:p w14:paraId="3A3AA238" w14:textId="77777777" w:rsidR="000470AA" w:rsidRPr="00785F40" w:rsidRDefault="000470AA" w:rsidP="00A24587">
            <w:pPr>
              <w:rPr>
                <w:sz w:val="18"/>
                <w:lang w:val="en-US"/>
              </w:rPr>
            </w:pPr>
            <w:r w:rsidRPr="00785F40">
              <w:rPr>
                <w:b/>
                <w:sz w:val="20"/>
                <w:lang w:val="en-US"/>
              </w:rPr>
              <w:t>e-mail:</w:t>
            </w:r>
            <w:r w:rsidRPr="00785F40">
              <w:rPr>
                <w:sz w:val="20"/>
                <w:lang w:val="en-US"/>
              </w:rPr>
              <w:t xml:space="preserve"> </w:t>
            </w:r>
            <w:hyperlink r:id="rId17" w:history="1">
              <w:r w:rsidRPr="00785F40">
                <w:rPr>
                  <w:rStyle w:val="Hipercze"/>
                  <w:rFonts w:cstheme="minorBidi"/>
                  <w:b/>
                  <w:color w:val="auto"/>
                  <w:sz w:val="20"/>
                  <w:lang w:val="en-US"/>
                </w:rPr>
                <w:t>obslugaprasowa@stat.gov.pl</w:t>
              </w:r>
            </w:hyperlink>
          </w:p>
        </w:tc>
        <w:tc>
          <w:tcPr>
            <w:tcW w:w="369" w:type="pct"/>
            <w:vAlign w:val="center"/>
          </w:tcPr>
          <w:p w14:paraId="766E1808" w14:textId="77777777" w:rsidR="000470AA" w:rsidRPr="00785F40" w:rsidRDefault="000470AA" w:rsidP="000470AA">
            <w:pPr>
              <w:rPr>
                <w:sz w:val="18"/>
                <w:lang w:val="en-US"/>
              </w:rPr>
            </w:pPr>
            <w:r>
              <w:rPr>
                <w:noProof/>
                <w:sz w:val="20"/>
                <w:lang w:eastAsia="pl-PL"/>
              </w:rPr>
              <w:drawing>
                <wp:anchor distT="0" distB="0" distL="114300" distR="114300" simplePos="0" relativeHeight="251732992" behindDoc="0" locked="0" layoutInCell="1" allowOverlap="1" wp14:anchorId="4CEED306" wp14:editId="01226274">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789CD500" w14:textId="77777777" w:rsidR="000470AA" w:rsidRPr="00785F40" w:rsidRDefault="000470AA" w:rsidP="000470AA">
            <w:pPr>
              <w:rPr>
                <w:sz w:val="18"/>
                <w:lang w:val="en-US"/>
              </w:rPr>
            </w:pPr>
            <w:r w:rsidRPr="00785F40">
              <w:rPr>
                <w:sz w:val="20"/>
                <w:lang w:val="en-US"/>
              </w:rPr>
              <w:t>www.stat.gov.pl</w:t>
            </w:r>
            <w:r w:rsidR="001D2736" w:rsidRPr="00785F40">
              <w:rPr>
                <w:sz w:val="20"/>
                <w:lang w:val="en-US"/>
              </w:rPr>
              <w:t>/en/</w:t>
            </w:r>
          </w:p>
        </w:tc>
      </w:tr>
      <w:tr w:rsidR="000470AA" w14:paraId="41C764BB" w14:textId="77777777" w:rsidTr="00A24587">
        <w:trPr>
          <w:trHeight w:val="436"/>
        </w:trPr>
        <w:tc>
          <w:tcPr>
            <w:tcW w:w="2721" w:type="pct"/>
            <w:vMerge/>
          </w:tcPr>
          <w:p w14:paraId="455CCC30" w14:textId="77777777" w:rsidR="000470AA" w:rsidRPr="00785F40" w:rsidRDefault="000470AA" w:rsidP="00A24587">
            <w:pPr>
              <w:rPr>
                <w:sz w:val="18"/>
                <w:lang w:val="en-US"/>
              </w:rPr>
            </w:pPr>
          </w:p>
        </w:tc>
        <w:tc>
          <w:tcPr>
            <w:tcW w:w="369" w:type="pct"/>
            <w:vAlign w:val="center"/>
          </w:tcPr>
          <w:p w14:paraId="14122734" w14:textId="77777777" w:rsidR="000470AA" w:rsidRPr="00785F40" w:rsidRDefault="000470AA" w:rsidP="000470AA">
            <w:pPr>
              <w:rPr>
                <w:sz w:val="18"/>
                <w:lang w:val="en-US"/>
              </w:rPr>
            </w:pPr>
            <w:r>
              <w:rPr>
                <w:noProof/>
                <w:sz w:val="20"/>
                <w:lang w:eastAsia="pl-PL"/>
              </w:rPr>
              <w:drawing>
                <wp:anchor distT="0" distB="0" distL="114300" distR="114300" simplePos="0" relativeHeight="251735040" behindDoc="0" locked="0" layoutInCell="1" allowOverlap="1" wp14:anchorId="1F27A461" wp14:editId="4ED9E578">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1776C099" w14:textId="77777777" w:rsidR="000470AA" w:rsidRDefault="001D2736" w:rsidP="000470AA">
            <w:pPr>
              <w:rPr>
                <w:sz w:val="18"/>
              </w:rPr>
            </w:pPr>
            <w:r>
              <w:rPr>
                <w:sz w:val="20"/>
              </w:rPr>
              <w:t>@StatPoland</w:t>
            </w:r>
          </w:p>
        </w:tc>
      </w:tr>
      <w:tr w:rsidR="000470AA" w14:paraId="6250CE19" w14:textId="77777777" w:rsidTr="00A24587">
        <w:trPr>
          <w:trHeight w:val="436"/>
        </w:trPr>
        <w:tc>
          <w:tcPr>
            <w:tcW w:w="2721" w:type="pct"/>
            <w:vMerge/>
          </w:tcPr>
          <w:p w14:paraId="197027C9" w14:textId="77777777" w:rsidR="000470AA" w:rsidRDefault="000470AA" w:rsidP="00A24587">
            <w:pPr>
              <w:rPr>
                <w:sz w:val="18"/>
              </w:rPr>
            </w:pPr>
          </w:p>
        </w:tc>
        <w:tc>
          <w:tcPr>
            <w:tcW w:w="369" w:type="pct"/>
            <w:vAlign w:val="center"/>
          </w:tcPr>
          <w:p w14:paraId="7EB3194A" w14:textId="77777777" w:rsidR="000470AA" w:rsidRDefault="000470AA" w:rsidP="000470AA">
            <w:pPr>
              <w:rPr>
                <w:sz w:val="18"/>
              </w:rPr>
            </w:pPr>
            <w:r>
              <w:rPr>
                <w:noProof/>
                <w:sz w:val="20"/>
                <w:lang w:eastAsia="pl-PL"/>
              </w:rPr>
              <w:drawing>
                <wp:anchor distT="0" distB="0" distL="114300" distR="114300" simplePos="0" relativeHeight="251734016" behindDoc="0" locked="0" layoutInCell="1" allowOverlap="1" wp14:anchorId="184515D5" wp14:editId="2D635775">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37DE32D4" w14:textId="77777777" w:rsidR="000470AA" w:rsidRDefault="000470AA" w:rsidP="000470AA">
            <w:pPr>
              <w:rPr>
                <w:sz w:val="20"/>
              </w:rPr>
            </w:pPr>
            <w:r w:rsidRPr="003D5F42">
              <w:rPr>
                <w:sz w:val="20"/>
              </w:rPr>
              <w:t>@GlownyUrzadStatystyczny</w:t>
            </w:r>
          </w:p>
        </w:tc>
      </w:tr>
    </w:tbl>
    <w:p w14:paraId="50FF822D" w14:textId="77777777"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571EFD7E" wp14:editId="5AEFAA61">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55636BA7" w14:textId="77777777" w:rsidR="00AB6D25" w:rsidRDefault="00AB6D25" w:rsidP="00AB6D25">
                            <w:pPr>
                              <w:rPr>
                                <w:b/>
                              </w:rPr>
                            </w:pPr>
                          </w:p>
                          <w:p w14:paraId="6225B95C" w14:textId="77777777" w:rsidR="00AB6D25" w:rsidRPr="00785F40" w:rsidRDefault="000C0DD6" w:rsidP="00AB6D25">
                            <w:pPr>
                              <w:rPr>
                                <w:b/>
                                <w:lang w:val="en-US"/>
                              </w:rPr>
                            </w:pPr>
                            <w:r w:rsidRPr="00785F40">
                              <w:rPr>
                                <w:b/>
                                <w:lang w:val="en-US"/>
                              </w:rPr>
                              <w:t>Related information</w:t>
                            </w:r>
                          </w:p>
                          <w:p w14:paraId="5C44FA80" w14:textId="2E5BAB2A" w:rsidR="00AB6D25" w:rsidRPr="00785F40" w:rsidRDefault="00F6379F" w:rsidP="00AB6D25">
                            <w:pPr>
                              <w:rPr>
                                <w:rStyle w:val="Hipercze"/>
                                <w:rFonts w:cs="Arial"/>
                                <w:color w:val="001D77"/>
                                <w:sz w:val="18"/>
                                <w:szCs w:val="30"/>
                                <w:shd w:val="clear" w:color="auto" w:fill="F0F0F0"/>
                                <w:lang w:val="en-US"/>
                              </w:rPr>
                            </w:pPr>
                            <w:hyperlink r:id="rId21" w:history="1">
                              <w:r w:rsidR="00924E2E" w:rsidRPr="00785F40">
                                <w:rPr>
                                  <w:rStyle w:val="Hipercze"/>
                                  <w:rFonts w:cs="Arial"/>
                                  <w:color w:val="001D77"/>
                                  <w:sz w:val="18"/>
                                  <w:szCs w:val="30"/>
                                  <w:shd w:val="clear" w:color="auto" w:fill="F0F0F0"/>
                                  <w:lang w:val="en-US"/>
                                </w:rPr>
                                <w:t>Specialized segments of financial market</w:t>
                              </w:r>
                            </w:hyperlink>
                          </w:p>
                          <w:p w14:paraId="5D4AF8E9" w14:textId="77777777" w:rsidR="00673C26" w:rsidRPr="00785F40" w:rsidRDefault="00673C26" w:rsidP="00AB6D25">
                            <w:pPr>
                              <w:rPr>
                                <w:b/>
                                <w:color w:val="000000" w:themeColor="text1"/>
                                <w:szCs w:val="24"/>
                                <w:lang w:val="en-US"/>
                              </w:rPr>
                            </w:pPr>
                          </w:p>
                          <w:p w14:paraId="203BD884" w14:textId="77777777"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14:paraId="32EDF993" w14:textId="77777777" w:rsidR="00F85591" w:rsidRPr="00021CE9" w:rsidRDefault="00F6379F" w:rsidP="00F85591">
                            <w:pPr>
                              <w:rPr>
                                <w:rStyle w:val="Hipercze"/>
                                <w:rFonts w:cs="Arial"/>
                                <w:color w:val="1F3864" w:themeColor="accent5" w:themeShade="80"/>
                                <w:sz w:val="18"/>
                                <w:szCs w:val="30"/>
                                <w:shd w:val="clear" w:color="auto" w:fill="F0F0F0"/>
                                <w:lang w:val="en-US"/>
                              </w:rPr>
                            </w:pPr>
                            <w:hyperlink r:id="rId22" w:history="1">
                              <w:r w:rsidR="006D58B2" w:rsidRPr="00021CE9">
                                <w:rPr>
                                  <w:rStyle w:val="Hipercze"/>
                                  <w:rFonts w:cs="Arial"/>
                                  <w:color w:val="1F3864" w:themeColor="accent5" w:themeShade="80"/>
                                  <w:sz w:val="18"/>
                                  <w:szCs w:val="30"/>
                                  <w:shd w:val="clear" w:color="auto" w:fill="F0F0F0"/>
                                  <w:lang w:val="en-US"/>
                                </w:rPr>
                                <w:t>Factoring</w:t>
                              </w:r>
                            </w:hyperlink>
                          </w:p>
                          <w:p w14:paraId="6E8C4A07" w14:textId="77777777" w:rsidR="00DA505A" w:rsidRPr="00021CE9" w:rsidRDefault="00F6379F" w:rsidP="00AB6D25">
                            <w:pPr>
                              <w:rPr>
                                <w:rStyle w:val="Hipercze"/>
                                <w:rFonts w:cs="Arial"/>
                                <w:color w:val="1F3864" w:themeColor="accent5" w:themeShade="80"/>
                                <w:sz w:val="18"/>
                                <w:szCs w:val="30"/>
                                <w:shd w:val="clear" w:color="auto" w:fill="F0F0F0"/>
                                <w:lang w:val="en-US"/>
                              </w:rPr>
                            </w:pPr>
                            <w:hyperlink r:id="rId23" w:history="1">
                              <w:r w:rsidR="006D58B2" w:rsidRPr="00021CE9">
                                <w:rPr>
                                  <w:rStyle w:val="Hipercze"/>
                                  <w:rFonts w:cs="Arial"/>
                                  <w:color w:val="1F3864" w:themeColor="accent5" w:themeShade="80"/>
                                  <w:sz w:val="18"/>
                                  <w:szCs w:val="30"/>
                                  <w:shd w:val="clear" w:color="auto" w:fill="F0F0F0"/>
                                  <w:lang w:val="en-US"/>
                                </w:rPr>
                                <w:t>Recourse factoring</w:t>
                              </w:r>
                            </w:hyperlink>
                          </w:p>
                          <w:p w14:paraId="1700CF47" w14:textId="77777777" w:rsidR="00AB6D25" w:rsidRPr="00021CE9" w:rsidRDefault="00F6379F" w:rsidP="00AB6D25">
                            <w:pPr>
                              <w:rPr>
                                <w:color w:val="1F3864" w:themeColor="accent5" w:themeShade="80"/>
                                <w:szCs w:val="24"/>
                                <w:lang w:val="en-US"/>
                              </w:rPr>
                            </w:pPr>
                            <w:hyperlink r:id="rId24" w:history="1">
                              <w:r w:rsidR="006D58B2" w:rsidRPr="00021CE9">
                                <w:rPr>
                                  <w:rStyle w:val="Hipercze"/>
                                  <w:rFonts w:cs="Arial"/>
                                  <w:color w:val="1F3864" w:themeColor="accent5" w:themeShade="80"/>
                                  <w:sz w:val="18"/>
                                  <w:szCs w:val="30"/>
                                  <w:shd w:val="clear" w:color="auto" w:fill="F0F0F0"/>
                                  <w:lang w:val="en-US"/>
                                </w:rPr>
                                <w:t>Non recourse (traditional) factoring</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1EFD7E" id="_x0000_s1031"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" fillcolor="#f2f2f2 [3052]" strokecolor="white [3212]">
                <v:textbox>
                  <w:txbxContent>
                    <w:p w14:paraId="55636BA7" w14:textId="77777777" w:rsidR="00AB6D25" w:rsidRDefault="00AB6D25" w:rsidP="00AB6D25">
                      <w:pPr>
                        <w:rPr>
                          <w:b/>
                        </w:rPr>
                      </w:pPr>
                    </w:p>
                    <w:p w14:paraId="6225B95C" w14:textId="77777777" w:rsidR="00AB6D25" w:rsidRPr="00785F40" w:rsidRDefault="000C0DD6" w:rsidP="00AB6D25">
                      <w:pPr>
                        <w:rPr>
                          <w:b/>
                          <w:lang w:val="en-US"/>
                        </w:rPr>
                      </w:pPr>
                      <w:r w:rsidRPr="00785F40">
                        <w:rPr>
                          <w:b/>
                          <w:lang w:val="en-US"/>
                        </w:rPr>
                        <w:t>Related information</w:t>
                      </w:r>
                    </w:p>
                    <w:p w14:paraId="5C44FA80" w14:textId="2E5BAB2A" w:rsidR="00AB6D25" w:rsidRPr="00785F40" w:rsidRDefault="00BE0F74" w:rsidP="00AB6D25">
                      <w:pPr>
                        <w:rPr>
                          <w:rStyle w:val="Hipercze"/>
                          <w:rFonts w:cs="Arial"/>
                          <w:color w:val="001D77"/>
                          <w:sz w:val="18"/>
                          <w:szCs w:val="30"/>
                          <w:shd w:val="clear" w:color="auto" w:fill="F0F0F0"/>
                          <w:lang w:val="en-US"/>
                        </w:rPr>
                      </w:pPr>
                      <w:hyperlink r:id="rId25" w:history="1">
                        <w:r w:rsidR="00924E2E" w:rsidRPr="00785F40">
                          <w:rPr>
                            <w:rStyle w:val="Hipercze"/>
                            <w:rFonts w:cs="Arial"/>
                            <w:color w:val="001D77"/>
                            <w:sz w:val="18"/>
                            <w:szCs w:val="30"/>
                            <w:shd w:val="clear" w:color="auto" w:fill="F0F0F0"/>
                            <w:lang w:val="en-US"/>
                          </w:rPr>
                          <w:t>Specialized segments of financial market</w:t>
                        </w:r>
                      </w:hyperlink>
                    </w:p>
                    <w:p w14:paraId="5D4AF8E9" w14:textId="77777777" w:rsidR="00673C26" w:rsidRPr="00785F40" w:rsidRDefault="00673C26" w:rsidP="00AB6D25">
                      <w:pPr>
                        <w:rPr>
                          <w:b/>
                          <w:color w:val="000000" w:themeColor="text1"/>
                          <w:szCs w:val="24"/>
                          <w:lang w:val="en-US"/>
                        </w:rPr>
                      </w:pPr>
                    </w:p>
                    <w:p w14:paraId="203BD884" w14:textId="77777777"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14:paraId="32EDF993" w14:textId="77777777" w:rsidR="00F85591" w:rsidRPr="00021CE9" w:rsidRDefault="00BE0F74" w:rsidP="00F85591">
                      <w:pPr>
                        <w:rPr>
                          <w:rStyle w:val="Hipercze"/>
                          <w:rFonts w:cs="Arial"/>
                          <w:color w:val="1F3864" w:themeColor="accent5" w:themeShade="80"/>
                          <w:sz w:val="18"/>
                          <w:szCs w:val="30"/>
                          <w:shd w:val="clear" w:color="auto" w:fill="F0F0F0"/>
                          <w:lang w:val="en-US"/>
                        </w:rPr>
                      </w:pPr>
                      <w:hyperlink r:id="rId26" w:history="1">
                        <w:r w:rsidR="006D58B2" w:rsidRPr="00021CE9">
                          <w:rPr>
                            <w:rStyle w:val="Hipercze"/>
                            <w:rFonts w:cs="Arial"/>
                            <w:color w:val="1F3864" w:themeColor="accent5" w:themeShade="80"/>
                            <w:sz w:val="18"/>
                            <w:szCs w:val="30"/>
                            <w:shd w:val="clear" w:color="auto" w:fill="F0F0F0"/>
                            <w:lang w:val="en-US"/>
                          </w:rPr>
                          <w:t>Factoring</w:t>
                        </w:r>
                      </w:hyperlink>
                    </w:p>
                    <w:p w14:paraId="6E8C4A07" w14:textId="77777777" w:rsidR="00DA505A" w:rsidRPr="00021CE9" w:rsidRDefault="00BE0F74" w:rsidP="00AB6D25">
                      <w:pPr>
                        <w:rPr>
                          <w:rStyle w:val="Hipercze"/>
                          <w:rFonts w:cs="Arial"/>
                          <w:color w:val="1F3864" w:themeColor="accent5" w:themeShade="80"/>
                          <w:sz w:val="18"/>
                          <w:szCs w:val="30"/>
                          <w:shd w:val="clear" w:color="auto" w:fill="F0F0F0"/>
                          <w:lang w:val="en-US"/>
                        </w:rPr>
                      </w:pPr>
                      <w:hyperlink r:id="rId27" w:history="1">
                        <w:r w:rsidR="006D58B2" w:rsidRPr="00021CE9">
                          <w:rPr>
                            <w:rStyle w:val="Hipercze"/>
                            <w:rFonts w:cs="Arial"/>
                            <w:color w:val="1F3864" w:themeColor="accent5" w:themeShade="80"/>
                            <w:sz w:val="18"/>
                            <w:szCs w:val="30"/>
                            <w:shd w:val="clear" w:color="auto" w:fill="F0F0F0"/>
                            <w:lang w:val="en-US"/>
                          </w:rPr>
                          <w:t>Recourse factoring</w:t>
                        </w:r>
                      </w:hyperlink>
                    </w:p>
                    <w:p w14:paraId="1700CF47" w14:textId="77777777" w:rsidR="00AB6D25" w:rsidRPr="00021CE9" w:rsidRDefault="00BE0F74" w:rsidP="00AB6D25">
                      <w:pPr>
                        <w:rPr>
                          <w:color w:val="1F3864" w:themeColor="accent5" w:themeShade="80"/>
                          <w:szCs w:val="24"/>
                          <w:lang w:val="en-US"/>
                        </w:rPr>
                      </w:pPr>
                      <w:hyperlink r:id="rId28" w:history="1">
                        <w:proofErr w:type="spellStart"/>
                        <w:r w:rsidR="006D58B2" w:rsidRPr="00021CE9">
                          <w:rPr>
                            <w:rStyle w:val="Hipercze"/>
                            <w:rFonts w:cs="Arial"/>
                            <w:color w:val="1F3864" w:themeColor="accent5" w:themeShade="80"/>
                            <w:sz w:val="18"/>
                            <w:szCs w:val="30"/>
                            <w:shd w:val="clear" w:color="auto" w:fill="F0F0F0"/>
                            <w:lang w:val="en-US"/>
                          </w:rPr>
                          <w:t>Non recourse</w:t>
                        </w:r>
                        <w:proofErr w:type="spellEnd"/>
                        <w:r w:rsidR="006D58B2" w:rsidRPr="00021CE9">
                          <w:rPr>
                            <w:rStyle w:val="Hipercze"/>
                            <w:rFonts w:cs="Arial"/>
                            <w:color w:val="1F3864" w:themeColor="accent5" w:themeShade="80"/>
                            <w:sz w:val="18"/>
                            <w:szCs w:val="30"/>
                            <w:shd w:val="clear" w:color="auto" w:fill="F0F0F0"/>
                            <w:lang w:val="en-US"/>
                          </w:rPr>
                          <w:t xml:space="preserve"> (traditional) factoring</w:t>
                        </w:r>
                      </w:hyperlink>
                    </w:p>
                  </w:txbxContent>
                </v:textbox>
                <w10:wrap type="square" anchorx="margin"/>
              </v:shape>
            </w:pict>
          </mc:Fallback>
        </mc:AlternateContent>
      </w:r>
    </w:p>
    <w:sectPr w:rsidR="00D261A2" w:rsidRPr="00001C5B" w:rsidSect="003B18B6">
      <w:headerReference w:type="default" r:id="rId29"/>
      <w:footerReference w:type="default" r:id="rId3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6FA59" w14:textId="77777777" w:rsidR="00F6379F" w:rsidRDefault="00F6379F" w:rsidP="000662E2">
      <w:pPr>
        <w:spacing w:after="0" w:line="240" w:lineRule="auto"/>
      </w:pPr>
      <w:r>
        <w:separator/>
      </w:r>
    </w:p>
  </w:endnote>
  <w:endnote w:type="continuationSeparator" w:id="0">
    <w:p w14:paraId="59CE1034" w14:textId="77777777" w:rsidR="00F6379F" w:rsidRDefault="00F6379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076485"/>
      <w:docPartObj>
        <w:docPartGallery w:val="Page Numbers (Bottom of Page)"/>
        <w:docPartUnique/>
      </w:docPartObj>
    </w:sdtPr>
    <w:sdtEndPr/>
    <w:sdtContent>
      <w:p w14:paraId="002C8876" w14:textId="77777777" w:rsidR="00EB556D" w:rsidRDefault="00541E6E" w:rsidP="003B18B6">
        <w:pPr>
          <w:pStyle w:val="Stopka"/>
          <w:jc w:val="center"/>
        </w:pPr>
        <w:r>
          <w:fldChar w:fldCharType="begin"/>
        </w:r>
        <w:r>
          <w:instrText>PAGE   \* MERGEFORMAT</w:instrText>
        </w:r>
        <w:r>
          <w:fldChar w:fldCharType="separate"/>
        </w:r>
        <w:r w:rsidR="00A85BF6">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2CEC5" w14:textId="77777777" w:rsidR="00EB556D" w:rsidRDefault="00EB556D" w:rsidP="003B18B6">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497494F9" w14:textId="77777777" w:rsidR="003B18B6" w:rsidRDefault="003B18B6" w:rsidP="003B18B6">
        <w:pPr>
          <w:pStyle w:val="Stopka"/>
          <w:jc w:val="center"/>
        </w:pPr>
        <w:r>
          <w:fldChar w:fldCharType="begin"/>
        </w:r>
        <w:r>
          <w:instrText>PAGE   \* MERGEFORMAT</w:instrText>
        </w:r>
        <w:r>
          <w:fldChar w:fldCharType="separate"/>
        </w:r>
        <w:r w:rsidR="00A85BF6">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BE0880" w14:textId="77777777" w:rsidR="00F6379F" w:rsidRDefault="00F6379F" w:rsidP="000662E2">
      <w:pPr>
        <w:spacing w:after="0" w:line="240" w:lineRule="auto"/>
      </w:pPr>
      <w:r>
        <w:separator/>
      </w:r>
    </w:p>
  </w:footnote>
  <w:footnote w:type="continuationSeparator" w:id="0">
    <w:p w14:paraId="77E17B20" w14:textId="77777777" w:rsidR="00F6379F" w:rsidRDefault="00F6379F"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C34E2"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29987F13" wp14:editId="5A4FD344">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9506F0"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23A57C2C"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1E0FF" w14:textId="77777777" w:rsidR="00003437" w:rsidRDefault="00D30555">
    <w:pPr>
      <w:pStyle w:val="Nagwek"/>
      <w:rPr>
        <w:noProof/>
        <w:lang w:eastAsia="pl-PL"/>
      </w:rPr>
    </w:pPr>
    <w:r>
      <w:rPr>
        <w:noProof/>
        <w:lang w:eastAsia="pl-PL"/>
      </w:rPr>
      <w:drawing>
        <wp:anchor distT="0" distB="0" distL="114300" distR="114300" simplePos="0" relativeHeight="251671552" behindDoc="0" locked="0" layoutInCell="1" allowOverlap="1" wp14:anchorId="4368CFF7" wp14:editId="26FEFEAA">
          <wp:simplePos x="0" y="0"/>
          <wp:positionH relativeFrom="column">
            <wp:posOffset>0</wp:posOffset>
          </wp:positionH>
          <wp:positionV relativeFrom="paragraph">
            <wp:posOffset>-635</wp:posOffset>
          </wp:positionV>
          <wp:extent cx="1955800" cy="744855"/>
          <wp:effectExtent l="0" t="0" r="0" b="0"/>
          <wp:wrapSquare wrapText="bothSides"/>
          <wp:docPr id="19" name="Obraz 19"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1F7C819F" wp14:editId="06857DA4">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3A527E" w14:textId="77777777"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7C819F" id="Schemat blokowy: opóźnienie 6" o:spid="_x0000_s1032"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C3A527E" w14:textId="77777777"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4A31BDFD" wp14:editId="715282B3">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18438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41A18D2C" w14:textId="77777777" w:rsidR="001C7430" w:rsidRDefault="001C7430">
    <w:pPr>
      <w:pStyle w:val="Nagwek"/>
      <w:rPr>
        <w:noProof/>
        <w:lang w:eastAsia="pl-PL"/>
      </w:rPr>
    </w:pPr>
  </w:p>
  <w:p w14:paraId="6DB1B89C" w14:textId="77777777" w:rsidR="001C7430" w:rsidRDefault="001C7430">
    <w:pPr>
      <w:pStyle w:val="Nagwek"/>
      <w:rPr>
        <w:noProof/>
        <w:lang w:eastAsia="pl-PL"/>
      </w:rPr>
    </w:pPr>
  </w:p>
  <w:p w14:paraId="56041A87"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056D0D89" wp14:editId="43ACE1AA">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28DC086" w14:textId="77777777" w:rsidR="00F37172" w:rsidRPr="00C97596" w:rsidRDefault="00FF6792" w:rsidP="00F37172">
                          <w:pPr>
                            <w:jc w:val="both"/>
                            <w:rPr>
                              <w:rFonts w:ascii="Fira Sans SemiBold" w:hAnsi="Fira Sans SemiBold"/>
                              <w:color w:val="001D77"/>
                            </w:rPr>
                          </w:pPr>
                          <w:r>
                            <w:rPr>
                              <w:rFonts w:ascii="Fira Sans SemiBold" w:hAnsi="Fira Sans SemiBold"/>
                              <w:color w:val="001D77"/>
                            </w:rPr>
                            <w:t>08</w:t>
                          </w:r>
                          <w:r w:rsidR="00A810F9">
                            <w:rPr>
                              <w:rFonts w:ascii="Fira Sans SemiBold" w:hAnsi="Fira Sans SemiBold"/>
                              <w:color w:val="001D77"/>
                            </w:rPr>
                            <w:t>.</w:t>
                          </w:r>
                          <w:r w:rsidR="006F6D6B">
                            <w:rPr>
                              <w:rFonts w:ascii="Fira Sans SemiBold" w:hAnsi="Fira Sans SemiBold"/>
                              <w:color w:val="001D77"/>
                            </w:rPr>
                            <w:t>0</w:t>
                          </w:r>
                          <w:r w:rsidR="00B20874">
                            <w:rPr>
                              <w:rFonts w:ascii="Fira Sans SemiBold" w:hAnsi="Fira Sans SemiBold"/>
                              <w:color w:val="001D77"/>
                            </w:rPr>
                            <w:t>7</w:t>
                          </w:r>
                          <w:r w:rsidR="00A810F9">
                            <w:rPr>
                              <w:rFonts w:ascii="Fira Sans SemiBold" w:hAnsi="Fira Sans SemiBold"/>
                              <w:color w:val="001D77"/>
                            </w:rPr>
                            <w:t>.</w:t>
                          </w:r>
                          <w:r w:rsidR="00F7688B">
                            <w:rPr>
                              <w:rFonts w:ascii="Fira Sans SemiBold" w:hAnsi="Fira Sans SemiBold"/>
                              <w:color w:val="001D77"/>
                            </w:rPr>
                            <w:t>202</w:t>
                          </w:r>
                          <w:r>
                            <w:rPr>
                              <w:rFonts w:ascii="Fira Sans SemiBold" w:hAnsi="Fira Sans SemiBold"/>
                              <w:color w:val="001D77"/>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56D0D89" id="_x0000_t202" coordsize="21600,21600" o:spt="202" path="m,l,21600r21600,l21600,xe">
              <v:stroke joinstyle="miter"/>
              <v:path gradientshapeok="t" o:connecttype="rect"/>
            </v:shapetype>
            <v:shape id="_x0000_s1033"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14:paraId="528DC086" w14:textId="77777777" w:rsidR="00F37172" w:rsidRPr="00C97596" w:rsidRDefault="00FF6792" w:rsidP="00F37172">
                    <w:pPr>
                      <w:jc w:val="both"/>
                      <w:rPr>
                        <w:rFonts w:ascii="Fira Sans SemiBold" w:hAnsi="Fira Sans SemiBold"/>
                        <w:color w:val="001D77"/>
                      </w:rPr>
                    </w:pPr>
                    <w:r>
                      <w:rPr>
                        <w:rFonts w:ascii="Fira Sans SemiBold" w:hAnsi="Fira Sans SemiBold"/>
                        <w:color w:val="001D77"/>
                      </w:rPr>
                      <w:t>08</w:t>
                    </w:r>
                    <w:r w:rsidR="00A810F9">
                      <w:rPr>
                        <w:rFonts w:ascii="Fira Sans SemiBold" w:hAnsi="Fira Sans SemiBold"/>
                        <w:color w:val="001D77"/>
                      </w:rPr>
                      <w:t>.</w:t>
                    </w:r>
                    <w:r w:rsidR="006F6D6B">
                      <w:rPr>
                        <w:rFonts w:ascii="Fira Sans SemiBold" w:hAnsi="Fira Sans SemiBold"/>
                        <w:color w:val="001D77"/>
                      </w:rPr>
                      <w:t>0</w:t>
                    </w:r>
                    <w:r w:rsidR="00B20874">
                      <w:rPr>
                        <w:rFonts w:ascii="Fira Sans SemiBold" w:hAnsi="Fira Sans SemiBold"/>
                        <w:color w:val="001D77"/>
                      </w:rPr>
                      <w:t>7</w:t>
                    </w:r>
                    <w:r w:rsidR="00A810F9">
                      <w:rPr>
                        <w:rFonts w:ascii="Fira Sans SemiBold" w:hAnsi="Fira Sans SemiBold"/>
                        <w:color w:val="001D77"/>
                      </w:rPr>
                      <w:t>.</w:t>
                    </w:r>
                    <w:r w:rsidR="00F7688B">
                      <w:rPr>
                        <w:rFonts w:ascii="Fira Sans SemiBold" w:hAnsi="Fira Sans SemiBold"/>
                        <w:color w:val="001D77"/>
                      </w:rPr>
                      <w:t>202</w:t>
                    </w:r>
                    <w:r>
                      <w:rPr>
                        <w:rFonts w:ascii="Fira Sans SemiBold" w:hAnsi="Fira Sans SemiBold"/>
                        <w:color w:val="001D77"/>
                      </w:rPr>
                      <w:t>1</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28547" w14:textId="77777777" w:rsidR="00607CC5" w:rsidRDefault="00607CC5">
    <w:pPr>
      <w:pStyle w:val="Nagwek"/>
    </w:pPr>
  </w:p>
  <w:p w14:paraId="014FC5CB"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124pt;height:125.6pt;visibility:visible;mso-wrap-style:square" o:bullet="t">
        <v:imagedata r:id="rId1" o:title=""/>
      </v:shape>
    </w:pict>
  </w:numPicBullet>
  <w:numPicBullet w:numPicBulletId="1">
    <w:pict>
      <v:shape id="_x0000_i1131" type="#_x0000_t75" style="width:124pt;height:125.6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53"/>
    <w:rsid w:val="00001C5B"/>
    <w:rsid w:val="00003437"/>
    <w:rsid w:val="00004288"/>
    <w:rsid w:val="0000709F"/>
    <w:rsid w:val="000108B8"/>
    <w:rsid w:val="000152F5"/>
    <w:rsid w:val="00021CE9"/>
    <w:rsid w:val="0004582E"/>
    <w:rsid w:val="000470AA"/>
    <w:rsid w:val="00057CA1"/>
    <w:rsid w:val="00064439"/>
    <w:rsid w:val="000657E3"/>
    <w:rsid w:val="000662E2"/>
    <w:rsid w:val="00066883"/>
    <w:rsid w:val="000670DE"/>
    <w:rsid w:val="00074DD8"/>
    <w:rsid w:val="000806F7"/>
    <w:rsid w:val="00080863"/>
    <w:rsid w:val="0008514C"/>
    <w:rsid w:val="00085B80"/>
    <w:rsid w:val="0009036F"/>
    <w:rsid w:val="00093C74"/>
    <w:rsid w:val="000A2B89"/>
    <w:rsid w:val="000A490C"/>
    <w:rsid w:val="000B0727"/>
    <w:rsid w:val="000C0DD6"/>
    <w:rsid w:val="000C135D"/>
    <w:rsid w:val="000C4EE5"/>
    <w:rsid w:val="000D1D43"/>
    <w:rsid w:val="000D1EAB"/>
    <w:rsid w:val="000D225C"/>
    <w:rsid w:val="000D2A5C"/>
    <w:rsid w:val="000D4173"/>
    <w:rsid w:val="000E0918"/>
    <w:rsid w:val="000E0D90"/>
    <w:rsid w:val="000E7435"/>
    <w:rsid w:val="000F1392"/>
    <w:rsid w:val="001011C3"/>
    <w:rsid w:val="00101666"/>
    <w:rsid w:val="00110D87"/>
    <w:rsid w:val="00114DB9"/>
    <w:rsid w:val="00116087"/>
    <w:rsid w:val="00130296"/>
    <w:rsid w:val="00135B14"/>
    <w:rsid w:val="00140CEE"/>
    <w:rsid w:val="001423B6"/>
    <w:rsid w:val="001425D9"/>
    <w:rsid w:val="0014351A"/>
    <w:rsid w:val="001448A7"/>
    <w:rsid w:val="00146621"/>
    <w:rsid w:val="0016166A"/>
    <w:rsid w:val="00162325"/>
    <w:rsid w:val="00162E0C"/>
    <w:rsid w:val="00184FC6"/>
    <w:rsid w:val="00187C57"/>
    <w:rsid w:val="00192C1C"/>
    <w:rsid w:val="001951DA"/>
    <w:rsid w:val="001A2887"/>
    <w:rsid w:val="001B28F3"/>
    <w:rsid w:val="001C3269"/>
    <w:rsid w:val="001C5835"/>
    <w:rsid w:val="001C5B51"/>
    <w:rsid w:val="001C7430"/>
    <w:rsid w:val="001D1DB4"/>
    <w:rsid w:val="001D2736"/>
    <w:rsid w:val="001D30D5"/>
    <w:rsid w:val="001E3145"/>
    <w:rsid w:val="001F33C7"/>
    <w:rsid w:val="00202253"/>
    <w:rsid w:val="00217888"/>
    <w:rsid w:val="0022163F"/>
    <w:rsid w:val="00223CE0"/>
    <w:rsid w:val="00232648"/>
    <w:rsid w:val="00234A7C"/>
    <w:rsid w:val="0025563A"/>
    <w:rsid w:val="002574F9"/>
    <w:rsid w:val="00257C61"/>
    <w:rsid w:val="00260B69"/>
    <w:rsid w:val="00262B61"/>
    <w:rsid w:val="00267794"/>
    <w:rsid w:val="00275691"/>
    <w:rsid w:val="00276811"/>
    <w:rsid w:val="002774EF"/>
    <w:rsid w:val="002800E4"/>
    <w:rsid w:val="00282699"/>
    <w:rsid w:val="002926DF"/>
    <w:rsid w:val="00296697"/>
    <w:rsid w:val="002A6113"/>
    <w:rsid w:val="002B0472"/>
    <w:rsid w:val="002B6B12"/>
    <w:rsid w:val="002C3981"/>
    <w:rsid w:val="002C58F1"/>
    <w:rsid w:val="002D5D08"/>
    <w:rsid w:val="002E3BE8"/>
    <w:rsid w:val="002E6140"/>
    <w:rsid w:val="002E6985"/>
    <w:rsid w:val="002E71B6"/>
    <w:rsid w:val="002F77C8"/>
    <w:rsid w:val="00304F22"/>
    <w:rsid w:val="00306C7C"/>
    <w:rsid w:val="00307986"/>
    <w:rsid w:val="0031470A"/>
    <w:rsid w:val="00322EDD"/>
    <w:rsid w:val="00325FAD"/>
    <w:rsid w:val="00326C77"/>
    <w:rsid w:val="00331527"/>
    <w:rsid w:val="00332320"/>
    <w:rsid w:val="00335C89"/>
    <w:rsid w:val="00340352"/>
    <w:rsid w:val="00345A97"/>
    <w:rsid w:val="00347D72"/>
    <w:rsid w:val="00354FCD"/>
    <w:rsid w:val="00357611"/>
    <w:rsid w:val="00362B2B"/>
    <w:rsid w:val="0036678F"/>
    <w:rsid w:val="00367237"/>
    <w:rsid w:val="0037077F"/>
    <w:rsid w:val="00372411"/>
    <w:rsid w:val="00373882"/>
    <w:rsid w:val="00382849"/>
    <w:rsid w:val="003843DB"/>
    <w:rsid w:val="00387093"/>
    <w:rsid w:val="00391300"/>
    <w:rsid w:val="00393761"/>
    <w:rsid w:val="00397D18"/>
    <w:rsid w:val="003A1B36"/>
    <w:rsid w:val="003A2056"/>
    <w:rsid w:val="003A6D7C"/>
    <w:rsid w:val="003B1454"/>
    <w:rsid w:val="003B18B6"/>
    <w:rsid w:val="003C4415"/>
    <w:rsid w:val="003C59E0"/>
    <w:rsid w:val="003C6C8D"/>
    <w:rsid w:val="003D4A87"/>
    <w:rsid w:val="003D4F95"/>
    <w:rsid w:val="003D5C6E"/>
    <w:rsid w:val="003D5F42"/>
    <w:rsid w:val="003D60A9"/>
    <w:rsid w:val="003D726C"/>
    <w:rsid w:val="003E16C3"/>
    <w:rsid w:val="003F4C97"/>
    <w:rsid w:val="003F5BD9"/>
    <w:rsid w:val="003F7A34"/>
    <w:rsid w:val="003F7FE6"/>
    <w:rsid w:val="00400193"/>
    <w:rsid w:val="00413C70"/>
    <w:rsid w:val="00413C93"/>
    <w:rsid w:val="004212E7"/>
    <w:rsid w:val="00422086"/>
    <w:rsid w:val="0042446D"/>
    <w:rsid w:val="00427BF8"/>
    <w:rsid w:val="0043055A"/>
    <w:rsid w:val="00431C02"/>
    <w:rsid w:val="00437395"/>
    <w:rsid w:val="00440531"/>
    <w:rsid w:val="0044057A"/>
    <w:rsid w:val="00445047"/>
    <w:rsid w:val="00451A79"/>
    <w:rsid w:val="00463E39"/>
    <w:rsid w:val="004657FC"/>
    <w:rsid w:val="00466D03"/>
    <w:rsid w:val="004733F6"/>
    <w:rsid w:val="00474E69"/>
    <w:rsid w:val="0049621B"/>
    <w:rsid w:val="004A4833"/>
    <w:rsid w:val="004B381A"/>
    <w:rsid w:val="004C1895"/>
    <w:rsid w:val="004C6D40"/>
    <w:rsid w:val="004C7928"/>
    <w:rsid w:val="004D0C49"/>
    <w:rsid w:val="004F0C3C"/>
    <w:rsid w:val="004F483F"/>
    <w:rsid w:val="004F63FC"/>
    <w:rsid w:val="00505A92"/>
    <w:rsid w:val="005134BB"/>
    <w:rsid w:val="005203F1"/>
    <w:rsid w:val="00521BC3"/>
    <w:rsid w:val="00524721"/>
    <w:rsid w:val="00531743"/>
    <w:rsid w:val="00533632"/>
    <w:rsid w:val="00534734"/>
    <w:rsid w:val="00541E6E"/>
    <w:rsid w:val="0054251F"/>
    <w:rsid w:val="005508B0"/>
    <w:rsid w:val="005520D8"/>
    <w:rsid w:val="00553E19"/>
    <w:rsid w:val="00556CF1"/>
    <w:rsid w:val="0055716A"/>
    <w:rsid w:val="00566E1F"/>
    <w:rsid w:val="005762A7"/>
    <w:rsid w:val="005823E7"/>
    <w:rsid w:val="005916D7"/>
    <w:rsid w:val="005922C7"/>
    <w:rsid w:val="005A698C"/>
    <w:rsid w:val="005A74EC"/>
    <w:rsid w:val="005B0D19"/>
    <w:rsid w:val="005C1E18"/>
    <w:rsid w:val="005C6631"/>
    <w:rsid w:val="005C7A54"/>
    <w:rsid w:val="005D2410"/>
    <w:rsid w:val="005E0799"/>
    <w:rsid w:val="005E14C2"/>
    <w:rsid w:val="005F0BEC"/>
    <w:rsid w:val="005F5A80"/>
    <w:rsid w:val="005F6090"/>
    <w:rsid w:val="006044FF"/>
    <w:rsid w:val="00607CC5"/>
    <w:rsid w:val="00617934"/>
    <w:rsid w:val="00633014"/>
    <w:rsid w:val="0063437B"/>
    <w:rsid w:val="00641C79"/>
    <w:rsid w:val="00647009"/>
    <w:rsid w:val="0065657F"/>
    <w:rsid w:val="006573B8"/>
    <w:rsid w:val="00660E51"/>
    <w:rsid w:val="00663999"/>
    <w:rsid w:val="00664155"/>
    <w:rsid w:val="006673CA"/>
    <w:rsid w:val="00672320"/>
    <w:rsid w:val="00673C26"/>
    <w:rsid w:val="006812AF"/>
    <w:rsid w:val="0068327D"/>
    <w:rsid w:val="00694AF0"/>
    <w:rsid w:val="006A0213"/>
    <w:rsid w:val="006A4686"/>
    <w:rsid w:val="006B0E9E"/>
    <w:rsid w:val="006B0F42"/>
    <w:rsid w:val="006B1AD5"/>
    <w:rsid w:val="006B3BED"/>
    <w:rsid w:val="006B5AE4"/>
    <w:rsid w:val="006D1507"/>
    <w:rsid w:val="006D3ED3"/>
    <w:rsid w:val="006D4054"/>
    <w:rsid w:val="006D58B2"/>
    <w:rsid w:val="006E02EC"/>
    <w:rsid w:val="006F3422"/>
    <w:rsid w:val="006F6D6B"/>
    <w:rsid w:val="00701C71"/>
    <w:rsid w:val="00711EEC"/>
    <w:rsid w:val="007211B1"/>
    <w:rsid w:val="0073223E"/>
    <w:rsid w:val="00733213"/>
    <w:rsid w:val="00741F80"/>
    <w:rsid w:val="00746187"/>
    <w:rsid w:val="0076254F"/>
    <w:rsid w:val="00765B99"/>
    <w:rsid w:val="00770AA3"/>
    <w:rsid w:val="00770EF8"/>
    <w:rsid w:val="007801F5"/>
    <w:rsid w:val="00781C05"/>
    <w:rsid w:val="00783CA4"/>
    <w:rsid w:val="007842FB"/>
    <w:rsid w:val="00785F40"/>
    <w:rsid w:val="00786124"/>
    <w:rsid w:val="0079514B"/>
    <w:rsid w:val="007A1AA3"/>
    <w:rsid w:val="007A2DC1"/>
    <w:rsid w:val="007D3319"/>
    <w:rsid w:val="007D335D"/>
    <w:rsid w:val="007E3314"/>
    <w:rsid w:val="007E4B03"/>
    <w:rsid w:val="007F25BE"/>
    <w:rsid w:val="007F324B"/>
    <w:rsid w:val="00802E0F"/>
    <w:rsid w:val="0080553C"/>
    <w:rsid w:val="00805B46"/>
    <w:rsid w:val="00805BAE"/>
    <w:rsid w:val="00805F1C"/>
    <w:rsid w:val="00825DC2"/>
    <w:rsid w:val="00834AD3"/>
    <w:rsid w:val="00834DF5"/>
    <w:rsid w:val="00843795"/>
    <w:rsid w:val="00847F0F"/>
    <w:rsid w:val="00852448"/>
    <w:rsid w:val="008565F7"/>
    <w:rsid w:val="0086760D"/>
    <w:rsid w:val="00876F05"/>
    <w:rsid w:val="0088258A"/>
    <w:rsid w:val="00886332"/>
    <w:rsid w:val="00886A7D"/>
    <w:rsid w:val="00886E94"/>
    <w:rsid w:val="00894DFD"/>
    <w:rsid w:val="00895FF8"/>
    <w:rsid w:val="008A26D9"/>
    <w:rsid w:val="008A7B88"/>
    <w:rsid w:val="008B001E"/>
    <w:rsid w:val="008B3B02"/>
    <w:rsid w:val="008C0C29"/>
    <w:rsid w:val="008E342A"/>
    <w:rsid w:val="008F3638"/>
    <w:rsid w:val="008F4441"/>
    <w:rsid w:val="008F6F31"/>
    <w:rsid w:val="008F74DF"/>
    <w:rsid w:val="009127BA"/>
    <w:rsid w:val="00915AA6"/>
    <w:rsid w:val="00921967"/>
    <w:rsid w:val="009227A6"/>
    <w:rsid w:val="00923638"/>
    <w:rsid w:val="009242B8"/>
    <w:rsid w:val="00924E2E"/>
    <w:rsid w:val="00933EC1"/>
    <w:rsid w:val="009419F5"/>
    <w:rsid w:val="009421FE"/>
    <w:rsid w:val="00942BA2"/>
    <w:rsid w:val="00945B66"/>
    <w:rsid w:val="00950D8E"/>
    <w:rsid w:val="009530DB"/>
    <w:rsid w:val="00953676"/>
    <w:rsid w:val="0095512A"/>
    <w:rsid w:val="009705EE"/>
    <w:rsid w:val="00974637"/>
    <w:rsid w:val="00977927"/>
    <w:rsid w:val="0098135C"/>
    <w:rsid w:val="0098156A"/>
    <w:rsid w:val="00984B07"/>
    <w:rsid w:val="00985CF5"/>
    <w:rsid w:val="00991BAC"/>
    <w:rsid w:val="009A5961"/>
    <w:rsid w:val="009A6EA0"/>
    <w:rsid w:val="009A78D3"/>
    <w:rsid w:val="009C1335"/>
    <w:rsid w:val="009C1AB2"/>
    <w:rsid w:val="009C7251"/>
    <w:rsid w:val="009D7B4D"/>
    <w:rsid w:val="009E0985"/>
    <w:rsid w:val="009E2E91"/>
    <w:rsid w:val="009E5A64"/>
    <w:rsid w:val="009F1CFC"/>
    <w:rsid w:val="009F1FCE"/>
    <w:rsid w:val="00A139F5"/>
    <w:rsid w:val="00A15F16"/>
    <w:rsid w:val="00A24587"/>
    <w:rsid w:val="00A30006"/>
    <w:rsid w:val="00A365F4"/>
    <w:rsid w:val="00A37DBC"/>
    <w:rsid w:val="00A45EE5"/>
    <w:rsid w:val="00A47D80"/>
    <w:rsid w:val="00A53132"/>
    <w:rsid w:val="00A563F2"/>
    <w:rsid w:val="00A566E8"/>
    <w:rsid w:val="00A61128"/>
    <w:rsid w:val="00A67511"/>
    <w:rsid w:val="00A810F9"/>
    <w:rsid w:val="00A85BF6"/>
    <w:rsid w:val="00A86ECC"/>
    <w:rsid w:val="00A86FCC"/>
    <w:rsid w:val="00A94074"/>
    <w:rsid w:val="00AA710D"/>
    <w:rsid w:val="00AA7A81"/>
    <w:rsid w:val="00AB14A0"/>
    <w:rsid w:val="00AB5DFF"/>
    <w:rsid w:val="00AB6D25"/>
    <w:rsid w:val="00AC3FCE"/>
    <w:rsid w:val="00AD40D1"/>
    <w:rsid w:val="00AE2D4B"/>
    <w:rsid w:val="00AE4F99"/>
    <w:rsid w:val="00AE59BC"/>
    <w:rsid w:val="00B032F3"/>
    <w:rsid w:val="00B04B80"/>
    <w:rsid w:val="00B070A9"/>
    <w:rsid w:val="00B12859"/>
    <w:rsid w:val="00B1321E"/>
    <w:rsid w:val="00B147CB"/>
    <w:rsid w:val="00B14952"/>
    <w:rsid w:val="00B206A5"/>
    <w:rsid w:val="00B20874"/>
    <w:rsid w:val="00B2764F"/>
    <w:rsid w:val="00B30ABB"/>
    <w:rsid w:val="00B31E5A"/>
    <w:rsid w:val="00B363F4"/>
    <w:rsid w:val="00B521D5"/>
    <w:rsid w:val="00B537BA"/>
    <w:rsid w:val="00B653AB"/>
    <w:rsid w:val="00B65F9E"/>
    <w:rsid w:val="00B66B19"/>
    <w:rsid w:val="00B72F9E"/>
    <w:rsid w:val="00B73F22"/>
    <w:rsid w:val="00B86A48"/>
    <w:rsid w:val="00B914E9"/>
    <w:rsid w:val="00B91519"/>
    <w:rsid w:val="00B956EE"/>
    <w:rsid w:val="00BA2BA1"/>
    <w:rsid w:val="00BA571E"/>
    <w:rsid w:val="00BB1508"/>
    <w:rsid w:val="00BB2481"/>
    <w:rsid w:val="00BB4F09"/>
    <w:rsid w:val="00BB6A91"/>
    <w:rsid w:val="00BB72CB"/>
    <w:rsid w:val="00BC2765"/>
    <w:rsid w:val="00BC39B4"/>
    <w:rsid w:val="00BD2D71"/>
    <w:rsid w:val="00BD4E33"/>
    <w:rsid w:val="00BE0F74"/>
    <w:rsid w:val="00BE13B8"/>
    <w:rsid w:val="00BF53A8"/>
    <w:rsid w:val="00C030DE"/>
    <w:rsid w:val="00C034BC"/>
    <w:rsid w:val="00C05E39"/>
    <w:rsid w:val="00C06732"/>
    <w:rsid w:val="00C22105"/>
    <w:rsid w:val="00C244B6"/>
    <w:rsid w:val="00C3702F"/>
    <w:rsid w:val="00C42943"/>
    <w:rsid w:val="00C43A21"/>
    <w:rsid w:val="00C47003"/>
    <w:rsid w:val="00C502EA"/>
    <w:rsid w:val="00C56E2F"/>
    <w:rsid w:val="00C64A37"/>
    <w:rsid w:val="00C71415"/>
    <w:rsid w:val="00C7158E"/>
    <w:rsid w:val="00C71E0A"/>
    <w:rsid w:val="00C7250B"/>
    <w:rsid w:val="00C7346B"/>
    <w:rsid w:val="00C76A59"/>
    <w:rsid w:val="00C77C0E"/>
    <w:rsid w:val="00C91687"/>
    <w:rsid w:val="00C9209D"/>
    <w:rsid w:val="00C924A8"/>
    <w:rsid w:val="00C945FE"/>
    <w:rsid w:val="00C96FAA"/>
    <w:rsid w:val="00C97A04"/>
    <w:rsid w:val="00CA107B"/>
    <w:rsid w:val="00CA2132"/>
    <w:rsid w:val="00CA484D"/>
    <w:rsid w:val="00CA4FB6"/>
    <w:rsid w:val="00CB41A7"/>
    <w:rsid w:val="00CB5B23"/>
    <w:rsid w:val="00CC16CA"/>
    <w:rsid w:val="00CC739E"/>
    <w:rsid w:val="00CD58B7"/>
    <w:rsid w:val="00CD6839"/>
    <w:rsid w:val="00CF4099"/>
    <w:rsid w:val="00CF5EAD"/>
    <w:rsid w:val="00D00796"/>
    <w:rsid w:val="00D0492E"/>
    <w:rsid w:val="00D17A54"/>
    <w:rsid w:val="00D261A2"/>
    <w:rsid w:val="00D26571"/>
    <w:rsid w:val="00D30555"/>
    <w:rsid w:val="00D33CF4"/>
    <w:rsid w:val="00D4156C"/>
    <w:rsid w:val="00D5107C"/>
    <w:rsid w:val="00D55758"/>
    <w:rsid w:val="00D616D2"/>
    <w:rsid w:val="00D63B5F"/>
    <w:rsid w:val="00D64203"/>
    <w:rsid w:val="00D70EF7"/>
    <w:rsid w:val="00D8363D"/>
    <w:rsid w:val="00D8397C"/>
    <w:rsid w:val="00D85984"/>
    <w:rsid w:val="00D931B8"/>
    <w:rsid w:val="00D94EED"/>
    <w:rsid w:val="00D96026"/>
    <w:rsid w:val="00D96CE2"/>
    <w:rsid w:val="00D96F57"/>
    <w:rsid w:val="00DA4463"/>
    <w:rsid w:val="00DA505A"/>
    <w:rsid w:val="00DA7C1C"/>
    <w:rsid w:val="00DB147A"/>
    <w:rsid w:val="00DB1B7A"/>
    <w:rsid w:val="00DB2D41"/>
    <w:rsid w:val="00DB4CC6"/>
    <w:rsid w:val="00DC02DB"/>
    <w:rsid w:val="00DC6708"/>
    <w:rsid w:val="00E01436"/>
    <w:rsid w:val="00E045BD"/>
    <w:rsid w:val="00E107FB"/>
    <w:rsid w:val="00E17B77"/>
    <w:rsid w:val="00E23177"/>
    <w:rsid w:val="00E23337"/>
    <w:rsid w:val="00E259EA"/>
    <w:rsid w:val="00E31ACC"/>
    <w:rsid w:val="00E32061"/>
    <w:rsid w:val="00E341FB"/>
    <w:rsid w:val="00E3783E"/>
    <w:rsid w:val="00E3794B"/>
    <w:rsid w:val="00E42FF9"/>
    <w:rsid w:val="00E4714C"/>
    <w:rsid w:val="00E51AEB"/>
    <w:rsid w:val="00E522A7"/>
    <w:rsid w:val="00E54452"/>
    <w:rsid w:val="00E57D05"/>
    <w:rsid w:val="00E664C5"/>
    <w:rsid w:val="00E671A2"/>
    <w:rsid w:val="00E73765"/>
    <w:rsid w:val="00E76D26"/>
    <w:rsid w:val="00E8371C"/>
    <w:rsid w:val="00E84408"/>
    <w:rsid w:val="00E973A9"/>
    <w:rsid w:val="00E97A00"/>
    <w:rsid w:val="00EB1390"/>
    <w:rsid w:val="00EB2C71"/>
    <w:rsid w:val="00EB4340"/>
    <w:rsid w:val="00EB4C27"/>
    <w:rsid w:val="00EB556D"/>
    <w:rsid w:val="00EB5A7D"/>
    <w:rsid w:val="00EB6F31"/>
    <w:rsid w:val="00ED55C0"/>
    <w:rsid w:val="00ED682B"/>
    <w:rsid w:val="00ED6C96"/>
    <w:rsid w:val="00EE144A"/>
    <w:rsid w:val="00EE41D5"/>
    <w:rsid w:val="00EE76E6"/>
    <w:rsid w:val="00F00ABE"/>
    <w:rsid w:val="00F037A4"/>
    <w:rsid w:val="00F05B0E"/>
    <w:rsid w:val="00F06B26"/>
    <w:rsid w:val="00F07C01"/>
    <w:rsid w:val="00F25DF0"/>
    <w:rsid w:val="00F27C8F"/>
    <w:rsid w:val="00F32749"/>
    <w:rsid w:val="00F37172"/>
    <w:rsid w:val="00F416C8"/>
    <w:rsid w:val="00F418D1"/>
    <w:rsid w:val="00F4477E"/>
    <w:rsid w:val="00F47038"/>
    <w:rsid w:val="00F47563"/>
    <w:rsid w:val="00F6379F"/>
    <w:rsid w:val="00F670E8"/>
    <w:rsid w:val="00F67D8F"/>
    <w:rsid w:val="00F7688B"/>
    <w:rsid w:val="00F802BE"/>
    <w:rsid w:val="00F809B9"/>
    <w:rsid w:val="00F84C10"/>
    <w:rsid w:val="00F85591"/>
    <w:rsid w:val="00F86024"/>
    <w:rsid w:val="00F8611A"/>
    <w:rsid w:val="00F862C2"/>
    <w:rsid w:val="00FA4729"/>
    <w:rsid w:val="00FA5128"/>
    <w:rsid w:val="00FA5405"/>
    <w:rsid w:val="00FB42D4"/>
    <w:rsid w:val="00FB5906"/>
    <w:rsid w:val="00FB762F"/>
    <w:rsid w:val="00FC2AED"/>
    <w:rsid w:val="00FC553B"/>
    <w:rsid w:val="00FD4C0A"/>
    <w:rsid w:val="00FD5EA7"/>
    <w:rsid w:val="00FD670D"/>
    <w:rsid w:val="00FE7252"/>
    <w:rsid w:val="00FF39A0"/>
    <w:rsid w:val="00FF59E7"/>
    <w:rsid w:val="00FF67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922979"/>
  <w15:docId w15:val="{D1B010B6-855C-4E1D-98D9-84E9A4B90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customStyle="1" w:styleId="tlid-translation">
    <w:name w:val="tlid-translation"/>
    <w:basedOn w:val="Domylnaczcionkaakapitu"/>
    <w:rsid w:val="00A67511"/>
  </w:style>
  <w:style w:type="paragraph" w:styleId="HTML-wstpniesformatowany">
    <w:name w:val="HTML Preformatted"/>
    <w:basedOn w:val="Normalny"/>
    <w:link w:val="HTML-wstpniesformatowanyZnak"/>
    <w:uiPriority w:val="99"/>
    <w:unhideWhenUsed/>
    <w:rsid w:val="008A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8A7B88"/>
    <w:rPr>
      <w:rFonts w:ascii="Courier New" w:eastAsia="Times New Roman" w:hAnsi="Courier New" w:cs="Courier New"/>
      <w:sz w:val="20"/>
      <w:szCs w:val="20"/>
      <w:lang w:eastAsia="pl-PL"/>
    </w:rPr>
  </w:style>
  <w:style w:type="table" w:customStyle="1" w:styleId="Siatkatabelijasna10">
    <w:name w:val="Siatka tabeli — jasna1"/>
    <w:basedOn w:val="Standardowy"/>
    <w:uiPriority w:val="40"/>
    <w:rsid w:val="00765B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okomentarza">
    <w:name w:val="annotation reference"/>
    <w:basedOn w:val="Domylnaczcionkaakapitu"/>
    <w:uiPriority w:val="99"/>
    <w:semiHidden/>
    <w:unhideWhenUsed/>
    <w:rsid w:val="005F0BEC"/>
    <w:rPr>
      <w:sz w:val="16"/>
      <w:szCs w:val="16"/>
    </w:rPr>
  </w:style>
  <w:style w:type="paragraph" w:styleId="Tekstkomentarza">
    <w:name w:val="annotation text"/>
    <w:basedOn w:val="Normalny"/>
    <w:link w:val="TekstkomentarzaZnak"/>
    <w:uiPriority w:val="99"/>
    <w:semiHidden/>
    <w:unhideWhenUsed/>
    <w:rsid w:val="005F0B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F0BEC"/>
    <w:rPr>
      <w:rFonts w:ascii="Fira Sans" w:hAnsi="Fira Sans"/>
      <w:sz w:val="20"/>
      <w:szCs w:val="20"/>
    </w:rPr>
  </w:style>
  <w:style w:type="paragraph" w:styleId="NormalnyWeb">
    <w:name w:val="Normal (Web)"/>
    <w:basedOn w:val="Normalny"/>
    <w:uiPriority w:val="99"/>
    <w:semiHidden/>
    <w:unhideWhenUsed/>
    <w:rsid w:val="00B72F9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w">
    <w:name w:val="hw"/>
    <w:basedOn w:val="Domylnaczcionkaakapitu"/>
    <w:rsid w:val="005823E7"/>
  </w:style>
  <w:style w:type="paragraph" w:styleId="Tematkomentarza">
    <w:name w:val="annotation subject"/>
    <w:basedOn w:val="Tekstkomentarza"/>
    <w:next w:val="Tekstkomentarza"/>
    <w:link w:val="TematkomentarzaZnak"/>
    <w:uiPriority w:val="99"/>
    <w:semiHidden/>
    <w:unhideWhenUsed/>
    <w:rsid w:val="00781C05"/>
    <w:rPr>
      <w:b/>
      <w:bCs/>
    </w:rPr>
  </w:style>
  <w:style w:type="character" w:customStyle="1" w:styleId="TematkomentarzaZnak">
    <w:name w:val="Temat komentarza Znak"/>
    <w:basedOn w:val="TekstkomentarzaZnak"/>
    <w:link w:val="Tematkomentarza"/>
    <w:uiPriority w:val="99"/>
    <w:semiHidden/>
    <w:rsid w:val="00781C05"/>
    <w:rPr>
      <w:rFonts w:ascii="Fira Sans" w:hAnsi="Fira Sans"/>
      <w:b/>
      <w:bCs/>
      <w:sz w:val="20"/>
      <w:szCs w:val="20"/>
    </w:rPr>
  </w:style>
  <w:style w:type="character" w:styleId="UyteHipercze">
    <w:name w:val="FollowedHyperlink"/>
    <w:basedOn w:val="Domylnaczcionkaakapitu"/>
    <w:uiPriority w:val="99"/>
    <w:semiHidden/>
    <w:unhideWhenUsed/>
    <w:rsid w:val="006D58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823">
      <w:bodyDiv w:val="1"/>
      <w:marLeft w:val="0"/>
      <w:marRight w:val="0"/>
      <w:marTop w:val="0"/>
      <w:marBottom w:val="0"/>
      <w:divBdr>
        <w:top w:val="none" w:sz="0" w:space="0" w:color="auto"/>
        <w:left w:val="none" w:sz="0" w:space="0" w:color="auto"/>
        <w:bottom w:val="none" w:sz="0" w:space="0" w:color="auto"/>
        <w:right w:val="none" w:sz="0" w:space="0" w:color="auto"/>
      </w:divBdr>
    </w:div>
    <w:div w:id="39323251">
      <w:bodyDiv w:val="1"/>
      <w:marLeft w:val="0"/>
      <w:marRight w:val="0"/>
      <w:marTop w:val="0"/>
      <w:marBottom w:val="0"/>
      <w:divBdr>
        <w:top w:val="none" w:sz="0" w:space="0" w:color="auto"/>
        <w:left w:val="none" w:sz="0" w:space="0" w:color="auto"/>
        <w:bottom w:val="none" w:sz="0" w:space="0" w:color="auto"/>
        <w:right w:val="none" w:sz="0" w:space="0" w:color="auto"/>
      </w:divBdr>
      <w:divsChild>
        <w:div w:id="129522127">
          <w:marLeft w:val="0"/>
          <w:marRight w:val="0"/>
          <w:marTop w:val="0"/>
          <w:marBottom w:val="0"/>
          <w:divBdr>
            <w:top w:val="none" w:sz="0" w:space="0" w:color="auto"/>
            <w:left w:val="none" w:sz="0" w:space="0" w:color="auto"/>
            <w:bottom w:val="none" w:sz="0" w:space="0" w:color="auto"/>
            <w:right w:val="none" w:sz="0" w:space="0" w:color="auto"/>
          </w:divBdr>
        </w:div>
      </w:divsChild>
    </w:div>
    <w:div w:id="75175245">
      <w:bodyDiv w:val="1"/>
      <w:marLeft w:val="0"/>
      <w:marRight w:val="0"/>
      <w:marTop w:val="0"/>
      <w:marBottom w:val="0"/>
      <w:divBdr>
        <w:top w:val="none" w:sz="0" w:space="0" w:color="auto"/>
        <w:left w:val="none" w:sz="0" w:space="0" w:color="auto"/>
        <w:bottom w:val="none" w:sz="0" w:space="0" w:color="auto"/>
        <w:right w:val="none" w:sz="0" w:space="0" w:color="auto"/>
      </w:divBdr>
      <w:divsChild>
        <w:div w:id="462816316">
          <w:marLeft w:val="0"/>
          <w:marRight w:val="0"/>
          <w:marTop w:val="0"/>
          <w:marBottom w:val="0"/>
          <w:divBdr>
            <w:top w:val="none" w:sz="0" w:space="0" w:color="auto"/>
            <w:left w:val="none" w:sz="0" w:space="0" w:color="auto"/>
            <w:bottom w:val="none" w:sz="0" w:space="0" w:color="auto"/>
            <w:right w:val="none" w:sz="0" w:space="0" w:color="auto"/>
          </w:divBdr>
          <w:divsChild>
            <w:div w:id="2059669899">
              <w:marLeft w:val="0"/>
              <w:marRight w:val="0"/>
              <w:marTop w:val="0"/>
              <w:marBottom w:val="0"/>
              <w:divBdr>
                <w:top w:val="none" w:sz="0" w:space="0" w:color="auto"/>
                <w:left w:val="none" w:sz="0" w:space="0" w:color="auto"/>
                <w:bottom w:val="none" w:sz="0" w:space="0" w:color="auto"/>
                <w:right w:val="none" w:sz="0" w:space="0" w:color="auto"/>
              </w:divBdr>
              <w:divsChild>
                <w:div w:id="1600721791">
                  <w:marLeft w:val="0"/>
                  <w:marRight w:val="0"/>
                  <w:marTop w:val="0"/>
                  <w:marBottom w:val="0"/>
                  <w:divBdr>
                    <w:top w:val="none" w:sz="0" w:space="0" w:color="auto"/>
                    <w:left w:val="none" w:sz="0" w:space="0" w:color="auto"/>
                    <w:bottom w:val="none" w:sz="0" w:space="0" w:color="auto"/>
                    <w:right w:val="none" w:sz="0" w:space="0" w:color="auto"/>
                  </w:divBdr>
                  <w:divsChild>
                    <w:div w:id="137319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93075">
      <w:bodyDiv w:val="1"/>
      <w:marLeft w:val="0"/>
      <w:marRight w:val="0"/>
      <w:marTop w:val="0"/>
      <w:marBottom w:val="0"/>
      <w:divBdr>
        <w:top w:val="none" w:sz="0" w:space="0" w:color="auto"/>
        <w:left w:val="none" w:sz="0" w:space="0" w:color="auto"/>
        <w:bottom w:val="none" w:sz="0" w:space="0" w:color="auto"/>
        <w:right w:val="none" w:sz="0" w:space="0" w:color="auto"/>
      </w:divBdr>
    </w:div>
    <w:div w:id="224535989">
      <w:bodyDiv w:val="1"/>
      <w:marLeft w:val="0"/>
      <w:marRight w:val="0"/>
      <w:marTop w:val="0"/>
      <w:marBottom w:val="0"/>
      <w:divBdr>
        <w:top w:val="none" w:sz="0" w:space="0" w:color="auto"/>
        <w:left w:val="none" w:sz="0" w:space="0" w:color="auto"/>
        <w:bottom w:val="none" w:sz="0" w:space="0" w:color="auto"/>
        <w:right w:val="none" w:sz="0" w:space="0" w:color="auto"/>
      </w:divBdr>
      <w:divsChild>
        <w:div w:id="1331786710">
          <w:marLeft w:val="0"/>
          <w:marRight w:val="0"/>
          <w:marTop w:val="0"/>
          <w:marBottom w:val="0"/>
          <w:divBdr>
            <w:top w:val="none" w:sz="0" w:space="0" w:color="auto"/>
            <w:left w:val="none" w:sz="0" w:space="0" w:color="auto"/>
            <w:bottom w:val="none" w:sz="0" w:space="0" w:color="auto"/>
            <w:right w:val="none" w:sz="0" w:space="0" w:color="auto"/>
          </w:divBdr>
          <w:divsChild>
            <w:div w:id="939223326">
              <w:marLeft w:val="0"/>
              <w:marRight w:val="0"/>
              <w:marTop w:val="0"/>
              <w:marBottom w:val="0"/>
              <w:divBdr>
                <w:top w:val="none" w:sz="0" w:space="0" w:color="auto"/>
                <w:left w:val="none" w:sz="0" w:space="0" w:color="auto"/>
                <w:bottom w:val="none" w:sz="0" w:space="0" w:color="auto"/>
                <w:right w:val="none" w:sz="0" w:space="0" w:color="auto"/>
              </w:divBdr>
              <w:divsChild>
                <w:div w:id="1062682823">
                  <w:marLeft w:val="0"/>
                  <w:marRight w:val="0"/>
                  <w:marTop w:val="0"/>
                  <w:marBottom w:val="0"/>
                  <w:divBdr>
                    <w:top w:val="none" w:sz="0" w:space="0" w:color="auto"/>
                    <w:left w:val="none" w:sz="0" w:space="0" w:color="auto"/>
                    <w:bottom w:val="none" w:sz="0" w:space="0" w:color="auto"/>
                    <w:right w:val="none" w:sz="0" w:space="0" w:color="auto"/>
                  </w:divBdr>
                  <w:divsChild>
                    <w:div w:id="13827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727089">
      <w:bodyDiv w:val="1"/>
      <w:marLeft w:val="0"/>
      <w:marRight w:val="0"/>
      <w:marTop w:val="0"/>
      <w:marBottom w:val="0"/>
      <w:divBdr>
        <w:top w:val="none" w:sz="0" w:space="0" w:color="auto"/>
        <w:left w:val="none" w:sz="0" w:space="0" w:color="auto"/>
        <w:bottom w:val="none" w:sz="0" w:space="0" w:color="auto"/>
        <w:right w:val="none" w:sz="0" w:space="0" w:color="auto"/>
      </w:divBdr>
    </w:div>
    <w:div w:id="304119125">
      <w:bodyDiv w:val="1"/>
      <w:marLeft w:val="0"/>
      <w:marRight w:val="0"/>
      <w:marTop w:val="0"/>
      <w:marBottom w:val="0"/>
      <w:divBdr>
        <w:top w:val="none" w:sz="0" w:space="0" w:color="auto"/>
        <w:left w:val="none" w:sz="0" w:space="0" w:color="auto"/>
        <w:bottom w:val="none" w:sz="0" w:space="0" w:color="auto"/>
        <w:right w:val="none" w:sz="0" w:space="0" w:color="auto"/>
      </w:divBdr>
      <w:divsChild>
        <w:div w:id="531769961">
          <w:marLeft w:val="0"/>
          <w:marRight w:val="0"/>
          <w:marTop w:val="0"/>
          <w:marBottom w:val="0"/>
          <w:divBdr>
            <w:top w:val="none" w:sz="0" w:space="0" w:color="auto"/>
            <w:left w:val="none" w:sz="0" w:space="0" w:color="auto"/>
            <w:bottom w:val="none" w:sz="0" w:space="0" w:color="auto"/>
            <w:right w:val="none" w:sz="0" w:space="0" w:color="auto"/>
          </w:divBdr>
          <w:divsChild>
            <w:div w:id="1932546815">
              <w:marLeft w:val="0"/>
              <w:marRight w:val="0"/>
              <w:marTop w:val="0"/>
              <w:marBottom w:val="0"/>
              <w:divBdr>
                <w:top w:val="none" w:sz="0" w:space="0" w:color="auto"/>
                <w:left w:val="none" w:sz="0" w:space="0" w:color="auto"/>
                <w:bottom w:val="none" w:sz="0" w:space="0" w:color="auto"/>
                <w:right w:val="none" w:sz="0" w:space="0" w:color="auto"/>
              </w:divBdr>
              <w:divsChild>
                <w:div w:id="99028626">
                  <w:marLeft w:val="0"/>
                  <w:marRight w:val="0"/>
                  <w:marTop w:val="0"/>
                  <w:marBottom w:val="0"/>
                  <w:divBdr>
                    <w:top w:val="none" w:sz="0" w:space="0" w:color="auto"/>
                    <w:left w:val="none" w:sz="0" w:space="0" w:color="auto"/>
                    <w:bottom w:val="none" w:sz="0" w:space="0" w:color="auto"/>
                    <w:right w:val="none" w:sz="0" w:space="0" w:color="auto"/>
                  </w:divBdr>
                  <w:divsChild>
                    <w:div w:id="18312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15732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2629106">
      <w:bodyDiv w:val="1"/>
      <w:marLeft w:val="0"/>
      <w:marRight w:val="0"/>
      <w:marTop w:val="0"/>
      <w:marBottom w:val="0"/>
      <w:divBdr>
        <w:top w:val="none" w:sz="0" w:space="0" w:color="auto"/>
        <w:left w:val="none" w:sz="0" w:space="0" w:color="auto"/>
        <w:bottom w:val="none" w:sz="0" w:space="0" w:color="auto"/>
        <w:right w:val="none" w:sz="0" w:space="0" w:color="auto"/>
      </w:divBdr>
      <w:divsChild>
        <w:div w:id="1583178326">
          <w:marLeft w:val="0"/>
          <w:marRight w:val="0"/>
          <w:marTop w:val="0"/>
          <w:marBottom w:val="0"/>
          <w:divBdr>
            <w:top w:val="none" w:sz="0" w:space="0" w:color="auto"/>
            <w:left w:val="none" w:sz="0" w:space="0" w:color="auto"/>
            <w:bottom w:val="none" w:sz="0" w:space="0" w:color="auto"/>
            <w:right w:val="none" w:sz="0" w:space="0" w:color="auto"/>
          </w:divBdr>
        </w:div>
      </w:divsChild>
    </w:div>
    <w:div w:id="413551622">
      <w:bodyDiv w:val="1"/>
      <w:marLeft w:val="0"/>
      <w:marRight w:val="0"/>
      <w:marTop w:val="0"/>
      <w:marBottom w:val="0"/>
      <w:divBdr>
        <w:top w:val="none" w:sz="0" w:space="0" w:color="auto"/>
        <w:left w:val="none" w:sz="0" w:space="0" w:color="auto"/>
        <w:bottom w:val="none" w:sz="0" w:space="0" w:color="auto"/>
        <w:right w:val="none" w:sz="0" w:space="0" w:color="auto"/>
      </w:divBdr>
      <w:divsChild>
        <w:div w:id="1746880497">
          <w:marLeft w:val="0"/>
          <w:marRight w:val="0"/>
          <w:marTop w:val="0"/>
          <w:marBottom w:val="0"/>
          <w:divBdr>
            <w:top w:val="none" w:sz="0" w:space="0" w:color="auto"/>
            <w:left w:val="none" w:sz="0" w:space="0" w:color="auto"/>
            <w:bottom w:val="none" w:sz="0" w:space="0" w:color="auto"/>
            <w:right w:val="none" w:sz="0" w:space="0" w:color="auto"/>
          </w:divBdr>
          <w:divsChild>
            <w:div w:id="280691498">
              <w:marLeft w:val="0"/>
              <w:marRight w:val="0"/>
              <w:marTop w:val="0"/>
              <w:marBottom w:val="0"/>
              <w:divBdr>
                <w:top w:val="none" w:sz="0" w:space="0" w:color="auto"/>
                <w:left w:val="none" w:sz="0" w:space="0" w:color="auto"/>
                <w:bottom w:val="none" w:sz="0" w:space="0" w:color="auto"/>
                <w:right w:val="none" w:sz="0" w:space="0" w:color="auto"/>
              </w:divBdr>
              <w:divsChild>
                <w:div w:id="1987126495">
                  <w:marLeft w:val="0"/>
                  <w:marRight w:val="0"/>
                  <w:marTop w:val="0"/>
                  <w:marBottom w:val="0"/>
                  <w:divBdr>
                    <w:top w:val="none" w:sz="0" w:space="0" w:color="auto"/>
                    <w:left w:val="none" w:sz="0" w:space="0" w:color="auto"/>
                    <w:bottom w:val="none" w:sz="0" w:space="0" w:color="auto"/>
                    <w:right w:val="none" w:sz="0" w:space="0" w:color="auto"/>
                  </w:divBdr>
                  <w:divsChild>
                    <w:div w:id="171372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94279">
      <w:bodyDiv w:val="1"/>
      <w:marLeft w:val="0"/>
      <w:marRight w:val="0"/>
      <w:marTop w:val="0"/>
      <w:marBottom w:val="0"/>
      <w:divBdr>
        <w:top w:val="none" w:sz="0" w:space="0" w:color="auto"/>
        <w:left w:val="none" w:sz="0" w:space="0" w:color="auto"/>
        <w:bottom w:val="none" w:sz="0" w:space="0" w:color="auto"/>
        <w:right w:val="none" w:sz="0" w:space="0" w:color="auto"/>
      </w:divBdr>
    </w:div>
    <w:div w:id="480580939">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4289732">
      <w:bodyDiv w:val="1"/>
      <w:marLeft w:val="0"/>
      <w:marRight w:val="0"/>
      <w:marTop w:val="0"/>
      <w:marBottom w:val="0"/>
      <w:divBdr>
        <w:top w:val="none" w:sz="0" w:space="0" w:color="auto"/>
        <w:left w:val="none" w:sz="0" w:space="0" w:color="auto"/>
        <w:bottom w:val="none" w:sz="0" w:space="0" w:color="auto"/>
        <w:right w:val="none" w:sz="0" w:space="0" w:color="auto"/>
      </w:divBdr>
    </w:div>
    <w:div w:id="546531389">
      <w:bodyDiv w:val="1"/>
      <w:marLeft w:val="0"/>
      <w:marRight w:val="0"/>
      <w:marTop w:val="0"/>
      <w:marBottom w:val="0"/>
      <w:divBdr>
        <w:top w:val="none" w:sz="0" w:space="0" w:color="auto"/>
        <w:left w:val="none" w:sz="0" w:space="0" w:color="auto"/>
        <w:bottom w:val="none" w:sz="0" w:space="0" w:color="auto"/>
        <w:right w:val="none" w:sz="0" w:space="0" w:color="auto"/>
      </w:divBdr>
    </w:div>
    <w:div w:id="55817583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32855198">
      <w:bodyDiv w:val="1"/>
      <w:marLeft w:val="0"/>
      <w:marRight w:val="0"/>
      <w:marTop w:val="0"/>
      <w:marBottom w:val="0"/>
      <w:divBdr>
        <w:top w:val="none" w:sz="0" w:space="0" w:color="auto"/>
        <w:left w:val="none" w:sz="0" w:space="0" w:color="auto"/>
        <w:bottom w:val="none" w:sz="0" w:space="0" w:color="auto"/>
        <w:right w:val="none" w:sz="0" w:space="0" w:color="auto"/>
      </w:divBdr>
      <w:divsChild>
        <w:div w:id="1880167917">
          <w:marLeft w:val="0"/>
          <w:marRight w:val="0"/>
          <w:marTop w:val="0"/>
          <w:marBottom w:val="0"/>
          <w:divBdr>
            <w:top w:val="none" w:sz="0" w:space="0" w:color="auto"/>
            <w:left w:val="none" w:sz="0" w:space="0" w:color="auto"/>
            <w:bottom w:val="none" w:sz="0" w:space="0" w:color="auto"/>
            <w:right w:val="none" w:sz="0" w:space="0" w:color="auto"/>
          </w:divBdr>
        </w:div>
      </w:divsChild>
    </w:div>
    <w:div w:id="750354384">
      <w:bodyDiv w:val="1"/>
      <w:marLeft w:val="0"/>
      <w:marRight w:val="0"/>
      <w:marTop w:val="0"/>
      <w:marBottom w:val="0"/>
      <w:divBdr>
        <w:top w:val="none" w:sz="0" w:space="0" w:color="auto"/>
        <w:left w:val="none" w:sz="0" w:space="0" w:color="auto"/>
        <w:bottom w:val="none" w:sz="0" w:space="0" w:color="auto"/>
        <w:right w:val="none" w:sz="0" w:space="0" w:color="auto"/>
      </w:divBdr>
      <w:divsChild>
        <w:div w:id="1778059332">
          <w:marLeft w:val="0"/>
          <w:marRight w:val="0"/>
          <w:marTop w:val="0"/>
          <w:marBottom w:val="0"/>
          <w:divBdr>
            <w:top w:val="none" w:sz="0" w:space="0" w:color="auto"/>
            <w:left w:val="none" w:sz="0" w:space="0" w:color="auto"/>
            <w:bottom w:val="none" w:sz="0" w:space="0" w:color="auto"/>
            <w:right w:val="none" w:sz="0" w:space="0" w:color="auto"/>
          </w:divBdr>
          <w:divsChild>
            <w:div w:id="801383045">
              <w:marLeft w:val="0"/>
              <w:marRight w:val="0"/>
              <w:marTop w:val="0"/>
              <w:marBottom w:val="0"/>
              <w:divBdr>
                <w:top w:val="none" w:sz="0" w:space="0" w:color="auto"/>
                <w:left w:val="none" w:sz="0" w:space="0" w:color="auto"/>
                <w:bottom w:val="none" w:sz="0" w:space="0" w:color="auto"/>
                <w:right w:val="none" w:sz="0" w:space="0" w:color="auto"/>
              </w:divBdr>
              <w:divsChild>
                <w:div w:id="2077822978">
                  <w:marLeft w:val="0"/>
                  <w:marRight w:val="0"/>
                  <w:marTop w:val="0"/>
                  <w:marBottom w:val="0"/>
                  <w:divBdr>
                    <w:top w:val="none" w:sz="0" w:space="0" w:color="auto"/>
                    <w:left w:val="none" w:sz="0" w:space="0" w:color="auto"/>
                    <w:bottom w:val="none" w:sz="0" w:space="0" w:color="auto"/>
                    <w:right w:val="none" w:sz="0" w:space="0" w:color="auto"/>
                  </w:divBdr>
                  <w:divsChild>
                    <w:div w:id="1639339170">
                      <w:marLeft w:val="0"/>
                      <w:marRight w:val="0"/>
                      <w:marTop w:val="0"/>
                      <w:marBottom w:val="0"/>
                      <w:divBdr>
                        <w:top w:val="none" w:sz="0" w:space="0" w:color="auto"/>
                        <w:left w:val="none" w:sz="0" w:space="0" w:color="auto"/>
                        <w:bottom w:val="none" w:sz="0" w:space="0" w:color="auto"/>
                        <w:right w:val="none" w:sz="0" w:space="0" w:color="auto"/>
                      </w:divBdr>
                      <w:divsChild>
                        <w:div w:id="2144424474">
                          <w:marLeft w:val="0"/>
                          <w:marRight w:val="0"/>
                          <w:marTop w:val="0"/>
                          <w:marBottom w:val="0"/>
                          <w:divBdr>
                            <w:top w:val="none" w:sz="0" w:space="0" w:color="auto"/>
                            <w:left w:val="none" w:sz="0" w:space="0" w:color="auto"/>
                            <w:bottom w:val="none" w:sz="0" w:space="0" w:color="auto"/>
                            <w:right w:val="none" w:sz="0" w:space="0" w:color="auto"/>
                          </w:divBdr>
                          <w:divsChild>
                            <w:div w:id="1726678473">
                              <w:marLeft w:val="0"/>
                              <w:marRight w:val="0"/>
                              <w:marTop w:val="0"/>
                              <w:marBottom w:val="0"/>
                              <w:divBdr>
                                <w:top w:val="none" w:sz="0" w:space="0" w:color="auto"/>
                                <w:left w:val="none" w:sz="0" w:space="0" w:color="auto"/>
                                <w:bottom w:val="none" w:sz="0" w:space="0" w:color="auto"/>
                                <w:right w:val="none" w:sz="0" w:space="0" w:color="auto"/>
                              </w:divBdr>
                              <w:divsChild>
                                <w:div w:id="350497691">
                                  <w:marLeft w:val="0"/>
                                  <w:marRight w:val="0"/>
                                  <w:marTop w:val="0"/>
                                  <w:marBottom w:val="0"/>
                                  <w:divBdr>
                                    <w:top w:val="none" w:sz="0" w:space="0" w:color="auto"/>
                                    <w:left w:val="none" w:sz="0" w:space="0" w:color="auto"/>
                                    <w:bottom w:val="none" w:sz="0" w:space="0" w:color="auto"/>
                                    <w:right w:val="none" w:sz="0" w:space="0" w:color="auto"/>
                                  </w:divBdr>
                                  <w:divsChild>
                                    <w:div w:id="1031612980">
                                      <w:marLeft w:val="0"/>
                                      <w:marRight w:val="0"/>
                                      <w:marTop w:val="0"/>
                                      <w:marBottom w:val="0"/>
                                      <w:divBdr>
                                        <w:top w:val="none" w:sz="0" w:space="0" w:color="auto"/>
                                        <w:left w:val="none" w:sz="0" w:space="0" w:color="auto"/>
                                        <w:bottom w:val="none" w:sz="0" w:space="0" w:color="auto"/>
                                        <w:right w:val="none" w:sz="0" w:space="0" w:color="auto"/>
                                      </w:divBdr>
                                      <w:divsChild>
                                        <w:div w:id="1218972160">
                                          <w:marLeft w:val="0"/>
                                          <w:marRight w:val="0"/>
                                          <w:marTop w:val="0"/>
                                          <w:marBottom w:val="0"/>
                                          <w:divBdr>
                                            <w:top w:val="none" w:sz="0" w:space="0" w:color="auto"/>
                                            <w:left w:val="none" w:sz="0" w:space="0" w:color="auto"/>
                                            <w:bottom w:val="none" w:sz="0" w:space="0" w:color="auto"/>
                                            <w:right w:val="none" w:sz="0" w:space="0" w:color="auto"/>
                                          </w:divBdr>
                                          <w:divsChild>
                                            <w:div w:id="434784763">
                                              <w:marLeft w:val="0"/>
                                              <w:marRight w:val="0"/>
                                              <w:marTop w:val="0"/>
                                              <w:marBottom w:val="495"/>
                                              <w:divBdr>
                                                <w:top w:val="none" w:sz="0" w:space="0" w:color="auto"/>
                                                <w:left w:val="none" w:sz="0" w:space="0" w:color="auto"/>
                                                <w:bottom w:val="none" w:sz="0" w:space="0" w:color="auto"/>
                                                <w:right w:val="none" w:sz="0" w:space="0" w:color="auto"/>
                                              </w:divBdr>
                                              <w:divsChild>
                                                <w:div w:id="102925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601364">
      <w:bodyDiv w:val="1"/>
      <w:marLeft w:val="0"/>
      <w:marRight w:val="0"/>
      <w:marTop w:val="0"/>
      <w:marBottom w:val="0"/>
      <w:divBdr>
        <w:top w:val="none" w:sz="0" w:space="0" w:color="auto"/>
        <w:left w:val="none" w:sz="0" w:space="0" w:color="auto"/>
        <w:bottom w:val="none" w:sz="0" w:space="0" w:color="auto"/>
        <w:right w:val="none" w:sz="0" w:space="0" w:color="auto"/>
      </w:divBdr>
    </w:div>
    <w:div w:id="758983896">
      <w:bodyDiv w:val="1"/>
      <w:marLeft w:val="0"/>
      <w:marRight w:val="0"/>
      <w:marTop w:val="0"/>
      <w:marBottom w:val="0"/>
      <w:divBdr>
        <w:top w:val="none" w:sz="0" w:space="0" w:color="auto"/>
        <w:left w:val="none" w:sz="0" w:space="0" w:color="auto"/>
        <w:bottom w:val="none" w:sz="0" w:space="0" w:color="auto"/>
        <w:right w:val="none" w:sz="0" w:space="0" w:color="auto"/>
      </w:divBdr>
    </w:div>
    <w:div w:id="822618723">
      <w:bodyDiv w:val="1"/>
      <w:marLeft w:val="0"/>
      <w:marRight w:val="0"/>
      <w:marTop w:val="0"/>
      <w:marBottom w:val="0"/>
      <w:divBdr>
        <w:top w:val="none" w:sz="0" w:space="0" w:color="auto"/>
        <w:left w:val="none" w:sz="0" w:space="0" w:color="auto"/>
        <w:bottom w:val="none" w:sz="0" w:space="0" w:color="auto"/>
        <w:right w:val="none" w:sz="0" w:space="0" w:color="auto"/>
      </w:divBdr>
    </w:div>
    <w:div w:id="865948387">
      <w:bodyDiv w:val="1"/>
      <w:marLeft w:val="0"/>
      <w:marRight w:val="0"/>
      <w:marTop w:val="0"/>
      <w:marBottom w:val="0"/>
      <w:divBdr>
        <w:top w:val="none" w:sz="0" w:space="0" w:color="auto"/>
        <w:left w:val="none" w:sz="0" w:space="0" w:color="auto"/>
        <w:bottom w:val="none" w:sz="0" w:space="0" w:color="auto"/>
        <w:right w:val="none" w:sz="0" w:space="0" w:color="auto"/>
      </w:divBdr>
    </w:div>
    <w:div w:id="897008161">
      <w:bodyDiv w:val="1"/>
      <w:marLeft w:val="0"/>
      <w:marRight w:val="0"/>
      <w:marTop w:val="0"/>
      <w:marBottom w:val="0"/>
      <w:divBdr>
        <w:top w:val="none" w:sz="0" w:space="0" w:color="auto"/>
        <w:left w:val="none" w:sz="0" w:space="0" w:color="auto"/>
        <w:bottom w:val="none" w:sz="0" w:space="0" w:color="auto"/>
        <w:right w:val="none" w:sz="0" w:space="0" w:color="auto"/>
      </w:divBdr>
      <w:divsChild>
        <w:div w:id="978922934">
          <w:marLeft w:val="0"/>
          <w:marRight w:val="0"/>
          <w:marTop w:val="0"/>
          <w:marBottom w:val="0"/>
          <w:divBdr>
            <w:top w:val="none" w:sz="0" w:space="0" w:color="auto"/>
            <w:left w:val="none" w:sz="0" w:space="0" w:color="auto"/>
            <w:bottom w:val="none" w:sz="0" w:space="0" w:color="auto"/>
            <w:right w:val="none" w:sz="0" w:space="0" w:color="auto"/>
          </w:divBdr>
        </w:div>
      </w:divsChild>
    </w:div>
    <w:div w:id="951548589">
      <w:bodyDiv w:val="1"/>
      <w:marLeft w:val="0"/>
      <w:marRight w:val="0"/>
      <w:marTop w:val="0"/>
      <w:marBottom w:val="0"/>
      <w:divBdr>
        <w:top w:val="none" w:sz="0" w:space="0" w:color="auto"/>
        <w:left w:val="none" w:sz="0" w:space="0" w:color="auto"/>
        <w:bottom w:val="none" w:sz="0" w:space="0" w:color="auto"/>
        <w:right w:val="none" w:sz="0" w:space="0" w:color="auto"/>
      </w:divBdr>
    </w:div>
    <w:div w:id="1002703625">
      <w:bodyDiv w:val="1"/>
      <w:marLeft w:val="0"/>
      <w:marRight w:val="0"/>
      <w:marTop w:val="0"/>
      <w:marBottom w:val="0"/>
      <w:divBdr>
        <w:top w:val="none" w:sz="0" w:space="0" w:color="auto"/>
        <w:left w:val="none" w:sz="0" w:space="0" w:color="auto"/>
        <w:bottom w:val="none" w:sz="0" w:space="0" w:color="auto"/>
        <w:right w:val="none" w:sz="0" w:space="0" w:color="auto"/>
      </w:divBdr>
      <w:divsChild>
        <w:div w:id="852690088">
          <w:marLeft w:val="0"/>
          <w:marRight w:val="0"/>
          <w:marTop w:val="0"/>
          <w:marBottom w:val="0"/>
          <w:divBdr>
            <w:top w:val="none" w:sz="0" w:space="0" w:color="auto"/>
            <w:left w:val="none" w:sz="0" w:space="0" w:color="auto"/>
            <w:bottom w:val="none" w:sz="0" w:space="0" w:color="auto"/>
            <w:right w:val="none" w:sz="0" w:space="0" w:color="auto"/>
          </w:divBdr>
        </w:div>
      </w:divsChild>
    </w:div>
    <w:div w:id="1033461197">
      <w:bodyDiv w:val="1"/>
      <w:marLeft w:val="0"/>
      <w:marRight w:val="0"/>
      <w:marTop w:val="0"/>
      <w:marBottom w:val="0"/>
      <w:divBdr>
        <w:top w:val="none" w:sz="0" w:space="0" w:color="auto"/>
        <w:left w:val="none" w:sz="0" w:space="0" w:color="auto"/>
        <w:bottom w:val="none" w:sz="0" w:space="0" w:color="auto"/>
        <w:right w:val="none" w:sz="0" w:space="0" w:color="auto"/>
      </w:divBdr>
    </w:div>
    <w:div w:id="116844819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08828127">
      <w:bodyDiv w:val="1"/>
      <w:marLeft w:val="0"/>
      <w:marRight w:val="0"/>
      <w:marTop w:val="0"/>
      <w:marBottom w:val="0"/>
      <w:divBdr>
        <w:top w:val="none" w:sz="0" w:space="0" w:color="auto"/>
        <w:left w:val="none" w:sz="0" w:space="0" w:color="auto"/>
        <w:bottom w:val="none" w:sz="0" w:space="0" w:color="auto"/>
        <w:right w:val="none" w:sz="0" w:space="0" w:color="auto"/>
      </w:divBdr>
    </w:div>
    <w:div w:id="1461261614">
      <w:bodyDiv w:val="1"/>
      <w:marLeft w:val="0"/>
      <w:marRight w:val="0"/>
      <w:marTop w:val="0"/>
      <w:marBottom w:val="0"/>
      <w:divBdr>
        <w:top w:val="none" w:sz="0" w:space="0" w:color="auto"/>
        <w:left w:val="none" w:sz="0" w:space="0" w:color="auto"/>
        <w:bottom w:val="none" w:sz="0" w:space="0" w:color="auto"/>
        <w:right w:val="none" w:sz="0" w:space="0" w:color="auto"/>
      </w:divBdr>
      <w:divsChild>
        <w:div w:id="976033435">
          <w:marLeft w:val="0"/>
          <w:marRight w:val="0"/>
          <w:marTop w:val="0"/>
          <w:marBottom w:val="0"/>
          <w:divBdr>
            <w:top w:val="none" w:sz="0" w:space="0" w:color="auto"/>
            <w:left w:val="none" w:sz="0" w:space="0" w:color="auto"/>
            <w:bottom w:val="none" w:sz="0" w:space="0" w:color="auto"/>
            <w:right w:val="none" w:sz="0" w:space="0" w:color="auto"/>
          </w:divBdr>
          <w:divsChild>
            <w:div w:id="1628193858">
              <w:marLeft w:val="0"/>
              <w:marRight w:val="0"/>
              <w:marTop w:val="0"/>
              <w:marBottom w:val="0"/>
              <w:divBdr>
                <w:top w:val="none" w:sz="0" w:space="0" w:color="auto"/>
                <w:left w:val="none" w:sz="0" w:space="0" w:color="auto"/>
                <w:bottom w:val="none" w:sz="0" w:space="0" w:color="auto"/>
                <w:right w:val="none" w:sz="0" w:space="0" w:color="auto"/>
              </w:divBdr>
              <w:divsChild>
                <w:div w:id="2002074601">
                  <w:marLeft w:val="0"/>
                  <w:marRight w:val="0"/>
                  <w:marTop w:val="0"/>
                  <w:marBottom w:val="0"/>
                  <w:divBdr>
                    <w:top w:val="none" w:sz="0" w:space="0" w:color="auto"/>
                    <w:left w:val="none" w:sz="0" w:space="0" w:color="auto"/>
                    <w:bottom w:val="none" w:sz="0" w:space="0" w:color="auto"/>
                    <w:right w:val="none" w:sz="0" w:space="0" w:color="auto"/>
                  </w:divBdr>
                  <w:divsChild>
                    <w:div w:id="152982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268500">
      <w:bodyDiv w:val="1"/>
      <w:marLeft w:val="0"/>
      <w:marRight w:val="0"/>
      <w:marTop w:val="0"/>
      <w:marBottom w:val="0"/>
      <w:divBdr>
        <w:top w:val="none" w:sz="0" w:space="0" w:color="auto"/>
        <w:left w:val="none" w:sz="0" w:space="0" w:color="auto"/>
        <w:bottom w:val="none" w:sz="0" w:space="0" w:color="auto"/>
        <w:right w:val="none" w:sz="0" w:space="0" w:color="auto"/>
      </w:divBdr>
      <w:divsChild>
        <w:div w:id="232811617">
          <w:marLeft w:val="0"/>
          <w:marRight w:val="0"/>
          <w:marTop w:val="0"/>
          <w:marBottom w:val="0"/>
          <w:divBdr>
            <w:top w:val="none" w:sz="0" w:space="0" w:color="auto"/>
            <w:left w:val="none" w:sz="0" w:space="0" w:color="auto"/>
            <w:bottom w:val="none" w:sz="0" w:space="0" w:color="auto"/>
            <w:right w:val="none" w:sz="0" w:space="0" w:color="auto"/>
          </w:divBdr>
          <w:divsChild>
            <w:div w:id="256403383">
              <w:marLeft w:val="0"/>
              <w:marRight w:val="0"/>
              <w:marTop w:val="0"/>
              <w:marBottom w:val="0"/>
              <w:divBdr>
                <w:top w:val="none" w:sz="0" w:space="0" w:color="auto"/>
                <w:left w:val="none" w:sz="0" w:space="0" w:color="auto"/>
                <w:bottom w:val="none" w:sz="0" w:space="0" w:color="auto"/>
                <w:right w:val="none" w:sz="0" w:space="0" w:color="auto"/>
              </w:divBdr>
              <w:divsChild>
                <w:div w:id="709066361">
                  <w:marLeft w:val="0"/>
                  <w:marRight w:val="0"/>
                  <w:marTop w:val="0"/>
                  <w:marBottom w:val="0"/>
                  <w:divBdr>
                    <w:top w:val="none" w:sz="0" w:space="0" w:color="auto"/>
                    <w:left w:val="none" w:sz="0" w:space="0" w:color="auto"/>
                    <w:bottom w:val="none" w:sz="0" w:space="0" w:color="auto"/>
                    <w:right w:val="none" w:sz="0" w:space="0" w:color="auto"/>
                  </w:divBdr>
                  <w:divsChild>
                    <w:div w:id="9832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042644">
      <w:bodyDiv w:val="1"/>
      <w:marLeft w:val="0"/>
      <w:marRight w:val="0"/>
      <w:marTop w:val="0"/>
      <w:marBottom w:val="0"/>
      <w:divBdr>
        <w:top w:val="none" w:sz="0" w:space="0" w:color="auto"/>
        <w:left w:val="none" w:sz="0" w:space="0" w:color="auto"/>
        <w:bottom w:val="none" w:sz="0" w:space="0" w:color="auto"/>
        <w:right w:val="none" w:sz="0" w:space="0" w:color="auto"/>
      </w:divBdr>
    </w:div>
    <w:div w:id="1741446534">
      <w:bodyDiv w:val="1"/>
      <w:marLeft w:val="0"/>
      <w:marRight w:val="0"/>
      <w:marTop w:val="0"/>
      <w:marBottom w:val="0"/>
      <w:divBdr>
        <w:top w:val="none" w:sz="0" w:space="0" w:color="auto"/>
        <w:left w:val="none" w:sz="0" w:space="0" w:color="auto"/>
        <w:bottom w:val="none" w:sz="0" w:space="0" w:color="auto"/>
        <w:right w:val="none" w:sz="0" w:space="0" w:color="auto"/>
      </w:divBdr>
      <w:divsChild>
        <w:div w:id="2127658225">
          <w:marLeft w:val="0"/>
          <w:marRight w:val="0"/>
          <w:marTop w:val="0"/>
          <w:marBottom w:val="0"/>
          <w:divBdr>
            <w:top w:val="none" w:sz="0" w:space="0" w:color="auto"/>
            <w:left w:val="none" w:sz="0" w:space="0" w:color="auto"/>
            <w:bottom w:val="none" w:sz="0" w:space="0" w:color="auto"/>
            <w:right w:val="none" w:sz="0" w:space="0" w:color="auto"/>
          </w:divBdr>
          <w:divsChild>
            <w:div w:id="501773036">
              <w:marLeft w:val="0"/>
              <w:marRight w:val="0"/>
              <w:marTop w:val="0"/>
              <w:marBottom w:val="0"/>
              <w:divBdr>
                <w:top w:val="none" w:sz="0" w:space="0" w:color="auto"/>
                <w:left w:val="none" w:sz="0" w:space="0" w:color="auto"/>
                <w:bottom w:val="none" w:sz="0" w:space="0" w:color="auto"/>
                <w:right w:val="none" w:sz="0" w:space="0" w:color="auto"/>
              </w:divBdr>
              <w:divsChild>
                <w:div w:id="676927440">
                  <w:marLeft w:val="0"/>
                  <w:marRight w:val="0"/>
                  <w:marTop w:val="0"/>
                  <w:marBottom w:val="0"/>
                  <w:divBdr>
                    <w:top w:val="none" w:sz="0" w:space="0" w:color="auto"/>
                    <w:left w:val="none" w:sz="0" w:space="0" w:color="auto"/>
                    <w:bottom w:val="none" w:sz="0" w:space="0" w:color="auto"/>
                    <w:right w:val="none" w:sz="0" w:space="0" w:color="auto"/>
                  </w:divBdr>
                  <w:divsChild>
                    <w:div w:id="136481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953807">
      <w:bodyDiv w:val="1"/>
      <w:marLeft w:val="0"/>
      <w:marRight w:val="0"/>
      <w:marTop w:val="0"/>
      <w:marBottom w:val="0"/>
      <w:divBdr>
        <w:top w:val="none" w:sz="0" w:space="0" w:color="auto"/>
        <w:left w:val="none" w:sz="0" w:space="0" w:color="auto"/>
        <w:bottom w:val="none" w:sz="0" w:space="0" w:color="auto"/>
        <w:right w:val="none" w:sz="0" w:space="0" w:color="auto"/>
      </w:divBdr>
    </w:div>
    <w:div w:id="1769227738">
      <w:bodyDiv w:val="1"/>
      <w:marLeft w:val="0"/>
      <w:marRight w:val="0"/>
      <w:marTop w:val="0"/>
      <w:marBottom w:val="0"/>
      <w:divBdr>
        <w:top w:val="none" w:sz="0" w:space="0" w:color="auto"/>
        <w:left w:val="none" w:sz="0" w:space="0" w:color="auto"/>
        <w:bottom w:val="none" w:sz="0" w:space="0" w:color="auto"/>
        <w:right w:val="none" w:sz="0" w:space="0" w:color="auto"/>
      </w:divBdr>
    </w:div>
    <w:div w:id="1878857630">
      <w:bodyDiv w:val="1"/>
      <w:marLeft w:val="0"/>
      <w:marRight w:val="0"/>
      <w:marTop w:val="0"/>
      <w:marBottom w:val="0"/>
      <w:divBdr>
        <w:top w:val="none" w:sz="0" w:space="0" w:color="auto"/>
        <w:left w:val="none" w:sz="0" w:space="0" w:color="auto"/>
        <w:bottom w:val="none" w:sz="0" w:space="0" w:color="auto"/>
        <w:right w:val="none" w:sz="0" w:space="0" w:color="auto"/>
      </w:divBdr>
      <w:divsChild>
        <w:div w:id="2066635819">
          <w:marLeft w:val="0"/>
          <w:marRight w:val="0"/>
          <w:marTop w:val="0"/>
          <w:marBottom w:val="0"/>
          <w:divBdr>
            <w:top w:val="none" w:sz="0" w:space="0" w:color="auto"/>
            <w:left w:val="none" w:sz="0" w:space="0" w:color="auto"/>
            <w:bottom w:val="none" w:sz="0" w:space="0" w:color="auto"/>
            <w:right w:val="none" w:sz="0" w:space="0" w:color="auto"/>
          </w:divBdr>
          <w:divsChild>
            <w:div w:id="1822113169">
              <w:marLeft w:val="0"/>
              <w:marRight w:val="0"/>
              <w:marTop w:val="0"/>
              <w:marBottom w:val="0"/>
              <w:divBdr>
                <w:top w:val="none" w:sz="0" w:space="0" w:color="auto"/>
                <w:left w:val="none" w:sz="0" w:space="0" w:color="auto"/>
                <w:bottom w:val="none" w:sz="0" w:space="0" w:color="auto"/>
                <w:right w:val="none" w:sz="0" w:space="0" w:color="auto"/>
              </w:divBdr>
              <w:divsChild>
                <w:div w:id="1580017252">
                  <w:marLeft w:val="0"/>
                  <w:marRight w:val="0"/>
                  <w:marTop w:val="0"/>
                  <w:marBottom w:val="0"/>
                  <w:divBdr>
                    <w:top w:val="none" w:sz="0" w:space="0" w:color="auto"/>
                    <w:left w:val="none" w:sz="0" w:space="0" w:color="auto"/>
                    <w:bottom w:val="none" w:sz="0" w:space="0" w:color="auto"/>
                    <w:right w:val="none" w:sz="0" w:space="0" w:color="auto"/>
                  </w:divBdr>
                  <w:divsChild>
                    <w:div w:id="87317850">
                      <w:marLeft w:val="0"/>
                      <w:marRight w:val="0"/>
                      <w:marTop w:val="0"/>
                      <w:marBottom w:val="0"/>
                      <w:divBdr>
                        <w:top w:val="none" w:sz="0" w:space="0" w:color="auto"/>
                        <w:left w:val="none" w:sz="0" w:space="0" w:color="auto"/>
                        <w:bottom w:val="none" w:sz="0" w:space="0" w:color="auto"/>
                        <w:right w:val="none" w:sz="0" w:space="0" w:color="auto"/>
                      </w:divBdr>
                      <w:divsChild>
                        <w:div w:id="676426737">
                          <w:marLeft w:val="0"/>
                          <w:marRight w:val="0"/>
                          <w:marTop w:val="0"/>
                          <w:marBottom w:val="0"/>
                          <w:divBdr>
                            <w:top w:val="none" w:sz="0" w:space="0" w:color="auto"/>
                            <w:left w:val="none" w:sz="0" w:space="0" w:color="auto"/>
                            <w:bottom w:val="none" w:sz="0" w:space="0" w:color="auto"/>
                            <w:right w:val="none" w:sz="0" w:space="0" w:color="auto"/>
                          </w:divBdr>
                          <w:divsChild>
                            <w:div w:id="1233739447">
                              <w:marLeft w:val="0"/>
                              <w:marRight w:val="0"/>
                              <w:marTop w:val="0"/>
                              <w:marBottom w:val="0"/>
                              <w:divBdr>
                                <w:top w:val="none" w:sz="0" w:space="0" w:color="auto"/>
                                <w:left w:val="none" w:sz="0" w:space="0" w:color="auto"/>
                                <w:bottom w:val="none" w:sz="0" w:space="0" w:color="auto"/>
                                <w:right w:val="none" w:sz="0" w:space="0" w:color="auto"/>
                              </w:divBdr>
                              <w:divsChild>
                                <w:div w:id="1530334024">
                                  <w:marLeft w:val="0"/>
                                  <w:marRight w:val="0"/>
                                  <w:marTop w:val="0"/>
                                  <w:marBottom w:val="0"/>
                                  <w:divBdr>
                                    <w:top w:val="none" w:sz="0" w:space="0" w:color="auto"/>
                                    <w:left w:val="none" w:sz="0" w:space="0" w:color="auto"/>
                                    <w:bottom w:val="none" w:sz="0" w:space="0" w:color="auto"/>
                                    <w:right w:val="none" w:sz="0" w:space="0" w:color="auto"/>
                                  </w:divBdr>
                                  <w:divsChild>
                                    <w:div w:id="481850879">
                                      <w:marLeft w:val="0"/>
                                      <w:marRight w:val="0"/>
                                      <w:marTop w:val="0"/>
                                      <w:marBottom w:val="0"/>
                                      <w:divBdr>
                                        <w:top w:val="none" w:sz="0" w:space="0" w:color="auto"/>
                                        <w:left w:val="none" w:sz="0" w:space="0" w:color="auto"/>
                                        <w:bottom w:val="none" w:sz="0" w:space="0" w:color="auto"/>
                                        <w:right w:val="none" w:sz="0" w:space="0" w:color="auto"/>
                                      </w:divBdr>
                                      <w:divsChild>
                                        <w:div w:id="577445854">
                                          <w:marLeft w:val="0"/>
                                          <w:marRight w:val="0"/>
                                          <w:marTop w:val="0"/>
                                          <w:marBottom w:val="0"/>
                                          <w:divBdr>
                                            <w:top w:val="none" w:sz="0" w:space="0" w:color="auto"/>
                                            <w:left w:val="none" w:sz="0" w:space="0" w:color="auto"/>
                                            <w:bottom w:val="none" w:sz="0" w:space="0" w:color="auto"/>
                                            <w:right w:val="none" w:sz="0" w:space="0" w:color="auto"/>
                                          </w:divBdr>
                                          <w:divsChild>
                                            <w:div w:id="744961095">
                                              <w:marLeft w:val="0"/>
                                              <w:marRight w:val="0"/>
                                              <w:marTop w:val="0"/>
                                              <w:marBottom w:val="495"/>
                                              <w:divBdr>
                                                <w:top w:val="none" w:sz="0" w:space="0" w:color="auto"/>
                                                <w:left w:val="none" w:sz="0" w:space="0" w:color="auto"/>
                                                <w:bottom w:val="none" w:sz="0" w:space="0" w:color="auto"/>
                                                <w:right w:val="none" w:sz="0" w:space="0" w:color="auto"/>
                                              </w:divBdr>
                                              <w:divsChild>
                                                <w:div w:id="1232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8011454">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6821404">
      <w:bodyDiv w:val="1"/>
      <w:marLeft w:val="0"/>
      <w:marRight w:val="0"/>
      <w:marTop w:val="0"/>
      <w:marBottom w:val="0"/>
      <w:divBdr>
        <w:top w:val="none" w:sz="0" w:space="0" w:color="auto"/>
        <w:left w:val="none" w:sz="0" w:space="0" w:color="auto"/>
        <w:bottom w:val="none" w:sz="0" w:space="0" w:color="auto"/>
        <w:right w:val="none" w:sz="0" w:space="0" w:color="auto"/>
      </w:divBdr>
    </w:div>
    <w:div w:id="1949655100">
      <w:bodyDiv w:val="1"/>
      <w:marLeft w:val="0"/>
      <w:marRight w:val="0"/>
      <w:marTop w:val="0"/>
      <w:marBottom w:val="0"/>
      <w:divBdr>
        <w:top w:val="none" w:sz="0" w:space="0" w:color="auto"/>
        <w:left w:val="none" w:sz="0" w:space="0" w:color="auto"/>
        <w:bottom w:val="none" w:sz="0" w:space="0" w:color="auto"/>
        <w:right w:val="none" w:sz="0" w:space="0" w:color="auto"/>
      </w:divBdr>
    </w:div>
    <w:div w:id="1954285546">
      <w:bodyDiv w:val="1"/>
      <w:marLeft w:val="0"/>
      <w:marRight w:val="0"/>
      <w:marTop w:val="0"/>
      <w:marBottom w:val="0"/>
      <w:divBdr>
        <w:top w:val="none" w:sz="0" w:space="0" w:color="auto"/>
        <w:left w:val="none" w:sz="0" w:space="0" w:color="auto"/>
        <w:bottom w:val="none" w:sz="0" w:space="0" w:color="auto"/>
        <w:right w:val="none" w:sz="0" w:space="0" w:color="auto"/>
      </w:divBdr>
      <w:divsChild>
        <w:div w:id="2049136863">
          <w:marLeft w:val="0"/>
          <w:marRight w:val="0"/>
          <w:marTop w:val="0"/>
          <w:marBottom w:val="0"/>
          <w:divBdr>
            <w:top w:val="none" w:sz="0" w:space="0" w:color="auto"/>
            <w:left w:val="none" w:sz="0" w:space="0" w:color="auto"/>
            <w:bottom w:val="none" w:sz="0" w:space="0" w:color="auto"/>
            <w:right w:val="none" w:sz="0" w:space="0" w:color="auto"/>
          </w:divBdr>
        </w:div>
      </w:divsChild>
    </w:div>
    <w:div w:id="1992320910">
      <w:bodyDiv w:val="1"/>
      <w:marLeft w:val="0"/>
      <w:marRight w:val="0"/>
      <w:marTop w:val="0"/>
      <w:marBottom w:val="0"/>
      <w:divBdr>
        <w:top w:val="none" w:sz="0" w:space="0" w:color="auto"/>
        <w:left w:val="none" w:sz="0" w:space="0" w:color="auto"/>
        <w:bottom w:val="none" w:sz="0" w:space="0" w:color="auto"/>
        <w:right w:val="none" w:sz="0" w:space="0" w:color="auto"/>
      </w:divBdr>
      <w:divsChild>
        <w:div w:id="1481115818">
          <w:marLeft w:val="0"/>
          <w:marRight w:val="0"/>
          <w:marTop w:val="0"/>
          <w:marBottom w:val="0"/>
          <w:divBdr>
            <w:top w:val="none" w:sz="0" w:space="0" w:color="auto"/>
            <w:left w:val="none" w:sz="0" w:space="0" w:color="auto"/>
            <w:bottom w:val="none" w:sz="0" w:space="0" w:color="auto"/>
            <w:right w:val="none" w:sz="0" w:space="0" w:color="auto"/>
          </w:divBdr>
          <w:divsChild>
            <w:div w:id="627392052">
              <w:marLeft w:val="0"/>
              <w:marRight w:val="0"/>
              <w:marTop w:val="0"/>
              <w:marBottom w:val="0"/>
              <w:divBdr>
                <w:top w:val="none" w:sz="0" w:space="0" w:color="auto"/>
                <w:left w:val="none" w:sz="0" w:space="0" w:color="auto"/>
                <w:bottom w:val="none" w:sz="0" w:space="0" w:color="auto"/>
                <w:right w:val="none" w:sz="0" w:space="0" w:color="auto"/>
              </w:divBdr>
              <w:divsChild>
                <w:div w:id="512500596">
                  <w:marLeft w:val="0"/>
                  <w:marRight w:val="0"/>
                  <w:marTop w:val="0"/>
                  <w:marBottom w:val="0"/>
                  <w:divBdr>
                    <w:top w:val="none" w:sz="0" w:space="0" w:color="auto"/>
                    <w:left w:val="none" w:sz="0" w:space="0" w:color="auto"/>
                    <w:bottom w:val="none" w:sz="0" w:space="0" w:color="auto"/>
                    <w:right w:val="none" w:sz="0" w:space="0" w:color="auto"/>
                  </w:divBdr>
                  <w:divsChild>
                    <w:div w:id="204841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046199">
      <w:bodyDiv w:val="1"/>
      <w:marLeft w:val="0"/>
      <w:marRight w:val="0"/>
      <w:marTop w:val="0"/>
      <w:marBottom w:val="0"/>
      <w:divBdr>
        <w:top w:val="none" w:sz="0" w:space="0" w:color="auto"/>
        <w:left w:val="none" w:sz="0" w:space="0" w:color="auto"/>
        <w:bottom w:val="none" w:sz="0" w:space="0" w:color="auto"/>
        <w:right w:val="none" w:sz="0" w:space="0" w:color="auto"/>
      </w:divBdr>
    </w:div>
    <w:div w:id="2049211328">
      <w:bodyDiv w:val="1"/>
      <w:marLeft w:val="0"/>
      <w:marRight w:val="0"/>
      <w:marTop w:val="0"/>
      <w:marBottom w:val="0"/>
      <w:divBdr>
        <w:top w:val="none" w:sz="0" w:space="0" w:color="auto"/>
        <w:left w:val="none" w:sz="0" w:space="0" w:color="auto"/>
        <w:bottom w:val="none" w:sz="0" w:space="0" w:color="auto"/>
        <w:right w:val="none" w:sz="0" w:space="0" w:color="auto"/>
      </w:divBdr>
      <w:divsChild>
        <w:div w:id="50738870">
          <w:marLeft w:val="0"/>
          <w:marRight w:val="0"/>
          <w:marTop w:val="0"/>
          <w:marBottom w:val="0"/>
          <w:divBdr>
            <w:top w:val="none" w:sz="0" w:space="0" w:color="auto"/>
            <w:left w:val="none" w:sz="0" w:space="0" w:color="auto"/>
            <w:bottom w:val="none" w:sz="0" w:space="0" w:color="auto"/>
            <w:right w:val="none" w:sz="0" w:space="0" w:color="auto"/>
          </w:divBdr>
          <w:divsChild>
            <w:div w:id="14816941">
              <w:marLeft w:val="0"/>
              <w:marRight w:val="0"/>
              <w:marTop w:val="0"/>
              <w:marBottom w:val="0"/>
              <w:divBdr>
                <w:top w:val="none" w:sz="0" w:space="0" w:color="auto"/>
                <w:left w:val="none" w:sz="0" w:space="0" w:color="auto"/>
                <w:bottom w:val="none" w:sz="0" w:space="0" w:color="auto"/>
                <w:right w:val="none" w:sz="0" w:space="0" w:color="auto"/>
              </w:divBdr>
              <w:divsChild>
                <w:div w:id="1954899425">
                  <w:marLeft w:val="0"/>
                  <w:marRight w:val="0"/>
                  <w:marTop w:val="0"/>
                  <w:marBottom w:val="0"/>
                  <w:divBdr>
                    <w:top w:val="none" w:sz="0" w:space="0" w:color="auto"/>
                    <w:left w:val="none" w:sz="0" w:space="0" w:color="auto"/>
                    <w:bottom w:val="none" w:sz="0" w:space="0" w:color="auto"/>
                    <w:right w:val="none" w:sz="0" w:space="0" w:color="auto"/>
                  </w:divBdr>
                  <w:divsChild>
                    <w:div w:id="181321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90924">
      <w:bodyDiv w:val="1"/>
      <w:marLeft w:val="0"/>
      <w:marRight w:val="0"/>
      <w:marTop w:val="0"/>
      <w:marBottom w:val="0"/>
      <w:divBdr>
        <w:top w:val="none" w:sz="0" w:space="0" w:color="auto"/>
        <w:left w:val="none" w:sz="0" w:space="0" w:color="auto"/>
        <w:bottom w:val="none" w:sz="0" w:space="0" w:color="auto"/>
        <w:right w:val="none" w:sz="0" w:space="0" w:color="auto"/>
      </w:divBdr>
      <w:divsChild>
        <w:div w:id="2070304871">
          <w:marLeft w:val="0"/>
          <w:marRight w:val="0"/>
          <w:marTop w:val="0"/>
          <w:marBottom w:val="0"/>
          <w:divBdr>
            <w:top w:val="none" w:sz="0" w:space="0" w:color="auto"/>
            <w:left w:val="none" w:sz="0" w:space="0" w:color="auto"/>
            <w:bottom w:val="none" w:sz="0" w:space="0" w:color="auto"/>
            <w:right w:val="none" w:sz="0" w:space="0" w:color="auto"/>
          </w:divBdr>
          <w:divsChild>
            <w:div w:id="605239557">
              <w:marLeft w:val="0"/>
              <w:marRight w:val="0"/>
              <w:marTop w:val="0"/>
              <w:marBottom w:val="0"/>
              <w:divBdr>
                <w:top w:val="none" w:sz="0" w:space="0" w:color="auto"/>
                <w:left w:val="none" w:sz="0" w:space="0" w:color="auto"/>
                <w:bottom w:val="none" w:sz="0" w:space="0" w:color="auto"/>
                <w:right w:val="none" w:sz="0" w:space="0" w:color="auto"/>
              </w:divBdr>
              <w:divsChild>
                <w:div w:id="99573511">
                  <w:marLeft w:val="0"/>
                  <w:marRight w:val="0"/>
                  <w:marTop w:val="0"/>
                  <w:marBottom w:val="0"/>
                  <w:divBdr>
                    <w:top w:val="none" w:sz="0" w:space="0" w:color="auto"/>
                    <w:left w:val="none" w:sz="0" w:space="0" w:color="auto"/>
                    <w:bottom w:val="none" w:sz="0" w:space="0" w:color="auto"/>
                    <w:right w:val="none" w:sz="0" w:space="0" w:color="auto"/>
                  </w:divBdr>
                  <w:divsChild>
                    <w:div w:id="62123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71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hyperlink" Target="https://stat.gov.pl/en/metainformations/glossary/terms-used-in-official-statistics/1597,term.html" TargetMode="External"/><Relationship Id="rId3" Type="http://schemas.openxmlformats.org/officeDocument/2006/relationships/customXml" Target="../customXml/item3.xml"/><Relationship Id="rId21" Type="http://schemas.openxmlformats.org/officeDocument/2006/relationships/hyperlink" Target="https://stat.gov.pl/obszary-tematyczne/podmioty-gospodarcze-wyniki-finansowe/przedsiebiorstwa-finansowe/wyspecjalizowane-segmenty-rynku-finansowego-2019,18,5.html" TargetMode="Externa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hyperlink" Target="mailto:obslugaprasowa@stat.gov.pl" TargetMode="External"/><Relationship Id="rId25" Type="http://schemas.openxmlformats.org/officeDocument/2006/relationships/hyperlink" Target="https://stat.gov.pl/obszary-tematyczne/podmioty-gospodarcze-wyniki-finansowe/przedsiebiorstwa-finansowe/wyspecjalizowane-segmenty-rynku-finansowego-2019,18,5.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0.wmf"/><Relationship Id="rId24" Type="http://schemas.openxmlformats.org/officeDocument/2006/relationships/hyperlink" Target="https://stat.gov.pl/en/metainformations/glossary/terms-used-in-official-statistics/1604,term.html"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stat.gov.pl/en/metainformations/glossary/terms-used-in-official-statistics/1605,term.html" TargetMode="External"/><Relationship Id="rId28" Type="http://schemas.openxmlformats.org/officeDocument/2006/relationships/hyperlink" Target="https://stat.gov.pl/en/metainformations/glossary/terms-used-in-official-statistics/1604,term.html" TargetMode="External"/><Relationship Id="rId10" Type="http://schemas.openxmlformats.org/officeDocument/2006/relationships/image" Target="media/image3.wmf"/><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stat.gov.pl/en/metainformations/glossary/terms-used-in-official-statistics/1597,term.html" TargetMode="External"/><Relationship Id="rId27" Type="http://schemas.openxmlformats.org/officeDocument/2006/relationships/hyperlink" Target="https://stat.gov.pl/en/metainformations/glossary/terms-used-in-official-statistics/1605,term.html" TargetMode="Externa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5674740484429"/>
          <c:y val="0.10917106334359088"/>
          <c:w val="0.80795847750865057"/>
          <c:h val="0.74018304246454636"/>
        </c:manualLayout>
      </c:layout>
      <c:barChart>
        <c:barDir val="col"/>
        <c:grouping val="clustered"/>
        <c:varyColors val="0"/>
        <c:ser>
          <c:idx val="0"/>
          <c:order val="0"/>
          <c:tx>
            <c:strRef>
              <c:f>Sheet1!$A$2</c:f>
              <c:strCache>
                <c:ptCount val="1"/>
                <c:pt idx="0">
                  <c:v>2019</c:v>
                </c:pt>
              </c:strCache>
            </c:strRef>
          </c:tx>
          <c:spPr>
            <a:solidFill>
              <a:srgbClr val="99A5C9"/>
            </a:solidFill>
            <a:ln w="12717">
              <a:noFill/>
              <a:prstDash val="solid"/>
            </a:ln>
          </c:spPr>
          <c:invertIfNegative val="0"/>
          <c:dPt>
            <c:idx val="0"/>
            <c:invertIfNegative val="0"/>
            <c:bubble3D val="0"/>
            <c:extLst xmlns:c16r2="http://schemas.microsoft.com/office/drawing/2015/06/chart">
              <c:ext xmlns:c16="http://schemas.microsoft.com/office/drawing/2014/chart" uri="{C3380CC4-5D6E-409C-BE32-E72D297353CC}">
                <c16:uniqueId val="{00000000-33F6-4FDA-AAB6-F061D8B27A10}"/>
              </c:ext>
            </c:extLst>
          </c:dPt>
          <c:dPt>
            <c:idx val="1"/>
            <c:invertIfNegative val="0"/>
            <c:bubble3D val="0"/>
            <c:extLst xmlns:c16r2="http://schemas.microsoft.com/office/drawing/2015/06/chart">
              <c:ext xmlns:c16="http://schemas.microsoft.com/office/drawing/2014/chart" uri="{C3380CC4-5D6E-409C-BE32-E72D297353CC}">
                <c16:uniqueId val="{00000001-33F6-4FDA-AAB6-F061D8B27A10}"/>
              </c:ext>
            </c:extLst>
          </c:dPt>
          <c:dPt>
            <c:idx val="2"/>
            <c:invertIfNegative val="0"/>
            <c:bubble3D val="0"/>
            <c:extLst xmlns:c16r2="http://schemas.microsoft.com/office/drawing/2015/06/chart">
              <c:ext xmlns:c16="http://schemas.microsoft.com/office/drawing/2014/chart" uri="{C3380CC4-5D6E-409C-BE32-E72D297353CC}">
                <c16:uniqueId val="{00000002-33F6-4FDA-AAB6-F061D8B27A10}"/>
              </c:ext>
            </c:extLst>
          </c:dPt>
          <c:dPt>
            <c:idx val="3"/>
            <c:invertIfNegative val="0"/>
            <c:bubble3D val="0"/>
            <c:extLst xmlns:c16r2="http://schemas.microsoft.com/office/drawing/2015/06/chart">
              <c:ext xmlns:c16="http://schemas.microsoft.com/office/drawing/2014/chart" uri="{C3380CC4-5D6E-409C-BE32-E72D297353CC}">
                <c16:uniqueId val="{00000003-33F6-4FDA-AAB6-F061D8B27A10}"/>
              </c:ext>
            </c:extLst>
          </c:dPt>
          <c:dLbls>
            <c:dLbl>
              <c:idx val="0"/>
              <c:layout>
                <c:manualLayout>
                  <c:x val="0"/>
                  <c:y val="1.6937669376693765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0-33F6-4FDA-AAB6-F061D8B27A10}"/>
                </c:ext>
                <c:ext xmlns:c15="http://schemas.microsoft.com/office/drawing/2012/chart" uri="{CE6537A1-D6FC-4f65-9D91-7224C49458BB}"/>
              </c:extLst>
            </c:dLbl>
            <c:dLbl>
              <c:idx val="1"/>
              <c:layout>
                <c:manualLayout>
                  <c:x val="0"/>
                  <c:y val="1.2703252032520325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1-33F6-4FDA-AAB6-F061D8B27A10}"/>
                </c:ext>
                <c:ext xmlns:c15="http://schemas.microsoft.com/office/drawing/2012/chart" uri="{CE6537A1-D6FC-4f65-9D91-7224C49458BB}"/>
              </c:extLst>
            </c:dLbl>
            <c:dLbl>
              <c:idx val="2"/>
              <c:layout>
                <c:manualLayout>
                  <c:x val="0"/>
                  <c:y val="2.1172086720867209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2-33F6-4FDA-AAB6-F061D8B27A10}"/>
                </c:ext>
                <c:ext xmlns:c15="http://schemas.microsoft.com/office/drawing/2012/chart" uri="{CE6537A1-D6FC-4f65-9D91-7224C49458BB}"/>
              </c:extLst>
            </c:dLbl>
            <c:dLbl>
              <c:idx val="3"/>
              <c:layout>
                <c:manualLayout>
                  <c:x val="2.469575126128202E-3"/>
                  <c:y val="2.1172086720867209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3-33F6-4FDA-AAB6-F061D8B27A10}"/>
                </c:ext>
                <c:ext xmlns:c15="http://schemas.microsoft.com/office/drawing/2012/chart" uri="{CE6537A1-D6FC-4f65-9D91-7224C49458BB}"/>
              </c:extLst>
            </c:dLbl>
            <c:spPr>
              <a:noFill/>
              <a:ln>
                <a:noFill/>
              </a:ln>
              <a:effectLst/>
            </c:spPr>
            <c:txPr>
              <a:bodyPr/>
              <a:lstStyle/>
              <a:p>
                <a:pPr>
                  <a:defRPr sz="700"/>
                </a:pPr>
                <a:endParaRPr lang="pl-PL"/>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howLeaderLines val="0"/>
              </c:ext>
            </c:extLst>
          </c:dLbls>
          <c:cat>
            <c:strRef>
              <c:f>Sheet1!$B$1:$E$1</c:f>
              <c:strCache>
                <c:ptCount val="4"/>
                <c:pt idx="0">
                  <c:v>Recourse factoring</c:v>
                </c:pt>
                <c:pt idx="1">
                  <c:v>Non recourse factoring</c:v>
                </c:pt>
                <c:pt idx="2">
                  <c:v>Reverse factoring</c:v>
                </c:pt>
                <c:pt idx="3">
                  <c:v>Mixed factoring</c:v>
                </c:pt>
              </c:strCache>
            </c:strRef>
          </c:cat>
          <c:val>
            <c:numRef>
              <c:f>Sheet1!$B$2:$E$2</c:f>
              <c:numCache>
                <c:formatCode>#,##0</c:formatCode>
                <c:ptCount val="4"/>
                <c:pt idx="0">
                  <c:v>81325</c:v>
                </c:pt>
                <c:pt idx="1">
                  <c:v>144741</c:v>
                </c:pt>
                <c:pt idx="2">
                  <c:v>35091</c:v>
                </c:pt>
                <c:pt idx="3">
                  <c:v>8234</c:v>
                </c:pt>
              </c:numCache>
            </c:numRef>
          </c:val>
          <c:extLst xmlns:c16r2="http://schemas.microsoft.com/office/drawing/2015/06/chart">
            <c:ext xmlns:c16="http://schemas.microsoft.com/office/drawing/2014/chart" uri="{C3380CC4-5D6E-409C-BE32-E72D297353CC}">
              <c16:uniqueId val="{00000004-33F6-4FDA-AAB6-F061D8B27A10}"/>
            </c:ext>
          </c:extLst>
        </c:ser>
        <c:ser>
          <c:idx val="1"/>
          <c:order val="1"/>
          <c:tx>
            <c:strRef>
              <c:f>Sheet1!$A$3</c:f>
              <c:strCache>
                <c:ptCount val="1"/>
                <c:pt idx="0">
                  <c:v>2020</c:v>
                </c:pt>
              </c:strCache>
            </c:strRef>
          </c:tx>
          <c:spPr>
            <a:solidFill>
              <a:srgbClr val="334A92"/>
            </a:solidFill>
            <a:ln w="12717">
              <a:noFill/>
              <a:prstDash val="solid"/>
            </a:ln>
          </c:spPr>
          <c:invertIfNegative val="0"/>
          <c:dLbls>
            <c:dLbl>
              <c:idx val="0"/>
              <c:layout>
                <c:manualLayout>
                  <c:x val="0"/>
                  <c:y val="1.69376693766937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3F6-4FDA-AAB6-F061D8B27A10}"/>
                </c:ext>
                <c:ext xmlns:c15="http://schemas.microsoft.com/office/drawing/2012/chart" uri="{CE6537A1-D6FC-4f65-9D91-7224C49458BB}"/>
              </c:extLst>
            </c:dLbl>
            <c:dLbl>
              <c:idx val="1"/>
              <c:layout>
                <c:manualLayout>
                  <c:x val="2.469575126128202E-3"/>
                  <c:y val="1.69376693766937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3F6-4FDA-AAB6-F061D8B27A10}"/>
                </c:ext>
                <c:ext xmlns:c15="http://schemas.microsoft.com/office/drawing/2012/chart" uri="{CE6537A1-D6FC-4f65-9D91-7224C49458BB}"/>
              </c:extLst>
            </c:dLbl>
            <c:dLbl>
              <c:idx val="2"/>
              <c:layout>
                <c:manualLayout>
                  <c:x val="0"/>
                  <c:y val="1.69376693766937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3F6-4FDA-AAB6-F061D8B27A10}"/>
                </c:ext>
                <c:ext xmlns:c15="http://schemas.microsoft.com/office/drawing/2012/chart" uri="{CE6537A1-D6FC-4f65-9D91-7224C49458BB}"/>
              </c:extLst>
            </c:dLbl>
            <c:dLbl>
              <c:idx val="3"/>
              <c:layout>
                <c:manualLayout>
                  <c:x val="0"/>
                  <c:y val="8.468834688346882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3F6-4FDA-AAB6-F061D8B27A10}"/>
                </c:ext>
                <c:ext xmlns:c15="http://schemas.microsoft.com/office/drawing/2012/chart" uri="{CE6537A1-D6FC-4f65-9D91-7224C49458BB}"/>
              </c:extLst>
            </c:dLbl>
            <c:spPr>
              <a:noFill/>
              <a:ln>
                <a:noFill/>
              </a:ln>
              <a:effectLst/>
            </c:spPr>
            <c:txPr>
              <a:bodyPr/>
              <a:lstStyle/>
              <a:p>
                <a:pPr>
                  <a:defRPr sz="700"/>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Sheet1!$B$1:$E$1</c:f>
              <c:strCache>
                <c:ptCount val="4"/>
                <c:pt idx="0">
                  <c:v>Recourse factoring</c:v>
                </c:pt>
                <c:pt idx="1">
                  <c:v>Non recourse factoring</c:v>
                </c:pt>
                <c:pt idx="2">
                  <c:v>Reverse factoring</c:v>
                </c:pt>
                <c:pt idx="3">
                  <c:v>Mixed factoring</c:v>
                </c:pt>
              </c:strCache>
            </c:strRef>
          </c:cat>
          <c:val>
            <c:numRef>
              <c:f>Sheet1!$B$3:$E$3</c:f>
              <c:numCache>
                <c:formatCode>#,##0</c:formatCode>
                <c:ptCount val="4"/>
                <c:pt idx="0">
                  <c:v>77362</c:v>
                </c:pt>
                <c:pt idx="1">
                  <c:v>123932</c:v>
                </c:pt>
                <c:pt idx="2">
                  <c:v>53872</c:v>
                </c:pt>
                <c:pt idx="3">
                  <c:v>6958</c:v>
                </c:pt>
              </c:numCache>
            </c:numRef>
          </c:val>
          <c:extLst xmlns:c16r2="http://schemas.microsoft.com/office/drawing/2015/06/chart">
            <c:ext xmlns:c16="http://schemas.microsoft.com/office/drawing/2014/chart" uri="{C3380CC4-5D6E-409C-BE32-E72D297353CC}">
              <c16:uniqueId val="{00000009-33F6-4FDA-AAB6-F061D8B27A10}"/>
            </c:ext>
          </c:extLst>
        </c:ser>
        <c:dLbls>
          <c:showLegendKey val="0"/>
          <c:showVal val="0"/>
          <c:showCatName val="0"/>
          <c:showSerName val="0"/>
          <c:showPercent val="0"/>
          <c:showBubbleSize val="0"/>
        </c:dLbls>
        <c:gapWidth val="150"/>
        <c:overlap val="-17"/>
        <c:axId val="1174644576"/>
        <c:axId val="1174644032"/>
      </c:barChart>
      <c:catAx>
        <c:axId val="1174644576"/>
        <c:scaling>
          <c:orientation val="minMax"/>
        </c:scaling>
        <c:delete val="0"/>
        <c:axPos val="b"/>
        <c:numFmt formatCode="General" sourceLinked="1"/>
        <c:majorTickMark val="out"/>
        <c:minorTickMark val="none"/>
        <c:tickLblPos val="nextTo"/>
        <c:spPr>
          <a:ln w="3179">
            <a:solidFill>
              <a:srgbClr val="000000"/>
            </a:solidFill>
            <a:prstDash val="solid"/>
          </a:ln>
        </c:spPr>
        <c:txPr>
          <a:bodyPr rot="0" vert="horz"/>
          <a:lstStyle/>
          <a:p>
            <a:pPr>
              <a:defRPr sz="700" baseline="0"/>
            </a:pPr>
            <a:endParaRPr lang="pl-PL"/>
          </a:p>
        </c:txPr>
        <c:crossAx val="1174644032"/>
        <c:crosses val="autoZero"/>
        <c:auto val="1"/>
        <c:lblAlgn val="ctr"/>
        <c:lblOffset val="100"/>
        <c:tickLblSkip val="1"/>
        <c:tickMarkSkip val="1"/>
        <c:noMultiLvlLbl val="0"/>
      </c:catAx>
      <c:valAx>
        <c:axId val="1174644032"/>
        <c:scaling>
          <c:orientation val="minMax"/>
        </c:scaling>
        <c:delete val="1"/>
        <c:axPos val="l"/>
        <c:majorGridlines>
          <c:spPr>
            <a:ln w="3179">
              <a:solidFill>
                <a:srgbClr val="000000">
                  <a:alpha val="31000"/>
                </a:srgbClr>
              </a:solidFill>
              <a:prstDash val="solid"/>
            </a:ln>
          </c:spPr>
        </c:majorGridlines>
        <c:title>
          <c:tx>
            <c:rich>
              <a:bodyPr rot="0" vert="horz"/>
              <a:lstStyle/>
              <a:p>
                <a:pPr>
                  <a:defRPr sz="700"/>
                </a:pPr>
                <a:r>
                  <a:rPr lang="pl-PL" sz="700"/>
                  <a:t>million</a:t>
                </a:r>
                <a:r>
                  <a:rPr lang="pl-PL" sz="700" baseline="0"/>
                  <a:t> PLN</a:t>
                </a:r>
                <a:endParaRPr lang="pl-PL" sz="700"/>
              </a:p>
            </c:rich>
          </c:tx>
          <c:layout>
            <c:manualLayout>
              <c:xMode val="edge"/>
              <c:yMode val="edge"/>
              <c:x val="0.84460036939826966"/>
              <c:y val="4.3471635704651887E-2"/>
            </c:manualLayout>
          </c:layout>
          <c:overlay val="0"/>
        </c:title>
        <c:numFmt formatCode="#,##0" sourceLinked="0"/>
        <c:majorTickMark val="out"/>
        <c:minorTickMark val="none"/>
        <c:tickLblPos val="nextTo"/>
        <c:crossAx val="1174644576"/>
        <c:crosses val="autoZero"/>
        <c:crossBetween val="between"/>
        <c:majorUnit val="20000"/>
      </c:valAx>
      <c:spPr>
        <a:ln>
          <a:noFill/>
        </a:ln>
      </c:spPr>
    </c:plotArea>
    <c:legend>
      <c:legendPos val="b"/>
      <c:layout>
        <c:manualLayout>
          <c:xMode val="edge"/>
          <c:yMode val="edge"/>
          <c:x val="0.4085330295773334"/>
          <c:y val="0.91788868321001671"/>
          <c:w val="0.26470588235294118"/>
          <c:h val="6.3490860567910271E-2"/>
        </c:manualLayout>
      </c:layout>
      <c:overlay val="0"/>
      <c:spPr>
        <a:noFill/>
        <a:ln w="3179">
          <a:solidFill>
            <a:srgbClr val="000000"/>
          </a:solidFill>
          <a:prstDash val="solid"/>
        </a:ln>
      </c:spPr>
      <c:txPr>
        <a:bodyPr/>
        <a:lstStyle/>
        <a:p>
          <a:pPr>
            <a:defRPr sz="700"/>
          </a:pPr>
          <a:endParaRPr lang="pl-PL"/>
        </a:p>
      </c:txPr>
    </c:legend>
    <c:plotVisOnly val="1"/>
    <c:dispBlanksAs val="gap"/>
    <c:showDLblsOverMax val="0"/>
  </c:chart>
  <c:spPr>
    <a:noFill/>
    <a:ln>
      <a:noFill/>
    </a:ln>
  </c:spPr>
  <c:txPr>
    <a:bodyPr/>
    <a:lstStyle/>
    <a:p>
      <a:pPr>
        <a:defRPr sz="800" b="0" i="0" u="none" strike="noStrike" baseline="0">
          <a:solidFill>
            <a:srgbClr val="000000"/>
          </a:solidFill>
          <a:latin typeface="Fira Sans" panose="020B0503050000020004" pitchFamily="34" charset="0"/>
          <a:ea typeface="Calibri"/>
          <a:cs typeface="Calibri"/>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0x00FBEB7090D5ED8B4AADA9FC396769AC9B</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Odbiorcy2 xmlns="8C029B3F-2CC4-4A59-AF0D-A90575FA3373" xsi:nil="true"/>
    <Osoba xmlns="8C029B3F-2CC4-4A59-AF0D-A90575FA3373">STAT\NOWINSKAA</Osoba>
    <NazwaPliku xmlns="8C029B3F-2CC4-4A59-AF0D-A90575FA3373">Factoring activities of financial enterprises in 2020. News release.DOCX.DOCX</NazwaPliku>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60733-A528-4A83-B75A-9E91B477CC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5BBAB6-5F41-42A6-ABC0-F18899749704}">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7055D0BB-A3E0-4F3F-BE74-CA7C0FB69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1035</Words>
  <Characters>6210</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7231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Zawistowska Beata</dc:creator>
  <cp:lastModifiedBy>Mietkowska-Wąsińska Małgorzata</cp:lastModifiedBy>
  <cp:revision>2</cp:revision>
  <cp:lastPrinted>2017-11-07T13:05:00Z</cp:lastPrinted>
  <dcterms:created xsi:type="dcterms:W3CDTF">2021-07-08T06:24:00Z</dcterms:created>
  <dcterms:modified xsi:type="dcterms:W3CDTF">2021-07-08T06:24:00Z</dcterms:modified>
</cp:coreProperties>
</file>