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drawings/drawing8.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drawings/drawing9.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AD088" w14:textId="77777777" w:rsidR="00AD4947" w:rsidRPr="00EA1AD1" w:rsidRDefault="00B16AF1" w:rsidP="00271E09">
      <w:pPr>
        <w:pStyle w:val="tytuinformacji"/>
        <w:spacing w:after="120"/>
        <w:rPr>
          <w:color w:val="auto"/>
          <w:sz w:val="20"/>
          <w:szCs w:val="20"/>
          <w:lang w:val="en-GB"/>
        </w:rPr>
      </w:pPr>
      <w:r>
        <w:rPr>
          <w:noProof/>
          <w:lang w:eastAsia="pl-PL"/>
        </w:rPr>
        <mc:AlternateContent>
          <mc:Choice Requires="wps">
            <w:drawing>
              <wp:anchor distT="45720" distB="45720" distL="114300" distR="114300" simplePos="0" relativeHeight="251778048" behindDoc="0" locked="0" layoutInCell="1" allowOverlap="1" wp14:anchorId="28F080FE" wp14:editId="2D914806">
                <wp:simplePos x="0" y="0"/>
                <wp:positionH relativeFrom="column">
                  <wp:posOffset>5287645</wp:posOffset>
                </wp:positionH>
                <wp:positionV relativeFrom="paragraph">
                  <wp:posOffset>571500</wp:posOffset>
                </wp:positionV>
                <wp:extent cx="1758315"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127760"/>
                        </a:xfrm>
                        <a:prstGeom prst="rect">
                          <a:avLst/>
                        </a:prstGeom>
                        <a:noFill/>
                        <a:ln w="9525">
                          <a:noFill/>
                          <a:miter lim="800000"/>
                          <a:headEnd/>
                          <a:tailEnd/>
                        </a:ln>
                      </wps:spPr>
                      <wps:txbx>
                        <w:txbxContent>
                          <w:p w14:paraId="36A3F746" w14:textId="77777777" w:rsidR="004F7C9F" w:rsidRPr="00330E56" w:rsidRDefault="004F7C9F" w:rsidP="00D47534">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F080FE" id="_x0000_t202" coordsize="21600,21600" o:spt="202" path="m,l,21600r21600,l21600,xe">
                <v:stroke joinstyle="miter"/>
                <v:path gradientshapeok="t" o:connecttype="rect"/>
              </v:shapetype>
              <v:shape id="Pole tekstowe 2" o:spid="_x0000_s1026" type="#_x0000_t202" style="position:absolute;margin-left:416.35pt;margin-top:45pt;width:138.45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" filled="f" stroked="f">
                <v:textbox>
                  <w:txbxContent>
                    <w:p w14:paraId="36A3F746" w14:textId="77777777" w:rsidR="004F7C9F" w:rsidRPr="00330E56" w:rsidRDefault="004F7C9F" w:rsidP="00D47534">
                      <w:pPr>
                        <w:suppressAutoHyphens/>
                        <w:rPr>
                          <w:color w:val="001D77"/>
                          <w:sz w:val="18"/>
                        </w:rPr>
                      </w:pPr>
                    </w:p>
                  </w:txbxContent>
                </v:textbox>
              </v:shape>
            </w:pict>
          </mc:Fallback>
        </mc:AlternateContent>
      </w:r>
      <w:r>
        <w:rPr>
          <w:noProof/>
          <w:szCs w:val="19"/>
          <w:lang w:eastAsia="pl-PL"/>
        </w:rPr>
        <mc:AlternateContent>
          <mc:Choice Requires="wps">
            <w:drawing>
              <wp:anchor distT="45720" distB="45720" distL="114300" distR="114300" simplePos="0" relativeHeight="251776000" behindDoc="0" locked="0" layoutInCell="1" allowOverlap="1" wp14:anchorId="3984C70D" wp14:editId="35D51264">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27122D0D"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sidR="00526DF2">
                              <w:rPr>
                                <w:rFonts w:ascii="Fira Sans SemiBold" w:hAnsi="Fira Sans SemiBold"/>
                                <w:color w:val="001D77"/>
                              </w:rPr>
                              <w:t>21</w:t>
                            </w:r>
                            <w:r w:rsidRPr="00330E56">
                              <w:rPr>
                                <w:rFonts w:ascii="Fira Sans SemiBold" w:hAnsi="Fira Sans SemiBold"/>
                                <w:color w:val="001D77"/>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84C70D" id="_x0000_s1027"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vgEwIAAP8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" filled="f" stroked="f">
                <v:textbox style="mso-fit-shape-to-text:t">
                  <w:txbxContent>
                    <w:p w14:paraId="27122D0D"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sidR="00526DF2">
                        <w:rPr>
                          <w:rFonts w:ascii="Fira Sans SemiBold" w:hAnsi="Fira Sans SemiBold"/>
                          <w:color w:val="001D77"/>
                        </w:rPr>
                        <w:t>21</w:t>
                      </w:r>
                      <w:r w:rsidRPr="00330E56">
                        <w:rPr>
                          <w:rFonts w:ascii="Fira Sans SemiBold" w:hAnsi="Fira Sans SemiBold"/>
                          <w:color w:val="001D77"/>
                        </w:rPr>
                        <w:t xml:space="preserve"> </w:t>
                      </w:r>
                    </w:p>
                  </w:txbxContent>
                </v:textbox>
              </v:shape>
            </w:pict>
          </mc:Fallback>
        </mc:AlternateContent>
      </w:r>
      <w:r w:rsidR="00923B09" w:rsidRPr="00EA1AD1">
        <w:rPr>
          <w:lang w:val="en-GB"/>
        </w:rPr>
        <w:t>Economic poverty rates in Poland</w:t>
      </w:r>
      <w:r w:rsidR="00526DF2" w:rsidRPr="00EA1AD1">
        <w:rPr>
          <w:lang w:val="en-GB"/>
        </w:rPr>
        <w:t xml:space="preserve"> </w:t>
      </w:r>
      <w:r w:rsidR="00923B09" w:rsidRPr="00EA1AD1">
        <w:rPr>
          <w:lang w:val="en-GB"/>
        </w:rPr>
        <w:t xml:space="preserve">in </w:t>
      </w:r>
      <w:r w:rsidR="00526DF2" w:rsidRPr="00EA1AD1">
        <w:rPr>
          <w:lang w:val="en-GB"/>
        </w:rPr>
        <w:t>2020</w:t>
      </w:r>
      <w:r w:rsidR="009C156D" w:rsidRPr="00EA1AD1">
        <w:rPr>
          <w:lang w:val="en-GB"/>
        </w:rPr>
        <w:br/>
      </w:r>
      <w:r w:rsidR="00650F9C" w:rsidRPr="00EA1AD1">
        <w:rPr>
          <w:sz w:val="20"/>
          <w:szCs w:val="20"/>
          <w:lang w:val="en-GB"/>
        </w:rPr>
        <w:t>(</w:t>
      </w:r>
      <w:r w:rsidR="00EA1AD1" w:rsidRPr="00EA1AD1">
        <w:rPr>
          <w:sz w:val="20"/>
          <w:szCs w:val="20"/>
          <w:lang w:val="en-GB"/>
        </w:rPr>
        <w:t>based on the results of the Household Budget Survey</w:t>
      </w:r>
      <w:r w:rsidR="00650F9C" w:rsidRPr="00EA1AD1">
        <w:rPr>
          <w:color w:val="auto"/>
          <w:sz w:val="20"/>
          <w:szCs w:val="20"/>
          <w:lang w:val="en-GB"/>
        </w:rPr>
        <w:t>)</w:t>
      </w:r>
    </w:p>
    <w:p w14:paraId="59FEFF65" w14:textId="77777777" w:rsidR="00C5002D" w:rsidRPr="00EA1AD1" w:rsidRDefault="00C5002D" w:rsidP="00271E09">
      <w:pPr>
        <w:pStyle w:val="tytuinformacji"/>
        <w:spacing w:after="120"/>
        <w:rPr>
          <w:color w:val="auto"/>
          <w:sz w:val="20"/>
          <w:szCs w:val="20"/>
          <w:lang w:val="en-GB"/>
        </w:rPr>
      </w:pPr>
    </w:p>
    <w:p w14:paraId="4DBC37B2" w14:textId="02B86132" w:rsidR="001F377B" w:rsidRPr="00214B6B" w:rsidRDefault="00CD7BE6" w:rsidP="00AB66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Courier New"/>
          <w:color w:val="202124"/>
          <w:szCs w:val="42"/>
          <w:lang w:val="en" w:eastAsia="pl-PL"/>
        </w:rPr>
      </w:pPr>
      <w:r w:rsidRPr="00CD7BE6">
        <w:rPr>
          <w:rFonts w:eastAsia="Times New Roman" w:cs="Courier New"/>
          <w:b/>
          <w:color w:val="202124"/>
          <w:szCs w:val="42"/>
          <w:lang w:val="en-GB" w:eastAsia="pl-PL"/>
        </w:rPr>
        <w:t>In 2020, the extreme poverty rate in Poland was around 5% compared to 4% in 2019. This occurred with a substantial  decrease in the level of household expenditure</w:t>
      </w:r>
      <w:r w:rsidR="00506324">
        <w:rPr>
          <w:rFonts w:eastAsia="Times New Roman" w:cs="Courier New"/>
          <w:b/>
          <w:color w:val="202124"/>
          <w:szCs w:val="42"/>
          <w:lang w:val="en" w:eastAsia="pl-PL"/>
        </w:rPr>
        <w:t xml:space="preserve">. The </w:t>
      </w:r>
      <w:r w:rsidRPr="00CD7BE6">
        <w:rPr>
          <w:rFonts w:eastAsia="Times New Roman" w:cs="Courier New"/>
          <w:b/>
          <w:color w:val="202124"/>
          <w:szCs w:val="42"/>
          <w:lang w:val="en" w:eastAsia="pl-PL"/>
        </w:rPr>
        <w:t xml:space="preserve">deterioration of the material situation of some households and the increase in extreme poverty in Poland are associated with the introduction, since March 2020, of the freezing of part of the economy and restrictions in social contacts, in response to the appearance of the coronavirus in Poland and the outbreak of the COVID 19 pandemic. </w:t>
      </w:r>
      <w:r w:rsidRPr="00CD7BE6">
        <w:rPr>
          <w:rFonts w:eastAsia="Times New Roman" w:cs="Courier New"/>
          <w:b/>
          <w:color w:val="202124"/>
          <w:szCs w:val="42"/>
          <w:lang w:val="en-GB" w:eastAsia="pl-PL"/>
        </w:rPr>
        <w:t xml:space="preserve">Higher level of extreme poverty than in 2019 affected most of the population groups considered but the level of change varied. However, this did not change </w:t>
      </w:r>
      <w:r w:rsidRPr="00CD7BE6">
        <w:rPr>
          <w:rFonts w:eastAsia="Times New Roman" w:cs="Courier New"/>
          <w:b/>
          <w:color w:val="202124"/>
          <w:szCs w:val="42"/>
          <w:lang w:val="en" w:eastAsia="pl-PL"/>
        </w:rPr>
        <w:t>the image of social differentiation in the extreme poverty rate in Poland.</w:t>
      </w:r>
      <w:r w:rsidR="00D5188B" w:rsidRPr="00214B6B">
        <w:rPr>
          <w:noProof/>
          <w:highlight w:val="yellow"/>
          <w:lang w:eastAsia="pl-PL"/>
        </w:rPr>
        <mc:AlternateContent>
          <mc:Choice Requires="wps">
            <w:drawing>
              <wp:anchor distT="45720" distB="45720" distL="114300" distR="114300" simplePos="0" relativeHeight="251772928" behindDoc="1" locked="0" layoutInCell="1" allowOverlap="1" wp14:anchorId="4A2F69E8" wp14:editId="17FED27C">
                <wp:simplePos x="0" y="0"/>
                <wp:positionH relativeFrom="margin">
                  <wp:posOffset>3810</wp:posOffset>
                </wp:positionH>
                <wp:positionV relativeFrom="paragraph">
                  <wp:posOffset>48260</wp:posOffset>
                </wp:positionV>
                <wp:extent cx="1207770" cy="1284605"/>
                <wp:effectExtent l="0" t="0" r="0" b="0"/>
                <wp:wrapTight wrapText="bothSides">
                  <wp:wrapPolygon edited="0">
                    <wp:start x="0" y="0"/>
                    <wp:lineTo x="0" y="21141"/>
                    <wp:lineTo x="21123" y="21141"/>
                    <wp:lineTo x="21123" y="0"/>
                    <wp:lineTo x="0" y="0"/>
                  </wp:wrapPolygon>
                </wp:wrapTight>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284605"/>
                        </a:xfrm>
                        <a:prstGeom prst="rect">
                          <a:avLst/>
                        </a:prstGeom>
                        <a:solidFill>
                          <a:srgbClr val="001D77"/>
                        </a:solidFill>
                        <a:ln w="9525">
                          <a:noFill/>
                          <a:miter lim="800000"/>
                          <a:headEnd/>
                          <a:tailEnd/>
                        </a:ln>
                      </wps:spPr>
                      <wps:txbx>
                        <w:txbxContent>
                          <w:p w14:paraId="490A47DF" w14:textId="77777777" w:rsidR="004F7C9F" w:rsidRPr="00DF2E41" w:rsidRDefault="004F7C9F" w:rsidP="00815D0F">
                            <w:pPr>
                              <w:spacing w:before="60" w:after="0" w:line="240" w:lineRule="auto"/>
                              <w:rPr>
                                <w:rFonts w:ascii="Fira Sans SemiBold" w:hAnsi="Fira Sans SemiBold"/>
                                <w:color w:val="FFFFFF" w:themeColor="background1"/>
                                <w:sz w:val="72"/>
                                <w:lang w:val="en-GB"/>
                              </w:rPr>
                            </w:pPr>
                            <w:r w:rsidRPr="00DF2E41">
                              <w:rPr>
                                <w:noProof/>
                                <w:color w:val="001D77"/>
                                <w:lang w:val="en-GB" w:eastAsia="pl-PL"/>
                              </w:rPr>
                              <w:t xml:space="preserve"> </w:t>
                            </w:r>
                            <w:r w:rsidR="004C0AF5" w:rsidRPr="00DF2E41">
                              <w:rPr>
                                <w:rFonts w:ascii="Fira Sans SemiBold" w:hAnsi="Fira Sans SemiBold"/>
                                <w:color w:val="FFFFFF" w:themeColor="background1"/>
                                <w:sz w:val="72"/>
                                <w:lang w:val="en-GB"/>
                              </w:rPr>
                              <w:t>5</w:t>
                            </w:r>
                            <w:r w:rsidRPr="00DF2E41">
                              <w:rPr>
                                <w:rFonts w:ascii="Fira Sans SemiBold" w:hAnsi="Fira Sans SemiBold"/>
                                <w:color w:val="FFFFFF" w:themeColor="background1"/>
                                <w:sz w:val="72"/>
                                <w:lang w:val="en-GB"/>
                              </w:rPr>
                              <w:t>,2%</w:t>
                            </w:r>
                          </w:p>
                          <w:p w14:paraId="2A740044" w14:textId="77777777" w:rsidR="004F7C9F" w:rsidRPr="0080158B" w:rsidRDefault="0080158B" w:rsidP="00D538E4">
                            <w:pPr>
                              <w:pStyle w:val="tekstnaniebieskimtle"/>
                              <w:rPr>
                                <w:color w:val="FFFFFF" w:themeColor="background1"/>
                                <w:sz w:val="18"/>
                                <w:szCs w:val="20"/>
                                <w:lang w:val="en-GB"/>
                              </w:rPr>
                            </w:pPr>
                            <w:r w:rsidRPr="0080158B">
                              <w:rPr>
                                <w:lang w:val="en-GB"/>
                              </w:rPr>
                              <w:t>Extreme poverty rate in Poland in 2020.</w:t>
                            </w:r>
                            <w:r w:rsidR="004F7C9F" w:rsidRPr="0080158B">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F69E8" id="_x0000_s1028" type="#_x0000_t202" style="position:absolute;margin-left:.3pt;margin-top:3.8pt;width:95.1pt;height:101.15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" fillcolor="#001d77" stroked="f">
                <v:textbox>
                  <w:txbxContent>
                    <w:p w14:paraId="490A47DF" w14:textId="77777777" w:rsidR="004F7C9F" w:rsidRPr="00DF2E41" w:rsidRDefault="004F7C9F" w:rsidP="00815D0F">
                      <w:pPr>
                        <w:spacing w:before="60" w:after="0" w:line="240" w:lineRule="auto"/>
                        <w:rPr>
                          <w:rFonts w:ascii="Fira Sans SemiBold" w:hAnsi="Fira Sans SemiBold"/>
                          <w:color w:val="FFFFFF" w:themeColor="background1"/>
                          <w:sz w:val="72"/>
                          <w:lang w:val="en-GB"/>
                        </w:rPr>
                      </w:pPr>
                      <w:r w:rsidRPr="00DF2E41">
                        <w:rPr>
                          <w:noProof/>
                          <w:color w:val="001D77"/>
                          <w:lang w:val="en-GB" w:eastAsia="pl-PL"/>
                        </w:rPr>
                        <w:t xml:space="preserve"> </w:t>
                      </w:r>
                      <w:r w:rsidR="004C0AF5" w:rsidRPr="00DF2E41">
                        <w:rPr>
                          <w:rFonts w:ascii="Fira Sans SemiBold" w:hAnsi="Fira Sans SemiBold"/>
                          <w:color w:val="FFFFFF" w:themeColor="background1"/>
                          <w:sz w:val="72"/>
                          <w:lang w:val="en-GB"/>
                        </w:rPr>
                        <w:t>5</w:t>
                      </w:r>
                      <w:r w:rsidRPr="00DF2E41">
                        <w:rPr>
                          <w:rFonts w:ascii="Fira Sans SemiBold" w:hAnsi="Fira Sans SemiBold"/>
                          <w:color w:val="FFFFFF" w:themeColor="background1"/>
                          <w:sz w:val="72"/>
                          <w:lang w:val="en-GB"/>
                        </w:rPr>
                        <w:t>,2%</w:t>
                      </w:r>
                    </w:p>
                    <w:p w14:paraId="2A740044" w14:textId="77777777" w:rsidR="004F7C9F" w:rsidRPr="0080158B" w:rsidRDefault="0080158B" w:rsidP="00D538E4">
                      <w:pPr>
                        <w:pStyle w:val="tekstnaniebieskimtle"/>
                        <w:rPr>
                          <w:color w:val="FFFFFF" w:themeColor="background1"/>
                          <w:sz w:val="18"/>
                          <w:szCs w:val="20"/>
                          <w:lang w:val="en-GB"/>
                        </w:rPr>
                      </w:pPr>
                      <w:r w:rsidRPr="0080158B">
                        <w:rPr>
                          <w:lang w:val="en-GB"/>
                        </w:rPr>
                        <w:t>Extreme poverty rate in Poland in 2020.</w:t>
                      </w:r>
                      <w:r w:rsidR="004F7C9F" w:rsidRPr="0080158B">
                        <w:rPr>
                          <w:lang w:val="en-GB"/>
                        </w:rPr>
                        <w:t xml:space="preserve"> </w:t>
                      </w:r>
                    </w:p>
                  </w:txbxContent>
                </v:textbox>
                <w10:wrap type="tight" anchorx="margin"/>
              </v:shape>
            </w:pict>
          </mc:Fallback>
        </mc:AlternateContent>
      </w:r>
    </w:p>
    <w:p w14:paraId="2698A7A0" w14:textId="2D703EE6" w:rsidR="0080158B" w:rsidRPr="00EA0676" w:rsidRDefault="00CD7BE6" w:rsidP="00AB66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Courier New"/>
          <w:b/>
          <w:color w:val="202124"/>
          <w:szCs w:val="42"/>
          <w:lang w:val="en-GB" w:eastAsia="pl-PL"/>
        </w:rPr>
      </w:pPr>
      <w:r w:rsidRPr="00CD7BE6">
        <w:rPr>
          <w:rFonts w:eastAsia="Times New Roman" w:cs="Courier New"/>
          <w:b/>
          <w:color w:val="202124"/>
          <w:szCs w:val="42"/>
          <w:lang w:val="en" w:eastAsia="pl-PL"/>
        </w:rPr>
        <w:t>The value of the relative poverty rate fell to approximately 12% (by about 1 p.p.), and the legal poverty rate remained at the level of about 9%.</w:t>
      </w:r>
    </w:p>
    <w:p w14:paraId="4963681C" w14:textId="768B18D4" w:rsidR="003279D3" w:rsidRPr="00FF6D7F" w:rsidRDefault="008F38AB" w:rsidP="00AB66AA">
      <w:pPr>
        <w:spacing w:before="240" w:line="240" w:lineRule="auto"/>
        <w:rPr>
          <w:rFonts w:ascii="Fira Sans SemiBold" w:eastAsia="Times New Roman" w:hAnsi="Fira Sans SemiBold" w:cs="Times New Roman"/>
          <w:bCs/>
          <w:color w:val="001D77"/>
          <w:szCs w:val="24"/>
          <w:shd w:val="clear" w:color="auto" w:fill="FFFFFF"/>
          <w:lang w:val="en" w:eastAsia="pl-PL"/>
        </w:rPr>
      </w:pPr>
      <w:r w:rsidRPr="00F531E1">
        <w:rPr>
          <w:noProof/>
          <w:color w:val="001D77"/>
          <w:szCs w:val="19"/>
          <w:lang w:eastAsia="pl-PL"/>
        </w:rPr>
        <mc:AlternateContent>
          <mc:Choice Requires="wps">
            <w:drawing>
              <wp:anchor distT="45720" distB="45720" distL="114300" distR="114300" simplePos="0" relativeHeight="251827200" behindDoc="0" locked="0" layoutInCell="1" allowOverlap="1" wp14:anchorId="25DD936C" wp14:editId="406D6ECD">
                <wp:simplePos x="0" y="0"/>
                <wp:positionH relativeFrom="margin">
                  <wp:posOffset>5354955</wp:posOffset>
                </wp:positionH>
                <wp:positionV relativeFrom="paragraph">
                  <wp:posOffset>161925</wp:posOffset>
                </wp:positionV>
                <wp:extent cx="1616710" cy="1676400"/>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1676400"/>
                        </a:xfrm>
                        <a:prstGeom prst="rect">
                          <a:avLst/>
                        </a:prstGeom>
                        <a:noFill/>
                        <a:ln w="9525">
                          <a:noFill/>
                          <a:miter lim="800000"/>
                          <a:headEnd/>
                          <a:tailEnd/>
                        </a:ln>
                      </wps:spPr>
                      <wps:txbx>
                        <w:txbxContent>
                          <w:p w14:paraId="5718E7C7" w14:textId="3C1C2A57" w:rsidR="000630B9" w:rsidRPr="00353928" w:rsidRDefault="00353928" w:rsidP="000630B9">
                            <w:pPr>
                              <w:suppressAutoHyphens/>
                              <w:rPr>
                                <w:color w:val="001D77"/>
                                <w:sz w:val="18"/>
                                <w:lang w:val="en-GB"/>
                              </w:rPr>
                            </w:pPr>
                            <w:r w:rsidRPr="00353928">
                              <w:rPr>
                                <w:color w:val="001D77"/>
                                <w:sz w:val="18"/>
                                <w:lang w:val="en-GB"/>
                              </w:rPr>
                              <w:t xml:space="preserve">In 2020, there was an increase in extreme poverty </w:t>
                            </w:r>
                            <w:r>
                              <w:rPr>
                                <w:color w:val="001D77"/>
                                <w:sz w:val="18"/>
                                <w:lang w:val="en-GB"/>
                              </w:rPr>
                              <w:t xml:space="preserve">rate </w:t>
                            </w:r>
                            <w:r w:rsidRPr="00353928">
                              <w:rPr>
                                <w:color w:val="001D77"/>
                                <w:sz w:val="18"/>
                                <w:lang w:val="en-GB"/>
                              </w:rPr>
                              <w:t>(by 1 p</w:t>
                            </w:r>
                            <w:r>
                              <w:rPr>
                                <w:color w:val="001D77"/>
                                <w:sz w:val="18"/>
                                <w:lang w:val="en-GB"/>
                              </w:rPr>
                              <w:t>.p.</w:t>
                            </w:r>
                            <w:r w:rsidRPr="00353928">
                              <w:rPr>
                                <w:color w:val="001D77"/>
                                <w:sz w:val="18"/>
                                <w:lang w:val="en-GB"/>
                              </w:rPr>
                              <w:t>), a</w:t>
                            </w:r>
                            <w:r w:rsidR="00193EC1">
                              <w:rPr>
                                <w:color w:val="001D77"/>
                                <w:sz w:val="18"/>
                                <w:lang w:val="en-GB"/>
                              </w:rPr>
                              <w:t> </w:t>
                            </w:r>
                            <w:r w:rsidRPr="00353928">
                              <w:rPr>
                                <w:color w:val="001D77"/>
                                <w:sz w:val="18"/>
                                <w:lang w:val="en-GB"/>
                              </w:rPr>
                              <w:t xml:space="preserve">decrease in relative poverty </w:t>
                            </w:r>
                            <w:r>
                              <w:rPr>
                                <w:color w:val="001D77"/>
                                <w:sz w:val="18"/>
                                <w:lang w:val="en-GB"/>
                              </w:rPr>
                              <w:t xml:space="preserve">rate </w:t>
                            </w:r>
                            <w:r w:rsidRPr="00353928">
                              <w:rPr>
                                <w:color w:val="001D77"/>
                                <w:sz w:val="18"/>
                                <w:lang w:val="en-GB"/>
                              </w:rPr>
                              <w:t>(by over 1 p</w:t>
                            </w:r>
                            <w:r>
                              <w:rPr>
                                <w:color w:val="001D77"/>
                                <w:sz w:val="18"/>
                                <w:lang w:val="en-GB"/>
                              </w:rPr>
                              <w:t>.p.</w:t>
                            </w:r>
                            <w:r w:rsidRPr="00353928">
                              <w:rPr>
                                <w:color w:val="001D77"/>
                                <w:sz w:val="18"/>
                                <w:lang w:val="en-GB"/>
                              </w:rPr>
                              <w:t xml:space="preserve">), while the so-called </w:t>
                            </w:r>
                            <w:r>
                              <w:rPr>
                                <w:color w:val="001D77"/>
                                <w:sz w:val="18"/>
                                <w:lang w:val="en-GB"/>
                              </w:rPr>
                              <w:t>legal p</w:t>
                            </w:r>
                            <w:r w:rsidRPr="00353928">
                              <w:rPr>
                                <w:color w:val="001D77"/>
                                <w:sz w:val="18"/>
                                <w:lang w:val="en-GB"/>
                              </w:rPr>
                              <w:t xml:space="preserve">overty </w:t>
                            </w:r>
                            <w:r>
                              <w:rPr>
                                <w:color w:val="001D77"/>
                                <w:sz w:val="18"/>
                                <w:lang w:val="en-GB"/>
                              </w:rPr>
                              <w:t xml:space="preserve">rate </w:t>
                            </w:r>
                            <w:r w:rsidRPr="00353928">
                              <w:rPr>
                                <w:color w:val="001D77"/>
                                <w:sz w:val="18"/>
                                <w:lang w:val="en-GB"/>
                              </w:rPr>
                              <w:t>remained at a similar level compared to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D936C" id="_x0000_s1029" type="#_x0000_t202" style="position:absolute;margin-left:421.65pt;margin-top:12.75pt;width:127.3pt;height:132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" filled="f" stroked="f">
                <v:textbox>
                  <w:txbxContent>
                    <w:p w14:paraId="5718E7C7" w14:textId="3C1C2A57" w:rsidR="000630B9" w:rsidRPr="00353928" w:rsidRDefault="00353928" w:rsidP="000630B9">
                      <w:pPr>
                        <w:suppressAutoHyphens/>
                        <w:rPr>
                          <w:color w:val="001D77"/>
                          <w:sz w:val="18"/>
                          <w:lang w:val="en-GB"/>
                        </w:rPr>
                      </w:pPr>
                      <w:r w:rsidRPr="00353928">
                        <w:rPr>
                          <w:color w:val="001D77"/>
                          <w:sz w:val="18"/>
                          <w:lang w:val="en-GB"/>
                        </w:rPr>
                        <w:t xml:space="preserve">In 2020, there was an increase in extreme poverty </w:t>
                      </w:r>
                      <w:r>
                        <w:rPr>
                          <w:color w:val="001D77"/>
                          <w:sz w:val="18"/>
                          <w:lang w:val="en-GB"/>
                        </w:rPr>
                        <w:t xml:space="preserve">rate </w:t>
                      </w:r>
                      <w:r w:rsidRPr="00353928">
                        <w:rPr>
                          <w:color w:val="001D77"/>
                          <w:sz w:val="18"/>
                          <w:lang w:val="en-GB"/>
                        </w:rPr>
                        <w:t>(by 1 p</w:t>
                      </w:r>
                      <w:r>
                        <w:rPr>
                          <w:color w:val="001D77"/>
                          <w:sz w:val="18"/>
                          <w:lang w:val="en-GB"/>
                        </w:rPr>
                        <w:t>.p.</w:t>
                      </w:r>
                      <w:r w:rsidRPr="00353928">
                        <w:rPr>
                          <w:color w:val="001D77"/>
                          <w:sz w:val="18"/>
                          <w:lang w:val="en-GB"/>
                        </w:rPr>
                        <w:t>), a</w:t>
                      </w:r>
                      <w:r w:rsidR="00193EC1">
                        <w:rPr>
                          <w:color w:val="001D77"/>
                          <w:sz w:val="18"/>
                          <w:lang w:val="en-GB"/>
                        </w:rPr>
                        <w:t> </w:t>
                      </w:r>
                      <w:r w:rsidRPr="00353928">
                        <w:rPr>
                          <w:color w:val="001D77"/>
                          <w:sz w:val="18"/>
                          <w:lang w:val="en-GB"/>
                        </w:rPr>
                        <w:t xml:space="preserve">decrease in relative poverty </w:t>
                      </w:r>
                      <w:r>
                        <w:rPr>
                          <w:color w:val="001D77"/>
                          <w:sz w:val="18"/>
                          <w:lang w:val="en-GB"/>
                        </w:rPr>
                        <w:t xml:space="preserve">rate </w:t>
                      </w:r>
                      <w:r w:rsidRPr="00353928">
                        <w:rPr>
                          <w:color w:val="001D77"/>
                          <w:sz w:val="18"/>
                          <w:lang w:val="en-GB"/>
                        </w:rPr>
                        <w:t>(by over 1 p</w:t>
                      </w:r>
                      <w:r>
                        <w:rPr>
                          <w:color w:val="001D77"/>
                          <w:sz w:val="18"/>
                          <w:lang w:val="en-GB"/>
                        </w:rPr>
                        <w:t>.p.</w:t>
                      </w:r>
                      <w:r w:rsidRPr="00353928">
                        <w:rPr>
                          <w:color w:val="001D77"/>
                          <w:sz w:val="18"/>
                          <w:lang w:val="en-GB"/>
                        </w:rPr>
                        <w:t xml:space="preserve">), while the so-called </w:t>
                      </w:r>
                      <w:r>
                        <w:rPr>
                          <w:color w:val="001D77"/>
                          <w:sz w:val="18"/>
                          <w:lang w:val="en-GB"/>
                        </w:rPr>
                        <w:t>legal p</w:t>
                      </w:r>
                      <w:r w:rsidRPr="00353928">
                        <w:rPr>
                          <w:color w:val="001D77"/>
                          <w:sz w:val="18"/>
                          <w:lang w:val="en-GB"/>
                        </w:rPr>
                        <w:t xml:space="preserve">overty </w:t>
                      </w:r>
                      <w:r>
                        <w:rPr>
                          <w:color w:val="001D77"/>
                          <w:sz w:val="18"/>
                          <w:lang w:val="en-GB"/>
                        </w:rPr>
                        <w:t xml:space="preserve">rate </w:t>
                      </w:r>
                      <w:r w:rsidRPr="00353928">
                        <w:rPr>
                          <w:color w:val="001D77"/>
                          <w:sz w:val="18"/>
                          <w:lang w:val="en-GB"/>
                        </w:rPr>
                        <w:t>remained at a similar level compared to 2019.</w:t>
                      </w:r>
                    </w:p>
                  </w:txbxContent>
                </v:textbox>
                <w10:wrap anchorx="margin"/>
              </v:shape>
            </w:pict>
          </mc:Fallback>
        </mc:AlternateContent>
      </w:r>
      <w:r w:rsidR="00FF6D7F" w:rsidRPr="00FF6D7F">
        <w:rPr>
          <w:rFonts w:ascii="Fira Sans SemiBold" w:eastAsia="Times New Roman" w:hAnsi="Fira Sans SemiBold" w:cs="Times New Roman"/>
          <w:b/>
          <w:bCs/>
          <w:color w:val="001D77"/>
          <w:szCs w:val="24"/>
          <w:shd w:val="clear" w:color="auto" w:fill="FFFFFF"/>
          <w:lang w:val="en" w:eastAsia="pl-PL"/>
        </w:rPr>
        <w:t xml:space="preserve">Economic poverty rates in </w:t>
      </w:r>
      <w:r w:rsidR="00E651E3" w:rsidRPr="00FF6D7F">
        <w:rPr>
          <w:rFonts w:ascii="Fira Sans SemiBold" w:eastAsia="Times New Roman" w:hAnsi="Fira Sans SemiBold" w:cs="Times New Roman"/>
          <w:b/>
          <w:bCs/>
          <w:color w:val="001D77"/>
          <w:szCs w:val="24"/>
          <w:shd w:val="clear" w:color="auto" w:fill="FFFFFF"/>
          <w:lang w:val="en" w:eastAsia="pl-PL"/>
        </w:rPr>
        <w:t>20</w:t>
      </w:r>
      <w:r w:rsidR="00C4278C" w:rsidRPr="00FF6D7F">
        <w:rPr>
          <w:rFonts w:ascii="Fira Sans SemiBold" w:eastAsia="Times New Roman" w:hAnsi="Fira Sans SemiBold" w:cs="Times New Roman"/>
          <w:b/>
          <w:bCs/>
          <w:color w:val="001D77"/>
          <w:szCs w:val="24"/>
          <w:shd w:val="clear" w:color="auto" w:fill="FFFFFF"/>
          <w:lang w:val="en" w:eastAsia="pl-PL"/>
        </w:rPr>
        <w:t>20</w:t>
      </w:r>
      <w:r w:rsidR="00693CA3" w:rsidRPr="00FF6D7F">
        <w:rPr>
          <w:rFonts w:ascii="Fira Sans SemiBold" w:eastAsia="Times New Roman" w:hAnsi="Fira Sans SemiBold" w:cs="Times New Roman"/>
          <w:b/>
          <w:bCs/>
          <w:color w:val="001D77"/>
          <w:szCs w:val="24"/>
          <w:shd w:val="clear" w:color="auto" w:fill="FFFFFF"/>
          <w:lang w:val="en" w:eastAsia="pl-PL"/>
        </w:rPr>
        <w:t xml:space="preserve"> r. </w:t>
      </w:r>
      <w:r w:rsidR="00FF6D7F" w:rsidRPr="00FF6D7F">
        <w:rPr>
          <w:rFonts w:ascii="Fira Sans SemiBold" w:eastAsia="Times New Roman" w:hAnsi="Fira Sans SemiBold" w:cs="Times New Roman"/>
          <w:b/>
          <w:bCs/>
          <w:color w:val="001D77"/>
          <w:szCs w:val="24"/>
          <w:shd w:val="clear" w:color="auto" w:fill="FFFFFF"/>
          <w:lang w:val="en" w:eastAsia="pl-PL"/>
        </w:rPr>
        <w:t>Were there any significant changes comp</w:t>
      </w:r>
      <w:r w:rsidR="00FF6D7F">
        <w:rPr>
          <w:rFonts w:ascii="Fira Sans SemiBold" w:eastAsia="Times New Roman" w:hAnsi="Fira Sans SemiBold" w:cs="Times New Roman"/>
          <w:b/>
          <w:bCs/>
          <w:color w:val="001D77"/>
          <w:szCs w:val="24"/>
          <w:shd w:val="clear" w:color="auto" w:fill="FFFFFF"/>
          <w:lang w:val="en" w:eastAsia="pl-PL"/>
        </w:rPr>
        <w:t>aring to the previous year</w:t>
      </w:r>
      <w:r w:rsidR="00940A6C">
        <w:rPr>
          <w:rFonts w:ascii="Fira Sans SemiBold" w:eastAsia="Times New Roman" w:hAnsi="Fira Sans SemiBold" w:cs="Times New Roman"/>
          <w:b/>
          <w:bCs/>
          <w:color w:val="001D77"/>
          <w:szCs w:val="24"/>
          <w:shd w:val="clear" w:color="auto" w:fill="FFFFFF"/>
          <w:lang w:val="en" w:eastAsia="pl-PL"/>
        </w:rPr>
        <w:t>s</w:t>
      </w:r>
      <w:r w:rsidR="00693CA3" w:rsidRPr="00FF6D7F">
        <w:rPr>
          <w:rFonts w:ascii="Fira Sans SemiBold" w:eastAsia="Times New Roman" w:hAnsi="Fira Sans SemiBold" w:cs="Times New Roman"/>
          <w:b/>
          <w:bCs/>
          <w:color w:val="001D77"/>
          <w:szCs w:val="24"/>
          <w:shd w:val="clear" w:color="auto" w:fill="FFFFFF"/>
          <w:lang w:val="en" w:eastAsia="pl-PL"/>
        </w:rPr>
        <w:t>?</w:t>
      </w:r>
    </w:p>
    <w:p w14:paraId="2F63BFCF" w14:textId="64FD5050" w:rsidR="007015FE" w:rsidRPr="005F67DB" w:rsidRDefault="0095709E" w:rsidP="005F67DB">
      <w:pPr>
        <w:spacing w:before="0" w:after="0" w:line="240" w:lineRule="auto"/>
        <w:rPr>
          <w:lang w:val="en-GB"/>
        </w:rPr>
      </w:pPr>
      <w:r w:rsidRPr="0095709E">
        <w:rPr>
          <w:lang w:val="en-GB"/>
        </w:rPr>
        <w:t>Statistics Poland regularly, every year, calculates and publishes indicators concerning the economic poverty rates in Poland based on the results</w:t>
      </w:r>
      <w:r w:rsidR="00FC5433">
        <w:rPr>
          <w:lang w:val="en-GB"/>
        </w:rPr>
        <w:t xml:space="preserve"> of the Household Budget Survey</w:t>
      </w:r>
      <w:r w:rsidR="00D20819">
        <w:rPr>
          <w:rStyle w:val="Odwoanieprzypisudolnego"/>
          <w:lang w:val="en-GB"/>
        </w:rPr>
        <w:footnoteReference w:id="1"/>
      </w:r>
      <w:r w:rsidR="00FC5433">
        <w:rPr>
          <w:lang w:val="en-GB"/>
        </w:rPr>
        <w:t>.</w:t>
      </w:r>
      <w:r w:rsidRPr="0095709E">
        <w:rPr>
          <w:lang w:val="en-GB"/>
        </w:rPr>
        <w:t xml:space="preserve"> The</w:t>
      </w:r>
      <w:r w:rsidR="00FC5433">
        <w:rPr>
          <w:lang w:val="en-GB"/>
        </w:rPr>
        <w:t> </w:t>
      </w:r>
      <w:r w:rsidRPr="0095709E">
        <w:rPr>
          <w:lang w:val="en-GB"/>
        </w:rPr>
        <w:t>presented indicators are annual average data. Three different poverty thresholds (lines) are taken into account in the calculations: the thresholds of extreme and relative poverty and the so-called legal poverty line</w:t>
      </w:r>
      <w:r>
        <w:rPr>
          <w:lang w:val="en-GB"/>
        </w:rPr>
        <w:t>.</w:t>
      </w:r>
      <w:r w:rsidRPr="0095709E">
        <w:rPr>
          <w:rFonts w:eastAsia="Times New Roman" w:cs="Courier New"/>
          <w:color w:val="202124"/>
          <w:szCs w:val="42"/>
          <w:lang w:val="en" w:eastAsia="pl-PL"/>
        </w:rPr>
        <w:t xml:space="preserve"> </w:t>
      </w:r>
      <w:r w:rsidRPr="000665C5">
        <w:rPr>
          <w:rFonts w:eastAsia="Times New Roman" w:cs="Courier New"/>
          <w:color w:val="202124"/>
          <w:szCs w:val="42"/>
          <w:lang w:val="en" w:eastAsia="pl-PL"/>
        </w:rPr>
        <w:t>People living in households where the level of expenditure</w:t>
      </w:r>
      <w:r w:rsidR="006054E9">
        <w:rPr>
          <w:rStyle w:val="Odwoanieprzypisudolnego"/>
          <w:rFonts w:eastAsia="Times New Roman" w:cs="Courier New"/>
          <w:color w:val="202124"/>
          <w:szCs w:val="42"/>
          <w:lang w:val="en" w:eastAsia="pl-PL"/>
        </w:rPr>
        <w:footnoteReference w:id="2"/>
      </w:r>
      <w:r w:rsidRPr="000665C5">
        <w:rPr>
          <w:rFonts w:eastAsia="Times New Roman" w:cs="Courier New"/>
          <w:color w:val="202124"/>
          <w:szCs w:val="42"/>
          <w:lang w:val="en" w:eastAsia="pl-PL"/>
        </w:rPr>
        <w:t xml:space="preserve"> was lower than the adopted poverty thresholds were considered poor.</w:t>
      </w:r>
    </w:p>
    <w:p w14:paraId="544D2F42" w14:textId="77777777" w:rsidR="00DF2E41" w:rsidRPr="00F91D3F" w:rsidRDefault="00DF2E41" w:rsidP="00F91D3F">
      <w:pPr>
        <w:pStyle w:val="Akapitzlist"/>
        <w:numPr>
          <w:ilvl w:val="0"/>
          <w:numId w:val="6"/>
        </w:numPr>
        <w:spacing w:before="0" w:after="0" w:line="240" w:lineRule="auto"/>
        <w:ind w:left="357" w:hanging="357"/>
        <w:rPr>
          <w:rFonts w:eastAsia="Times New Roman" w:cs="Times New Roman"/>
          <w:bCs/>
          <w:szCs w:val="24"/>
          <w:shd w:val="clear" w:color="auto" w:fill="FFFFFF"/>
          <w:lang w:val="en" w:eastAsia="pl-PL"/>
        </w:rPr>
      </w:pPr>
      <w:r w:rsidRPr="00F91D3F">
        <w:rPr>
          <w:noProof/>
          <w:szCs w:val="19"/>
          <w:lang w:val="en-US" w:eastAsia="pl-PL"/>
        </w:rPr>
        <w:t xml:space="preserve">The basis for </w:t>
      </w:r>
      <w:r w:rsidR="000F7FAB">
        <w:rPr>
          <w:noProof/>
          <w:szCs w:val="19"/>
          <w:lang w:val="en-US" w:eastAsia="pl-PL"/>
        </w:rPr>
        <w:t>calculating</w:t>
      </w:r>
      <w:r w:rsidRPr="00F91D3F">
        <w:rPr>
          <w:noProof/>
          <w:szCs w:val="19"/>
          <w:lang w:val="en-US" w:eastAsia="pl-PL"/>
        </w:rPr>
        <w:t xml:space="preserve"> the extreme poverty line is a level of the subistence minimum estimated by the Institute of Labour and Social </w:t>
      </w:r>
      <w:r w:rsidR="009B6DAC">
        <w:rPr>
          <w:noProof/>
          <w:szCs w:val="19"/>
          <w:lang w:val="en-US" w:eastAsia="pl-PL"/>
        </w:rPr>
        <w:t>Studies</w:t>
      </w:r>
      <w:r w:rsidRPr="00F91D3F">
        <w:rPr>
          <w:noProof/>
          <w:szCs w:val="19"/>
          <w:lang w:val="en-US" w:eastAsia="pl-PL"/>
        </w:rPr>
        <w:t xml:space="preserve"> (IPiSS). The category of subistence minimum determines a very low level of satisfaction of needs. Consumption below this level makes it difficult to survive and constitutes a threat to human psychophysical development. </w:t>
      </w:r>
      <w:r w:rsidRPr="00F91D3F">
        <w:rPr>
          <w:rFonts w:eastAsia="Times New Roman" w:cs="Times New Roman"/>
          <w:bCs/>
          <w:szCs w:val="24"/>
          <w:shd w:val="clear" w:color="auto" w:fill="FFFFFF"/>
          <w:lang w:val="en" w:eastAsia="pl-PL"/>
        </w:rPr>
        <w:t>In 2020, the extreme poverty rate was 5.2%, i.e. by 1 p</w:t>
      </w:r>
      <w:r w:rsidR="00180A0C" w:rsidRPr="00F91D3F">
        <w:rPr>
          <w:rFonts w:eastAsia="Times New Roman" w:cs="Times New Roman"/>
          <w:bCs/>
          <w:szCs w:val="24"/>
          <w:shd w:val="clear" w:color="auto" w:fill="FFFFFF"/>
          <w:lang w:val="en" w:eastAsia="pl-PL"/>
        </w:rPr>
        <w:t>.p.</w:t>
      </w:r>
      <w:r w:rsidRPr="00F91D3F">
        <w:rPr>
          <w:rFonts w:eastAsia="Times New Roman" w:cs="Times New Roman"/>
          <w:bCs/>
          <w:szCs w:val="24"/>
          <w:shd w:val="clear" w:color="auto" w:fill="FFFFFF"/>
          <w:lang w:val="en" w:eastAsia="pl-PL"/>
        </w:rPr>
        <w:t xml:space="preserve"> more than in 2019</w:t>
      </w:r>
      <w:r w:rsidR="00180A0C" w:rsidRPr="00F91D3F">
        <w:rPr>
          <w:rFonts w:eastAsia="Times New Roman" w:cs="Times New Roman"/>
          <w:bCs/>
          <w:szCs w:val="24"/>
          <w:shd w:val="clear" w:color="auto" w:fill="FFFFFF"/>
          <w:lang w:val="en" w:eastAsia="pl-PL"/>
        </w:rPr>
        <w:t>.</w:t>
      </w:r>
    </w:p>
    <w:p w14:paraId="301ACB1F" w14:textId="068CB873" w:rsidR="00DF2E41" w:rsidRPr="00AB6BCE" w:rsidRDefault="00180A0C" w:rsidP="00AB6BCE">
      <w:pPr>
        <w:pStyle w:val="Akapitzlist"/>
        <w:numPr>
          <w:ilvl w:val="0"/>
          <w:numId w:val="6"/>
        </w:numPr>
        <w:spacing w:line="259" w:lineRule="auto"/>
        <w:ind w:left="357" w:hanging="357"/>
        <w:rPr>
          <w:rFonts w:eastAsia="Times New Roman" w:cs="Times New Roman"/>
          <w:bCs/>
          <w:szCs w:val="24"/>
          <w:shd w:val="clear" w:color="auto" w:fill="FFFFFF"/>
          <w:lang w:val="en" w:eastAsia="pl-PL"/>
        </w:rPr>
      </w:pPr>
      <w:r w:rsidRPr="00AB6BCE">
        <w:rPr>
          <w:rFonts w:eastAsia="Times New Roman" w:cs="Times New Roman"/>
          <w:bCs/>
          <w:szCs w:val="24"/>
          <w:shd w:val="clear" w:color="auto" w:fill="FFFFFF"/>
          <w:lang w:val="en" w:eastAsia="pl-PL"/>
        </w:rPr>
        <w:t>Taking into account the so-called legal poverty line indicates a group of people who, in</w:t>
      </w:r>
      <w:r w:rsidR="004D25F7">
        <w:rPr>
          <w:rFonts w:eastAsia="Times New Roman" w:cs="Times New Roman"/>
          <w:bCs/>
          <w:szCs w:val="24"/>
          <w:shd w:val="clear" w:color="auto" w:fill="FFFFFF"/>
          <w:lang w:val="en" w:eastAsia="pl-PL"/>
        </w:rPr>
        <w:t> </w:t>
      </w:r>
      <w:r w:rsidRPr="00AB6BCE">
        <w:rPr>
          <w:rFonts w:eastAsia="Times New Roman" w:cs="Times New Roman"/>
          <w:bCs/>
          <w:szCs w:val="24"/>
          <w:shd w:val="clear" w:color="auto" w:fill="FFFFFF"/>
          <w:lang w:val="en" w:eastAsia="pl-PL"/>
        </w:rPr>
        <w:t>accordance with the binding provisions of law, are potentially entitled to apply for a</w:t>
      </w:r>
      <w:r w:rsidR="001023A6">
        <w:rPr>
          <w:rFonts w:eastAsia="Times New Roman" w:cs="Times New Roman"/>
          <w:bCs/>
          <w:szCs w:val="24"/>
          <w:shd w:val="clear" w:color="auto" w:fill="FFFFFF"/>
          <w:lang w:val="en" w:eastAsia="pl-PL"/>
        </w:rPr>
        <w:t> </w:t>
      </w:r>
      <w:r w:rsidRPr="00AB6BCE">
        <w:rPr>
          <w:rFonts w:eastAsia="Times New Roman" w:cs="Times New Roman"/>
          <w:bCs/>
          <w:szCs w:val="24"/>
          <w:shd w:val="clear" w:color="auto" w:fill="FFFFFF"/>
          <w:lang w:val="en" w:eastAsia="pl-PL"/>
        </w:rPr>
        <w:t xml:space="preserve">cash benefit from social assistance. </w:t>
      </w:r>
      <w:r w:rsidR="00DF2E41" w:rsidRPr="00AB6BCE">
        <w:rPr>
          <w:rFonts w:eastAsia="Times New Roman" w:cs="Times New Roman"/>
          <w:bCs/>
          <w:szCs w:val="24"/>
          <w:shd w:val="clear" w:color="auto" w:fill="FFFFFF"/>
          <w:lang w:val="en" w:eastAsia="pl-PL"/>
        </w:rPr>
        <w:t xml:space="preserve">In 2020, the </w:t>
      </w:r>
      <w:r w:rsidRPr="00AB6BCE">
        <w:rPr>
          <w:rFonts w:eastAsia="Times New Roman" w:cs="Times New Roman"/>
          <w:bCs/>
          <w:szCs w:val="24"/>
          <w:shd w:val="clear" w:color="auto" w:fill="FFFFFF"/>
          <w:lang w:val="en" w:eastAsia="pl-PL"/>
        </w:rPr>
        <w:t xml:space="preserve">legal </w:t>
      </w:r>
      <w:r w:rsidR="00DF2E41" w:rsidRPr="00AB6BCE">
        <w:rPr>
          <w:rFonts w:eastAsia="Times New Roman" w:cs="Times New Roman"/>
          <w:bCs/>
          <w:szCs w:val="24"/>
          <w:shd w:val="clear" w:color="auto" w:fill="FFFFFF"/>
          <w:lang w:val="en" w:eastAsia="pl-PL"/>
        </w:rPr>
        <w:t xml:space="preserve">poverty </w:t>
      </w:r>
      <w:r w:rsidRPr="00AB6BCE">
        <w:rPr>
          <w:rFonts w:eastAsia="Times New Roman" w:cs="Times New Roman"/>
          <w:bCs/>
          <w:szCs w:val="24"/>
          <w:shd w:val="clear" w:color="auto" w:fill="FFFFFF"/>
          <w:lang w:val="en" w:eastAsia="pl-PL"/>
        </w:rPr>
        <w:t xml:space="preserve">rate </w:t>
      </w:r>
      <w:r w:rsidR="00DF2E41" w:rsidRPr="00AB6BCE">
        <w:rPr>
          <w:rFonts w:eastAsia="Times New Roman" w:cs="Times New Roman"/>
          <w:bCs/>
          <w:szCs w:val="24"/>
          <w:shd w:val="clear" w:color="auto" w:fill="FFFFFF"/>
          <w:lang w:val="en" w:eastAsia="pl-PL"/>
        </w:rPr>
        <w:t>was 9.1%. It was therefore almost at the same level as in 2019 (9.0%).</w:t>
      </w:r>
    </w:p>
    <w:p w14:paraId="0EEF3D6E" w14:textId="29A4AC2B" w:rsidR="00DF2E41" w:rsidRPr="00AB6BCE" w:rsidRDefault="00DD0F4D" w:rsidP="00AB6BCE">
      <w:pPr>
        <w:pStyle w:val="Akapitzlist"/>
        <w:numPr>
          <w:ilvl w:val="0"/>
          <w:numId w:val="6"/>
        </w:numPr>
        <w:spacing w:line="259" w:lineRule="auto"/>
        <w:ind w:left="357" w:hanging="357"/>
        <w:rPr>
          <w:rFonts w:eastAsia="Times New Roman" w:cs="Times New Roman"/>
          <w:bCs/>
          <w:szCs w:val="24"/>
          <w:shd w:val="clear" w:color="auto" w:fill="FFFFFF"/>
          <w:lang w:val="en-GB" w:eastAsia="pl-PL"/>
        </w:rPr>
      </w:pPr>
      <w:r w:rsidRPr="00AB6BCE">
        <w:rPr>
          <w:rFonts w:eastAsia="Times New Roman" w:cs="Times New Roman"/>
          <w:bCs/>
          <w:szCs w:val="24"/>
          <w:shd w:val="clear" w:color="auto" w:fill="FFFFFF"/>
          <w:lang w:val="en" w:eastAsia="pl-PL"/>
        </w:rPr>
        <w:t xml:space="preserve">The application of the relative poverty threshold at the level of 50% of monthly </w:t>
      </w:r>
      <w:r w:rsidR="00C050DD">
        <w:rPr>
          <w:rFonts w:eastAsia="Times New Roman" w:cs="Times New Roman"/>
          <w:bCs/>
          <w:szCs w:val="24"/>
          <w:shd w:val="clear" w:color="auto" w:fill="FFFFFF"/>
          <w:lang w:val="en" w:eastAsia="pl-PL"/>
        </w:rPr>
        <w:t>m</w:t>
      </w:r>
      <w:r w:rsidR="004A70C7">
        <w:rPr>
          <w:rFonts w:eastAsia="Times New Roman" w:cs="Times New Roman"/>
          <w:bCs/>
          <w:szCs w:val="24"/>
          <w:shd w:val="clear" w:color="auto" w:fill="FFFFFF"/>
          <w:lang w:val="en" w:eastAsia="pl-PL"/>
        </w:rPr>
        <w:t>ean</w:t>
      </w:r>
      <w:r w:rsidRPr="00AB6BCE">
        <w:rPr>
          <w:rFonts w:eastAsia="Times New Roman" w:cs="Times New Roman"/>
          <w:bCs/>
          <w:szCs w:val="24"/>
          <w:shd w:val="clear" w:color="auto" w:fill="FFFFFF"/>
          <w:lang w:val="en" w:eastAsia="pl-PL"/>
        </w:rPr>
        <w:t xml:space="preserve"> household expenditure in Poland</w:t>
      </w:r>
      <w:r w:rsidR="00FD53BB">
        <w:rPr>
          <w:rStyle w:val="Odwoanieprzypisudolnego"/>
          <w:rFonts w:eastAsia="Times New Roman" w:cs="Times New Roman"/>
          <w:bCs/>
          <w:szCs w:val="24"/>
          <w:shd w:val="clear" w:color="auto" w:fill="FFFFFF"/>
          <w:lang w:val="en" w:eastAsia="pl-PL"/>
        </w:rPr>
        <w:footnoteReference w:id="3"/>
      </w:r>
      <w:r w:rsidRPr="00AB6BCE">
        <w:rPr>
          <w:rFonts w:eastAsia="Times New Roman" w:cs="Times New Roman"/>
          <w:bCs/>
          <w:szCs w:val="24"/>
          <w:shd w:val="clear" w:color="auto" w:fill="FFFFFF"/>
          <w:lang w:val="en" w:eastAsia="pl-PL"/>
        </w:rPr>
        <w:t xml:space="preserve"> makes it possible to distinguish those households and people whose consumption level significantly differs from the average level.</w:t>
      </w:r>
      <w:r w:rsidR="00DF2E41" w:rsidRPr="00AB6BCE">
        <w:rPr>
          <w:rFonts w:eastAsia="Times New Roman" w:cs="Times New Roman"/>
          <w:bCs/>
          <w:szCs w:val="24"/>
          <w:shd w:val="clear" w:color="auto" w:fill="FFFFFF"/>
          <w:lang w:val="en" w:eastAsia="pl-PL"/>
        </w:rPr>
        <w:t xml:space="preserve"> According to these criteria, in 2020 the </w:t>
      </w:r>
      <w:r w:rsidRPr="00AB6BCE">
        <w:rPr>
          <w:rFonts w:eastAsia="Times New Roman" w:cs="Times New Roman"/>
          <w:bCs/>
          <w:szCs w:val="24"/>
          <w:shd w:val="clear" w:color="auto" w:fill="FFFFFF"/>
          <w:lang w:val="en" w:eastAsia="pl-PL"/>
        </w:rPr>
        <w:t>r</w:t>
      </w:r>
      <w:r w:rsidR="00DF2E41" w:rsidRPr="00AB6BCE">
        <w:rPr>
          <w:rFonts w:eastAsia="Times New Roman" w:cs="Times New Roman"/>
          <w:bCs/>
          <w:szCs w:val="24"/>
          <w:shd w:val="clear" w:color="auto" w:fill="FFFFFF"/>
          <w:lang w:val="en" w:eastAsia="pl-PL"/>
        </w:rPr>
        <w:t xml:space="preserve">elative poverty </w:t>
      </w:r>
      <w:r w:rsidRPr="00AB6BCE">
        <w:rPr>
          <w:rFonts w:eastAsia="Times New Roman" w:cs="Times New Roman"/>
          <w:bCs/>
          <w:szCs w:val="24"/>
          <w:shd w:val="clear" w:color="auto" w:fill="FFFFFF"/>
          <w:lang w:val="en" w:eastAsia="pl-PL"/>
        </w:rPr>
        <w:t xml:space="preserve">rate </w:t>
      </w:r>
      <w:r w:rsidR="00DF2E41" w:rsidRPr="00AB6BCE">
        <w:rPr>
          <w:rFonts w:eastAsia="Times New Roman" w:cs="Times New Roman"/>
          <w:bCs/>
          <w:szCs w:val="24"/>
          <w:shd w:val="clear" w:color="auto" w:fill="FFFFFF"/>
          <w:lang w:val="en" w:eastAsia="pl-PL"/>
        </w:rPr>
        <w:t>was 11.8%, i.e. by over 1 p</w:t>
      </w:r>
      <w:r w:rsidRPr="00AB6BCE">
        <w:rPr>
          <w:rFonts w:eastAsia="Times New Roman" w:cs="Times New Roman"/>
          <w:bCs/>
          <w:szCs w:val="24"/>
          <w:shd w:val="clear" w:color="auto" w:fill="FFFFFF"/>
          <w:lang w:val="en" w:eastAsia="pl-PL"/>
        </w:rPr>
        <w:t>.p.</w:t>
      </w:r>
      <w:r w:rsidR="00DF2E41" w:rsidRPr="00AB6BCE">
        <w:rPr>
          <w:rFonts w:eastAsia="Times New Roman" w:cs="Times New Roman"/>
          <w:bCs/>
          <w:szCs w:val="24"/>
          <w:shd w:val="clear" w:color="auto" w:fill="FFFFFF"/>
          <w:lang w:val="en" w:eastAsia="pl-PL"/>
        </w:rPr>
        <w:t xml:space="preserve"> less than in the previous year (13.0%).</w:t>
      </w:r>
    </w:p>
    <w:p w14:paraId="0B145E49" w14:textId="01A29CE8" w:rsidR="00DF2E41" w:rsidRDefault="000B49B4" w:rsidP="007E07F3">
      <w:pPr>
        <w:spacing w:line="259" w:lineRule="auto"/>
        <w:jc w:val="both"/>
        <w:rPr>
          <w:rFonts w:eastAsia="Times New Roman" w:cs="Times New Roman"/>
          <w:bCs/>
          <w:szCs w:val="24"/>
          <w:shd w:val="clear" w:color="auto" w:fill="FFFFFF"/>
          <w:lang w:val="en" w:eastAsia="pl-PL"/>
        </w:rPr>
      </w:pPr>
      <w:r w:rsidRPr="000B49B4">
        <w:rPr>
          <w:rFonts w:eastAsia="Times New Roman" w:cs="Times New Roman"/>
          <w:bCs/>
          <w:szCs w:val="24"/>
          <w:shd w:val="clear" w:color="auto" w:fill="FFFFFF"/>
          <w:lang w:val="en" w:eastAsia="pl-PL"/>
        </w:rPr>
        <w:t>The one-point increase in the percentage of extremely poor people in 2020 took place at a</w:t>
      </w:r>
      <w:r w:rsidR="004D25F7">
        <w:rPr>
          <w:rFonts w:eastAsia="Times New Roman" w:cs="Times New Roman"/>
          <w:bCs/>
          <w:szCs w:val="24"/>
          <w:shd w:val="clear" w:color="auto" w:fill="FFFFFF"/>
          <w:lang w:val="en" w:eastAsia="pl-PL"/>
        </w:rPr>
        <w:t> </w:t>
      </w:r>
      <w:r w:rsidRPr="000B49B4">
        <w:rPr>
          <w:rFonts w:eastAsia="Times New Roman" w:cs="Times New Roman"/>
          <w:bCs/>
          <w:szCs w:val="24"/>
          <w:shd w:val="clear" w:color="auto" w:fill="FFFFFF"/>
          <w:lang w:val="en" w:eastAsia="pl-PL"/>
        </w:rPr>
        <w:t xml:space="preserve">slightly higher level of poverty lines than in 2019. In the case of </w:t>
      </w:r>
      <w:r w:rsidR="00EA212A">
        <w:rPr>
          <w:rFonts w:eastAsia="Times New Roman" w:cs="Times New Roman"/>
          <w:bCs/>
          <w:szCs w:val="24"/>
          <w:shd w:val="clear" w:color="auto" w:fill="FFFFFF"/>
          <w:lang w:val="en" w:eastAsia="pl-PL"/>
        </w:rPr>
        <w:t>legal</w:t>
      </w:r>
      <w:r w:rsidRPr="000B49B4">
        <w:rPr>
          <w:rFonts w:eastAsia="Times New Roman" w:cs="Times New Roman"/>
          <w:bCs/>
          <w:szCs w:val="24"/>
          <w:shd w:val="clear" w:color="auto" w:fill="FFFFFF"/>
          <w:lang w:val="en" w:eastAsia="pl-PL"/>
        </w:rPr>
        <w:t xml:space="preserve"> poverty, the level of </w:t>
      </w:r>
      <w:r w:rsidR="00EA212A">
        <w:rPr>
          <w:rFonts w:eastAsia="Times New Roman" w:cs="Times New Roman"/>
          <w:bCs/>
          <w:szCs w:val="24"/>
          <w:shd w:val="clear" w:color="auto" w:fill="FFFFFF"/>
          <w:lang w:val="en" w:eastAsia="pl-PL"/>
        </w:rPr>
        <w:t xml:space="preserve">thresholds </w:t>
      </w:r>
      <w:r w:rsidRPr="000B49B4">
        <w:rPr>
          <w:rFonts w:eastAsia="Times New Roman" w:cs="Times New Roman"/>
          <w:bCs/>
          <w:szCs w:val="24"/>
          <w:shd w:val="clear" w:color="auto" w:fill="FFFFFF"/>
          <w:lang w:val="en" w:eastAsia="pl-PL"/>
        </w:rPr>
        <w:t xml:space="preserve">in 2020 was the same as in 2019, while in 2020 </w:t>
      </w:r>
      <w:r w:rsidR="00EA212A">
        <w:rPr>
          <w:rFonts w:eastAsia="Times New Roman" w:cs="Times New Roman"/>
          <w:bCs/>
          <w:szCs w:val="24"/>
          <w:shd w:val="clear" w:color="auto" w:fill="FFFFFF"/>
          <w:lang w:val="en" w:eastAsia="pl-PL"/>
        </w:rPr>
        <w:t>a</w:t>
      </w:r>
      <w:r w:rsidRPr="000B49B4">
        <w:rPr>
          <w:rFonts w:eastAsia="Times New Roman" w:cs="Times New Roman"/>
          <w:bCs/>
          <w:szCs w:val="24"/>
          <w:shd w:val="clear" w:color="auto" w:fill="FFFFFF"/>
          <w:lang w:val="en" w:eastAsia="pl-PL"/>
        </w:rPr>
        <w:t xml:space="preserve"> decrease in relative poverty took place at a lower level of poverty thresholds than in 2019.</w:t>
      </w:r>
    </w:p>
    <w:p w14:paraId="1EAE391A" w14:textId="3A5D6F9B" w:rsidR="005F67DB" w:rsidRDefault="005F67DB" w:rsidP="005F67DB">
      <w:pPr>
        <w:keepNext/>
        <w:spacing w:after="0" w:line="240" w:lineRule="auto"/>
        <w:rPr>
          <w:b/>
          <w:bCs/>
          <w:color w:val="000000"/>
          <w:sz w:val="18"/>
          <w:szCs w:val="18"/>
          <w:lang w:val="en-GB" w:eastAsia="pl-PL"/>
        </w:rPr>
      </w:pPr>
    </w:p>
    <w:p w14:paraId="3A101A7D" w14:textId="1CD1600E" w:rsidR="005F67DB" w:rsidRPr="005F67DB" w:rsidRDefault="005F67DB" w:rsidP="005F67DB">
      <w:pPr>
        <w:keepNext/>
        <w:spacing w:after="0" w:line="240" w:lineRule="auto"/>
        <w:rPr>
          <w:noProof/>
          <w:sz w:val="18"/>
          <w:szCs w:val="18"/>
          <w:lang w:val="en-GB" w:eastAsia="pl-PL"/>
        </w:rPr>
      </w:pPr>
      <w:r w:rsidRPr="00A70224">
        <w:rPr>
          <w:b/>
          <w:bCs/>
          <w:color w:val="000000"/>
          <w:sz w:val="18"/>
          <w:szCs w:val="18"/>
          <w:lang w:val="en-GB" w:eastAsia="pl-PL"/>
        </w:rPr>
        <w:t xml:space="preserve">Chart 1. </w:t>
      </w:r>
      <w:r w:rsidRPr="0071139E">
        <w:rPr>
          <w:b/>
          <w:bCs/>
          <w:color w:val="000000"/>
          <w:sz w:val="18"/>
          <w:szCs w:val="18"/>
          <w:lang w:val="en-GB" w:eastAsia="pl-PL"/>
        </w:rPr>
        <w:t xml:space="preserve">Poverty </w:t>
      </w:r>
      <w:proofErr w:type="spellStart"/>
      <w:r w:rsidRPr="0071139E">
        <w:rPr>
          <w:b/>
          <w:bCs/>
          <w:color w:val="000000"/>
          <w:sz w:val="18"/>
          <w:szCs w:val="18"/>
          <w:lang w:val="en-GB" w:eastAsia="pl-PL"/>
        </w:rPr>
        <w:t>thresholds</w:t>
      </w:r>
      <w:r w:rsidRPr="0071139E">
        <w:rPr>
          <w:b/>
          <w:bCs/>
          <w:color w:val="000000"/>
          <w:sz w:val="18"/>
          <w:szCs w:val="18"/>
          <w:vertAlign w:val="superscript"/>
          <w:lang w:val="en-GB" w:eastAsia="pl-PL"/>
        </w:rPr>
        <w:t>a</w:t>
      </w:r>
      <w:proofErr w:type="spellEnd"/>
      <w:r w:rsidRPr="0071139E">
        <w:rPr>
          <w:b/>
          <w:bCs/>
          <w:color w:val="000000"/>
          <w:sz w:val="18"/>
          <w:szCs w:val="18"/>
          <w:lang w:val="en-GB" w:eastAsia="pl-PL"/>
        </w:rPr>
        <w:t xml:space="preserve"> for selected types of households in the ye</w:t>
      </w:r>
      <w:r>
        <w:rPr>
          <w:b/>
          <w:bCs/>
          <w:color w:val="000000"/>
          <w:sz w:val="18"/>
          <w:szCs w:val="18"/>
          <w:lang w:val="en-GB" w:eastAsia="pl-PL"/>
        </w:rPr>
        <w:t xml:space="preserve">ars </w:t>
      </w:r>
      <w:r w:rsidRPr="0071139E">
        <w:rPr>
          <w:b/>
          <w:bCs/>
          <w:color w:val="000000"/>
          <w:sz w:val="18"/>
          <w:szCs w:val="18"/>
          <w:lang w:val="en-GB" w:eastAsia="pl-PL"/>
        </w:rPr>
        <w:t>2019-2020</w:t>
      </w:r>
    </w:p>
    <w:p w14:paraId="7A5610B5" w14:textId="2D8F52FE" w:rsidR="005F67DB" w:rsidRDefault="00940A6C" w:rsidP="007E07F3">
      <w:pPr>
        <w:spacing w:line="259" w:lineRule="auto"/>
        <w:jc w:val="both"/>
        <w:rPr>
          <w:rFonts w:eastAsia="Times New Roman" w:cs="Times New Roman"/>
          <w:bCs/>
          <w:szCs w:val="24"/>
          <w:shd w:val="clear" w:color="auto" w:fill="FFFFFF"/>
          <w:lang w:eastAsia="pl-PL"/>
        </w:rPr>
      </w:pPr>
      <w:r w:rsidRPr="00562479">
        <w:rPr>
          <w:noProof/>
          <w:color w:val="001D77"/>
          <w:szCs w:val="19"/>
          <w:lang w:eastAsia="pl-PL"/>
        </w:rPr>
        <mc:AlternateContent>
          <mc:Choice Requires="wps">
            <w:drawing>
              <wp:anchor distT="45720" distB="45720" distL="114300" distR="114300" simplePos="0" relativeHeight="251843584" behindDoc="0" locked="0" layoutInCell="1" allowOverlap="1" wp14:anchorId="2376F087" wp14:editId="7D689535">
                <wp:simplePos x="0" y="0"/>
                <wp:positionH relativeFrom="margin">
                  <wp:posOffset>5287575</wp:posOffset>
                </wp:positionH>
                <wp:positionV relativeFrom="paragraph">
                  <wp:posOffset>161066</wp:posOffset>
                </wp:positionV>
                <wp:extent cx="1524000" cy="1670050"/>
                <wp:effectExtent l="0" t="0" r="0" b="6350"/>
                <wp:wrapNone/>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670050"/>
                        </a:xfrm>
                        <a:prstGeom prst="rect">
                          <a:avLst/>
                        </a:prstGeom>
                        <a:noFill/>
                        <a:ln w="9525">
                          <a:noFill/>
                          <a:miter lim="800000"/>
                          <a:headEnd/>
                          <a:tailEnd/>
                        </a:ln>
                      </wps:spPr>
                      <wps:txbx>
                        <w:txbxContent>
                          <w:p w14:paraId="7106F8EC" w14:textId="77777777" w:rsidR="00562479" w:rsidRPr="00353928" w:rsidRDefault="00562479" w:rsidP="00562479">
                            <w:pPr>
                              <w:suppressAutoHyphens/>
                              <w:rPr>
                                <w:color w:val="001D77"/>
                                <w:sz w:val="18"/>
                                <w:lang w:val="en-GB"/>
                              </w:rPr>
                            </w:pPr>
                            <w:r w:rsidRPr="00562479">
                              <w:rPr>
                                <w:color w:val="001D77"/>
                                <w:sz w:val="18"/>
                                <w:lang w:val="en-GB"/>
                              </w:rPr>
                              <w:t xml:space="preserve">In 2020, the level of the extreme poverty threshold increased, the level of the relative poverty line decreased, while the level of the </w:t>
                            </w:r>
                            <w:r>
                              <w:rPr>
                                <w:color w:val="001D77"/>
                                <w:sz w:val="18"/>
                                <w:lang w:val="en-GB"/>
                              </w:rPr>
                              <w:t>legal</w:t>
                            </w:r>
                            <w:r w:rsidRPr="00562479">
                              <w:rPr>
                                <w:color w:val="001D77"/>
                                <w:sz w:val="18"/>
                                <w:lang w:val="en-GB"/>
                              </w:rPr>
                              <w:t xml:space="preserve"> poverty line did not change compared to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6F087" id="_x0000_t202" coordsize="21600,21600" o:spt="202" path="m,l,21600r21600,l21600,xe">
                <v:stroke joinstyle="miter"/>
                <v:path gradientshapeok="t" o:connecttype="rect"/>
              </v:shapetype>
              <v:shape id="_x0000_s1030" type="#_x0000_t202" style="position:absolute;left:0;text-align:left;margin-left:416.35pt;margin-top:12.7pt;width:120pt;height:131.5pt;z-index:25184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" filled="f" stroked="f">
                <v:textbox>
                  <w:txbxContent>
                    <w:p w14:paraId="7106F8EC" w14:textId="77777777" w:rsidR="00562479" w:rsidRPr="00353928" w:rsidRDefault="00562479" w:rsidP="00562479">
                      <w:pPr>
                        <w:suppressAutoHyphens/>
                        <w:rPr>
                          <w:color w:val="001D77"/>
                          <w:sz w:val="18"/>
                          <w:lang w:val="en-GB"/>
                        </w:rPr>
                      </w:pPr>
                      <w:r w:rsidRPr="00562479">
                        <w:rPr>
                          <w:color w:val="001D77"/>
                          <w:sz w:val="18"/>
                          <w:lang w:val="en-GB"/>
                        </w:rPr>
                        <w:t xml:space="preserve">In 2020, the level of the extreme poverty threshold increased, the level of the relative poverty line decreased, while the level of the </w:t>
                      </w:r>
                      <w:r>
                        <w:rPr>
                          <w:color w:val="001D77"/>
                          <w:sz w:val="18"/>
                          <w:lang w:val="en-GB"/>
                        </w:rPr>
                        <w:t>legal</w:t>
                      </w:r>
                      <w:r w:rsidRPr="00562479">
                        <w:rPr>
                          <w:color w:val="001D77"/>
                          <w:sz w:val="18"/>
                          <w:lang w:val="en-GB"/>
                        </w:rPr>
                        <w:t xml:space="preserve"> poverty line did not change compared to 2019.</w:t>
                      </w:r>
                    </w:p>
                  </w:txbxContent>
                </v:textbox>
                <w10:wrap anchorx="margin"/>
              </v:shape>
            </w:pict>
          </mc:Fallback>
        </mc:AlternateContent>
      </w:r>
      <w:r w:rsidR="005F67DB">
        <w:rPr>
          <w:noProof/>
          <w:lang w:eastAsia="pl-PL"/>
        </w:rPr>
        <w:drawing>
          <wp:inline distT="0" distB="0" distL="0" distR="0" wp14:anchorId="71780572" wp14:editId="2475E319">
            <wp:extent cx="5040000" cy="3219450"/>
            <wp:effectExtent l="0" t="0" r="8255"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F405F3" w14:textId="77777777" w:rsidR="005F67DB" w:rsidRPr="000E01EC" w:rsidRDefault="005F67DB" w:rsidP="005F67DB">
      <w:pPr>
        <w:spacing w:before="0" w:line="240" w:lineRule="auto"/>
        <w:rPr>
          <w:noProof/>
          <w:sz w:val="18"/>
          <w:szCs w:val="18"/>
          <w:lang w:val="en-GB" w:eastAsia="pl-PL"/>
        </w:rPr>
      </w:pPr>
      <w:proofErr w:type="spellStart"/>
      <w:r w:rsidRPr="00193EC1">
        <w:rPr>
          <w:rFonts w:eastAsia="Calibri" w:cs="Arial"/>
          <w:sz w:val="16"/>
          <w:szCs w:val="16"/>
          <w:vertAlign w:val="superscript"/>
          <w:lang w:val="en-GB" w:eastAsia="pl-PL"/>
        </w:rPr>
        <w:t>a</w:t>
      </w:r>
      <w:proofErr w:type="spellEnd"/>
      <w:r w:rsidRPr="00193EC1">
        <w:rPr>
          <w:rFonts w:eastAsia="Calibri" w:cs="Times New Roman"/>
          <w:sz w:val="16"/>
          <w:szCs w:val="16"/>
          <w:lang w:val="en-GB" w:eastAsia="pl-PL"/>
        </w:rPr>
        <w:t xml:space="preserve"> O</w:t>
      </w:r>
      <w:r w:rsidRPr="00B7382C">
        <w:rPr>
          <w:rFonts w:eastAsia="Calibri" w:cs="Times New Roman"/>
          <w:sz w:val="16"/>
          <w:szCs w:val="16"/>
          <w:lang w:val="en-GB" w:eastAsia="pl-PL"/>
        </w:rPr>
        <w:t>n average per month in the 4</w:t>
      </w:r>
      <w:r w:rsidRPr="00B7382C">
        <w:rPr>
          <w:rFonts w:eastAsia="Calibri" w:cs="Times New Roman"/>
          <w:sz w:val="16"/>
          <w:szCs w:val="16"/>
          <w:vertAlign w:val="superscript"/>
          <w:lang w:val="en-GB" w:eastAsia="pl-PL"/>
        </w:rPr>
        <w:t>th</w:t>
      </w:r>
      <w:r w:rsidRPr="00B7382C">
        <w:rPr>
          <w:rFonts w:eastAsia="Calibri" w:cs="Times New Roman"/>
          <w:sz w:val="16"/>
          <w:szCs w:val="16"/>
          <w:lang w:val="en-GB" w:eastAsia="pl-PL"/>
        </w:rPr>
        <w:t xml:space="preserve"> quarter</w:t>
      </w:r>
    </w:p>
    <w:p w14:paraId="0B973D4E" w14:textId="77777777" w:rsidR="005F67DB" w:rsidRPr="005F67DB" w:rsidRDefault="005F67DB" w:rsidP="007E07F3">
      <w:pPr>
        <w:spacing w:line="259" w:lineRule="auto"/>
        <w:jc w:val="both"/>
        <w:rPr>
          <w:rFonts w:eastAsia="Times New Roman" w:cs="Times New Roman"/>
          <w:bCs/>
          <w:szCs w:val="24"/>
          <w:shd w:val="clear" w:color="auto" w:fill="FFFFFF"/>
          <w:lang w:val="en-GB" w:eastAsia="pl-PL"/>
        </w:rPr>
      </w:pPr>
    </w:p>
    <w:p w14:paraId="2771C846" w14:textId="4D59DD9A" w:rsidR="007E07F3" w:rsidRDefault="007E07F3" w:rsidP="00090DCC">
      <w:pPr>
        <w:spacing w:line="259" w:lineRule="auto"/>
        <w:rPr>
          <w:rFonts w:eastAsia="Times New Roman" w:cs="Times New Roman"/>
          <w:bCs/>
          <w:szCs w:val="24"/>
          <w:shd w:val="clear" w:color="auto" w:fill="FFFFFF"/>
          <w:lang w:val="en" w:eastAsia="pl-PL"/>
        </w:rPr>
      </w:pPr>
      <w:r w:rsidRPr="007E07F3">
        <w:rPr>
          <w:rFonts w:eastAsia="Times New Roman" w:cs="Times New Roman"/>
          <w:bCs/>
          <w:szCs w:val="24"/>
          <w:shd w:val="clear" w:color="auto" w:fill="FFFFFF"/>
          <w:lang w:val="en" w:eastAsia="pl-PL"/>
        </w:rPr>
        <w:t xml:space="preserve">The increase in the extreme poverty </w:t>
      </w:r>
      <w:r>
        <w:rPr>
          <w:rFonts w:eastAsia="Times New Roman" w:cs="Times New Roman"/>
          <w:bCs/>
          <w:szCs w:val="24"/>
          <w:shd w:val="clear" w:color="auto" w:fill="FFFFFF"/>
          <w:lang w:val="en" w:eastAsia="pl-PL"/>
        </w:rPr>
        <w:t xml:space="preserve">rate </w:t>
      </w:r>
      <w:r w:rsidRPr="007E07F3">
        <w:rPr>
          <w:rFonts w:eastAsia="Times New Roman" w:cs="Times New Roman"/>
          <w:bCs/>
          <w:szCs w:val="24"/>
          <w:shd w:val="clear" w:color="auto" w:fill="FFFFFF"/>
          <w:lang w:val="en" w:eastAsia="pl-PL"/>
        </w:rPr>
        <w:t>observed in 2020 took place in a situation of slightly greater than in 2019 differentiation of the income situation and a lower (both in nominal and real terms</w:t>
      </w:r>
      <w:r w:rsidR="00F13B07">
        <w:rPr>
          <w:rStyle w:val="Odwoanieprzypisudolnego"/>
          <w:rFonts w:eastAsia="Times New Roman" w:cs="Times New Roman"/>
          <w:bCs/>
          <w:szCs w:val="24"/>
          <w:shd w:val="clear" w:color="auto" w:fill="FFFFFF"/>
          <w:lang w:eastAsia="pl-PL"/>
        </w:rPr>
        <w:footnoteReference w:id="4"/>
      </w:r>
      <w:r w:rsidRPr="007E07F3">
        <w:rPr>
          <w:rFonts w:eastAsia="Times New Roman" w:cs="Times New Roman"/>
          <w:bCs/>
          <w:szCs w:val="24"/>
          <w:shd w:val="clear" w:color="auto" w:fill="FFFFFF"/>
          <w:lang w:val="en" w:eastAsia="pl-PL"/>
        </w:rPr>
        <w:t>) level of household expenditure</w:t>
      </w:r>
      <w:r w:rsidR="00F13B07" w:rsidRPr="00003646">
        <w:rPr>
          <w:rFonts w:eastAsia="Times New Roman" w:cs="Times New Roman"/>
          <w:bCs/>
          <w:szCs w:val="24"/>
          <w:shd w:val="clear" w:color="auto" w:fill="FFFFFF"/>
          <w:vertAlign w:val="superscript"/>
          <w:lang w:eastAsia="pl-PL"/>
        </w:rPr>
        <w:footnoteReference w:id="5"/>
      </w:r>
      <w:r w:rsidRPr="007E07F3">
        <w:rPr>
          <w:rFonts w:eastAsia="Times New Roman" w:cs="Times New Roman"/>
          <w:bCs/>
          <w:szCs w:val="24"/>
          <w:shd w:val="clear" w:color="auto" w:fill="FFFFFF"/>
          <w:lang w:val="en" w:eastAsia="pl-PL"/>
        </w:rPr>
        <w:t xml:space="preserve">, which is also reflected in the macroeconomic </w:t>
      </w:r>
      <w:r w:rsidR="00413F3D">
        <w:rPr>
          <w:rFonts w:eastAsia="Times New Roman" w:cs="Times New Roman"/>
          <w:bCs/>
          <w:szCs w:val="24"/>
          <w:shd w:val="clear" w:color="auto" w:fill="FFFFFF"/>
          <w:lang w:val="en" w:eastAsia="pl-PL"/>
        </w:rPr>
        <w:t xml:space="preserve">indices of </w:t>
      </w:r>
      <w:r w:rsidRPr="007E07F3">
        <w:rPr>
          <w:rFonts w:eastAsia="Times New Roman" w:cs="Times New Roman"/>
          <w:bCs/>
          <w:szCs w:val="24"/>
          <w:shd w:val="clear" w:color="auto" w:fill="FFFFFF"/>
          <w:lang w:val="en" w:eastAsia="pl-PL"/>
        </w:rPr>
        <w:t>consumption in the household sector</w:t>
      </w:r>
      <w:r w:rsidR="0096007D" w:rsidRPr="00F13B07">
        <w:rPr>
          <w:rFonts w:eastAsia="Times New Roman" w:cs="Times New Roman"/>
          <w:bCs/>
          <w:szCs w:val="24"/>
          <w:shd w:val="clear" w:color="auto" w:fill="FFFFFF"/>
          <w:vertAlign w:val="superscript"/>
          <w:lang w:eastAsia="pl-PL"/>
        </w:rPr>
        <w:footnoteReference w:id="6"/>
      </w:r>
      <w:r w:rsidR="0096007D" w:rsidRPr="007E07F3">
        <w:rPr>
          <w:rFonts w:eastAsia="Times New Roman" w:cs="Times New Roman"/>
          <w:bCs/>
          <w:szCs w:val="24"/>
          <w:shd w:val="clear" w:color="auto" w:fill="FFFFFF"/>
          <w:lang w:val="en" w:eastAsia="pl-PL"/>
        </w:rPr>
        <w:t>.</w:t>
      </w:r>
      <w:r w:rsidR="000C0C94">
        <w:rPr>
          <w:rFonts w:eastAsia="Times New Roman" w:cs="Times New Roman"/>
          <w:bCs/>
          <w:szCs w:val="24"/>
          <w:shd w:val="clear" w:color="auto" w:fill="FFFFFF"/>
          <w:lang w:val="en" w:eastAsia="pl-PL"/>
        </w:rPr>
        <w:t xml:space="preserve"> </w:t>
      </w:r>
      <w:r w:rsidRPr="007E07F3">
        <w:rPr>
          <w:rFonts w:eastAsia="Times New Roman" w:cs="Times New Roman"/>
          <w:bCs/>
          <w:szCs w:val="24"/>
          <w:shd w:val="clear" w:color="auto" w:fill="FFFFFF"/>
          <w:lang w:val="en" w:eastAsia="pl-PL"/>
        </w:rPr>
        <w:t xml:space="preserve">Both in the case of an increase in extreme poverty and a decrease in consumption in the household sector, the worst situation was recorded in </w:t>
      </w:r>
      <w:r w:rsidR="004B76D7">
        <w:rPr>
          <w:rFonts w:eastAsia="Times New Roman" w:cs="Times New Roman"/>
          <w:bCs/>
          <w:szCs w:val="24"/>
          <w:shd w:val="clear" w:color="auto" w:fill="FFFFFF"/>
          <w:lang w:val="en" w:eastAsia="pl-PL"/>
        </w:rPr>
        <w:t>the 2</w:t>
      </w:r>
      <w:r w:rsidR="004B76D7" w:rsidRPr="004B76D7">
        <w:rPr>
          <w:rFonts w:eastAsia="Times New Roman" w:cs="Times New Roman"/>
          <w:bCs/>
          <w:szCs w:val="24"/>
          <w:shd w:val="clear" w:color="auto" w:fill="FFFFFF"/>
          <w:lang w:val="en" w:eastAsia="pl-PL"/>
        </w:rPr>
        <w:t>nd</w:t>
      </w:r>
      <w:r w:rsidR="004B76D7">
        <w:rPr>
          <w:rFonts w:eastAsia="Times New Roman" w:cs="Times New Roman"/>
          <w:bCs/>
          <w:szCs w:val="24"/>
          <w:shd w:val="clear" w:color="auto" w:fill="FFFFFF"/>
          <w:lang w:val="en" w:eastAsia="pl-PL"/>
        </w:rPr>
        <w:t xml:space="preserve"> quarter</w:t>
      </w:r>
      <w:r w:rsidRPr="007E07F3">
        <w:rPr>
          <w:rFonts w:eastAsia="Times New Roman" w:cs="Times New Roman"/>
          <w:bCs/>
          <w:szCs w:val="24"/>
          <w:shd w:val="clear" w:color="auto" w:fill="FFFFFF"/>
          <w:lang w:val="en" w:eastAsia="pl-PL"/>
        </w:rPr>
        <w:t xml:space="preserve">, which is related to the introduction </w:t>
      </w:r>
      <w:r w:rsidR="000C0C94">
        <w:rPr>
          <w:rFonts w:eastAsia="Times New Roman" w:cs="Times New Roman"/>
          <w:bCs/>
          <w:szCs w:val="24"/>
          <w:shd w:val="clear" w:color="auto" w:fill="FFFFFF"/>
          <w:lang w:val="en" w:eastAsia="pl-PL"/>
        </w:rPr>
        <w:t>since</w:t>
      </w:r>
      <w:r w:rsidRPr="007E07F3">
        <w:rPr>
          <w:rFonts w:eastAsia="Times New Roman" w:cs="Times New Roman"/>
          <w:bCs/>
          <w:szCs w:val="24"/>
          <w:shd w:val="clear" w:color="auto" w:fill="FFFFFF"/>
          <w:lang w:val="en" w:eastAsia="pl-PL"/>
        </w:rPr>
        <w:t xml:space="preserve"> March 2020 of freezing a significant part of the economy and restrictions in social contacts in response to the emergence of coronavirus in Poland</w:t>
      </w:r>
      <w:r w:rsidR="00CC3DF5">
        <w:rPr>
          <w:rFonts w:eastAsia="Times New Roman" w:cs="Times New Roman"/>
          <w:bCs/>
          <w:szCs w:val="24"/>
          <w:shd w:val="clear" w:color="auto" w:fill="FFFFFF"/>
          <w:lang w:val="en" w:eastAsia="pl-PL"/>
        </w:rPr>
        <w:t xml:space="preserve"> and outbreak </w:t>
      </w:r>
      <w:r w:rsidR="005E3B5E">
        <w:rPr>
          <w:rFonts w:eastAsia="Times New Roman" w:cs="Times New Roman"/>
          <w:bCs/>
          <w:szCs w:val="24"/>
          <w:shd w:val="clear" w:color="auto" w:fill="FFFFFF"/>
          <w:lang w:val="en" w:eastAsia="pl-PL"/>
        </w:rPr>
        <w:t>of COVID-19 pandemic</w:t>
      </w:r>
      <w:r w:rsidRPr="007E07F3">
        <w:rPr>
          <w:rFonts w:eastAsia="Times New Roman" w:cs="Times New Roman"/>
          <w:bCs/>
          <w:szCs w:val="24"/>
          <w:shd w:val="clear" w:color="auto" w:fill="FFFFFF"/>
          <w:lang w:val="en" w:eastAsia="pl-PL"/>
        </w:rPr>
        <w:t>.</w:t>
      </w:r>
    </w:p>
    <w:p w14:paraId="531CF048" w14:textId="7FB0F2CB" w:rsidR="00BE2A80" w:rsidRDefault="00BE2A80" w:rsidP="00090DCC">
      <w:pPr>
        <w:spacing w:line="259" w:lineRule="auto"/>
        <w:rPr>
          <w:rFonts w:eastAsia="Times New Roman" w:cs="Times New Roman"/>
          <w:bCs/>
          <w:szCs w:val="24"/>
          <w:shd w:val="clear" w:color="auto" w:fill="FFFFFF"/>
          <w:lang w:val="en-GB" w:eastAsia="pl-PL"/>
        </w:rPr>
      </w:pPr>
      <w:r w:rsidRPr="00BE2A80">
        <w:rPr>
          <w:rFonts w:eastAsia="Times New Roman" w:cs="Times New Roman"/>
          <w:bCs/>
          <w:szCs w:val="24"/>
          <w:shd w:val="clear" w:color="auto" w:fill="FFFFFF"/>
          <w:lang w:val="en-GB" w:eastAsia="pl-PL"/>
        </w:rPr>
        <w:t xml:space="preserve">A comparison of the data on the </w:t>
      </w:r>
      <w:r w:rsidR="00267ACE">
        <w:rPr>
          <w:rFonts w:eastAsia="Times New Roman" w:cs="Times New Roman"/>
          <w:bCs/>
          <w:szCs w:val="24"/>
          <w:shd w:val="clear" w:color="auto" w:fill="FFFFFF"/>
          <w:lang w:val="en-GB" w:eastAsia="pl-PL"/>
        </w:rPr>
        <w:t>extent</w:t>
      </w:r>
      <w:r w:rsidRPr="00BE2A80">
        <w:rPr>
          <w:rFonts w:eastAsia="Times New Roman" w:cs="Times New Roman"/>
          <w:bCs/>
          <w:szCs w:val="24"/>
          <w:shd w:val="clear" w:color="auto" w:fill="FFFFFF"/>
          <w:lang w:val="en-GB" w:eastAsia="pl-PL"/>
        </w:rPr>
        <w:t xml:space="preserve"> of economic poverty in Poland covering the years 2008-2020 (</w:t>
      </w:r>
      <w:r>
        <w:rPr>
          <w:rFonts w:eastAsia="Times New Roman" w:cs="Times New Roman"/>
          <w:bCs/>
          <w:szCs w:val="24"/>
          <w:shd w:val="clear" w:color="auto" w:fill="FFFFFF"/>
          <w:lang w:val="en-GB" w:eastAsia="pl-PL"/>
        </w:rPr>
        <w:t>Chart 2</w:t>
      </w:r>
      <w:r w:rsidRPr="00BE2A80">
        <w:rPr>
          <w:rFonts w:eastAsia="Times New Roman" w:cs="Times New Roman"/>
          <w:bCs/>
          <w:szCs w:val="24"/>
          <w:shd w:val="clear" w:color="auto" w:fill="FFFFFF"/>
          <w:lang w:val="en-GB" w:eastAsia="pl-PL"/>
        </w:rPr>
        <w:t xml:space="preserve">) shows that for all three types of poverty taken into account, the value of the poverty rates in 2020 was lower than in 2008. </w:t>
      </w:r>
      <w:r>
        <w:rPr>
          <w:rFonts w:eastAsia="Times New Roman" w:cs="Times New Roman"/>
          <w:bCs/>
          <w:szCs w:val="24"/>
          <w:shd w:val="clear" w:color="auto" w:fill="FFFFFF"/>
          <w:lang w:val="en-GB" w:eastAsia="pl-PL"/>
        </w:rPr>
        <w:t xml:space="preserve">In case of the relative poverty it can be said about </w:t>
      </w:r>
      <w:r w:rsidRPr="00BE2A80">
        <w:rPr>
          <w:rFonts w:eastAsia="Times New Roman" w:cs="Times New Roman"/>
          <w:bCs/>
          <w:szCs w:val="24"/>
          <w:shd w:val="clear" w:color="auto" w:fill="FFFFFF"/>
          <w:lang w:val="en-GB" w:eastAsia="pl-PL"/>
        </w:rPr>
        <w:t xml:space="preserve">a systematic decline in the percentage of poor people, while changes in the </w:t>
      </w:r>
      <w:r>
        <w:rPr>
          <w:rFonts w:eastAsia="Times New Roman" w:cs="Times New Roman"/>
          <w:bCs/>
          <w:szCs w:val="24"/>
          <w:shd w:val="clear" w:color="auto" w:fill="FFFFFF"/>
          <w:lang w:val="en-GB" w:eastAsia="pl-PL"/>
        </w:rPr>
        <w:t xml:space="preserve">rates </w:t>
      </w:r>
      <w:r w:rsidRPr="00BE2A80">
        <w:rPr>
          <w:rFonts w:eastAsia="Times New Roman" w:cs="Times New Roman"/>
          <w:bCs/>
          <w:szCs w:val="24"/>
          <w:shd w:val="clear" w:color="auto" w:fill="FFFFFF"/>
          <w:lang w:val="en-GB" w:eastAsia="pl-PL"/>
        </w:rPr>
        <w:t>of extreme poverty</w:t>
      </w:r>
      <w:r>
        <w:rPr>
          <w:rFonts w:eastAsia="Times New Roman" w:cs="Times New Roman"/>
          <w:bCs/>
          <w:szCs w:val="24"/>
          <w:shd w:val="clear" w:color="auto" w:fill="FFFFFF"/>
          <w:lang w:val="en-GB" w:eastAsia="pl-PL"/>
        </w:rPr>
        <w:t xml:space="preserve"> and </w:t>
      </w:r>
      <w:r w:rsidRPr="00BE2A80">
        <w:rPr>
          <w:rFonts w:eastAsia="Times New Roman" w:cs="Times New Roman"/>
          <w:bCs/>
          <w:szCs w:val="24"/>
          <w:shd w:val="clear" w:color="auto" w:fill="FFFFFF"/>
          <w:lang w:val="en-GB" w:eastAsia="pl-PL"/>
        </w:rPr>
        <w:t xml:space="preserve">especially </w:t>
      </w:r>
      <w:r>
        <w:rPr>
          <w:rFonts w:eastAsia="Times New Roman" w:cs="Times New Roman"/>
          <w:bCs/>
          <w:szCs w:val="24"/>
          <w:shd w:val="clear" w:color="auto" w:fill="FFFFFF"/>
          <w:lang w:val="en-GB" w:eastAsia="pl-PL"/>
        </w:rPr>
        <w:t xml:space="preserve">the legal one </w:t>
      </w:r>
      <w:r w:rsidRPr="00BE2A80">
        <w:rPr>
          <w:rFonts w:eastAsia="Times New Roman" w:cs="Times New Roman"/>
          <w:bCs/>
          <w:szCs w:val="24"/>
          <w:shd w:val="clear" w:color="auto" w:fill="FFFFFF"/>
          <w:lang w:val="en-GB" w:eastAsia="pl-PL"/>
        </w:rPr>
        <w:t>were not so clearly targeted and were subject to fluctuations.</w:t>
      </w:r>
    </w:p>
    <w:p w14:paraId="183AE59B" w14:textId="77777777" w:rsidR="00140B4E" w:rsidRPr="00140B4E" w:rsidRDefault="00140B4E" w:rsidP="00090DCC">
      <w:pPr>
        <w:spacing w:line="259" w:lineRule="auto"/>
        <w:rPr>
          <w:rFonts w:eastAsia="Times New Roman" w:cs="Times New Roman"/>
          <w:bCs/>
          <w:szCs w:val="24"/>
          <w:shd w:val="clear" w:color="auto" w:fill="FFFFFF"/>
          <w:lang w:val="en" w:eastAsia="pl-PL"/>
        </w:rPr>
      </w:pPr>
      <w:r w:rsidRPr="00140B4E">
        <w:rPr>
          <w:rFonts w:eastAsia="Times New Roman" w:cs="Times New Roman"/>
          <w:bCs/>
          <w:szCs w:val="24"/>
          <w:shd w:val="clear" w:color="auto" w:fill="FFFFFF"/>
          <w:lang w:val="en" w:eastAsia="pl-PL"/>
        </w:rPr>
        <w:t xml:space="preserve">With the poverty thresholds (limits) adopted in a given year, the relative poverty </w:t>
      </w:r>
      <w:r>
        <w:rPr>
          <w:rFonts w:eastAsia="Times New Roman" w:cs="Times New Roman"/>
          <w:bCs/>
          <w:szCs w:val="24"/>
          <w:shd w:val="clear" w:color="auto" w:fill="FFFFFF"/>
          <w:lang w:val="en" w:eastAsia="pl-PL"/>
        </w:rPr>
        <w:t xml:space="preserve">rate </w:t>
      </w:r>
      <w:r w:rsidRPr="00140B4E">
        <w:rPr>
          <w:rFonts w:eastAsia="Times New Roman" w:cs="Times New Roman"/>
          <w:bCs/>
          <w:szCs w:val="24"/>
          <w:shd w:val="clear" w:color="auto" w:fill="FFFFFF"/>
          <w:lang w:val="en" w:eastAsia="pl-PL"/>
        </w:rPr>
        <w:t>decreased from less than 18% in 2008 to a</w:t>
      </w:r>
      <w:r>
        <w:rPr>
          <w:rFonts w:eastAsia="Times New Roman" w:cs="Times New Roman"/>
          <w:bCs/>
          <w:szCs w:val="24"/>
          <w:shd w:val="clear" w:color="auto" w:fill="FFFFFF"/>
          <w:lang w:val="en" w:eastAsia="pl-PL"/>
        </w:rPr>
        <w:t>bout</w:t>
      </w:r>
      <w:r w:rsidRPr="00140B4E">
        <w:rPr>
          <w:rFonts w:eastAsia="Times New Roman" w:cs="Times New Roman"/>
          <w:bCs/>
          <w:szCs w:val="24"/>
          <w:shd w:val="clear" w:color="auto" w:fill="FFFFFF"/>
          <w:lang w:val="en" w:eastAsia="pl-PL"/>
        </w:rPr>
        <w:t xml:space="preserve"> 12% in 2020.</w:t>
      </w:r>
    </w:p>
    <w:p w14:paraId="268730EB" w14:textId="2E1BFEB6" w:rsidR="00140B4E" w:rsidRPr="00140B4E" w:rsidRDefault="00140B4E" w:rsidP="00090DCC">
      <w:pPr>
        <w:spacing w:line="259" w:lineRule="auto"/>
        <w:rPr>
          <w:rFonts w:eastAsia="Times New Roman" w:cs="Times New Roman"/>
          <w:bCs/>
          <w:szCs w:val="24"/>
          <w:shd w:val="clear" w:color="auto" w:fill="FFFFFF"/>
          <w:lang w:val="en" w:eastAsia="pl-PL"/>
        </w:rPr>
      </w:pPr>
      <w:r w:rsidRPr="00140B4E">
        <w:rPr>
          <w:rFonts w:eastAsia="Times New Roman" w:cs="Times New Roman"/>
          <w:bCs/>
          <w:szCs w:val="24"/>
          <w:shd w:val="clear" w:color="auto" w:fill="FFFFFF"/>
          <w:lang w:val="en" w:eastAsia="pl-PL"/>
        </w:rPr>
        <w:t xml:space="preserve">The </w:t>
      </w:r>
      <w:r>
        <w:rPr>
          <w:rFonts w:eastAsia="Times New Roman" w:cs="Times New Roman"/>
          <w:bCs/>
          <w:szCs w:val="24"/>
          <w:shd w:val="clear" w:color="auto" w:fill="FFFFFF"/>
          <w:lang w:val="en" w:eastAsia="pl-PL"/>
        </w:rPr>
        <w:t>legal p</w:t>
      </w:r>
      <w:r w:rsidRPr="00140B4E">
        <w:rPr>
          <w:rFonts w:eastAsia="Times New Roman" w:cs="Times New Roman"/>
          <w:bCs/>
          <w:szCs w:val="24"/>
          <w:shd w:val="clear" w:color="auto" w:fill="FFFFFF"/>
          <w:lang w:val="en" w:eastAsia="pl-PL"/>
        </w:rPr>
        <w:t>overty rate in 2008 was less than 11%</w:t>
      </w:r>
      <w:r w:rsidR="00291239">
        <w:rPr>
          <w:rFonts w:eastAsia="Times New Roman" w:cs="Times New Roman"/>
          <w:bCs/>
          <w:szCs w:val="24"/>
          <w:shd w:val="clear" w:color="auto" w:fill="FFFFFF"/>
          <w:lang w:val="en" w:eastAsia="pl-PL"/>
        </w:rPr>
        <w:t xml:space="preserve"> however</w:t>
      </w:r>
      <w:r w:rsidRPr="00140B4E">
        <w:rPr>
          <w:rFonts w:eastAsia="Times New Roman" w:cs="Times New Roman"/>
          <w:bCs/>
          <w:szCs w:val="24"/>
          <w:shd w:val="clear" w:color="auto" w:fill="FFFFFF"/>
          <w:lang w:val="en" w:eastAsia="pl-PL"/>
        </w:rPr>
        <w:t xml:space="preserve"> </w:t>
      </w:r>
      <w:r w:rsidR="00291239">
        <w:rPr>
          <w:rFonts w:eastAsia="Times New Roman" w:cs="Times New Roman"/>
          <w:bCs/>
          <w:szCs w:val="24"/>
          <w:shd w:val="clear" w:color="auto" w:fill="FFFFFF"/>
          <w:lang w:val="en" w:eastAsia="pl-PL"/>
        </w:rPr>
        <w:t>i</w:t>
      </w:r>
      <w:r w:rsidRPr="00140B4E">
        <w:rPr>
          <w:rFonts w:eastAsia="Times New Roman" w:cs="Times New Roman"/>
          <w:bCs/>
          <w:szCs w:val="24"/>
          <w:shd w:val="clear" w:color="auto" w:fill="FFFFFF"/>
          <w:lang w:val="en" w:eastAsia="pl-PL"/>
        </w:rPr>
        <w:t xml:space="preserve">n </w:t>
      </w:r>
      <w:r w:rsidR="00291239">
        <w:rPr>
          <w:rFonts w:eastAsia="Times New Roman" w:cs="Times New Roman"/>
          <w:bCs/>
          <w:szCs w:val="24"/>
          <w:shd w:val="clear" w:color="auto" w:fill="FFFFFF"/>
          <w:lang w:val="en" w:eastAsia="pl-PL"/>
        </w:rPr>
        <w:t xml:space="preserve">the years </w:t>
      </w:r>
      <w:r w:rsidRPr="00140B4E">
        <w:rPr>
          <w:rFonts w:eastAsia="Times New Roman" w:cs="Times New Roman"/>
          <w:bCs/>
          <w:szCs w:val="24"/>
          <w:shd w:val="clear" w:color="auto" w:fill="FFFFFF"/>
          <w:lang w:val="en" w:eastAsia="pl-PL"/>
        </w:rPr>
        <w:t>2009-2012</w:t>
      </w:r>
      <w:r w:rsidR="00291239">
        <w:rPr>
          <w:rFonts w:eastAsia="Times New Roman" w:cs="Times New Roman"/>
          <w:bCs/>
          <w:szCs w:val="24"/>
          <w:shd w:val="clear" w:color="auto" w:fill="FFFFFF"/>
          <w:lang w:val="en" w:eastAsia="pl-PL"/>
        </w:rPr>
        <w:t xml:space="preserve"> it </w:t>
      </w:r>
      <w:r w:rsidR="00911874">
        <w:rPr>
          <w:rFonts w:eastAsia="Times New Roman" w:cs="Times New Roman"/>
          <w:bCs/>
          <w:szCs w:val="24"/>
          <w:shd w:val="clear" w:color="auto" w:fill="FFFFFF"/>
          <w:lang w:val="en" w:eastAsia="pl-PL"/>
        </w:rPr>
        <w:t>diminished to the level of ab</w:t>
      </w:r>
      <w:r>
        <w:rPr>
          <w:rFonts w:eastAsia="Times New Roman" w:cs="Times New Roman"/>
          <w:bCs/>
          <w:szCs w:val="24"/>
          <w:shd w:val="clear" w:color="auto" w:fill="FFFFFF"/>
          <w:lang w:val="en" w:eastAsia="pl-PL"/>
        </w:rPr>
        <w:t>out</w:t>
      </w:r>
      <w:r w:rsidRPr="00140B4E">
        <w:rPr>
          <w:rFonts w:eastAsia="Times New Roman" w:cs="Times New Roman"/>
          <w:bCs/>
          <w:szCs w:val="24"/>
          <w:shd w:val="clear" w:color="auto" w:fill="FFFFFF"/>
          <w:lang w:val="en" w:eastAsia="pl-PL"/>
        </w:rPr>
        <w:t xml:space="preserve"> 7-8%. For the next 4 years (2013-2016), the </w:t>
      </w:r>
      <w:r w:rsidR="00291239">
        <w:rPr>
          <w:rFonts w:eastAsia="Times New Roman" w:cs="Times New Roman"/>
          <w:bCs/>
          <w:szCs w:val="24"/>
          <w:shd w:val="clear" w:color="auto" w:fill="FFFFFF"/>
          <w:lang w:val="en" w:eastAsia="pl-PL"/>
        </w:rPr>
        <w:t xml:space="preserve">legal </w:t>
      </w:r>
      <w:r w:rsidRPr="00140B4E">
        <w:rPr>
          <w:rFonts w:eastAsia="Times New Roman" w:cs="Times New Roman"/>
          <w:bCs/>
          <w:szCs w:val="24"/>
          <w:shd w:val="clear" w:color="auto" w:fill="FFFFFF"/>
          <w:lang w:val="en" w:eastAsia="pl-PL"/>
        </w:rPr>
        <w:t>poverty rate remained at the level of 12-13%, and it decreased to the level of about 9%</w:t>
      </w:r>
      <w:r w:rsidR="00B35EF9">
        <w:rPr>
          <w:rFonts w:eastAsia="Times New Roman" w:cs="Times New Roman"/>
          <w:bCs/>
          <w:szCs w:val="24"/>
          <w:shd w:val="clear" w:color="auto" w:fill="FFFFFF"/>
          <w:lang w:val="en" w:eastAsia="pl-PL"/>
        </w:rPr>
        <w:t xml:space="preserve"> in 2019 and 2020</w:t>
      </w:r>
      <w:r w:rsidRPr="00140B4E">
        <w:rPr>
          <w:rFonts w:eastAsia="Times New Roman" w:cs="Times New Roman"/>
          <w:bCs/>
          <w:szCs w:val="24"/>
          <w:shd w:val="clear" w:color="auto" w:fill="FFFFFF"/>
          <w:lang w:val="en" w:eastAsia="pl-PL"/>
        </w:rPr>
        <w:t>.</w:t>
      </w:r>
    </w:p>
    <w:p w14:paraId="2B6C7765" w14:textId="2883669F" w:rsidR="00140B4E" w:rsidRDefault="00140B4E" w:rsidP="00090DCC">
      <w:pPr>
        <w:spacing w:line="259" w:lineRule="auto"/>
        <w:rPr>
          <w:rFonts w:eastAsia="Times New Roman" w:cs="Times New Roman"/>
          <w:bCs/>
          <w:szCs w:val="24"/>
          <w:shd w:val="clear" w:color="auto" w:fill="FFFFFF"/>
          <w:lang w:val="en" w:eastAsia="pl-PL"/>
        </w:rPr>
      </w:pPr>
      <w:r w:rsidRPr="00140B4E">
        <w:rPr>
          <w:rFonts w:eastAsia="Times New Roman" w:cs="Times New Roman"/>
          <w:bCs/>
          <w:szCs w:val="24"/>
          <w:shd w:val="clear" w:color="auto" w:fill="FFFFFF"/>
          <w:lang w:val="en" w:eastAsia="pl-PL"/>
        </w:rPr>
        <w:t>The extent of extreme poverty in 2008 was less than 6% and remained at this level until 2010. For the next 5 years (2011-2015)</w:t>
      </w:r>
      <w:r w:rsidR="004E17B5">
        <w:rPr>
          <w:rFonts w:eastAsia="Times New Roman" w:cs="Times New Roman"/>
          <w:bCs/>
          <w:szCs w:val="24"/>
          <w:shd w:val="clear" w:color="auto" w:fill="FFFFFF"/>
          <w:lang w:val="en" w:eastAsia="pl-PL"/>
        </w:rPr>
        <w:t xml:space="preserve"> </w:t>
      </w:r>
      <w:r w:rsidR="00F41786">
        <w:rPr>
          <w:rFonts w:eastAsia="Times New Roman" w:cs="Times New Roman"/>
          <w:bCs/>
          <w:szCs w:val="24"/>
          <w:shd w:val="clear" w:color="auto" w:fill="FFFFFF"/>
          <w:lang w:val="en" w:eastAsia="pl-PL"/>
        </w:rPr>
        <w:t xml:space="preserve">the level of this phenomenon </w:t>
      </w:r>
      <w:r w:rsidR="004E17B5">
        <w:rPr>
          <w:rFonts w:eastAsia="Times New Roman" w:cs="Times New Roman"/>
          <w:bCs/>
          <w:szCs w:val="24"/>
          <w:shd w:val="clear" w:color="auto" w:fill="FFFFFF"/>
          <w:lang w:val="en" w:eastAsia="pl-PL"/>
        </w:rPr>
        <w:t xml:space="preserve">was </w:t>
      </w:r>
      <w:r w:rsidRPr="00140B4E">
        <w:rPr>
          <w:rFonts w:eastAsia="Times New Roman" w:cs="Times New Roman"/>
          <w:bCs/>
          <w:szCs w:val="24"/>
          <w:shd w:val="clear" w:color="auto" w:fill="FFFFFF"/>
          <w:lang w:val="en" w:eastAsia="pl-PL"/>
        </w:rPr>
        <w:t>a</w:t>
      </w:r>
      <w:r w:rsidR="00F41786">
        <w:rPr>
          <w:rFonts w:eastAsia="Times New Roman" w:cs="Times New Roman"/>
          <w:bCs/>
          <w:szCs w:val="24"/>
          <w:shd w:val="clear" w:color="auto" w:fill="FFFFFF"/>
          <w:lang w:val="en" w:eastAsia="pl-PL"/>
        </w:rPr>
        <w:t>round</w:t>
      </w:r>
      <w:r w:rsidRPr="00140B4E">
        <w:rPr>
          <w:rFonts w:eastAsia="Times New Roman" w:cs="Times New Roman"/>
          <w:bCs/>
          <w:szCs w:val="24"/>
          <w:shd w:val="clear" w:color="auto" w:fill="FFFFFF"/>
          <w:lang w:val="en" w:eastAsia="pl-PL"/>
        </w:rPr>
        <w:t xml:space="preserve"> 7%. In 2016</w:t>
      </w:r>
      <w:r w:rsidR="004E17B5">
        <w:rPr>
          <w:rFonts w:eastAsia="Times New Roman" w:cs="Times New Roman"/>
          <w:bCs/>
          <w:szCs w:val="24"/>
          <w:shd w:val="clear" w:color="auto" w:fill="FFFFFF"/>
          <w:lang w:val="en" w:eastAsia="pl-PL"/>
        </w:rPr>
        <w:t xml:space="preserve"> the extreme </w:t>
      </w:r>
      <w:r w:rsidRPr="00140B4E">
        <w:rPr>
          <w:rFonts w:eastAsia="Times New Roman" w:cs="Times New Roman"/>
          <w:bCs/>
          <w:szCs w:val="24"/>
          <w:shd w:val="clear" w:color="auto" w:fill="FFFFFF"/>
          <w:lang w:val="en" w:eastAsia="pl-PL"/>
        </w:rPr>
        <w:t>poverty rate decreased and in 2016-2020 it remained at the level of about 4-5%.</w:t>
      </w:r>
    </w:p>
    <w:p w14:paraId="7B2D373A" w14:textId="5444BC66" w:rsidR="00140B4E" w:rsidRPr="005F4F77" w:rsidRDefault="005F4F77" w:rsidP="00090DCC">
      <w:pPr>
        <w:spacing w:line="259" w:lineRule="auto"/>
        <w:rPr>
          <w:rFonts w:eastAsia="Times New Roman" w:cs="Times New Roman"/>
          <w:bCs/>
          <w:szCs w:val="24"/>
          <w:shd w:val="clear" w:color="auto" w:fill="FFFFFF"/>
          <w:lang w:val="en-GB" w:eastAsia="pl-PL"/>
        </w:rPr>
      </w:pPr>
      <w:r w:rsidRPr="005F4F77">
        <w:rPr>
          <w:rFonts w:eastAsia="Times New Roman" w:cs="Times New Roman"/>
          <w:bCs/>
          <w:szCs w:val="24"/>
          <w:shd w:val="clear" w:color="auto" w:fill="FFFFFF"/>
          <w:lang w:val="en" w:eastAsia="pl-PL"/>
        </w:rPr>
        <w:t xml:space="preserve">The observed changes in the poverty </w:t>
      </w:r>
      <w:r w:rsidR="0064454E">
        <w:rPr>
          <w:rFonts w:eastAsia="Times New Roman" w:cs="Times New Roman"/>
          <w:bCs/>
          <w:szCs w:val="24"/>
          <w:shd w:val="clear" w:color="auto" w:fill="FFFFFF"/>
          <w:lang w:val="en" w:eastAsia="pl-PL"/>
        </w:rPr>
        <w:t xml:space="preserve">rates </w:t>
      </w:r>
      <w:r w:rsidRPr="005F4F77">
        <w:rPr>
          <w:rFonts w:eastAsia="Times New Roman" w:cs="Times New Roman"/>
          <w:bCs/>
          <w:szCs w:val="24"/>
          <w:shd w:val="clear" w:color="auto" w:fill="FFFFFF"/>
          <w:lang w:val="en" w:eastAsia="pl-PL"/>
        </w:rPr>
        <w:t xml:space="preserve">depended on changes in the </w:t>
      </w:r>
      <w:r w:rsidR="0064454E">
        <w:rPr>
          <w:rFonts w:eastAsia="Times New Roman" w:cs="Times New Roman"/>
          <w:bCs/>
          <w:szCs w:val="24"/>
          <w:shd w:val="clear" w:color="auto" w:fill="FFFFFF"/>
          <w:lang w:val="en" w:eastAsia="pl-PL"/>
        </w:rPr>
        <w:t xml:space="preserve">material </w:t>
      </w:r>
      <w:r w:rsidRPr="005F4F77">
        <w:rPr>
          <w:rFonts w:eastAsia="Times New Roman" w:cs="Times New Roman"/>
          <w:bCs/>
          <w:szCs w:val="24"/>
          <w:shd w:val="clear" w:color="auto" w:fill="FFFFFF"/>
          <w:lang w:val="en" w:eastAsia="pl-PL"/>
        </w:rPr>
        <w:t xml:space="preserve">situation of households measured by the level of their expenditure, as well as on the value of the poverty threshold. Let us recall that the value of the threshold of relative poverty depends </w:t>
      </w:r>
      <w:r w:rsidRPr="005F4F77">
        <w:rPr>
          <w:rFonts w:eastAsia="Times New Roman" w:cs="Times New Roman"/>
          <w:bCs/>
          <w:szCs w:val="24"/>
          <w:shd w:val="clear" w:color="auto" w:fill="FFFFFF"/>
          <w:lang w:val="en" w:eastAsia="pl-PL"/>
        </w:rPr>
        <w:lastRenderedPageBreak/>
        <w:t>on the level of average household expenditure (it accounts for 50% of average expenditure). Changes in the value of the li</w:t>
      </w:r>
      <w:r w:rsidR="0064454E">
        <w:rPr>
          <w:rFonts w:eastAsia="Times New Roman" w:cs="Times New Roman"/>
          <w:bCs/>
          <w:szCs w:val="24"/>
          <w:shd w:val="clear" w:color="auto" w:fill="FFFFFF"/>
          <w:lang w:val="en" w:eastAsia="pl-PL"/>
        </w:rPr>
        <w:t>nes</w:t>
      </w:r>
      <w:r w:rsidRPr="005F4F77">
        <w:rPr>
          <w:rFonts w:eastAsia="Times New Roman" w:cs="Times New Roman"/>
          <w:bCs/>
          <w:szCs w:val="24"/>
          <w:shd w:val="clear" w:color="auto" w:fill="FFFFFF"/>
          <w:lang w:val="en" w:eastAsia="pl-PL"/>
        </w:rPr>
        <w:t xml:space="preserve"> of </w:t>
      </w:r>
      <w:r w:rsidR="0064454E">
        <w:rPr>
          <w:rFonts w:eastAsia="Times New Roman" w:cs="Times New Roman"/>
          <w:bCs/>
          <w:szCs w:val="24"/>
          <w:shd w:val="clear" w:color="auto" w:fill="FFFFFF"/>
          <w:lang w:val="en" w:eastAsia="pl-PL"/>
        </w:rPr>
        <w:t xml:space="preserve">legal </w:t>
      </w:r>
      <w:r w:rsidRPr="005F4F77">
        <w:rPr>
          <w:rFonts w:eastAsia="Times New Roman" w:cs="Times New Roman"/>
          <w:bCs/>
          <w:szCs w:val="24"/>
          <w:shd w:val="clear" w:color="auto" w:fill="FFFFFF"/>
          <w:lang w:val="en" w:eastAsia="pl-PL"/>
        </w:rPr>
        <w:t>poverty result from administrative decisions. As</w:t>
      </w:r>
      <w:r w:rsidR="00090DCC">
        <w:rPr>
          <w:rFonts w:eastAsia="Times New Roman" w:cs="Times New Roman"/>
          <w:bCs/>
          <w:szCs w:val="24"/>
          <w:shd w:val="clear" w:color="auto" w:fill="FFFFFF"/>
          <w:lang w:val="en" w:eastAsia="pl-PL"/>
        </w:rPr>
        <w:t> </w:t>
      </w:r>
      <w:r w:rsidRPr="005F4F77">
        <w:rPr>
          <w:rFonts w:eastAsia="Times New Roman" w:cs="Times New Roman"/>
          <w:bCs/>
          <w:szCs w:val="24"/>
          <w:shd w:val="clear" w:color="auto" w:fill="FFFFFF"/>
          <w:lang w:val="en" w:eastAsia="pl-PL"/>
        </w:rPr>
        <w:t>a</w:t>
      </w:r>
      <w:r w:rsidR="00090DCC">
        <w:rPr>
          <w:rFonts w:eastAsia="Times New Roman" w:cs="Times New Roman"/>
          <w:bCs/>
          <w:szCs w:val="24"/>
          <w:shd w:val="clear" w:color="auto" w:fill="FFFFFF"/>
          <w:lang w:val="en" w:eastAsia="pl-PL"/>
        </w:rPr>
        <w:t> </w:t>
      </w:r>
      <w:r w:rsidRPr="005F4F77">
        <w:rPr>
          <w:rFonts w:eastAsia="Times New Roman" w:cs="Times New Roman"/>
          <w:bCs/>
          <w:szCs w:val="24"/>
          <w:shd w:val="clear" w:color="auto" w:fill="FFFFFF"/>
          <w:lang w:val="en" w:eastAsia="pl-PL"/>
        </w:rPr>
        <w:t xml:space="preserve">rule, their level changes every three years (but, for example, until October 2012, the thresholds established in 2006 were in force). In turn, the level of extreme poverty lines depends on the prices of consumer goods and services included in the basket used to calculate the subsistence minimum. The values of the poverty thresholds used in 2008-2020 are presented in </w:t>
      </w:r>
      <w:r w:rsidR="0064454E">
        <w:rPr>
          <w:rFonts w:eastAsia="Times New Roman" w:cs="Times New Roman"/>
          <w:bCs/>
          <w:szCs w:val="24"/>
          <w:shd w:val="clear" w:color="auto" w:fill="FFFFFF"/>
          <w:lang w:val="en" w:eastAsia="pl-PL"/>
        </w:rPr>
        <w:t xml:space="preserve">Charts </w:t>
      </w:r>
      <w:r w:rsidRPr="005F4F77">
        <w:rPr>
          <w:rFonts w:eastAsia="Times New Roman" w:cs="Times New Roman"/>
          <w:bCs/>
          <w:szCs w:val="24"/>
          <w:shd w:val="clear" w:color="auto" w:fill="FFFFFF"/>
          <w:lang w:val="en" w:eastAsia="pl-PL"/>
        </w:rPr>
        <w:t>3 and 4.</w:t>
      </w:r>
    </w:p>
    <w:p w14:paraId="10ACAE99" w14:textId="77777777" w:rsidR="00C1559E" w:rsidRDefault="00296723" w:rsidP="00C1559E">
      <w:pPr>
        <w:spacing w:before="240" w:after="0"/>
        <w:rPr>
          <w:b/>
          <w:noProof/>
          <w:sz w:val="18"/>
          <w:szCs w:val="19"/>
          <w:lang w:val="en-GB" w:eastAsia="pl-PL"/>
        </w:rPr>
      </w:pPr>
      <w:r>
        <w:rPr>
          <w:noProof/>
          <w:lang w:eastAsia="pl-PL"/>
        </w:rPr>
        <w:drawing>
          <wp:anchor distT="0" distB="0" distL="114300" distR="114300" simplePos="0" relativeHeight="251844608" behindDoc="0" locked="0" layoutInCell="1" allowOverlap="1" wp14:anchorId="121A3930" wp14:editId="1310A77A">
            <wp:simplePos x="0" y="0"/>
            <wp:positionH relativeFrom="column">
              <wp:posOffset>3810</wp:posOffset>
            </wp:positionH>
            <wp:positionV relativeFrom="paragraph">
              <wp:posOffset>519100</wp:posOffset>
            </wp:positionV>
            <wp:extent cx="5040000" cy="2674621"/>
            <wp:effectExtent l="0" t="0" r="8255" b="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7B2420" w:rsidRPr="00A70224">
        <w:rPr>
          <w:b/>
          <w:noProof/>
          <w:sz w:val="18"/>
          <w:szCs w:val="19"/>
          <w:lang w:val="en-GB" w:eastAsia="pl-PL"/>
        </w:rPr>
        <w:t xml:space="preserve">Chart </w:t>
      </w:r>
      <w:r w:rsidR="00C1559E" w:rsidRPr="00A70224">
        <w:rPr>
          <w:b/>
          <w:noProof/>
          <w:sz w:val="18"/>
          <w:szCs w:val="19"/>
          <w:lang w:val="en-GB" w:eastAsia="pl-PL"/>
        </w:rPr>
        <w:t xml:space="preserve">2. </w:t>
      </w:r>
      <w:r w:rsidR="007B2420" w:rsidRPr="00D21C26">
        <w:rPr>
          <w:b/>
          <w:noProof/>
          <w:sz w:val="18"/>
          <w:szCs w:val="19"/>
          <w:lang w:val="en-GB" w:eastAsia="pl-PL"/>
        </w:rPr>
        <w:t>Poverty rates</w:t>
      </w:r>
      <w:r w:rsidR="001425A3" w:rsidRPr="00D21C26">
        <w:rPr>
          <w:b/>
          <w:noProof/>
          <w:sz w:val="18"/>
          <w:szCs w:val="19"/>
          <w:lang w:val="en-GB" w:eastAsia="pl-PL"/>
        </w:rPr>
        <w:t xml:space="preserve"> in the years </w:t>
      </w:r>
      <w:r w:rsidR="00C1559E" w:rsidRPr="00D21C26">
        <w:rPr>
          <w:b/>
          <w:noProof/>
          <w:sz w:val="18"/>
          <w:szCs w:val="19"/>
          <w:lang w:val="en-GB" w:eastAsia="pl-PL"/>
        </w:rPr>
        <w:t xml:space="preserve">2008 – 2020 </w:t>
      </w:r>
      <w:r w:rsidR="00D21C26">
        <w:rPr>
          <w:b/>
          <w:noProof/>
          <w:sz w:val="18"/>
          <w:szCs w:val="19"/>
          <w:lang w:val="en-GB" w:eastAsia="pl-PL"/>
        </w:rPr>
        <w:t xml:space="preserve">according to poverty thresholds adopted in a given year </w:t>
      </w:r>
      <w:r w:rsidR="00C1559E" w:rsidRPr="00D21C26">
        <w:rPr>
          <w:b/>
          <w:noProof/>
          <w:sz w:val="18"/>
          <w:szCs w:val="19"/>
          <w:lang w:val="en-GB" w:eastAsia="pl-PL"/>
        </w:rPr>
        <w:t>(</w:t>
      </w:r>
      <w:r w:rsidR="00952646">
        <w:rPr>
          <w:b/>
          <w:noProof/>
          <w:sz w:val="18"/>
          <w:szCs w:val="19"/>
          <w:lang w:val="en-GB" w:eastAsia="pl-PL"/>
        </w:rPr>
        <w:t xml:space="preserve">in </w:t>
      </w:r>
      <w:r w:rsidR="00C1559E" w:rsidRPr="00D21C26">
        <w:rPr>
          <w:b/>
          <w:noProof/>
          <w:sz w:val="18"/>
          <w:szCs w:val="19"/>
          <w:lang w:val="en-GB" w:eastAsia="pl-PL"/>
        </w:rPr>
        <w:t xml:space="preserve">% </w:t>
      </w:r>
      <w:r w:rsidR="001425A3" w:rsidRPr="00D21C26">
        <w:rPr>
          <w:b/>
          <w:noProof/>
          <w:sz w:val="18"/>
          <w:szCs w:val="19"/>
          <w:lang w:val="en-GB" w:eastAsia="pl-PL"/>
        </w:rPr>
        <w:t>of people in households</w:t>
      </w:r>
      <w:r w:rsidR="00C1559E" w:rsidRPr="00D21C26">
        <w:rPr>
          <w:b/>
          <w:noProof/>
          <w:sz w:val="18"/>
          <w:szCs w:val="19"/>
          <w:lang w:val="en-GB" w:eastAsia="pl-PL"/>
        </w:rPr>
        <w:t>)</w:t>
      </w:r>
    </w:p>
    <w:p w14:paraId="4BB2E73E" w14:textId="77777777" w:rsidR="00296723" w:rsidRPr="00D21C26" w:rsidRDefault="00296723" w:rsidP="00C1559E">
      <w:pPr>
        <w:spacing w:before="240" w:after="0"/>
        <w:rPr>
          <w:b/>
          <w:noProof/>
          <w:sz w:val="18"/>
          <w:szCs w:val="19"/>
          <w:lang w:val="en-GB" w:eastAsia="pl-PL"/>
        </w:rPr>
      </w:pPr>
    </w:p>
    <w:p w14:paraId="295E1030" w14:textId="77777777" w:rsidR="00C1559E" w:rsidRPr="000E39B3" w:rsidRDefault="000E39B3" w:rsidP="00C1559E">
      <w:pPr>
        <w:spacing w:before="240" w:after="0" w:line="259" w:lineRule="auto"/>
        <w:rPr>
          <w:rFonts w:eastAsia="Times New Roman" w:cs="Times New Roman"/>
          <w:bCs/>
          <w:szCs w:val="24"/>
          <w:shd w:val="clear" w:color="auto" w:fill="FFFFFF"/>
          <w:lang w:val="en-GB" w:eastAsia="pl-PL"/>
        </w:rPr>
      </w:pPr>
      <w:r w:rsidRPr="00A70224">
        <w:rPr>
          <w:b/>
          <w:bCs/>
          <w:color w:val="000000"/>
          <w:sz w:val="18"/>
          <w:szCs w:val="18"/>
          <w:lang w:val="en-GB" w:eastAsia="pl-PL"/>
        </w:rPr>
        <w:t xml:space="preserve">Chart </w:t>
      </w:r>
      <w:r w:rsidR="00C1559E" w:rsidRPr="00A70224">
        <w:rPr>
          <w:b/>
          <w:bCs/>
          <w:color w:val="000000"/>
          <w:sz w:val="18"/>
          <w:szCs w:val="18"/>
          <w:lang w:val="en-GB" w:eastAsia="pl-PL"/>
        </w:rPr>
        <w:t xml:space="preserve">3. </w:t>
      </w:r>
      <w:r w:rsidRPr="000E39B3">
        <w:rPr>
          <w:b/>
          <w:bCs/>
          <w:color w:val="000000"/>
          <w:sz w:val="18"/>
          <w:szCs w:val="18"/>
          <w:lang w:val="en-GB" w:eastAsia="pl-PL"/>
        </w:rPr>
        <w:t xml:space="preserve">Poverty </w:t>
      </w:r>
      <w:proofErr w:type="spellStart"/>
      <w:r w:rsidRPr="000E39B3">
        <w:rPr>
          <w:b/>
          <w:bCs/>
          <w:color w:val="000000"/>
          <w:sz w:val="18"/>
          <w:szCs w:val="18"/>
          <w:lang w:val="en-GB" w:eastAsia="pl-PL"/>
        </w:rPr>
        <w:t>thresholds</w:t>
      </w:r>
      <w:r w:rsidR="00C1559E" w:rsidRPr="000E39B3">
        <w:rPr>
          <w:b/>
          <w:bCs/>
          <w:color w:val="000000"/>
          <w:sz w:val="18"/>
          <w:szCs w:val="18"/>
          <w:vertAlign w:val="superscript"/>
          <w:lang w:val="en-GB" w:eastAsia="pl-PL"/>
        </w:rPr>
        <w:t>a</w:t>
      </w:r>
      <w:proofErr w:type="spellEnd"/>
      <w:r w:rsidR="00C1559E" w:rsidRPr="000E39B3">
        <w:rPr>
          <w:b/>
          <w:bCs/>
          <w:color w:val="000000"/>
          <w:sz w:val="18"/>
          <w:szCs w:val="18"/>
          <w:lang w:val="en-GB" w:eastAsia="pl-PL"/>
        </w:rPr>
        <w:t xml:space="preserve"> </w:t>
      </w:r>
      <w:r w:rsidRPr="000E39B3">
        <w:rPr>
          <w:b/>
          <w:bCs/>
          <w:color w:val="000000"/>
          <w:sz w:val="18"/>
          <w:szCs w:val="18"/>
          <w:lang w:val="en-GB" w:eastAsia="pl-PL"/>
        </w:rPr>
        <w:t>for 1-person households in the years</w:t>
      </w:r>
      <w:r>
        <w:rPr>
          <w:b/>
          <w:bCs/>
          <w:color w:val="000000"/>
          <w:sz w:val="18"/>
          <w:szCs w:val="18"/>
          <w:lang w:val="en-GB" w:eastAsia="pl-PL"/>
        </w:rPr>
        <w:t xml:space="preserve"> </w:t>
      </w:r>
      <w:r w:rsidR="00C1559E" w:rsidRPr="000E39B3">
        <w:rPr>
          <w:b/>
          <w:bCs/>
          <w:color w:val="000000"/>
          <w:sz w:val="18"/>
          <w:szCs w:val="18"/>
          <w:lang w:val="en-GB" w:eastAsia="pl-PL"/>
        </w:rPr>
        <w:t>2008-2020</w:t>
      </w:r>
    </w:p>
    <w:p w14:paraId="189FD30A" w14:textId="77777777" w:rsidR="00C1559E" w:rsidRDefault="004C5DBD" w:rsidP="00C1559E">
      <w:pPr>
        <w:spacing w:before="240" w:line="259" w:lineRule="auto"/>
        <w:rPr>
          <w:rFonts w:eastAsia="Times New Roman" w:cs="Times New Roman"/>
          <w:bCs/>
          <w:szCs w:val="24"/>
          <w:shd w:val="clear" w:color="auto" w:fill="FFFFFF"/>
          <w:lang w:eastAsia="pl-PL"/>
        </w:rPr>
      </w:pPr>
      <w:r>
        <w:rPr>
          <w:noProof/>
          <w:lang w:eastAsia="pl-PL"/>
        </w:rPr>
        <w:drawing>
          <wp:inline distT="0" distB="0" distL="0" distR="0" wp14:anchorId="00F5C047" wp14:editId="6EDE05CF">
            <wp:extent cx="5114925" cy="2905125"/>
            <wp:effectExtent l="0" t="0" r="9525"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6FD2B1" w14:textId="77777777" w:rsidR="00C1559E" w:rsidRPr="000E01EC" w:rsidRDefault="00C1559E" w:rsidP="00C1559E">
      <w:pPr>
        <w:spacing w:before="0" w:line="240" w:lineRule="auto"/>
        <w:rPr>
          <w:noProof/>
          <w:sz w:val="18"/>
          <w:szCs w:val="18"/>
          <w:lang w:val="en-GB" w:eastAsia="pl-PL"/>
        </w:rPr>
      </w:pPr>
      <w:bookmarkStart w:id="0" w:name="_Hlk75885163"/>
      <w:proofErr w:type="spellStart"/>
      <w:r w:rsidRPr="00D3456A">
        <w:rPr>
          <w:rFonts w:eastAsia="Calibri" w:cs="Arial"/>
          <w:sz w:val="16"/>
          <w:szCs w:val="16"/>
          <w:vertAlign w:val="superscript"/>
          <w:lang w:val="en-GB" w:eastAsia="pl-PL"/>
        </w:rPr>
        <w:t>a</w:t>
      </w:r>
      <w:proofErr w:type="spellEnd"/>
      <w:r w:rsidRPr="000E01EC">
        <w:rPr>
          <w:rFonts w:eastAsia="Calibri" w:cs="Times New Roman"/>
          <w:i/>
          <w:sz w:val="16"/>
          <w:szCs w:val="16"/>
          <w:lang w:val="en-GB" w:eastAsia="pl-PL"/>
        </w:rPr>
        <w:t xml:space="preserve"> </w:t>
      </w:r>
      <w:r w:rsidR="00A4548D">
        <w:rPr>
          <w:rFonts w:eastAsia="Calibri" w:cs="Times New Roman"/>
          <w:sz w:val="16"/>
          <w:szCs w:val="16"/>
          <w:lang w:val="en-GB" w:eastAsia="pl-PL"/>
        </w:rPr>
        <w:t>O</w:t>
      </w:r>
      <w:r w:rsidR="00B7382C" w:rsidRPr="00B7382C">
        <w:rPr>
          <w:rFonts w:eastAsia="Calibri" w:cs="Times New Roman"/>
          <w:sz w:val="16"/>
          <w:szCs w:val="16"/>
          <w:lang w:val="en-GB" w:eastAsia="pl-PL"/>
        </w:rPr>
        <w:t>n average per month in the 4</w:t>
      </w:r>
      <w:r w:rsidR="00B7382C" w:rsidRPr="00B7382C">
        <w:rPr>
          <w:rFonts w:eastAsia="Calibri" w:cs="Times New Roman"/>
          <w:sz w:val="16"/>
          <w:szCs w:val="16"/>
          <w:vertAlign w:val="superscript"/>
          <w:lang w:val="en-GB" w:eastAsia="pl-PL"/>
        </w:rPr>
        <w:t>th</w:t>
      </w:r>
      <w:r w:rsidR="00B7382C" w:rsidRPr="00B7382C">
        <w:rPr>
          <w:rFonts w:eastAsia="Calibri" w:cs="Times New Roman"/>
          <w:sz w:val="16"/>
          <w:szCs w:val="16"/>
          <w:lang w:val="en-GB" w:eastAsia="pl-PL"/>
        </w:rPr>
        <w:t xml:space="preserve"> quarter</w:t>
      </w:r>
    </w:p>
    <w:bookmarkEnd w:id="0"/>
    <w:p w14:paraId="4AF2A2A6" w14:textId="77777777" w:rsidR="00C1559E" w:rsidRPr="00B06E90" w:rsidRDefault="00B06E90" w:rsidP="00B21B10">
      <w:pPr>
        <w:keepNext/>
        <w:spacing w:before="240" w:after="0" w:line="259" w:lineRule="auto"/>
        <w:rPr>
          <w:b/>
          <w:bCs/>
          <w:color w:val="000000"/>
          <w:sz w:val="18"/>
          <w:szCs w:val="18"/>
          <w:lang w:val="en-GB" w:eastAsia="pl-PL"/>
        </w:rPr>
      </w:pPr>
      <w:r w:rsidRPr="00A70224">
        <w:rPr>
          <w:b/>
          <w:bCs/>
          <w:color w:val="000000"/>
          <w:sz w:val="18"/>
          <w:szCs w:val="18"/>
          <w:lang w:val="en-GB" w:eastAsia="pl-PL"/>
        </w:rPr>
        <w:lastRenderedPageBreak/>
        <w:t>Chart 4</w:t>
      </w:r>
      <w:r w:rsidR="00C1559E" w:rsidRPr="00A70224">
        <w:rPr>
          <w:b/>
          <w:bCs/>
          <w:color w:val="000000"/>
          <w:sz w:val="18"/>
          <w:szCs w:val="18"/>
          <w:lang w:val="en-GB" w:eastAsia="pl-PL"/>
        </w:rPr>
        <w:t xml:space="preserve">. </w:t>
      </w:r>
      <w:r w:rsidRPr="00B06E90">
        <w:rPr>
          <w:b/>
          <w:bCs/>
          <w:color w:val="000000"/>
          <w:sz w:val="18"/>
          <w:szCs w:val="18"/>
          <w:lang w:val="en-GB" w:eastAsia="pl-PL"/>
        </w:rPr>
        <w:t xml:space="preserve">Poverty </w:t>
      </w:r>
      <w:proofErr w:type="spellStart"/>
      <w:r w:rsidRPr="00B06E90">
        <w:rPr>
          <w:b/>
          <w:bCs/>
          <w:color w:val="000000"/>
          <w:sz w:val="18"/>
          <w:szCs w:val="18"/>
          <w:lang w:val="en-GB" w:eastAsia="pl-PL"/>
        </w:rPr>
        <w:t>thresholds</w:t>
      </w:r>
      <w:r w:rsidR="00C1559E" w:rsidRPr="00B06E90">
        <w:rPr>
          <w:b/>
          <w:bCs/>
          <w:color w:val="000000"/>
          <w:sz w:val="18"/>
          <w:szCs w:val="18"/>
          <w:vertAlign w:val="superscript"/>
          <w:lang w:val="en-GB" w:eastAsia="pl-PL"/>
        </w:rPr>
        <w:t>a</w:t>
      </w:r>
      <w:proofErr w:type="spellEnd"/>
      <w:r w:rsidR="00C1559E" w:rsidRPr="00B06E90">
        <w:rPr>
          <w:b/>
          <w:bCs/>
          <w:color w:val="000000"/>
          <w:sz w:val="18"/>
          <w:szCs w:val="18"/>
          <w:lang w:val="en-GB" w:eastAsia="pl-PL"/>
        </w:rPr>
        <w:t xml:space="preserve"> </w:t>
      </w:r>
      <w:r w:rsidRPr="00B06E90">
        <w:rPr>
          <w:b/>
          <w:bCs/>
          <w:color w:val="000000"/>
          <w:sz w:val="18"/>
          <w:szCs w:val="18"/>
          <w:lang w:val="en-GB" w:eastAsia="pl-PL"/>
        </w:rPr>
        <w:t xml:space="preserve">for 4-person households </w:t>
      </w:r>
      <w:r w:rsidR="00C1559E" w:rsidRPr="00B06E90">
        <w:rPr>
          <w:b/>
          <w:bCs/>
          <w:color w:val="000000"/>
          <w:sz w:val="18"/>
          <w:szCs w:val="18"/>
          <w:lang w:val="en-GB" w:eastAsia="pl-PL"/>
        </w:rPr>
        <w:t xml:space="preserve">(2 </w:t>
      </w:r>
      <w:r w:rsidR="0080030C">
        <w:rPr>
          <w:b/>
          <w:bCs/>
          <w:color w:val="000000"/>
          <w:sz w:val="18"/>
          <w:szCs w:val="18"/>
          <w:lang w:val="en-GB" w:eastAsia="pl-PL"/>
        </w:rPr>
        <w:t xml:space="preserve">adults </w:t>
      </w:r>
      <w:r w:rsidR="00C1559E" w:rsidRPr="00B06E90">
        <w:rPr>
          <w:b/>
          <w:bCs/>
          <w:color w:val="000000"/>
          <w:sz w:val="18"/>
          <w:szCs w:val="18"/>
          <w:lang w:val="en-GB" w:eastAsia="pl-PL"/>
        </w:rPr>
        <w:t xml:space="preserve">+ 2 </w:t>
      </w:r>
      <w:r w:rsidR="0080030C">
        <w:rPr>
          <w:b/>
          <w:bCs/>
          <w:color w:val="000000"/>
          <w:sz w:val="18"/>
          <w:szCs w:val="18"/>
          <w:lang w:val="en-GB" w:eastAsia="pl-PL"/>
        </w:rPr>
        <w:t>child</w:t>
      </w:r>
      <w:r w:rsidR="00D732D2">
        <w:rPr>
          <w:b/>
          <w:bCs/>
          <w:color w:val="000000"/>
          <w:sz w:val="18"/>
          <w:szCs w:val="18"/>
          <w:lang w:val="en-GB" w:eastAsia="pl-PL"/>
        </w:rPr>
        <w:t xml:space="preserve">ren up to </w:t>
      </w:r>
      <w:r w:rsidR="00C1559E" w:rsidRPr="00B06E90">
        <w:rPr>
          <w:b/>
          <w:bCs/>
          <w:color w:val="000000"/>
          <w:sz w:val="18"/>
          <w:szCs w:val="18"/>
          <w:lang w:val="en-GB" w:eastAsia="pl-PL"/>
        </w:rPr>
        <w:t>14</w:t>
      </w:r>
      <w:r w:rsidR="00D732D2">
        <w:rPr>
          <w:b/>
          <w:bCs/>
          <w:color w:val="000000"/>
          <w:sz w:val="18"/>
          <w:szCs w:val="18"/>
          <w:lang w:val="en-GB" w:eastAsia="pl-PL"/>
        </w:rPr>
        <w:t xml:space="preserve"> years</w:t>
      </w:r>
      <w:r w:rsidR="00C1559E" w:rsidRPr="00B06E90">
        <w:rPr>
          <w:b/>
          <w:bCs/>
          <w:color w:val="000000"/>
          <w:sz w:val="18"/>
          <w:szCs w:val="18"/>
          <w:lang w:val="en-GB" w:eastAsia="pl-PL"/>
        </w:rPr>
        <w:t xml:space="preserve">) </w:t>
      </w:r>
      <w:r w:rsidRPr="00B06E90">
        <w:rPr>
          <w:b/>
          <w:bCs/>
          <w:color w:val="000000"/>
          <w:sz w:val="18"/>
          <w:szCs w:val="18"/>
          <w:lang w:val="en-GB" w:eastAsia="pl-PL"/>
        </w:rPr>
        <w:t xml:space="preserve">in the </w:t>
      </w:r>
      <w:r>
        <w:rPr>
          <w:b/>
          <w:bCs/>
          <w:color w:val="000000"/>
          <w:sz w:val="18"/>
          <w:szCs w:val="18"/>
          <w:lang w:val="en-GB" w:eastAsia="pl-PL"/>
        </w:rPr>
        <w:t xml:space="preserve">years </w:t>
      </w:r>
      <w:r w:rsidR="00C1559E" w:rsidRPr="00B06E90">
        <w:rPr>
          <w:b/>
          <w:bCs/>
          <w:color w:val="000000"/>
          <w:sz w:val="18"/>
          <w:szCs w:val="18"/>
          <w:lang w:val="en-GB" w:eastAsia="pl-PL"/>
        </w:rPr>
        <w:t>2008-2020</w:t>
      </w:r>
    </w:p>
    <w:p w14:paraId="595685AE" w14:textId="1F3439F1" w:rsidR="00C1559E" w:rsidRDefault="004C5DBD" w:rsidP="00C1559E">
      <w:pPr>
        <w:spacing w:before="240" w:line="259" w:lineRule="auto"/>
        <w:rPr>
          <w:rFonts w:eastAsia="Times New Roman" w:cs="Times New Roman"/>
          <w:bCs/>
          <w:szCs w:val="24"/>
          <w:shd w:val="clear" w:color="auto" w:fill="FFFFFF"/>
          <w:lang w:eastAsia="pl-PL"/>
        </w:rPr>
      </w:pPr>
      <w:r>
        <w:rPr>
          <w:noProof/>
          <w:lang w:eastAsia="pl-PL"/>
        </w:rPr>
        <w:drawing>
          <wp:inline distT="0" distB="0" distL="0" distR="0" wp14:anchorId="0A15D631" wp14:editId="4F97EFB5">
            <wp:extent cx="4929188" cy="2971800"/>
            <wp:effectExtent l="0" t="0" r="508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535A12" w14:textId="501236DA" w:rsidR="00C1559E" w:rsidRPr="000E01EC" w:rsidRDefault="00C1559E" w:rsidP="00C1559E">
      <w:pPr>
        <w:spacing w:before="0" w:line="240" w:lineRule="auto"/>
        <w:rPr>
          <w:noProof/>
          <w:sz w:val="18"/>
          <w:szCs w:val="18"/>
          <w:lang w:val="en-GB" w:eastAsia="pl-PL"/>
        </w:rPr>
      </w:pPr>
      <w:proofErr w:type="spellStart"/>
      <w:r w:rsidRPr="00D3456A">
        <w:rPr>
          <w:rFonts w:eastAsia="Calibri" w:cs="Arial"/>
          <w:sz w:val="16"/>
          <w:szCs w:val="16"/>
          <w:vertAlign w:val="superscript"/>
          <w:lang w:val="en-GB" w:eastAsia="pl-PL"/>
        </w:rPr>
        <w:t>a</w:t>
      </w:r>
      <w:proofErr w:type="spellEnd"/>
      <w:r w:rsidRPr="000E01EC">
        <w:rPr>
          <w:rFonts w:eastAsia="Calibri" w:cs="Times New Roman"/>
          <w:i/>
          <w:sz w:val="16"/>
          <w:szCs w:val="16"/>
          <w:lang w:val="en-GB" w:eastAsia="pl-PL"/>
        </w:rPr>
        <w:t xml:space="preserve"> </w:t>
      </w:r>
      <w:r w:rsidR="00246D6E">
        <w:rPr>
          <w:rFonts w:eastAsia="Calibri" w:cs="Times New Roman"/>
          <w:sz w:val="16"/>
          <w:szCs w:val="16"/>
          <w:lang w:val="en-GB" w:eastAsia="pl-PL"/>
        </w:rPr>
        <w:t>O</w:t>
      </w:r>
      <w:r w:rsidR="00B7382C">
        <w:rPr>
          <w:rFonts w:eastAsia="Calibri" w:cs="Times New Roman"/>
          <w:sz w:val="16"/>
          <w:szCs w:val="16"/>
          <w:lang w:val="en-GB" w:eastAsia="pl-PL"/>
        </w:rPr>
        <w:t xml:space="preserve">n average per month in </w:t>
      </w:r>
      <w:r w:rsidR="000E01EC" w:rsidRPr="000E01EC">
        <w:rPr>
          <w:rFonts w:eastAsia="Calibri" w:cs="Times New Roman"/>
          <w:sz w:val="16"/>
          <w:szCs w:val="16"/>
          <w:lang w:val="en-GB" w:eastAsia="pl-PL"/>
        </w:rPr>
        <w:t>the 4th quarter</w:t>
      </w:r>
    </w:p>
    <w:p w14:paraId="03B35A08" w14:textId="77777777" w:rsidR="00C1559E" w:rsidRPr="000E01EC" w:rsidRDefault="00C1559E" w:rsidP="00003646">
      <w:pPr>
        <w:spacing w:before="240" w:line="259" w:lineRule="auto"/>
        <w:rPr>
          <w:rFonts w:eastAsia="Times New Roman" w:cs="Times New Roman"/>
          <w:bCs/>
          <w:szCs w:val="24"/>
          <w:shd w:val="clear" w:color="auto" w:fill="FFFFFF"/>
          <w:lang w:val="en-GB" w:eastAsia="pl-PL"/>
        </w:rPr>
      </w:pPr>
    </w:p>
    <w:p w14:paraId="12919131" w14:textId="61E5CB62" w:rsidR="00C303F7" w:rsidRPr="00A70224" w:rsidRDefault="00940A6C" w:rsidP="003C2499">
      <w:pPr>
        <w:spacing w:before="240" w:line="259" w:lineRule="auto"/>
        <w:rPr>
          <w:rFonts w:ascii="Fira Sans SemiBold" w:eastAsia="Times New Roman" w:hAnsi="Fira Sans SemiBold" w:cs="Times New Roman"/>
          <w:b/>
          <w:bCs/>
          <w:color w:val="001D77"/>
          <w:szCs w:val="24"/>
          <w:shd w:val="clear" w:color="auto" w:fill="FFFFFF"/>
          <w:lang w:val="en-GB" w:eastAsia="pl-PL"/>
        </w:rPr>
      </w:pPr>
      <w:r w:rsidRPr="00F531E1">
        <w:rPr>
          <w:noProof/>
          <w:color w:val="001D77"/>
          <w:szCs w:val="19"/>
          <w:lang w:eastAsia="pl-PL"/>
        </w:rPr>
        <mc:AlternateContent>
          <mc:Choice Requires="wps">
            <w:drawing>
              <wp:anchor distT="45720" distB="45720" distL="114300" distR="114300" simplePos="0" relativeHeight="251782144" behindDoc="0" locked="0" layoutInCell="1" allowOverlap="1" wp14:anchorId="6DD924A8" wp14:editId="15C05EEA">
                <wp:simplePos x="0" y="0"/>
                <wp:positionH relativeFrom="column">
                  <wp:posOffset>5286375</wp:posOffset>
                </wp:positionH>
                <wp:positionV relativeFrom="paragraph">
                  <wp:posOffset>329560</wp:posOffset>
                </wp:positionV>
                <wp:extent cx="1758315" cy="971550"/>
                <wp:effectExtent l="0" t="0" r="0" b="0"/>
                <wp:wrapNone/>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71550"/>
                        </a:xfrm>
                        <a:prstGeom prst="rect">
                          <a:avLst/>
                        </a:prstGeom>
                        <a:noFill/>
                        <a:ln w="9525">
                          <a:noFill/>
                          <a:miter lim="800000"/>
                          <a:headEnd/>
                          <a:tailEnd/>
                        </a:ln>
                      </wps:spPr>
                      <wps:txbx>
                        <w:txbxContent>
                          <w:p w14:paraId="1D4AB0AC" w14:textId="77777777" w:rsidR="004F7C9F" w:rsidRPr="00274187" w:rsidRDefault="00274187" w:rsidP="00D47534">
                            <w:pPr>
                              <w:suppressAutoHyphens/>
                              <w:rPr>
                                <w:color w:val="001D77"/>
                                <w:sz w:val="18"/>
                                <w:lang w:val="en-GB"/>
                              </w:rPr>
                            </w:pPr>
                            <w:r w:rsidRPr="00274187">
                              <w:rPr>
                                <w:color w:val="001D77"/>
                                <w:sz w:val="18"/>
                                <w:lang w:val="en-GB"/>
                              </w:rPr>
                              <w:t>Compared to 2019, there were no significant changes in the social map of the risk of extreme poverty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924A8" id="_x0000_s1031" type="#_x0000_t202" style="position:absolute;margin-left:416.25pt;margin-top:25.95pt;width:138.45pt;height:76.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" filled="f" stroked="f">
                <v:textbox>
                  <w:txbxContent>
                    <w:p w14:paraId="1D4AB0AC" w14:textId="77777777" w:rsidR="004F7C9F" w:rsidRPr="00274187" w:rsidRDefault="00274187" w:rsidP="00D47534">
                      <w:pPr>
                        <w:suppressAutoHyphens/>
                        <w:rPr>
                          <w:color w:val="001D77"/>
                          <w:sz w:val="18"/>
                          <w:lang w:val="en-GB"/>
                        </w:rPr>
                      </w:pPr>
                      <w:r w:rsidRPr="00274187">
                        <w:rPr>
                          <w:color w:val="001D77"/>
                          <w:sz w:val="18"/>
                          <w:lang w:val="en-GB"/>
                        </w:rPr>
                        <w:t>Compared to 2019, there were no significant changes in the social map of the risk of extreme poverty in Poland.</w:t>
                      </w:r>
                    </w:p>
                  </w:txbxContent>
                </v:textbox>
              </v:shape>
            </w:pict>
          </mc:Fallback>
        </mc:AlternateContent>
      </w:r>
      <w:r w:rsidR="00AB0104" w:rsidRPr="00AB0104">
        <w:rPr>
          <w:rFonts w:ascii="Fira Sans SemiBold" w:eastAsia="Times New Roman" w:hAnsi="Fira Sans SemiBold" w:cs="Times New Roman"/>
          <w:b/>
          <w:bCs/>
          <w:color w:val="001D77"/>
          <w:szCs w:val="24"/>
          <w:shd w:val="clear" w:color="auto" w:fill="FFFFFF"/>
          <w:lang w:val="en-GB" w:eastAsia="pl-PL"/>
        </w:rPr>
        <w:t>Divers</w:t>
      </w:r>
      <w:r w:rsidR="00F41302">
        <w:rPr>
          <w:rFonts w:ascii="Fira Sans SemiBold" w:eastAsia="Times New Roman" w:hAnsi="Fira Sans SemiBold" w:cs="Times New Roman"/>
          <w:b/>
          <w:bCs/>
          <w:color w:val="001D77"/>
          <w:szCs w:val="24"/>
          <w:shd w:val="clear" w:color="auto" w:fill="FFFFFF"/>
          <w:lang w:val="en-GB" w:eastAsia="pl-PL"/>
        </w:rPr>
        <w:t>ification t</w:t>
      </w:r>
      <w:r w:rsidR="00AB0104" w:rsidRPr="00AB0104">
        <w:rPr>
          <w:rFonts w:ascii="Fira Sans SemiBold" w:eastAsia="Times New Roman" w:hAnsi="Fira Sans SemiBold" w:cs="Times New Roman"/>
          <w:b/>
          <w:bCs/>
          <w:color w:val="001D77"/>
          <w:szCs w:val="24"/>
          <w:shd w:val="clear" w:color="auto" w:fill="FFFFFF"/>
          <w:lang w:val="en-GB" w:eastAsia="pl-PL"/>
        </w:rPr>
        <w:t>he extreme poverty rate in 20</w:t>
      </w:r>
      <w:r w:rsidR="00AB0104">
        <w:rPr>
          <w:rFonts w:ascii="Fira Sans SemiBold" w:eastAsia="Times New Roman" w:hAnsi="Fira Sans SemiBold" w:cs="Times New Roman"/>
          <w:b/>
          <w:bCs/>
          <w:color w:val="001D77"/>
          <w:szCs w:val="24"/>
          <w:shd w:val="clear" w:color="auto" w:fill="FFFFFF"/>
          <w:lang w:val="en-GB" w:eastAsia="pl-PL"/>
        </w:rPr>
        <w:t>20</w:t>
      </w:r>
      <w:r w:rsidR="00AB0104" w:rsidRPr="00AB0104">
        <w:rPr>
          <w:rFonts w:ascii="Fira Sans SemiBold" w:eastAsia="Times New Roman" w:hAnsi="Fira Sans SemiBold" w:cs="Times New Roman"/>
          <w:b/>
          <w:bCs/>
          <w:color w:val="001D77"/>
          <w:szCs w:val="24"/>
          <w:shd w:val="clear" w:color="auto" w:fill="FFFFFF"/>
          <w:lang w:val="en-GB" w:eastAsia="pl-PL"/>
        </w:rPr>
        <w:t>. Who experienced poverty most often and lest often?</w:t>
      </w:r>
    </w:p>
    <w:p w14:paraId="757BC5B0" w14:textId="5BD85628" w:rsidR="005E1722" w:rsidRDefault="005E1722" w:rsidP="00920915">
      <w:pPr>
        <w:spacing w:before="240" w:after="80" w:line="240" w:lineRule="auto"/>
        <w:rPr>
          <w:noProof/>
          <w:szCs w:val="19"/>
          <w:lang w:val="en-GB" w:eastAsia="pl-PL"/>
        </w:rPr>
      </w:pPr>
      <w:r w:rsidRPr="005E1722">
        <w:rPr>
          <w:noProof/>
          <w:szCs w:val="19"/>
          <w:lang w:val="en-GB" w:eastAsia="pl-PL"/>
        </w:rPr>
        <w:t>Poverty affects individual groups of the population to a different extent, and when interpreting the data on the diversification of poverty ra</w:t>
      </w:r>
      <w:r w:rsidR="00E90B93">
        <w:rPr>
          <w:noProof/>
          <w:szCs w:val="19"/>
          <w:lang w:val="en-GB" w:eastAsia="pl-PL"/>
        </w:rPr>
        <w:t xml:space="preserve">tes </w:t>
      </w:r>
      <w:r w:rsidRPr="005E1722">
        <w:rPr>
          <w:noProof/>
          <w:szCs w:val="19"/>
          <w:lang w:val="en-GB" w:eastAsia="pl-PL"/>
        </w:rPr>
        <w:t xml:space="preserve">due to different characteristics of households, it should be remembered that in practice we are </w:t>
      </w:r>
      <w:r w:rsidR="00135024">
        <w:rPr>
          <w:noProof/>
          <w:szCs w:val="19"/>
          <w:lang w:val="en-GB" w:eastAsia="pl-PL"/>
        </w:rPr>
        <w:t>taking into consideration</w:t>
      </w:r>
      <w:r w:rsidRPr="005E1722">
        <w:rPr>
          <w:noProof/>
          <w:szCs w:val="19"/>
          <w:lang w:val="en-GB" w:eastAsia="pl-PL"/>
        </w:rPr>
        <w:t xml:space="preserve"> not </w:t>
      </w:r>
      <w:r w:rsidR="00135024">
        <w:rPr>
          <w:noProof/>
          <w:szCs w:val="19"/>
          <w:lang w:val="en-GB" w:eastAsia="pl-PL"/>
        </w:rPr>
        <w:t xml:space="preserve">only </w:t>
      </w:r>
      <w:r w:rsidRPr="005E1722">
        <w:rPr>
          <w:noProof/>
          <w:szCs w:val="19"/>
          <w:lang w:val="en-GB" w:eastAsia="pl-PL"/>
        </w:rPr>
        <w:t>one poverty determinant, but the coexistence of many factors at the same time. For</w:t>
      </w:r>
      <w:r w:rsidR="004D25F7">
        <w:rPr>
          <w:noProof/>
          <w:szCs w:val="19"/>
          <w:lang w:val="en-GB" w:eastAsia="pl-PL"/>
        </w:rPr>
        <w:t> </w:t>
      </w:r>
      <w:r w:rsidRPr="005E1722">
        <w:rPr>
          <w:noProof/>
          <w:szCs w:val="19"/>
          <w:lang w:val="en-GB" w:eastAsia="pl-PL"/>
        </w:rPr>
        <w:t xml:space="preserve">example, the differentiation of </w:t>
      </w:r>
      <w:r w:rsidR="00E90B93">
        <w:rPr>
          <w:noProof/>
          <w:szCs w:val="19"/>
          <w:lang w:val="en-GB" w:eastAsia="pl-PL"/>
        </w:rPr>
        <w:t>p</w:t>
      </w:r>
      <w:r w:rsidRPr="005E1722">
        <w:rPr>
          <w:noProof/>
          <w:szCs w:val="19"/>
          <w:lang w:val="en-GB" w:eastAsia="pl-PL"/>
        </w:rPr>
        <w:t xml:space="preserve">overty </w:t>
      </w:r>
      <w:r w:rsidR="00E90B93">
        <w:rPr>
          <w:noProof/>
          <w:szCs w:val="19"/>
          <w:lang w:val="en-GB" w:eastAsia="pl-PL"/>
        </w:rPr>
        <w:t xml:space="preserve">rates </w:t>
      </w:r>
      <w:r w:rsidRPr="005E1722">
        <w:rPr>
          <w:noProof/>
          <w:szCs w:val="19"/>
          <w:lang w:val="en-GB" w:eastAsia="pl-PL"/>
        </w:rPr>
        <w:t>by socio-economic group depends</w:t>
      </w:r>
      <w:r w:rsidR="00E90B93">
        <w:rPr>
          <w:noProof/>
          <w:szCs w:val="19"/>
          <w:lang w:val="en-GB" w:eastAsia="pl-PL"/>
        </w:rPr>
        <w:t>, among others,</w:t>
      </w:r>
      <w:r w:rsidRPr="005E1722">
        <w:rPr>
          <w:noProof/>
          <w:szCs w:val="19"/>
          <w:lang w:val="en-GB" w:eastAsia="pl-PL"/>
        </w:rPr>
        <w:t xml:space="preserve"> on the economic activity of household members and their status on the labo</w:t>
      </w:r>
      <w:r w:rsidR="003D7FA5">
        <w:rPr>
          <w:noProof/>
          <w:szCs w:val="19"/>
          <w:lang w:val="en-GB" w:eastAsia="pl-PL"/>
        </w:rPr>
        <w:t>u</w:t>
      </w:r>
      <w:r w:rsidRPr="005E1722">
        <w:rPr>
          <w:noProof/>
          <w:szCs w:val="19"/>
          <w:lang w:val="en-GB" w:eastAsia="pl-PL"/>
        </w:rPr>
        <w:t>r market, which in turn depends, for example, on the age and level of education of the household members.</w:t>
      </w:r>
    </w:p>
    <w:p w14:paraId="285BD651" w14:textId="7983ECC1" w:rsidR="006640F6" w:rsidRPr="00A70224" w:rsidRDefault="003D7FA5" w:rsidP="006640F6">
      <w:pPr>
        <w:spacing w:before="240" w:after="80" w:line="240" w:lineRule="auto"/>
        <w:rPr>
          <w:noProof/>
          <w:szCs w:val="19"/>
          <w:lang w:val="en-GB" w:eastAsia="pl-PL"/>
        </w:rPr>
      </w:pPr>
      <w:r w:rsidRPr="003D7FA5">
        <w:rPr>
          <w:noProof/>
          <w:szCs w:val="19"/>
          <w:lang w:val="en-GB" w:eastAsia="pl-PL"/>
        </w:rPr>
        <w:t xml:space="preserve">The poverty </w:t>
      </w:r>
      <w:r>
        <w:rPr>
          <w:noProof/>
          <w:szCs w:val="19"/>
          <w:lang w:val="en-GB" w:eastAsia="pl-PL"/>
        </w:rPr>
        <w:t xml:space="preserve">rate significantly </w:t>
      </w:r>
      <w:r w:rsidRPr="003D7FA5">
        <w:rPr>
          <w:noProof/>
          <w:szCs w:val="19"/>
          <w:lang w:val="en-GB" w:eastAsia="pl-PL"/>
        </w:rPr>
        <w:t xml:space="preserve">differs depending on the socio-economic group defined by the predominant source of income of the household. In 2020, farmers' households and households living mainly on the so-called </w:t>
      </w:r>
      <w:r w:rsidR="00D30438">
        <w:rPr>
          <w:noProof/>
          <w:szCs w:val="19"/>
          <w:lang w:val="en-GB" w:eastAsia="pl-PL"/>
        </w:rPr>
        <w:t>unearned</w:t>
      </w:r>
      <w:r w:rsidRPr="003D7FA5">
        <w:rPr>
          <w:noProof/>
          <w:szCs w:val="19"/>
          <w:lang w:val="en-GB" w:eastAsia="pl-PL"/>
        </w:rPr>
        <w:t xml:space="preserve"> sources (in both groups - almost 14% of people from these </w:t>
      </w:r>
      <w:r w:rsidR="00A51AC0">
        <w:rPr>
          <w:noProof/>
          <w:szCs w:val="19"/>
          <w:lang w:val="en-GB" w:eastAsia="pl-PL"/>
        </w:rPr>
        <w:t>households</w:t>
      </w:r>
      <w:r w:rsidRPr="003D7FA5">
        <w:rPr>
          <w:noProof/>
          <w:szCs w:val="19"/>
          <w:lang w:val="en-GB" w:eastAsia="pl-PL"/>
        </w:rPr>
        <w:t>). Among the latter, attention is paid to households living on social benefits other than pensions (a</w:t>
      </w:r>
      <w:r w:rsidR="00A51AC0">
        <w:rPr>
          <w:noProof/>
          <w:szCs w:val="19"/>
          <w:lang w:val="en-GB" w:eastAsia="pl-PL"/>
        </w:rPr>
        <w:t>bout</w:t>
      </w:r>
      <w:r w:rsidRPr="003D7FA5">
        <w:rPr>
          <w:noProof/>
          <w:szCs w:val="19"/>
          <w:lang w:val="en-GB" w:eastAsia="pl-PL"/>
        </w:rPr>
        <w:t xml:space="preserve"> 15%). A higher than average level of extreme poverty was also observed in the households of pensioners (a</w:t>
      </w:r>
      <w:r w:rsidR="00A51AC0">
        <w:rPr>
          <w:noProof/>
          <w:szCs w:val="19"/>
          <w:lang w:val="en-GB" w:eastAsia="pl-PL"/>
        </w:rPr>
        <w:t>bout</w:t>
      </w:r>
      <w:r w:rsidRPr="003D7FA5">
        <w:rPr>
          <w:noProof/>
          <w:szCs w:val="19"/>
          <w:lang w:val="en-GB" w:eastAsia="pl-PL"/>
        </w:rPr>
        <w:t xml:space="preserve"> 8%).</w:t>
      </w:r>
    </w:p>
    <w:p w14:paraId="6639B21F" w14:textId="551EB32E" w:rsidR="00882C01" w:rsidRPr="00A70224" w:rsidRDefault="00B84159" w:rsidP="00920915">
      <w:pPr>
        <w:spacing w:before="240" w:after="80" w:line="240" w:lineRule="auto"/>
        <w:rPr>
          <w:noProof/>
          <w:szCs w:val="19"/>
          <w:lang w:val="en-GB" w:eastAsia="pl-PL"/>
        </w:rPr>
      </w:pPr>
      <w:r w:rsidRPr="003D7FA5">
        <w:rPr>
          <w:noProof/>
          <w:szCs w:val="19"/>
          <w:lang w:eastAsia="pl-PL"/>
        </w:rPr>
        <mc:AlternateContent>
          <mc:Choice Requires="wps">
            <w:drawing>
              <wp:anchor distT="45720" distB="45720" distL="114300" distR="114300" simplePos="0" relativeHeight="251839488" behindDoc="0" locked="0" layoutInCell="1" allowOverlap="1" wp14:anchorId="5691C1DF" wp14:editId="4A47E9DE">
                <wp:simplePos x="0" y="0"/>
                <wp:positionH relativeFrom="column">
                  <wp:posOffset>5349714</wp:posOffset>
                </wp:positionH>
                <wp:positionV relativeFrom="page">
                  <wp:posOffset>7465164</wp:posOffset>
                </wp:positionV>
                <wp:extent cx="1611630" cy="2251881"/>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2251881"/>
                        </a:xfrm>
                        <a:prstGeom prst="rect">
                          <a:avLst/>
                        </a:prstGeom>
                        <a:noFill/>
                        <a:ln w="9525">
                          <a:noFill/>
                          <a:miter lim="800000"/>
                          <a:headEnd/>
                          <a:tailEnd/>
                        </a:ln>
                      </wps:spPr>
                      <wps:txbx>
                        <w:txbxContent>
                          <w:p w14:paraId="1172745B" w14:textId="77777777" w:rsidR="004D5050" w:rsidRPr="00274187" w:rsidRDefault="00274187" w:rsidP="004D5050">
                            <w:pPr>
                              <w:suppressAutoHyphens/>
                              <w:rPr>
                                <w:color w:val="001D77"/>
                                <w:sz w:val="18"/>
                                <w:szCs w:val="18"/>
                                <w:lang w:val="en-GB"/>
                              </w:rPr>
                            </w:pPr>
                            <w:r w:rsidRPr="00274187">
                              <w:rPr>
                                <w:color w:val="001D77"/>
                                <w:sz w:val="18"/>
                                <w:szCs w:val="18"/>
                                <w:lang w:val="en-GB"/>
                              </w:rPr>
                              <w:t xml:space="preserve">People at the highest risk of poverty were </w:t>
                            </w:r>
                            <w:r>
                              <w:rPr>
                                <w:color w:val="001D77"/>
                                <w:sz w:val="18"/>
                                <w:szCs w:val="18"/>
                                <w:lang w:val="en-GB"/>
                              </w:rPr>
                              <w:t>members of</w:t>
                            </w:r>
                            <w:r w:rsidRPr="00274187">
                              <w:rPr>
                                <w:color w:val="001D77"/>
                                <w:sz w:val="18"/>
                                <w:szCs w:val="18"/>
                                <w:lang w:val="en-GB"/>
                              </w:rPr>
                              <w:t xml:space="preserve"> households living on social benefits (apart from </w:t>
                            </w:r>
                            <w:r>
                              <w:rPr>
                                <w:color w:val="001D77"/>
                                <w:sz w:val="18"/>
                                <w:szCs w:val="18"/>
                                <w:lang w:val="en-GB"/>
                              </w:rPr>
                              <w:t xml:space="preserve">retirement </w:t>
                            </w:r>
                            <w:r w:rsidRPr="00274187">
                              <w:rPr>
                                <w:color w:val="001D77"/>
                                <w:sz w:val="18"/>
                                <w:szCs w:val="18"/>
                                <w:lang w:val="en-GB"/>
                              </w:rPr>
                              <w:t xml:space="preserve">pensions) and agriculture, as well as </w:t>
                            </w:r>
                            <w:r>
                              <w:rPr>
                                <w:color w:val="001D77"/>
                                <w:sz w:val="18"/>
                                <w:szCs w:val="18"/>
                                <w:lang w:val="en-GB"/>
                              </w:rPr>
                              <w:t xml:space="preserve">multi-children </w:t>
                            </w:r>
                            <w:r w:rsidRPr="00274187">
                              <w:rPr>
                                <w:color w:val="001D77"/>
                                <w:sz w:val="18"/>
                                <w:szCs w:val="18"/>
                                <w:lang w:val="en-GB"/>
                              </w:rPr>
                              <w:t>families and households with people with disabilities. The factor increasing the risk of extreme poverty was the lack or low level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1C1DF" id="_x0000_t202" coordsize="21600,21600" o:spt="202" path="m,l,21600r21600,l21600,xe">
                <v:stroke joinstyle="miter"/>
                <v:path gradientshapeok="t" o:connecttype="rect"/>
              </v:shapetype>
              <v:shape id="_x0000_s1032" type="#_x0000_t202" style="position:absolute;margin-left:421.25pt;margin-top:587.8pt;width:126.9pt;height:177.3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" filled="f" stroked="f">
                <v:textbox>
                  <w:txbxContent>
                    <w:p w14:paraId="1172745B" w14:textId="77777777" w:rsidR="004D5050" w:rsidRPr="00274187" w:rsidRDefault="00274187" w:rsidP="004D5050">
                      <w:pPr>
                        <w:suppressAutoHyphens/>
                        <w:rPr>
                          <w:color w:val="001D77"/>
                          <w:sz w:val="18"/>
                          <w:szCs w:val="18"/>
                          <w:lang w:val="en-GB"/>
                        </w:rPr>
                      </w:pPr>
                      <w:r w:rsidRPr="00274187">
                        <w:rPr>
                          <w:color w:val="001D77"/>
                          <w:sz w:val="18"/>
                          <w:szCs w:val="18"/>
                          <w:lang w:val="en-GB"/>
                        </w:rPr>
                        <w:t xml:space="preserve">People at the highest risk of poverty were </w:t>
                      </w:r>
                      <w:r>
                        <w:rPr>
                          <w:color w:val="001D77"/>
                          <w:sz w:val="18"/>
                          <w:szCs w:val="18"/>
                          <w:lang w:val="en-GB"/>
                        </w:rPr>
                        <w:t>members of</w:t>
                      </w:r>
                      <w:r w:rsidRPr="00274187">
                        <w:rPr>
                          <w:color w:val="001D77"/>
                          <w:sz w:val="18"/>
                          <w:szCs w:val="18"/>
                          <w:lang w:val="en-GB"/>
                        </w:rPr>
                        <w:t xml:space="preserve"> households living on social benefits (apart from </w:t>
                      </w:r>
                      <w:r>
                        <w:rPr>
                          <w:color w:val="001D77"/>
                          <w:sz w:val="18"/>
                          <w:szCs w:val="18"/>
                          <w:lang w:val="en-GB"/>
                        </w:rPr>
                        <w:t xml:space="preserve">retirement </w:t>
                      </w:r>
                      <w:r w:rsidRPr="00274187">
                        <w:rPr>
                          <w:color w:val="001D77"/>
                          <w:sz w:val="18"/>
                          <w:szCs w:val="18"/>
                          <w:lang w:val="en-GB"/>
                        </w:rPr>
                        <w:t xml:space="preserve">pensions) and agriculture, as well as </w:t>
                      </w:r>
                      <w:r>
                        <w:rPr>
                          <w:color w:val="001D77"/>
                          <w:sz w:val="18"/>
                          <w:szCs w:val="18"/>
                          <w:lang w:val="en-GB"/>
                        </w:rPr>
                        <w:t xml:space="preserve">multi-children </w:t>
                      </w:r>
                      <w:r w:rsidRPr="00274187">
                        <w:rPr>
                          <w:color w:val="001D77"/>
                          <w:sz w:val="18"/>
                          <w:szCs w:val="18"/>
                          <w:lang w:val="en-GB"/>
                        </w:rPr>
                        <w:t>families and households with people with disabilities. The factor increasing the risk of extreme poverty was the lack or low level of education.</w:t>
                      </w:r>
                    </w:p>
                  </w:txbxContent>
                </v:textbox>
                <w10:wrap anchory="page"/>
              </v:shape>
            </w:pict>
          </mc:Fallback>
        </mc:AlternateContent>
      </w:r>
      <w:r w:rsidR="00882C01" w:rsidRPr="00882C01">
        <w:rPr>
          <w:noProof/>
          <w:szCs w:val="19"/>
          <w:lang w:val="en-GB" w:eastAsia="pl-PL"/>
        </w:rPr>
        <w:t>Extreme poverty mainly affect</w:t>
      </w:r>
      <w:r w:rsidR="00882C01">
        <w:rPr>
          <w:noProof/>
          <w:szCs w:val="19"/>
          <w:lang w:val="en-GB" w:eastAsia="pl-PL"/>
        </w:rPr>
        <w:t>ed</w:t>
      </w:r>
      <w:r w:rsidR="00882C01" w:rsidRPr="00882C01">
        <w:rPr>
          <w:noProof/>
          <w:szCs w:val="19"/>
          <w:lang w:val="en-GB" w:eastAsia="pl-PL"/>
        </w:rPr>
        <w:t xml:space="preserve"> the households of people with a low level of education. The</w:t>
      </w:r>
      <w:r w:rsidR="004D25F7">
        <w:rPr>
          <w:noProof/>
          <w:szCs w:val="19"/>
          <w:lang w:val="en-GB" w:eastAsia="pl-PL"/>
        </w:rPr>
        <w:t> </w:t>
      </w:r>
      <w:r w:rsidR="00882C01" w:rsidRPr="00882C01">
        <w:rPr>
          <w:noProof/>
          <w:szCs w:val="19"/>
          <w:lang w:val="en-GB" w:eastAsia="pl-PL"/>
        </w:rPr>
        <w:t xml:space="preserve">poverty rate among households whose head had at most lower secondary education was more than twice as high as the average and amounted to </w:t>
      </w:r>
      <w:r w:rsidR="00882C01">
        <w:rPr>
          <w:noProof/>
          <w:szCs w:val="19"/>
          <w:lang w:val="en-GB" w:eastAsia="pl-PL"/>
        </w:rPr>
        <w:t>about</w:t>
      </w:r>
      <w:r w:rsidR="00882C01" w:rsidRPr="00882C01">
        <w:rPr>
          <w:noProof/>
          <w:szCs w:val="19"/>
          <w:lang w:val="en-GB" w:eastAsia="pl-PL"/>
        </w:rPr>
        <w:t xml:space="preserve"> 12%. The percentage of the poor was also higher than the average in the case of households </w:t>
      </w:r>
      <w:r w:rsidR="00D05758">
        <w:rPr>
          <w:noProof/>
          <w:szCs w:val="19"/>
          <w:lang w:val="en-GB" w:eastAsia="pl-PL"/>
        </w:rPr>
        <w:t xml:space="preserve">of people with </w:t>
      </w:r>
      <w:r w:rsidR="00882C01" w:rsidRPr="00882C01">
        <w:rPr>
          <w:noProof/>
          <w:szCs w:val="19"/>
          <w:lang w:val="en-GB" w:eastAsia="pl-PL"/>
        </w:rPr>
        <w:t>basic vocational education (a</w:t>
      </w:r>
      <w:r w:rsidR="00105A84">
        <w:rPr>
          <w:noProof/>
          <w:szCs w:val="19"/>
          <w:lang w:val="en-GB" w:eastAsia="pl-PL"/>
        </w:rPr>
        <w:t>bout</w:t>
      </w:r>
      <w:r w:rsidR="00882C01" w:rsidRPr="00882C01">
        <w:rPr>
          <w:noProof/>
          <w:szCs w:val="19"/>
          <w:lang w:val="en-GB" w:eastAsia="pl-PL"/>
        </w:rPr>
        <w:t xml:space="preserve"> 8%). The group of households with a relatively high level of extreme poverty also included households with pe</w:t>
      </w:r>
      <w:r w:rsidR="00105A84">
        <w:rPr>
          <w:noProof/>
          <w:szCs w:val="19"/>
          <w:lang w:val="en-GB" w:eastAsia="pl-PL"/>
        </w:rPr>
        <w:t xml:space="preserve">ople </w:t>
      </w:r>
      <w:r w:rsidR="00882C01" w:rsidRPr="00882C01">
        <w:rPr>
          <w:noProof/>
          <w:szCs w:val="19"/>
          <w:lang w:val="en-GB" w:eastAsia="pl-PL"/>
        </w:rPr>
        <w:t xml:space="preserve">with a certificate of disability. </w:t>
      </w:r>
      <w:r w:rsidR="00882C01" w:rsidRPr="00A70224">
        <w:rPr>
          <w:noProof/>
          <w:szCs w:val="19"/>
          <w:lang w:val="en-GB" w:eastAsia="pl-PL"/>
        </w:rPr>
        <w:t>The</w:t>
      </w:r>
      <w:r w:rsidR="004D25F7">
        <w:rPr>
          <w:noProof/>
          <w:szCs w:val="19"/>
          <w:lang w:val="en-GB" w:eastAsia="pl-PL"/>
        </w:rPr>
        <w:t> </w:t>
      </w:r>
      <w:r w:rsidR="00882C01" w:rsidRPr="00A70224">
        <w:rPr>
          <w:noProof/>
          <w:szCs w:val="19"/>
          <w:lang w:val="en-GB" w:eastAsia="pl-PL"/>
        </w:rPr>
        <w:t>extreme poverty rate in households with at least one person recognized as disabled was 7.5%.</w:t>
      </w:r>
    </w:p>
    <w:p w14:paraId="4E734127" w14:textId="77777777" w:rsidR="00A92164" w:rsidRPr="00A92164" w:rsidRDefault="00A92164" w:rsidP="00A92164">
      <w:pPr>
        <w:spacing w:before="240" w:after="80" w:line="240" w:lineRule="auto"/>
        <w:rPr>
          <w:noProof/>
          <w:szCs w:val="19"/>
          <w:lang w:val="en-GB" w:eastAsia="pl-PL"/>
        </w:rPr>
      </w:pPr>
      <w:r w:rsidRPr="00A92164">
        <w:rPr>
          <w:noProof/>
          <w:szCs w:val="19"/>
          <w:lang w:val="en-GB" w:eastAsia="pl-PL"/>
        </w:rPr>
        <w:t>Households with children under the age of 18 also had an extreme poverty rate higher than the average for Poland in 2020. It concerned mainly households with at least three children of this age (</w:t>
      </w:r>
      <w:r w:rsidR="00807C71">
        <w:rPr>
          <w:noProof/>
          <w:szCs w:val="19"/>
          <w:lang w:val="en-GB" w:eastAsia="pl-PL"/>
        </w:rPr>
        <w:t>almost</w:t>
      </w:r>
      <w:r w:rsidRPr="00A92164">
        <w:rPr>
          <w:noProof/>
          <w:szCs w:val="19"/>
          <w:lang w:val="en-GB" w:eastAsia="pl-PL"/>
        </w:rPr>
        <w:t xml:space="preserve"> 9% of the poor), but also households with two children (6.5% of the poor).</w:t>
      </w:r>
    </w:p>
    <w:p w14:paraId="3697529B" w14:textId="77777777" w:rsidR="00A92164" w:rsidRPr="00A92164" w:rsidRDefault="00A92164" w:rsidP="00A92164">
      <w:pPr>
        <w:spacing w:before="240" w:after="80" w:line="240" w:lineRule="auto"/>
        <w:rPr>
          <w:noProof/>
          <w:szCs w:val="19"/>
          <w:lang w:val="en-GB" w:eastAsia="pl-PL"/>
        </w:rPr>
      </w:pPr>
      <w:r w:rsidRPr="00A92164">
        <w:rPr>
          <w:noProof/>
          <w:szCs w:val="19"/>
          <w:lang w:val="en-GB" w:eastAsia="pl-PL"/>
        </w:rPr>
        <w:t xml:space="preserve">The extreme poverty rate among children and </w:t>
      </w:r>
      <w:r w:rsidR="002E4612">
        <w:rPr>
          <w:noProof/>
          <w:szCs w:val="19"/>
          <w:lang w:val="en-GB" w:eastAsia="pl-PL"/>
        </w:rPr>
        <w:t xml:space="preserve">young people </w:t>
      </w:r>
      <w:r w:rsidRPr="00A92164">
        <w:rPr>
          <w:noProof/>
          <w:szCs w:val="19"/>
          <w:lang w:val="en-GB" w:eastAsia="pl-PL"/>
        </w:rPr>
        <w:t>u</w:t>
      </w:r>
      <w:r w:rsidR="00C67FDA">
        <w:rPr>
          <w:noProof/>
          <w:szCs w:val="19"/>
          <w:lang w:val="en-GB" w:eastAsia="pl-PL"/>
        </w:rPr>
        <w:t xml:space="preserve">nder </w:t>
      </w:r>
      <w:r w:rsidRPr="00A92164">
        <w:rPr>
          <w:noProof/>
          <w:szCs w:val="19"/>
          <w:lang w:val="en-GB" w:eastAsia="pl-PL"/>
        </w:rPr>
        <w:t>18 years of age in 2020 was a</w:t>
      </w:r>
      <w:r w:rsidR="008A3A03">
        <w:rPr>
          <w:noProof/>
          <w:szCs w:val="19"/>
          <w:lang w:val="en-GB" w:eastAsia="pl-PL"/>
        </w:rPr>
        <w:t>bout</w:t>
      </w:r>
      <w:r w:rsidRPr="00A92164">
        <w:rPr>
          <w:noProof/>
          <w:szCs w:val="19"/>
          <w:lang w:val="en-GB" w:eastAsia="pl-PL"/>
        </w:rPr>
        <w:t xml:space="preserve"> 6%.</w:t>
      </w:r>
    </w:p>
    <w:p w14:paraId="6648CB30" w14:textId="1DB84B13" w:rsidR="008A3A03" w:rsidRPr="00ED369B" w:rsidRDefault="00A92164" w:rsidP="00A92164">
      <w:pPr>
        <w:spacing w:before="240" w:after="80" w:line="240" w:lineRule="auto"/>
        <w:rPr>
          <w:noProof/>
          <w:szCs w:val="19"/>
          <w:lang w:val="en-GB" w:eastAsia="pl-PL"/>
        </w:rPr>
      </w:pPr>
      <w:r w:rsidRPr="00A92164">
        <w:rPr>
          <w:noProof/>
          <w:szCs w:val="19"/>
          <w:lang w:val="en-GB" w:eastAsia="pl-PL"/>
        </w:rPr>
        <w:t>The inhabitants of rural areas</w:t>
      </w:r>
      <w:r w:rsidR="00BB745A">
        <w:rPr>
          <w:noProof/>
          <w:szCs w:val="19"/>
          <w:lang w:val="en-GB" w:eastAsia="pl-PL"/>
        </w:rPr>
        <w:t xml:space="preserve"> </w:t>
      </w:r>
      <w:r w:rsidRPr="00A92164">
        <w:rPr>
          <w:noProof/>
          <w:szCs w:val="19"/>
          <w:lang w:val="en-GB" w:eastAsia="pl-PL"/>
        </w:rPr>
        <w:t xml:space="preserve">were characterized by expenses lower than the extreme poverty </w:t>
      </w:r>
      <w:r w:rsidR="00BB745A">
        <w:rPr>
          <w:noProof/>
          <w:szCs w:val="19"/>
          <w:lang w:val="en-GB" w:eastAsia="pl-PL"/>
        </w:rPr>
        <w:t xml:space="preserve">line </w:t>
      </w:r>
      <w:r w:rsidRPr="00A92164">
        <w:rPr>
          <w:noProof/>
          <w:szCs w:val="19"/>
          <w:lang w:val="en-GB" w:eastAsia="pl-PL"/>
        </w:rPr>
        <w:t xml:space="preserve">more often than city dwellers. </w:t>
      </w:r>
      <w:r w:rsidR="00BB745A">
        <w:rPr>
          <w:noProof/>
          <w:szCs w:val="19"/>
          <w:lang w:val="en-GB" w:eastAsia="pl-PL"/>
        </w:rPr>
        <w:t>The extreme po</w:t>
      </w:r>
      <w:r w:rsidR="00530C8E">
        <w:rPr>
          <w:noProof/>
          <w:szCs w:val="19"/>
          <w:lang w:val="en-GB" w:eastAsia="pl-PL"/>
        </w:rPr>
        <w:t>verty rate in rural areas was 9.</w:t>
      </w:r>
      <w:bookmarkStart w:id="1" w:name="_GoBack"/>
      <w:bookmarkEnd w:id="1"/>
      <w:r w:rsidR="00BB745A">
        <w:rPr>
          <w:noProof/>
          <w:szCs w:val="19"/>
          <w:lang w:val="en-GB" w:eastAsia="pl-PL"/>
        </w:rPr>
        <w:t xml:space="preserve">5%. </w:t>
      </w:r>
      <w:r w:rsidRPr="00A92164">
        <w:rPr>
          <w:noProof/>
          <w:szCs w:val="19"/>
          <w:lang w:val="en-GB" w:eastAsia="pl-PL"/>
        </w:rPr>
        <w:lastRenderedPageBreak/>
        <w:t xml:space="preserve">For comparison, in </w:t>
      </w:r>
      <w:r w:rsidR="00D06C0A">
        <w:rPr>
          <w:noProof/>
          <w:szCs w:val="19"/>
          <w:lang w:val="en-GB" w:eastAsia="pl-PL"/>
        </w:rPr>
        <w:t xml:space="preserve">urban areas </w:t>
      </w:r>
      <w:r w:rsidRPr="00A92164">
        <w:rPr>
          <w:noProof/>
          <w:szCs w:val="19"/>
          <w:lang w:val="en-GB" w:eastAsia="pl-PL"/>
        </w:rPr>
        <w:t xml:space="preserve">over 2% of </w:t>
      </w:r>
      <w:r w:rsidR="00D06C0A">
        <w:rPr>
          <w:noProof/>
          <w:szCs w:val="19"/>
          <w:lang w:val="en-GB" w:eastAsia="pl-PL"/>
        </w:rPr>
        <w:t xml:space="preserve">inhabitatnts </w:t>
      </w:r>
      <w:r w:rsidRPr="00A92164">
        <w:rPr>
          <w:noProof/>
          <w:szCs w:val="19"/>
          <w:lang w:val="en-GB" w:eastAsia="pl-PL"/>
        </w:rPr>
        <w:t xml:space="preserve">were affected </w:t>
      </w:r>
      <w:r w:rsidR="00D06C0A">
        <w:rPr>
          <w:noProof/>
          <w:szCs w:val="19"/>
          <w:lang w:val="en-GB" w:eastAsia="pl-PL"/>
        </w:rPr>
        <w:t xml:space="preserve">by extreme poverty </w:t>
      </w:r>
      <w:r w:rsidRPr="00A92164">
        <w:rPr>
          <w:noProof/>
          <w:szCs w:val="19"/>
          <w:lang w:val="en-GB" w:eastAsia="pl-PL"/>
        </w:rPr>
        <w:t>(depending on cit</w:t>
      </w:r>
      <w:r w:rsidR="00D06C0A">
        <w:rPr>
          <w:noProof/>
          <w:szCs w:val="19"/>
          <w:lang w:val="en-GB" w:eastAsia="pl-PL"/>
        </w:rPr>
        <w:t>y size</w:t>
      </w:r>
      <w:r w:rsidRPr="00A92164">
        <w:rPr>
          <w:noProof/>
          <w:szCs w:val="19"/>
          <w:lang w:val="en-GB" w:eastAsia="pl-PL"/>
        </w:rPr>
        <w:t>, the poverty rate ranged from a</w:t>
      </w:r>
      <w:r w:rsidR="00D06C0A">
        <w:rPr>
          <w:noProof/>
          <w:szCs w:val="19"/>
          <w:lang w:val="en-GB" w:eastAsia="pl-PL"/>
        </w:rPr>
        <w:t>bout</w:t>
      </w:r>
      <w:r w:rsidRPr="00A92164">
        <w:rPr>
          <w:noProof/>
          <w:szCs w:val="19"/>
          <w:lang w:val="en-GB" w:eastAsia="pl-PL"/>
        </w:rPr>
        <w:t xml:space="preserve"> </w:t>
      </w:r>
      <w:r w:rsidRPr="00D06C0A">
        <w:rPr>
          <w:noProof/>
          <w:szCs w:val="19"/>
          <w:lang w:val="en-GB" w:eastAsia="pl-PL"/>
        </w:rPr>
        <w:t>1% to a</w:t>
      </w:r>
      <w:r w:rsidR="00D06C0A" w:rsidRPr="00D06C0A">
        <w:rPr>
          <w:noProof/>
          <w:szCs w:val="19"/>
          <w:lang w:val="en-GB" w:eastAsia="pl-PL"/>
        </w:rPr>
        <w:t>b</w:t>
      </w:r>
      <w:r w:rsidR="00D06C0A">
        <w:rPr>
          <w:noProof/>
          <w:szCs w:val="19"/>
          <w:lang w:val="en-GB" w:eastAsia="pl-PL"/>
        </w:rPr>
        <w:t>out</w:t>
      </w:r>
      <w:r w:rsidRPr="00D06C0A">
        <w:rPr>
          <w:noProof/>
          <w:szCs w:val="19"/>
          <w:lang w:val="en-GB" w:eastAsia="pl-PL"/>
        </w:rPr>
        <w:t xml:space="preserve"> </w:t>
      </w:r>
      <w:r w:rsidRPr="00ED369B">
        <w:rPr>
          <w:noProof/>
          <w:szCs w:val="19"/>
          <w:lang w:val="en-GB" w:eastAsia="pl-PL"/>
        </w:rPr>
        <w:t>4%).</w:t>
      </w:r>
    </w:p>
    <w:p w14:paraId="11A7EA33" w14:textId="77777777" w:rsidR="00951AE7" w:rsidRPr="00951AE7" w:rsidRDefault="00951AE7" w:rsidP="00951AE7">
      <w:pPr>
        <w:spacing w:before="200" w:line="240" w:lineRule="auto"/>
        <w:rPr>
          <w:noProof/>
          <w:szCs w:val="19"/>
          <w:lang w:val="en-GB" w:eastAsia="pl-PL"/>
        </w:rPr>
      </w:pPr>
      <w:r w:rsidRPr="00951AE7">
        <w:rPr>
          <w:noProof/>
          <w:szCs w:val="19"/>
          <w:lang w:val="en" w:eastAsia="pl-PL"/>
        </w:rPr>
        <w:t xml:space="preserve">In 2020, the lowest extreme poverty </w:t>
      </w:r>
      <w:r>
        <w:rPr>
          <w:noProof/>
          <w:szCs w:val="19"/>
          <w:lang w:val="en" w:eastAsia="pl-PL"/>
        </w:rPr>
        <w:t xml:space="preserve">rates </w:t>
      </w:r>
      <w:r w:rsidRPr="00951AE7">
        <w:rPr>
          <w:noProof/>
          <w:szCs w:val="19"/>
          <w:lang w:val="en" w:eastAsia="pl-PL"/>
        </w:rPr>
        <w:t>in terms of the main source of income were recorded among self-employed households (a</w:t>
      </w:r>
      <w:r>
        <w:rPr>
          <w:noProof/>
          <w:szCs w:val="19"/>
          <w:lang w:val="en" w:eastAsia="pl-PL"/>
        </w:rPr>
        <w:t>bout</w:t>
      </w:r>
      <w:r w:rsidRPr="00951AE7">
        <w:rPr>
          <w:noProof/>
          <w:szCs w:val="19"/>
          <w:lang w:val="en" w:eastAsia="pl-PL"/>
        </w:rPr>
        <w:t xml:space="preserve"> 3%). Extreme poverty was least often experienced by people in households where the head of the household had higher education (a</w:t>
      </w:r>
      <w:r>
        <w:rPr>
          <w:noProof/>
          <w:szCs w:val="19"/>
          <w:lang w:val="en" w:eastAsia="pl-PL"/>
        </w:rPr>
        <w:t>bout</w:t>
      </w:r>
      <w:r w:rsidRPr="00951AE7">
        <w:rPr>
          <w:noProof/>
          <w:szCs w:val="19"/>
          <w:lang w:val="en" w:eastAsia="pl-PL"/>
        </w:rPr>
        <w:t xml:space="preserve"> 2%). A low level of extreme poverty (over 1% of the poor) was characteristic for single-person households, married couples</w:t>
      </w:r>
      <w:r w:rsidR="00D95102">
        <w:rPr>
          <w:rStyle w:val="Odwoanieprzypisudolnego"/>
          <w:noProof/>
          <w:szCs w:val="19"/>
          <w:lang w:val="en" w:eastAsia="pl-PL"/>
        </w:rPr>
        <w:footnoteReference w:id="7"/>
      </w:r>
      <w:r w:rsidRPr="00951AE7">
        <w:rPr>
          <w:noProof/>
          <w:szCs w:val="19"/>
          <w:lang w:val="en" w:eastAsia="pl-PL"/>
        </w:rPr>
        <w:t xml:space="preserve"> without children or with one dependent child</w:t>
      </w:r>
      <w:r w:rsidRPr="00951AE7">
        <w:rPr>
          <w:noProof/>
          <w:szCs w:val="19"/>
          <w:lang w:val="en-GB" w:eastAsia="pl-PL"/>
        </w:rPr>
        <w:t>.</w:t>
      </w:r>
      <w:r w:rsidR="005D27C2">
        <w:rPr>
          <w:rStyle w:val="Odwoanieprzypisudolnego"/>
          <w:noProof/>
          <w:szCs w:val="19"/>
          <w:lang w:val="en-GB" w:eastAsia="pl-PL"/>
        </w:rPr>
        <w:footnoteReference w:id="8"/>
      </w:r>
      <w:r w:rsidRPr="00951AE7">
        <w:rPr>
          <w:noProof/>
          <w:szCs w:val="19"/>
          <w:lang w:val="en" w:eastAsia="pl-PL"/>
        </w:rPr>
        <w:t xml:space="preserve"> The low poverty rate (a</w:t>
      </w:r>
      <w:r>
        <w:rPr>
          <w:noProof/>
          <w:szCs w:val="19"/>
          <w:lang w:val="en" w:eastAsia="pl-PL"/>
        </w:rPr>
        <w:t>bout</w:t>
      </w:r>
      <w:r w:rsidRPr="00951AE7">
        <w:rPr>
          <w:noProof/>
          <w:szCs w:val="19"/>
          <w:lang w:val="en" w:eastAsia="pl-PL"/>
        </w:rPr>
        <w:t xml:space="preserve"> 1-2%) was also recorded (as mentioned above) among urban residents, with the exception of </w:t>
      </w:r>
      <w:r w:rsidR="003E61A2">
        <w:rPr>
          <w:noProof/>
          <w:szCs w:val="19"/>
          <w:lang w:val="en" w:eastAsia="pl-PL"/>
        </w:rPr>
        <w:t xml:space="preserve">towns </w:t>
      </w:r>
      <w:r w:rsidRPr="00951AE7">
        <w:rPr>
          <w:noProof/>
          <w:szCs w:val="19"/>
          <w:lang w:val="en" w:eastAsia="pl-PL"/>
        </w:rPr>
        <w:t xml:space="preserve">with less than 20,000 inhabitants. </w:t>
      </w:r>
    </w:p>
    <w:p w14:paraId="71D0605F" w14:textId="77777777" w:rsidR="00D35294" w:rsidRPr="00184CD0" w:rsidRDefault="00184CD0" w:rsidP="00D35294">
      <w:pPr>
        <w:spacing w:before="200" w:line="240" w:lineRule="auto"/>
        <w:rPr>
          <w:b/>
          <w:noProof/>
          <w:color w:val="001D77"/>
          <w:szCs w:val="19"/>
          <w:lang w:val="en-GB" w:eastAsia="pl-PL"/>
        </w:rPr>
      </w:pPr>
      <w:r w:rsidRPr="00184CD0">
        <w:rPr>
          <w:b/>
          <w:noProof/>
          <w:color w:val="001D77"/>
          <w:szCs w:val="19"/>
          <w:lang w:val="en-GB" w:eastAsia="pl-PL"/>
        </w:rPr>
        <w:t>Changes in the extreme poverty rate in 20</w:t>
      </w:r>
      <w:r>
        <w:rPr>
          <w:b/>
          <w:noProof/>
          <w:color w:val="001D77"/>
          <w:szCs w:val="19"/>
          <w:lang w:val="en-GB" w:eastAsia="pl-PL"/>
        </w:rPr>
        <w:t>20</w:t>
      </w:r>
      <w:r w:rsidRPr="00184CD0">
        <w:rPr>
          <w:b/>
          <w:noProof/>
          <w:color w:val="001D77"/>
          <w:szCs w:val="19"/>
          <w:lang w:val="en-GB" w:eastAsia="pl-PL"/>
        </w:rPr>
        <w:t>. How did the poverty rates among different population groups changed</w:t>
      </w:r>
      <w:r w:rsidR="00D35294" w:rsidRPr="00184CD0">
        <w:rPr>
          <w:b/>
          <w:noProof/>
          <w:color w:val="001D77"/>
          <w:szCs w:val="19"/>
          <w:lang w:val="en-GB" w:eastAsia="pl-PL"/>
        </w:rPr>
        <w:t>?</w:t>
      </w:r>
    </w:p>
    <w:p w14:paraId="620DFF0A" w14:textId="77777777" w:rsidR="00E15DFD" w:rsidRPr="00CE1B20" w:rsidRDefault="00855F0D" w:rsidP="00D35294">
      <w:pPr>
        <w:spacing w:before="200" w:line="240" w:lineRule="auto"/>
        <w:rPr>
          <w:noProof/>
          <w:szCs w:val="19"/>
          <w:lang w:val="en-GB" w:eastAsia="pl-PL"/>
        </w:rPr>
      </w:pPr>
      <w:r w:rsidRPr="00855F0D">
        <w:rPr>
          <w:noProof/>
          <w:szCs w:val="19"/>
          <w:lang w:val="en-GB" w:eastAsia="pl-PL"/>
        </w:rPr>
        <w:t xml:space="preserve">If we take into account the absolute changes in </w:t>
      </w:r>
      <w:r w:rsidR="00883CE6">
        <w:rPr>
          <w:noProof/>
          <w:szCs w:val="19"/>
          <w:lang w:val="en-GB" w:eastAsia="pl-PL"/>
        </w:rPr>
        <w:t>p</w:t>
      </w:r>
      <w:r w:rsidRPr="00855F0D">
        <w:rPr>
          <w:noProof/>
          <w:szCs w:val="19"/>
          <w:lang w:val="en-GB" w:eastAsia="pl-PL"/>
        </w:rPr>
        <w:t xml:space="preserve">overty </w:t>
      </w:r>
      <w:r w:rsidR="00883CE6">
        <w:rPr>
          <w:noProof/>
          <w:szCs w:val="19"/>
          <w:lang w:val="en-GB" w:eastAsia="pl-PL"/>
        </w:rPr>
        <w:t xml:space="preserve">rates </w:t>
      </w:r>
      <w:r w:rsidRPr="00855F0D">
        <w:rPr>
          <w:noProof/>
          <w:szCs w:val="19"/>
          <w:lang w:val="en-GB" w:eastAsia="pl-PL"/>
        </w:rPr>
        <w:t>between 2020 and 2019, expressed in p</w:t>
      </w:r>
      <w:r w:rsidR="00883CE6">
        <w:rPr>
          <w:noProof/>
          <w:szCs w:val="19"/>
          <w:lang w:val="en-GB" w:eastAsia="pl-PL"/>
        </w:rPr>
        <w:t>.p.,</w:t>
      </w:r>
      <w:r w:rsidRPr="00855F0D">
        <w:rPr>
          <w:noProof/>
          <w:szCs w:val="19"/>
          <w:lang w:val="en-GB" w:eastAsia="pl-PL"/>
        </w:rPr>
        <w:t xml:space="preserve"> it turns out that the highest increase in the extreme poverty rate was recorded in the case of farmers' households (by less than 4 p</w:t>
      </w:r>
      <w:r w:rsidR="00666655">
        <w:rPr>
          <w:noProof/>
          <w:szCs w:val="19"/>
          <w:lang w:val="en-GB" w:eastAsia="pl-PL"/>
        </w:rPr>
        <w:t>.</w:t>
      </w:r>
      <w:r w:rsidRPr="00855F0D">
        <w:rPr>
          <w:noProof/>
          <w:szCs w:val="19"/>
          <w:lang w:val="en-GB" w:eastAsia="pl-PL"/>
        </w:rPr>
        <w:t>p</w:t>
      </w:r>
      <w:r w:rsidR="00666655">
        <w:rPr>
          <w:noProof/>
          <w:szCs w:val="19"/>
          <w:lang w:val="en-GB" w:eastAsia="pl-PL"/>
        </w:rPr>
        <w:t>.</w:t>
      </w:r>
      <w:r w:rsidRPr="00855F0D">
        <w:rPr>
          <w:noProof/>
          <w:szCs w:val="19"/>
          <w:lang w:val="en-GB" w:eastAsia="pl-PL"/>
        </w:rPr>
        <w:t xml:space="preserve">) and households living on </w:t>
      </w:r>
      <w:r w:rsidR="00666655">
        <w:rPr>
          <w:noProof/>
          <w:szCs w:val="19"/>
          <w:lang w:val="en-GB" w:eastAsia="pl-PL"/>
        </w:rPr>
        <w:t>unearned</w:t>
      </w:r>
      <w:r w:rsidRPr="00855F0D">
        <w:rPr>
          <w:noProof/>
          <w:szCs w:val="19"/>
          <w:lang w:val="en-GB" w:eastAsia="pl-PL"/>
        </w:rPr>
        <w:t xml:space="preserve"> sources (almost 3 p</w:t>
      </w:r>
      <w:r w:rsidR="00666655">
        <w:rPr>
          <w:noProof/>
          <w:szCs w:val="19"/>
          <w:lang w:val="en-GB" w:eastAsia="pl-PL"/>
        </w:rPr>
        <w:t>.p.</w:t>
      </w:r>
      <w:r w:rsidRPr="00855F0D">
        <w:rPr>
          <w:noProof/>
          <w:szCs w:val="19"/>
          <w:lang w:val="en-GB" w:eastAsia="pl-PL"/>
        </w:rPr>
        <w:t xml:space="preserve">). </w:t>
      </w:r>
      <w:r w:rsidR="00CE1B20">
        <w:rPr>
          <w:noProof/>
          <w:szCs w:val="19"/>
          <w:lang w:val="en-GB" w:eastAsia="pl-PL"/>
        </w:rPr>
        <w:t xml:space="preserve">Smaller </w:t>
      </w:r>
      <w:r w:rsidR="00666655">
        <w:rPr>
          <w:noProof/>
          <w:szCs w:val="19"/>
          <w:lang w:val="en-GB" w:eastAsia="pl-PL"/>
        </w:rPr>
        <w:t xml:space="preserve">increase </w:t>
      </w:r>
      <w:r w:rsidR="00CE1B20">
        <w:rPr>
          <w:noProof/>
          <w:szCs w:val="19"/>
          <w:lang w:val="en-GB" w:eastAsia="pl-PL"/>
        </w:rPr>
        <w:t xml:space="preserve">in poverty rate, </w:t>
      </w:r>
      <w:r w:rsidR="00666655">
        <w:rPr>
          <w:noProof/>
          <w:szCs w:val="19"/>
          <w:lang w:val="en-GB" w:eastAsia="pl-PL"/>
        </w:rPr>
        <w:t xml:space="preserve">by </w:t>
      </w:r>
      <w:r w:rsidRPr="00855F0D">
        <w:rPr>
          <w:noProof/>
          <w:szCs w:val="19"/>
          <w:lang w:val="en-GB" w:eastAsia="pl-PL"/>
        </w:rPr>
        <w:t>about 2 p</w:t>
      </w:r>
      <w:r w:rsidR="00666655">
        <w:rPr>
          <w:noProof/>
          <w:szCs w:val="19"/>
          <w:lang w:val="en-GB" w:eastAsia="pl-PL"/>
        </w:rPr>
        <w:t>.p.</w:t>
      </w:r>
      <w:r w:rsidR="00CE1B20">
        <w:rPr>
          <w:noProof/>
          <w:szCs w:val="19"/>
          <w:lang w:val="en-GB" w:eastAsia="pl-PL"/>
        </w:rPr>
        <w:t>,</w:t>
      </w:r>
      <w:r w:rsidRPr="00855F0D">
        <w:rPr>
          <w:noProof/>
          <w:szCs w:val="19"/>
          <w:lang w:val="en-GB" w:eastAsia="pl-PL"/>
        </w:rPr>
        <w:t xml:space="preserve"> </w:t>
      </w:r>
      <w:r w:rsidR="00666655">
        <w:rPr>
          <w:noProof/>
          <w:szCs w:val="19"/>
          <w:lang w:val="en-GB" w:eastAsia="pl-PL"/>
        </w:rPr>
        <w:t xml:space="preserve">referred to </w:t>
      </w:r>
      <w:r w:rsidRPr="00855F0D">
        <w:rPr>
          <w:noProof/>
          <w:szCs w:val="19"/>
          <w:lang w:val="en-GB" w:eastAsia="pl-PL"/>
        </w:rPr>
        <w:t>households of pensioners</w:t>
      </w:r>
      <w:r w:rsidR="00666655">
        <w:rPr>
          <w:noProof/>
          <w:szCs w:val="19"/>
          <w:lang w:val="en-GB" w:eastAsia="pl-PL"/>
        </w:rPr>
        <w:t xml:space="preserve"> </w:t>
      </w:r>
      <w:r w:rsidR="00CE1B20">
        <w:rPr>
          <w:noProof/>
          <w:szCs w:val="19"/>
          <w:lang w:val="en-GB" w:eastAsia="pl-PL"/>
        </w:rPr>
        <w:t>as well as ho</w:t>
      </w:r>
      <w:r w:rsidRPr="00855F0D">
        <w:rPr>
          <w:noProof/>
          <w:szCs w:val="19"/>
          <w:lang w:val="en-GB" w:eastAsia="pl-PL"/>
        </w:rPr>
        <w:t>useholds with at least three children under the age of 18</w:t>
      </w:r>
      <w:r w:rsidR="00CE1B20">
        <w:rPr>
          <w:noProof/>
          <w:szCs w:val="19"/>
          <w:lang w:val="en-GB" w:eastAsia="pl-PL"/>
        </w:rPr>
        <w:t xml:space="preserve">. An increase in extreme poverty rate by about 2 p.p. was </w:t>
      </w:r>
      <w:r w:rsidR="00EE786D">
        <w:rPr>
          <w:noProof/>
          <w:szCs w:val="19"/>
          <w:lang w:val="en-GB" w:eastAsia="pl-PL"/>
        </w:rPr>
        <w:t xml:space="preserve">also </w:t>
      </w:r>
      <w:r w:rsidR="00CE1B20">
        <w:rPr>
          <w:noProof/>
          <w:szCs w:val="19"/>
          <w:lang w:val="en-GB" w:eastAsia="pl-PL"/>
        </w:rPr>
        <w:t xml:space="preserve">observed among </w:t>
      </w:r>
      <w:r w:rsidRPr="00855F0D">
        <w:rPr>
          <w:noProof/>
          <w:szCs w:val="19"/>
          <w:lang w:val="en-GB" w:eastAsia="pl-PL"/>
        </w:rPr>
        <w:t>inhabitants of rural areas and the smallest towns (below 20 thousand inhabitants)</w:t>
      </w:r>
      <w:r w:rsidR="00CE1B20">
        <w:rPr>
          <w:noProof/>
          <w:szCs w:val="19"/>
          <w:lang w:val="en-GB" w:eastAsia="pl-PL"/>
        </w:rPr>
        <w:t>.</w:t>
      </w:r>
      <w:r w:rsidR="00EE49FD" w:rsidRPr="00D5188B">
        <w:rPr>
          <w:noProof/>
          <w:color w:val="FF0000"/>
          <w:szCs w:val="19"/>
          <w:lang w:eastAsia="pl-PL"/>
        </w:rPr>
        <mc:AlternateContent>
          <mc:Choice Requires="wps">
            <w:drawing>
              <wp:anchor distT="45720" distB="45720" distL="114300" distR="114300" simplePos="0" relativeHeight="251837440" behindDoc="0" locked="0" layoutInCell="1" allowOverlap="1" wp14:anchorId="1DC2EA60" wp14:editId="59A62012">
                <wp:simplePos x="0" y="0"/>
                <wp:positionH relativeFrom="margin">
                  <wp:posOffset>5284573</wp:posOffset>
                </wp:positionH>
                <wp:positionV relativeFrom="paragraph">
                  <wp:posOffset>40503</wp:posOffset>
                </wp:positionV>
                <wp:extent cx="1569492" cy="1804086"/>
                <wp:effectExtent l="0" t="0" r="0" b="5715"/>
                <wp:wrapNone/>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492" cy="1804086"/>
                        </a:xfrm>
                        <a:prstGeom prst="rect">
                          <a:avLst/>
                        </a:prstGeom>
                        <a:noFill/>
                        <a:ln w="9525">
                          <a:noFill/>
                          <a:miter lim="800000"/>
                          <a:headEnd/>
                          <a:tailEnd/>
                        </a:ln>
                      </wps:spPr>
                      <wps:txbx>
                        <w:txbxContent>
                          <w:p w14:paraId="260B621F" w14:textId="77777777" w:rsidR="00EE49FD" w:rsidRPr="00274187" w:rsidRDefault="00274187" w:rsidP="00EE49FD">
                            <w:pPr>
                              <w:suppressAutoHyphens/>
                              <w:rPr>
                                <w:color w:val="001D77"/>
                                <w:sz w:val="18"/>
                                <w:szCs w:val="18"/>
                                <w:lang w:val="en-GB"/>
                              </w:rPr>
                            </w:pPr>
                            <w:r w:rsidRPr="00274187">
                              <w:rPr>
                                <w:color w:val="001D77"/>
                                <w:sz w:val="18"/>
                                <w:szCs w:val="18"/>
                                <w:lang w:val="en-GB"/>
                              </w:rPr>
                              <w:t xml:space="preserve">The increase in the extent of extreme poverty observed in 2020, the year of the COVID-19 pandemic, based on household </w:t>
                            </w:r>
                            <w:r>
                              <w:rPr>
                                <w:color w:val="001D77"/>
                                <w:sz w:val="18"/>
                                <w:szCs w:val="18"/>
                                <w:lang w:val="en-GB"/>
                              </w:rPr>
                              <w:t>expenditure</w:t>
                            </w:r>
                            <w:r w:rsidRPr="00274187">
                              <w:rPr>
                                <w:color w:val="001D77"/>
                                <w:sz w:val="18"/>
                                <w:szCs w:val="18"/>
                                <w:lang w:val="en-GB"/>
                              </w:rPr>
                              <w:t>, affected most of the population groups under consideration, with the level of change varying.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2EA60" id="_x0000_s1033" type="#_x0000_t202" style="position:absolute;margin-left:416.1pt;margin-top:3.2pt;width:123.6pt;height:142.05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" filled="f" stroked="f">
                <v:textbox>
                  <w:txbxContent>
                    <w:p w14:paraId="260B621F" w14:textId="77777777" w:rsidR="00EE49FD" w:rsidRPr="00274187" w:rsidRDefault="00274187" w:rsidP="00EE49FD">
                      <w:pPr>
                        <w:suppressAutoHyphens/>
                        <w:rPr>
                          <w:color w:val="001D77"/>
                          <w:sz w:val="18"/>
                          <w:szCs w:val="18"/>
                          <w:lang w:val="en-GB"/>
                        </w:rPr>
                      </w:pPr>
                      <w:r w:rsidRPr="00274187">
                        <w:rPr>
                          <w:color w:val="001D77"/>
                          <w:sz w:val="18"/>
                          <w:szCs w:val="18"/>
                          <w:lang w:val="en-GB"/>
                        </w:rPr>
                        <w:t xml:space="preserve">The increase in the extent of extreme poverty observed in 2020, the year of the COVID-19 pandemic, based on household </w:t>
                      </w:r>
                      <w:r>
                        <w:rPr>
                          <w:color w:val="001D77"/>
                          <w:sz w:val="18"/>
                          <w:szCs w:val="18"/>
                          <w:lang w:val="en-GB"/>
                        </w:rPr>
                        <w:t>expenditure</w:t>
                      </w:r>
                      <w:r w:rsidRPr="00274187">
                        <w:rPr>
                          <w:color w:val="001D77"/>
                          <w:sz w:val="18"/>
                          <w:szCs w:val="18"/>
                          <w:lang w:val="en-GB"/>
                        </w:rPr>
                        <w:t>, affected most of the population groups under consideration, with the level of change varying.</w:t>
                      </w:r>
                    </w:p>
                  </w:txbxContent>
                </v:textbox>
                <w10:wrap anchorx="margin"/>
              </v:shape>
            </w:pict>
          </mc:Fallback>
        </mc:AlternateContent>
      </w:r>
    </w:p>
    <w:p w14:paraId="4DFE1D71" w14:textId="5718F92F" w:rsidR="00EC2E24" w:rsidRDefault="00EC2E24" w:rsidP="00D35294">
      <w:pPr>
        <w:spacing w:before="200" w:line="240" w:lineRule="auto"/>
        <w:rPr>
          <w:noProof/>
          <w:szCs w:val="19"/>
          <w:lang w:val="en-GB" w:eastAsia="pl-PL"/>
        </w:rPr>
      </w:pPr>
      <w:r>
        <w:rPr>
          <w:noProof/>
          <w:szCs w:val="19"/>
          <w:lang w:val="en-GB" w:eastAsia="pl-PL"/>
        </w:rPr>
        <w:t>I</w:t>
      </w:r>
      <w:r w:rsidRPr="00EC2E24">
        <w:rPr>
          <w:noProof/>
          <w:szCs w:val="19"/>
          <w:lang w:val="en-GB" w:eastAsia="pl-PL"/>
        </w:rPr>
        <w:t>n the case of the remaining population groups taken into account in the analysis, the values of the poverty rates in 2020 were at a similar level as in 2019, or the observed changes did not exceed 1.5 p</w:t>
      </w:r>
      <w:r>
        <w:rPr>
          <w:noProof/>
          <w:szCs w:val="19"/>
          <w:lang w:val="en-GB" w:eastAsia="pl-PL"/>
        </w:rPr>
        <w:t>.p.</w:t>
      </w:r>
    </w:p>
    <w:p w14:paraId="5562ECA1" w14:textId="3DD3A330" w:rsidR="00F34898" w:rsidRPr="00193EC1" w:rsidRDefault="009549CB" w:rsidP="00F34898">
      <w:pPr>
        <w:rPr>
          <w:lang w:val="en-US"/>
        </w:rPr>
      </w:pPr>
      <w:r w:rsidRPr="00D3456A">
        <w:rPr>
          <w:lang w:val="en-GB"/>
        </w:rPr>
        <w:t xml:space="preserve">The data discussed above (and </w:t>
      </w:r>
      <w:r w:rsidR="00466642" w:rsidRPr="00D3456A">
        <w:rPr>
          <w:lang w:val="en-GB"/>
        </w:rPr>
        <w:t>visible</w:t>
      </w:r>
      <w:r w:rsidR="00EE3685" w:rsidRPr="00D3456A">
        <w:rPr>
          <w:lang w:val="en-GB"/>
        </w:rPr>
        <w:t xml:space="preserve"> </w:t>
      </w:r>
      <w:r w:rsidRPr="00D3456A">
        <w:rPr>
          <w:lang w:val="en-GB"/>
        </w:rPr>
        <w:t xml:space="preserve">in </w:t>
      </w:r>
      <w:r w:rsidR="00EE3685" w:rsidRPr="00D3456A">
        <w:rPr>
          <w:lang w:val="en-GB"/>
        </w:rPr>
        <w:t>Charts</w:t>
      </w:r>
      <w:r w:rsidRPr="00D3456A">
        <w:rPr>
          <w:lang w:val="en-GB"/>
        </w:rPr>
        <w:t xml:space="preserve"> 5-11) concerning changes in the values of extreme poverty rates do not fully reflect the pace</w:t>
      </w:r>
      <w:r w:rsidR="00F34898" w:rsidRPr="00D3456A">
        <w:rPr>
          <w:lang w:val="en-GB"/>
        </w:rPr>
        <w:t>,</w:t>
      </w:r>
      <w:r w:rsidRPr="00D3456A">
        <w:rPr>
          <w:lang w:val="en-GB"/>
        </w:rPr>
        <w:t xml:space="preserve"> dynamics of change of this phenomenon in </w:t>
      </w:r>
      <w:r w:rsidR="00EE3685" w:rsidRPr="00D3456A">
        <w:rPr>
          <w:lang w:val="en-GB"/>
        </w:rPr>
        <w:t>particular</w:t>
      </w:r>
      <w:r w:rsidRPr="00D3456A">
        <w:rPr>
          <w:lang w:val="en-GB"/>
        </w:rPr>
        <w:t xml:space="preserve"> population groups. Such an assessment is possible </w:t>
      </w:r>
      <w:r w:rsidR="00F34898" w:rsidRPr="00D3456A">
        <w:rPr>
          <w:lang w:val="en-GB"/>
        </w:rPr>
        <w:t>through the use of</w:t>
      </w:r>
      <w:r w:rsidRPr="00D3456A">
        <w:rPr>
          <w:lang w:val="en-GB"/>
        </w:rPr>
        <w:t xml:space="preserve"> the dynamics indicators</w:t>
      </w:r>
      <w:r w:rsidR="00F34898" w:rsidRPr="00D3456A">
        <w:rPr>
          <w:rStyle w:val="Odwoanieprzypisudolnego"/>
          <w:lang w:val="en-GB"/>
        </w:rPr>
        <w:footnoteReference w:id="9"/>
      </w:r>
      <w:r w:rsidRPr="00D3456A">
        <w:rPr>
          <w:lang w:val="en-GB"/>
        </w:rPr>
        <w:t xml:space="preserve">. </w:t>
      </w:r>
      <w:r w:rsidR="00EE3685" w:rsidRPr="00D3456A">
        <w:rPr>
          <w:lang w:val="en-GB"/>
        </w:rPr>
        <w:t>Based on them, it can be said that the greatest dynamics of change (relative increase) in the extent of extreme poverty in 2020, compared to the previous year, was recorded in the case of households in which the head had a tertiary or secondary education, among residents of the largest</w:t>
      </w:r>
      <w:r w:rsidR="00F34898" w:rsidRPr="00D3456A">
        <w:rPr>
          <w:lang w:val="en-GB"/>
        </w:rPr>
        <w:t xml:space="preserve"> cites</w:t>
      </w:r>
      <w:r w:rsidR="00EE3685" w:rsidRPr="00D3456A">
        <w:rPr>
          <w:lang w:val="en-GB"/>
        </w:rPr>
        <w:t xml:space="preserve"> (500 thousand and more inhabitants) and smallest towns (with a population below 20 thousand) as well as among single-parent families. Both in 2019 and 2020, these were groups characterized by markedly lower than the national average values of extreme poverty rates.</w:t>
      </w:r>
      <w:r w:rsidR="00F34898" w:rsidRPr="00193EC1">
        <w:rPr>
          <w:lang w:val="en-US"/>
        </w:rPr>
        <w:t xml:space="preserve"> </w:t>
      </w:r>
    </w:p>
    <w:p w14:paraId="1DB36D5C" w14:textId="77777777" w:rsidR="00F34898" w:rsidRPr="00193EC1" w:rsidRDefault="00F34898" w:rsidP="00F34898">
      <w:pPr>
        <w:rPr>
          <w:lang w:val="en-US"/>
        </w:rPr>
      </w:pPr>
    </w:p>
    <w:p w14:paraId="59E88BDB" w14:textId="77777777" w:rsidR="00837116" w:rsidRPr="00A70224" w:rsidRDefault="00837116" w:rsidP="00D35294">
      <w:pPr>
        <w:spacing w:before="200" w:line="240" w:lineRule="auto"/>
        <w:rPr>
          <w:noProof/>
          <w:szCs w:val="19"/>
          <w:lang w:val="en-GB" w:eastAsia="pl-PL"/>
        </w:rPr>
      </w:pPr>
    </w:p>
    <w:p w14:paraId="494A4406" w14:textId="77777777" w:rsidR="00E63984" w:rsidRPr="00BE1C58" w:rsidRDefault="00284F5F" w:rsidP="00E74509">
      <w:pPr>
        <w:keepNext/>
        <w:spacing w:before="240" w:line="240" w:lineRule="auto"/>
        <w:rPr>
          <w:noProof/>
          <w:sz w:val="18"/>
          <w:szCs w:val="19"/>
          <w:lang w:val="en-GB" w:eastAsia="pl-PL"/>
        </w:rPr>
      </w:pPr>
      <w:r w:rsidRPr="00BE1C58">
        <w:rPr>
          <w:b/>
          <w:noProof/>
          <w:sz w:val="18"/>
          <w:szCs w:val="19"/>
          <w:lang w:val="en-GB" w:eastAsia="pl-PL"/>
        </w:rPr>
        <w:lastRenderedPageBreak/>
        <w:t>Chart</w:t>
      </w:r>
      <w:r w:rsidR="00E63984" w:rsidRPr="00BE1C58">
        <w:rPr>
          <w:b/>
          <w:noProof/>
          <w:sz w:val="18"/>
          <w:szCs w:val="19"/>
          <w:lang w:val="en-GB" w:eastAsia="pl-PL"/>
        </w:rPr>
        <w:t xml:space="preserve"> </w:t>
      </w:r>
      <w:r w:rsidR="00C1559E" w:rsidRPr="00BE1C58">
        <w:rPr>
          <w:b/>
          <w:noProof/>
          <w:sz w:val="18"/>
          <w:szCs w:val="19"/>
          <w:lang w:val="en-GB" w:eastAsia="pl-PL"/>
        </w:rPr>
        <w:t>5</w:t>
      </w:r>
      <w:r w:rsidR="00E63984" w:rsidRPr="00BE1C58">
        <w:rPr>
          <w:b/>
          <w:noProof/>
          <w:sz w:val="18"/>
          <w:szCs w:val="19"/>
          <w:lang w:val="en-GB" w:eastAsia="pl-PL"/>
        </w:rPr>
        <w:t xml:space="preserve">. </w:t>
      </w:r>
      <w:r w:rsidR="00BE1C58" w:rsidRPr="00BE1C58">
        <w:rPr>
          <w:b/>
          <w:noProof/>
          <w:sz w:val="18"/>
          <w:szCs w:val="19"/>
          <w:lang w:val="en-GB" w:eastAsia="pl-PL"/>
        </w:rPr>
        <w:t xml:space="preserve">Extreme poverty rate in </w:t>
      </w:r>
      <w:r w:rsidR="00E63984" w:rsidRPr="00BE1C58">
        <w:rPr>
          <w:b/>
          <w:noProof/>
          <w:sz w:val="18"/>
          <w:szCs w:val="19"/>
          <w:lang w:val="en-GB" w:eastAsia="pl-PL"/>
        </w:rPr>
        <w:t>201</w:t>
      </w:r>
      <w:r w:rsidR="002416B9" w:rsidRPr="00BE1C58">
        <w:rPr>
          <w:b/>
          <w:noProof/>
          <w:sz w:val="18"/>
          <w:szCs w:val="19"/>
          <w:lang w:val="en-GB" w:eastAsia="pl-PL"/>
        </w:rPr>
        <w:t>9</w:t>
      </w:r>
      <w:r w:rsidR="00E63984" w:rsidRPr="00BE1C58">
        <w:rPr>
          <w:b/>
          <w:noProof/>
          <w:sz w:val="18"/>
          <w:szCs w:val="19"/>
          <w:lang w:val="en-GB" w:eastAsia="pl-PL"/>
        </w:rPr>
        <w:t xml:space="preserve"> </w:t>
      </w:r>
      <w:r w:rsidR="00BE1C58" w:rsidRPr="00BE1C58">
        <w:rPr>
          <w:b/>
          <w:noProof/>
          <w:sz w:val="18"/>
          <w:szCs w:val="19"/>
          <w:lang w:val="en-GB" w:eastAsia="pl-PL"/>
        </w:rPr>
        <w:t xml:space="preserve">and </w:t>
      </w:r>
      <w:r w:rsidR="00E63984" w:rsidRPr="00BE1C58">
        <w:rPr>
          <w:b/>
          <w:noProof/>
          <w:sz w:val="18"/>
          <w:szCs w:val="19"/>
          <w:lang w:val="en-GB" w:eastAsia="pl-PL"/>
        </w:rPr>
        <w:t>20</w:t>
      </w:r>
      <w:r w:rsidR="002416B9" w:rsidRPr="00BE1C58">
        <w:rPr>
          <w:b/>
          <w:noProof/>
          <w:sz w:val="18"/>
          <w:szCs w:val="19"/>
          <w:lang w:val="en-GB" w:eastAsia="pl-PL"/>
        </w:rPr>
        <w:t>20</w:t>
      </w:r>
      <w:r w:rsidR="00E63984" w:rsidRPr="00BE1C58">
        <w:rPr>
          <w:b/>
          <w:noProof/>
          <w:sz w:val="18"/>
          <w:szCs w:val="19"/>
          <w:lang w:val="en-GB" w:eastAsia="pl-PL"/>
        </w:rPr>
        <w:t xml:space="preserve"> </w:t>
      </w:r>
      <w:r w:rsidR="00BE1C58">
        <w:rPr>
          <w:b/>
          <w:noProof/>
          <w:sz w:val="18"/>
          <w:szCs w:val="19"/>
          <w:lang w:val="en-GB" w:eastAsia="pl-PL"/>
        </w:rPr>
        <w:t>by socio-economic groups</w:t>
      </w:r>
    </w:p>
    <w:p w14:paraId="4120707F" w14:textId="77777777" w:rsidR="00B15BF3" w:rsidRDefault="000065AB" w:rsidP="00E63984">
      <w:pPr>
        <w:spacing w:before="240" w:line="240" w:lineRule="auto"/>
        <w:rPr>
          <w:b/>
          <w:noProof/>
          <w:sz w:val="18"/>
          <w:szCs w:val="19"/>
          <w:lang w:eastAsia="pl-PL"/>
        </w:rPr>
      </w:pPr>
      <w:r>
        <w:rPr>
          <w:noProof/>
          <w:lang w:eastAsia="pl-PL"/>
        </w:rPr>
        <w:drawing>
          <wp:inline distT="0" distB="0" distL="0" distR="0" wp14:anchorId="5529300C" wp14:editId="28253093">
            <wp:extent cx="5040000" cy="2935599"/>
            <wp:effectExtent l="0" t="0" r="8255" b="1778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630B9" w:rsidRPr="00F531E1">
        <w:rPr>
          <w:noProof/>
          <w:color w:val="001D77"/>
          <w:szCs w:val="19"/>
          <w:lang w:eastAsia="pl-PL"/>
        </w:rPr>
        <mc:AlternateContent>
          <mc:Choice Requires="wps">
            <w:drawing>
              <wp:anchor distT="45720" distB="45720" distL="114300" distR="114300" simplePos="0" relativeHeight="251825152" behindDoc="0" locked="0" layoutInCell="1" allowOverlap="1" wp14:anchorId="35C546AD" wp14:editId="6C353B6E">
                <wp:simplePos x="0" y="0"/>
                <wp:positionH relativeFrom="page">
                  <wp:posOffset>5878766</wp:posOffset>
                </wp:positionH>
                <wp:positionV relativeFrom="paragraph">
                  <wp:posOffset>78131</wp:posOffset>
                </wp:positionV>
                <wp:extent cx="1485900" cy="131064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10640"/>
                        </a:xfrm>
                        <a:prstGeom prst="rect">
                          <a:avLst/>
                        </a:prstGeom>
                        <a:noFill/>
                        <a:ln w="9525">
                          <a:noFill/>
                          <a:miter lim="800000"/>
                          <a:headEnd/>
                          <a:tailEnd/>
                        </a:ln>
                      </wps:spPr>
                      <wps:txbx>
                        <w:txbxContent>
                          <w:p w14:paraId="6AD26BAC" w14:textId="77777777" w:rsidR="000630B9" w:rsidRPr="00330E56" w:rsidRDefault="000630B9" w:rsidP="000630B9">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C546AD" id="_x0000_s1034" type="#_x0000_t202" style="position:absolute;margin-left:462.9pt;margin-top:6.15pt;width:117pt;height:103.2pt;z-index:2518251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" filled="f" stroked="f">
                <v:textbox style="mso-fit-shape-to-text:t">
                  <w:txbxContent>
                    <w:p w14:paraId="6AD26BAC" w14:textId="77777777" w:rsidR="000630B9" w:rsidRPr="00330E56" w:rsidRDefault="000630B9" w:rsidP="000630B9">
                      <w:pPr>
                        <w:suppressAutoHyphens/>
                        <w:rPr>
                          <w:color w:val="001D77"/>
                          <w:sz w:val="18"/>
                        </w:rPr>
                      </w:pPr>
                    </w:p>
                  </w:txbxContent>
                </v:textbox>
                <w10:wrap anchorx="page"/>
              </v:shape>
            </w:pict>
          </mc:Fallback>
        </mc:AlternateContent>
      </w:r>
    </w:p>
    <w:p w14:paraId="14889B92" w14:textId="77777777" w:rsidR="00E63984" w:rsidRPr="00731574" w:rsidRDefault="00BE1C58" w:rsidP="002353DF">
      <w:pPr>
        <w:keepNext/>
        <w:spacing w:before="240" w:line="240" w:lineRule="auto"/>
        <w:rPr>
          <w:noProof/>
          <w:szCs w:val="19"/>
          <w:vertAlign w:val="superscript"/>
          <w:lang w:val="en-GB" w:eastAsia="pl-PL"/>
        </w:rPr>
      </w:pPr>
      <w:r w:rsidRPr="00731574">
        <w:rPr>
          <w:b/>
          <w:noProof/>
          <w:sz w:val="18"/>
          <w:szCs w:val="19"/>
          <w:lang w:val="en-GB" w:eastAsia="pl-PL"/>
        </w:rPr>
        <w:t xml:space="preserve">Chart </w:t>
      </w:r>
      <w:r w:rsidR="00C1559E" w:rsidRPr="00731574">
        <w:rPr>
          <w:b/>
          <w:noProof/>
          <w:sz w:val="18"/>
          <w:szCs w:val="19"/>
          <w:lang w:val="en-GB" w:eastAsia="pl-PL"/>
        </w:rPr>
        <w:t>6</w:t>
      </w:r>
      <w:r w:rsidR="00E63984" w:rsidRPr="00731574">
        <w:rPr>
          <w:b/>
          <w:noProof/>
          <w:sz w:val="18"/>
          <w:szCs w:val="19"/>
          <w:lang w:val="en-GB" w:eastAsia="pl-PL"/>
        </w:rPr>
        <w:t xml:space="preserve">. </w:t>
      </w:r>
      <w:r w:rsidRPr="00BE1C58">
        <w:rPr>
          <w:b/>
          <w:noProof/>
          <w:sz w:val="18"/>
          <w:szCs w:val="19"/>
          <w:lang w:val="en-GB" w:eastAsia="pl-PL"/>
        </w:rPr>
        <w:t xml:space="preserve">Extreme poverty rate in 2019 and 2020 </w:t>
      </w:r>
      <w:r>
        <w:rPr>
          <w:b/>
          <w:noProof/>
          <w:sz w:val="18"/>
          <w:szCs w:val="19"/>
          <w:lang w:val="en-GB" w:eastAsia="pl-PL"/>
        </w:rPr>
        <w:t xml:space="preserve">by </w:t>
      </w:r>
      <w:r w:rsidR="00731574">
        <w:rPr>
          <w:b/>
          <w:noProof/>
          <w:sz w:val="18"/>
          <w:szCs w:val="19"/>
          <w:lang w:val="en-GB" w:eastAsia="pl-PL"/>
        </w:rPr>
        <w:t>household types</w:t>
      </w:r>
      <w:r w:rsidR="009B1280" w:rsidRPr="00731574">
        <w:rPr>
          <w:b/>
          <w:noProof/>
          <w:sz w:val="18"/>
          <w:szCs w:val="19"/>
          <w:vertAlign w:val="superscript"/>
          <w:lang w:val="en-GB" w:eastAsia="pl-PL"/>
        </w:rPr>
        <w:t>a</w:t>
      </w:r>
    </w:p>
    <w:p w14:paraId="57C4E4F0" w14:textId="77777777" w:rsidR="009B1280" w:rsidRDefault="000065AB" w:rsidP="00C54E5E">
      <w:pPr>
        <w:spacing w:before="240" w:line="240" w:lineRule="auto"/>
        <w:rPr>
          <w:b/>
          <w:noProof/>
          <w:sz w:val="18"/>
          <w:szCs w:val="19"/>
          <w:lang w:eastAsia="pl-PL"/>
        </w:rPr>
      </w:pPr>
      <w:r>
        <w:rPr>
          <w:noProof/>
          <w:lang w:eastAsia="pl-PL"/>
        </w:rPr>
        <w:drawing>
          <wp:inline distT="0" distB="0" distL="0" distR="0" wp14:anchorId="5135C9F8" wp14:editId="17921539">
            <wp:extent cx="5122545" cy="2908935"/>
            <wp:effectExtent l="0" t="0" r="1905" b="571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78FAE2B" w14:textId="77777777" w:rsidR="003E620C" w:rsidRPr="00D9204A" w:rsidRDefault="009B1280" w:rsidP="003E620C">
      <w:pPr>
        <w:spacing w:before="60" w:after="60" w:line="240" w:lineRule="auto"/>
        <w:jc w:val="both"/>
        <w:rPr>
          <w:rFonts w:eastAsia="Times New Roman" w:cs="Arial"/>
          <w:color w:val="000000"/>
          <w:sz w:val="16"/>
          <w:szCs w:val="16"/>
          <w:lang w:val="en-US" w:eastAsia="pl-PL"/>
        </w:rPr>
      </w:pPr>
      <w:r w:rsidRPr="00D9204A">
        <w:rPr>
          <w:sz w:val="16"/>
          <w:szCs w:val="16"/>
          <w:vertAlign w:val="superscript"/>
          <w:lang w:val="en-GB"/>
        </w:rPr>
        <w:t xml:space="preserve">a </w:t>
      </w:r>
      <w:r w:rsidR="003E620C" w:rsidRPr="00D9204A">
        <w:rPr>
          <w:rFonts w:eastAsia="Times New Roman" w:cs="Arial"/>
          <w:iCs/>
          <w:color w:val="000000"/>
          <w:sz w:val="16"/>
          <w:szCs w:val="16"/>
          <w:lang w:val="en-US" w:eastAsia="pl-PL"/>
        </w:rPr>
        <w:t xml:space="preserve">A dependent child is a person aged 0-14 or a person aged </w:t>
      </w:r>
      <w:r w:rsidR="003E620C" w:rsidRPr="00D9204A">
        <w:rPr>
          <w:rFonts w:eastAsia="Times New Roman" w:cs="Arial"/>
          <w:color w:val="000000"/>
          <w:sz w:val="16"/>
          <w:szCs w:val="16"/>
          <w:lang w:val="en-US" w:eastAsia="pl-PL"/>
        </w:rPr>
        <w:t>15-25 with no own source of income and not married (or not living in cohabiting couple</w:t>
      </w:r>
      <w:bookmarkStart w:id="2" w:name="_Hlk75857154"/>
      <w:r w:rsidR="003E620C" w:rsidRPr="00D9204A">
        <w:rPr>
          <w:rFonts w:eastAsia="Times New Roman" w:cs="Arial"/>
          <w:color w:val="000000"/>
          <w:sz w:val="16"/>
          <w:szCs w:val="16"/>
          <w:lang w:val="en-US" w:eastAsia="pl-PL"/>
        </w:rPr>
        <w:t>). Coh</w:t>
      </w:r>
      <w:r w:rsidR="00A70224" w:rsidRPr="00D9204A">
        <w:rPr>
          <w:rFonts w:eastAsia="Times New Roman" w:cs="Arial"/>
          <w:color w:val="000000"/>
          <w:sz w:val="16"/>
          <w:szCs w:val="16"/>
          <w:lang w:val="en-US" w:eastAsia="pl-PL"/>
        </w:rPr>
        <w:t>a</w:t>
      </w:r>
      <w:r w:rsidR="003E620C" w:rsidRPr="00D9204A">
        <w:rPr>
          <w:rFonts w:eastAsia="Times New Roman" w:cs="Arial"/>
          <w:color w:val="000000"/>
          <w:sz w:val="16"/>
          <w:szCs w:val="16"/>
          <w:lang w:val="en-US" w:eastAsia="pl-PL"/>
        </w:rPr>
        <w:t>biting couple are included in marriages.</w:t>
      </w:r>
      <w:bookmarkEnd w:id="2"/>
    </w:p>
    <w:p w14:paraId="1E197F70" w14:textId="77777777" w:rsidR="005D45EB" w:rsidRPr="00296723" w:rsidRDefault="005D45EB" w:rsidP="009B1280">
      <w:pPr>
        <w:spacing w:before="360" w:after="160" w:line="259" w:lineRule="auto"/>
        <w:rPr>
          <w:b/>
          <w:noProof/>
          <w:sz w:val="18"/>
          <w:szCs w:val="19"/>
          <w:lang w:val="en-US" w:eastAsia="pl-PL"/>
        </w:rPr>
      </w:pPr>
    </w:p>
    <w:p w14:paraId="533AC108" w14:textId="77777777" w:rsidR="005D45EB" w:rsidRPr="00296723" w:rsidRDefault="005D45EB" w:rsidP="009B1280">
      <w:pPr>
        <w:spacing w:before="360" w:after="160" w:line="259" w:lineRule="auto"/>
        <w:rPr>
          <w:b/>
          <w:noProof/>
          <w:sz w:val="18"/>
          <w:szCs w:val="19"/>
          <w:lang w:val="en-US" w:eastAsia="pl-PL"/>
        </w:rPr>
      </w:pPr>
    </w:p>
    <w:p w14:paraId="100C257A" w14:textId="77777777" w:rsidR="005D45EB" w:rsidRPr="00296723" w:rsidRDefault="005D45EB" w:rsidP="009B1280">
      <w:pPr>
        <w:spacing w:before="360" w:after="160" w:line="259" w:lineRule="auto"/>
        <w:rPr>
          <w:b/>
          <w:noProof/>
          <w:sz w:val="18"/>
          <w:szCs w:val="19"/>
          <w:lang w:val="en-US" w:eastAsia="pl-PL"/>
        </w:rPr>
      </w:pPr>
    </w:p>
    <w:p w14:paraId="3D067D6E" w14:textId="77777777" w:rsidR="005D45EB" w:rsidRPr="00296723" w:rsidRDefault="005D45EB" w:rsidP="009B1280">
      <w:pPr>
        <w:spacing w:before="360" w:after="160" w:line="259" w:lineRule="auto"/>
        <w:rPr>
          <w:b/>
          <w:noProof/>
          <w:sz w:val="18"/>
          <w:szCs w:val="19"/>
          <w:lang w:val="en-US" w:eastAsia="pl-PL"/>
        </w:rPr>
      </w:pPr>
    </w:p>
    <w:p w14:paraId="3D06C312" w14:textId="77777777" w:rsidR="005D45EB" w:rsidRPr="00296723" w:rsidRDefault="005D45EB" w:rsidP="009B1280">
      <w:pPr>
        <w:spacing w:before="360" w:after="160" w:line="259" w:lineRule="auto"/>
        <w:rPr>
          <w:b/>
          <w:noProof/>
          <w:sz w:val="18"/>
          <w:szCs w:val="19"/>
          <w:lang w:val="en-US" w:eastAsia="pl-PL"/>
        </w:rPr>
      </w:pPr>
    </w:p>
    <w:p w14:paraId="477668C6" w14:textId="77777777" w:rsidR="005D45EB" w:rsidRPr="00296723" w:rsidRDefault="005D45EB" w:rsidP="009B1280">
      <w:pPr>
        <w:spacing w:before="360" w:after="160" w:line="259" w:lineRule="auto"/>
        <w:rPr>
          <w:b/>
          <w:noProof/>
          <w:sz w:val="18"/>
          <w:szCs w:val="19"/>
          <w:lang w:val="en-US" w:eastAsia="pl-PL"/>
        </w:rPr>
      </w:pPr>
    </w:p>
    <w:p w14:paraId="249E489A" w14:textId="77777777" w:rsidR="00E63984" w:rsidRPr="001838DD" w:rsidRDefault="00BE1C58" w:rsidP="009B1280">
      <w:pPr>
        <w:spacing w:before="360" w:after="160" w:line="259" w:lineRule="auto"/>
        <w:rPr>
          <w:b/>
          <w:noProof/>
          <w:sz w:val="18"/>
          <w:szCs w:val="19"/>
          <w:lang w:val="en-GB" w:eastAsia="pl-PL"/>
        </w:rPr>
      </w:pPr>
      <w:r w:rsidRPr="00A70224">
        <w:rPr>
          <w:b/>
          <w:noProof/>
          <w:sz w:val="18"/>
          <w:szCs w:val="19"/>
          <w:lang w:val="en-GB" w:eastAsia="pl-PL"/>
        </w:rPr>
        <w:lastRenderedPageBreak/>
        <w:t xml:space="preserve">Chart </w:t>
      </w:r>
      <w:r w:rsidR="00C1559E" w:rsidRPr="00A70224">
        <w:rPr>
          <w:b/>
          <w:noProof/>
          <w:sz w:val="18"/>
          <w:szCs w:val="19"/>
          <w:lang w:val="en-GB" w:eastAsia="pl-PL"/>
        </w:rPr>
        <w:t>7</w:t>
      </w:r>
      <w:r w:rsidR="00E63984" w:rsidRPr="00A70224">
        <w:rPr>
          <w:b/>
          <w:noProof/>
          <w:sz w:val="18"/>
          <w:szCs w:val="19"/>
          <w:lang w:val="en-GB" w:eastAsia="pl-PL"/>
        </w:rPr>
        <w:t xml:space="preserve">. </w:t>
      </w:r>
      <w:r w:rsidRPr="001838DD">
        <w:rPr>
          <w:b/>
          <w:noProof/>
          <w:sz w:val="18"/>
          <w:szCs w:val="19"/>
          <w:lang w:val="en-GB" w:eastAsia="pl-PL"/>
        </w:rPr>
        <w:t xml:space="preserve">Extreme poverty rate in 2019 and 2020 </w:t>
      </w:r>
      <w:r w:rsidR="001838DD" w:rsidRPr="001838DD">
        <w:rPr>
          <w:b/>
          <w:noProof/>
          <w:sz w:val="18"/>
          <w:szCs w:val="19"/>
          <w:lang w:val="en-GB" w:eastAsia="pl-PL"/>
        </w:rPr>
        <w:t>in households with children aged 0-17</w:t>
      </w:r>
      <w:r w:rsidR="007F3B81">
        <w:rPr>
          <w:rStyle w:val="Odwoanieprzypisudolnego"/>
          <w:b/>
          <w:noProof/>
          <w:sz w:val="18"/>
          <w:szCs w:val="19"/>
          <w:lang w:val="en-GB" w:eastAsia="pl-PL"/>
        </w:rPr>
        <w:footnoteReference w:id="10"/>
      </w:r>
    </w:p>
    <w:p w14:paraId="6753F929" w14:textId="1FF802CD" w:rsidR="00E63984" w:rsidRPr="00E63984" w:rsidRDefault="00424174" w:rsidP="00E63984">
      <w:pPr>
        <w:spacing w:before="240" w:line="240" w:lineRule="auto"/>
        <w:rPr>
          <w:noProof/>
          <w:szCs w:val="19"/>
          <w:lang w:eastAsia="pl-PL"/>
        </w:rPr>
      </w:pPr>
      <w:r>
        <w:rPr>
          <w:noProof/>
          <w:lang w:eastAsia="pl-PL"/>
        </w:rPr>
        <w:drawing>
          <wp:inline distT="0" distB="0" distL="0" distR="0" wp14:anchorId="089046B2" wp14:editId="488681E3">
            <wp:extent cx="5040000" cy="2840344"/>
            <wp:effectExtent l="0" t="0" r="8255" b="1778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8A8319" w14:textId="77777777" w:rsidR="0079372F" w:rsidRPr="00BE1C58" w:rsidRDefault="00BE1C58" w:rsidP="00A27261">
      <w:pPr>
        <w:spacing w:before="240" w:after="160" w:line="259" w:lineRule="auto"/>
        <w:rPr>
          <w:noProof/>
          <w:sz w:val="18"/>
          <w:szCs w:val="19"/>
          <w:lang w:val="en-GB" w:eastAsia="pl-PL"/>
        </w:rPr>
      </w:pPr>
      <w:r>
        <w:rPr>
          <w:b/>
          <w:noProof/>
          <w:sz w:val="18"/>
          <w:szCs w:val="19"/>
          <w:lang w:val="en-GB" w:eastAsia="pl-PL"/>
        </w:rPr>
        <w:t xml:space="preserve">Chart 8. </w:t>
      </w:r>
      <w:r w:rsidRPr="00BE1C58">
        <w:rPr>
          <w:b/>
          <w:noProof/>
          <w:sz w:val="18"/>
          <w:szCs w:val="19"/>
          <w:lang w:val="en-GB" w:eastAsia="pl-PL"/>
        </w:rPr>
        <w:t xml:space="preserve">Extreme poverty rate in 2019 and 2020 </w:t>
      </w:r>
      <w:r>
        <w:rPr>
          <w:b/>
          <w:noProof/>
          <w:sz w:val="18"/>
          <w:szCs w:val="19"/>
          <w:lang w:val="en-GB" w:eastAsia="pl-PL"/>
        </w:rPr>
        <w:t xml:space="preserve">by </w:t>
      </w:r>
      <w:r w:rsidR="007F743D">
        <w:rPr>
          <w:b/>
          <w:noProof/>
          <w:sz w:val="18"/>
          <w:szCs w:val="19"/>
          <w:lang w:val="en-GB" w:eastAsia="pl-PL"/>
        </w:rPr>
        <w:t>age</w:t>
      </w:r>
    </w:p>
    <w:p w14:paraId="2BD40A75" w14:textId="77777777" w:rsidR="00F9358F" w:rsidRDefault="00A168F9" w:rsidP="0079372F">
      <w:pPr>
        <w:spacing w:before="240" w:line="240" w:lineRule="auto"/>
        <w:rPr>
          <w:b/>
          <w:noProof/>
          <w:sz w:val="18"/>
          <w:szCs w:val="19"/>
          <w:lang w:eastAsia="pl-PL"/>
        </w:rPr>
      </w:pPr>
      <w:r>
        <w:rPr>
          <w:noProof/>
          <w:lang w:eastAsia="pl-PL"/>
        </w:rPr>
        <w:drawing>
          <wp:inline distT="0" distB="0" distL="0" distR="0" wp14:anchorId="10E28186" wp14:editId="5C8FBB55">
            <wp:extent cx="5040000" cy="2105025"/>
            <wp:effectExtent l="0" t="0" r="8255" b="9525"/>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02C69C" w14:textId="77777777" w:rsidR="00000F96" w:rsidRDefault="00000F96" w:rsidP="0079372F">
      <w:pPr>
        <w:spacing w:before="240" w:line="240" w:lineRule="auto"/>
        <w:rPr>
          <w:b/>
          <w:noProof/>
          <w:sz w:val="18"/>
          <w:szCs w:val="19"/>
          <w:lang w:eastAsia="pl-PL"/>
        </w:rPr>
      </w:pPr>
    </w:p>
    <w:p w14:paraId="608A09CA" w14:textId="77777777" w:rsidR="00000F96" w:rsidRDefault="00000F96" w:rsidP="0079372F">
      <w:pPr>
        <w:spacing w:before="240" w:line="240" w:lineRule="auto"/>
        <w:rPr>
          <w:b/>
          <w:noProof/>
          <w:sz w:val="18"/>
          <w:szCs w:val="19"/>
          <w:lang w:eastAsia="pl-PL"/>
        </w:rPr>
      </w:pPr>
    </w:p>
    <w:p w14:paraId="2AA67049" w14:textId="77777777" w:rsidR="00000F96" w:rsidRDefault="00000F96" w:rsidP="0079372F">
      <w:pPr>
        <w:spacing w:before="240" w:line="240" w:lineRule="auto"/>
        <w:rPr>
          <w:b/>
          <w:noProof/>
          <w:sz w:val="18"/>
          <w:szCs w:val="19"/>
          <w:lang w:eastAsia="pl-PL"/>
        </w:rPr>
      </w:pPr>
    </w:p>
    <w:p w14:paraId="4E2E7B8F" w14:textId="77777777" w:rsidR="00000F96" w:rsidRDefault="00000F96" w:rsidP="0079372F">
      <w:pPr>
        <w:spacing w:before="240" w:line="240" w:lineRule="auto"/>
        <w:rPr>
          <w:b/>
          <w:noProof/>
          <w:sz w:val="18"/>
          <w:szCs w:val="19"/>
          <w:lang w:eastAsia="pl-PL"/>
        </w:rPr>
      </w:pPr>
    </w:p>
    <w:p w14:paraId="6846EB06" w14:textId="77777777" w:rsidR="00000F96" w:rsidRDefault="00000F96" w:rsidP="0079372F">
      <w:pPr>
        <w:spacing w:before="240" w:line="240" w:lineRule="auto"/>
        <w:rPr>
          <w:b/>
          <w:noProof/>
          <w:sz w:val="18"/>
          <w:szCs w:val="19"/>
          <w:lang w:eastAsia="pl-PL"/>
        </w:rPr>
      </w:pPr>
    </w:p>
    <w:p w14:paraId="03B3295D" w14:textId="77777777" w:rsidR="00000F96" w:rsidRDefault="00000F96" w:rsidP="0079372F">
      <w:pPr>
        <w:spacing w:before="240" w:line="240" w:lineRule="auto"/>
        <w:rPr>
          <w:b/>
          <w:noProof/>
          <w:sz w:val="18"/>
          <w:szCs w:val="19"/>
          <w:lang w:eastAsia="pl-PL"/>
        </w:rPr>
      </w:pPr>
    </w:p>
    <w:p w14:paraId="0B4682A5" w14:textId="77777777" w:rsidR="00000F96" w:rsidRDefault="00000F96" w:rsidP="0079372F">
      <w:pPr>
        <w:spacing w:before="240" w:line="240" w:lineRule="auto"/>
        <w:rPr>
          <w:b/>
          <w:noProof/>
          <w:sz w:val="18"/>
          <w:szCs w:val="19"/>
          <w:lang w:eastAsia="pl-PL"/>
        </w:rPr>
      </w:pPr>
    </w:p>
    <w:p w14:paraId="2B0EADB6" w14:textId="77777777" w:rsidR="00000F96" w:rsidRDefault="00000F96" w:rsidP="0079372F">
      <w:pPr>
        <w:spacing w:before="240" w:line="240" w:lineRule="auto"/>
        <w:rPr>
          <w:b/>
          <w:noProof/>
          <w:sz w:val="18"/>
          <w:szCs w:val="19"/>
          <w:lang w:eastAsia="pl-PL"/>
        </w:rPr>
      </w:pPr>
    </w:p>
    <w:p w14:paraId="691B988E" w14:textId="77777777" w:rsidR="00506324" w:rsidRDefault="00506324" w:rsidP="0079372F">
      <w:pPr>
        <w:spacing w:before="240" w:line="240" w:lineRule="auto"/>
        <w:rPr>
          <w:b/>
          <w:noProof/>
          <w:sz w:val="18"/>
          <w:szCs w:val="19"/>
          <w:lang w:eastAsia="pl-PL"/>
        </w:rPr>
      </w:pPr>
    </w:p>
    <w:p w14:paraId="00A20313" w14:textId="77777777" w:rsidR="0079372F" w:rsidRPr="001C54DC" w:rsidRDefault="00BE1C58" w:rsidP="0079372F">
      <w:pPr>
        <w:spacing w:before="240" w:line="240" w:lineRule="auto"/>
        <w:rPr>
          <w:noProof/>
          <w:sz w:val="18"/>
          <w:szCs w:val="19"/>
          <w:lang w:val="en-GB" w:eastAsia="pl-PL"/>
        </w:rPr>
      </w:pPr>
      <w:r w:rsidRPr="00A70224">
        <w:rPr>
          <w:b/>
          <w:noProof/>
          <w:sz w:val="18"/>
          <w:szCs w:val="19"/>
          <w:lang w:val="en-GB" w:eastAsia="pl-PL"/>
        </w:rPr>
        <w:lastRenderedPageBreak/>
        <w:t xml:space="preserve">Chart </w:t>
      </w:r>
      <w:r w:rsidR="00C1559E" w:rsidRPr="00A70224">
        <w:rPr>
          <w:b/>
          <w:noProof/>
          <w:sz w:val="18"/>
          <w:szCs w:val="19"/>
          <w:lang w:val="en-GB" w:eastAsia="pl-PL"/>
        </w:rPr>
        <w:t>9</w:t>
      </w:r>
      <w:r w:rsidR="0079372F" w:rsidRPr="00A70224">
        <w:rPr>
          <w:b/>
          <w:noProof/>
          <w:sz w:val="18"/>
          <w:szCs w:val="19"/>
          <w:lang w:val="en-GB" w:eastAsia="pl-PL"/>
        </w:rPr>
        <w:t xml:space="preserve">. </w:t>
      </w:r>
      <w:r w:rsidRPr="001C54DC">
        <w:rPr>
          <w:b/>
          <w:noProof/>
          <w:sz w:val="18"/>
          <w:szCs w:val="19"/>
          <w:lang w:val="en-GB" w:eastAsia="pl-PL"/>
        </w:rPr>
        <w:t xml:space="preserve">Extreme poverty rate in 2019 and 2020 by </w:t>
      </w:r>
      <w:r w:rsidR="001C54DC" w:rsidRPr="001C54DC">
        <w:rPr>
          <w:b/>
          <w:noProof/>
          <w:sz w:val="18"/>
          <w:szCs w:val="19"/>
          <w:lang w:val="en-GB" w:eastAsia="pl-PL"/>
        </w:rPr>
        <w:t xml:space="preserve">the presence of people with legally confirmed disabilities in a household </w:t>
      </w:r>
    </w:p>
    <w:p w14:paraId="625C97D6" w14:textId="77777777" w:rsidR="00F9358F" w:rsidRDefault="00D16EC5" w:rsidP="0079372F">
      <w:pPr>
        <w:spacing w:before="240" w:line="240" w:lineRule="auto"/>
        <w:rPr>
          <w:b/>
          <w:noProof/>
          <w:sz w:val="18"/>
          <w:szCs w:val="19"/>
          <w:lang w:eastAsia="pl-PL"/>
        </w:rPr>
      </w:pPr>
      <w:r>
        <w:rPr>
          <w:noProof/>
          <w:lang w:eastAsia="pl-PL"/>
        </w:rPr>
        <w:drawing>
          <wp:inline distT="0" distB="0" distL="0" distR="0" wp14:anchorId="11129AED" wp14:editId="11CE30EB">
            <wp:extent cx="5053383" cy="2767226"/>
            <wp:effectExtent l="0" t="0" r="13970" b="14605"/>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39E5D5" w14:textId="77777777" w:rsidR="0079372F" w:rsidRPr="002A0FF3" w:rsidRDefault="005E7A67" w:rsidP="002A0FF3">
      <w:pPr>
        <w:keepNext/>
        <w:rPr>
          <w:noProof/>
          <w:lang w:val="en-US" w:eastAsia="pl-PL"/>
        </w:rPr>
      </w:pPr>
      <w:r>
        <w:rPr>
          <w:noProof/>
          <w:szCs w:val="19"/>
          <w:lang w:eastAsia="pl-PL"/>
        </w:rPr>
        <mc:AlternateContent>
          <mc:Choice Requires="wps">
            <w:drawing>
              <wp:anchor distT="45720" distB="45720" distL="114300" distR="114300" simplePos="0" relativeHeight="251801600" behindDoc="0" locked="0" layoutInCell="1" allowOverlap="1" wp14:anchorId="2E377167" wp14:editId="20064194">
                <wp:simplePos x="0" y="0"/>
                <wp:positionH relativeFrom="column">
                  <wp:posOffset>5214194</wp:posOffset>
                </wp:positionH>
                <wp:positionV relativeFrom="paragraph">
                  <wp:posOffset>142211</wp:posOffset>
                </wp:positionV>
                <wp:extent cx="1758315" cy="1920240"/>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920240"/>
                        </a:xfrm>
                        <a:prstGeom prst="rect">
                          <a:avLst/>
                        </a:prstGeom>
                        <a:noFill/>
                        <a:ln w="9525">
                          <a:noFill/>
                          <a:miter lim="800000"/>
                          <a:headEnd/>
                          <a:tailEnd/>
                        </a:ln>
                      </wps:spPr>
                      <wps:txbx>
                        <w:txbxContent>
                          <w:p w14:paraId="423B97B5" w14:textId="77777777" w:rsidR="004F7C9F" w:rsidRPr="00330E56" w:rsidRDefault="004F7C9F" w:rsidP="005E7A67">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377167" id="_x0000_s1035" type="#_x0000_t202" style="position:absolute;margin-left:410.55pt;margin-top:11.2pt;width:138.45pt;height:151.2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" filled="f" stroked="f">
                <v:textbox style="mso-fit-shape-to-text:t">
                  <w:txbxContent>
                    <w:p w14:paraId="423B97B5" w14:textId="77777777" w:rsidR="004F7C9F" w:rsidRPr="00330E56" w:rsidRDefault="004F7C9F" w:rsidP="005E7A67">
                      <w:pPr>
                        <w:suppressAutoHyphens/>
                        <w:rPr>
                          <w:color w:val="001D77"/>
                          <w:sz w:val="18"/>
                        </w:rPr>
                      </w:pPr>
                    </w:p>
                  </w:txbxContent>
                </v:textbox>
              </v:shape>
            </w:pict>
          </mc:Fallback>
        </mc:AlternateContent>
      </w:r>
      <w:r w:rsidR="002A0FF3" w:rsidRPr="00A70224">
        <w:rPr>
          <w:b/>
          <w:noProof/>
          <w:sz w:val="18"/>
          <w:szCs w:val="19"/>
          <w:lang w:val="en-GB" w:eastAsia="pl-PL"/>
        </w:rPr>
        <w:t xml:space="preserve">Chart </w:t>
      </w:r>
      <w:r w:rsidR="00C1559E" w:rsidRPr="00A70224">
        <w:rPr>
          <w:b/>
          <w:noProof/>
          <w:sz w:val="18"/>
          <w:szCs w:val="19"/>
          <w:lang w:val="en-GB" w:eastAsia="pl-PL"/>
        </w:rPr>
        <w:t>10</w:t>
      </w:r>
      <w:r w:rsidR="0079372F" w:rsidRPr="00A70224">
        <w:rPr>
          <w:b/>
          <w:noProof/>
          <w:sz w:val="18"/>
          <w:szCs w:val="19"/>
          <w:lang w:val="en-GB" w:eastAsia="pl-PL"/>
        </w:rPr>
        <w:t xml:space="preserve">. </w:t>
      </w:r>
      <w:r w:rsidR="002A0FF3" w:rsidRPr="002A0FF3">
        <w:rPr>
          <w:b/>
          <w:noProof/>
          <w:sz w:val="18"/>
          <w:szCs w:val="19"/>
          <w:lang w:val="en-GB" w:eastAsia="pl-PL"/>
        </w:rPr>
        <w:t xml:space="preserve">Extreme poverty rate in </w:t>
      </w:r>
      <w:r w:rsidR="0079372F" w:rsidRPr="002A0FF3">
        <w:rPr>
          <w:b/>
          <w:noProof/>
          <w:sz w:val="18"/>
          <w:szCs w:val="19"/>
          <w:lang w:val="en-GB" w:eastAsia="pl-PL"/>
        </w:rPr>
        <w:t>201</w:t>
      </w:r>
      <w:r w:rsidR="00587BF0" w:rsidRPr="002A0FF3">
        <w:rPr>
          <w:b/>
          <w:noProof/>
          <w:sz w:val="18"/>
          <w:szCs w:val="19"/>
          <w:lang w:val="en-GB" w:eastAsia="pl-PL"/>
        </w:rPr>
        <w:t>9</w:t>
      </w:r>
      <w:r w:rsidR="0079372F" w:rsidRPr="002A0FF3">
        <w:rPr>
          <w:b/>
          <w:noProof/>
          <w:sz w:val="18"/>
          <w:szCs w:val="19"/>
          <w:lang w:val="en-GB" w:eastAsia="pl-PL"/>
        </w:rPr>
        <w:t xml:space="preserve"> </w:t>
      </w:r>
      <w:r w:rsidR="002A0FF3" w:rsidRPr="002A0FF3">
        <w:rPr>
          <w:b/>
          <w:noProof/>
          <w:sz w:val="18"/>
          <w:szCs w:val="19"/>
          <w:lang w:val="en-GB" w:eastAsia="pl-PL"/>
        </w:rPr>
        <w:t xml:space="preserve">and </w:t>
      </w:r>
      <w:r w:rsidR="0079372F" w:rsidRPr="002A0FF3">
        <w:rPr>
          <w:b/>
          <w:noProof/>
          <w:sz w:val="18"/>
          <w:szCs w:val="19"/>
          <w:lang w:val="en-GB" w:eastAsia="pl-PL"/>
        </w:rPr>
        <w:t>20</w:t>
      </w:r>
      <w:r w:rsidR="00587BF0" w:rsidRPr="002A0FF3">
        <w:rPr>
          <w:b/>
          <w:noProof/>
          <w:sz w:val="18"/>
          <w:szCs w:val="19"/>
          <w:lang w:val="en-GB" w:eastAsia="pl-PL"/>
        </w:rPr>
        <w:t>20</w:t>
      </w:r>
      <w:r w:rsidR="0079372F" w:rsidRPr="002A0FF3">
        <w:rPr>
          <w:b/>
          <w:noProof/>
          <w:sz w:val="18"/>
          <w:szCs w:val="19"/>
          <w:lang w:val="en-GB" w:eastAsia="pl-PL"/>
        </w:rPr>
        <w:t xml:space="preserve"> </w:t>
      </w:r>
      <w:r w:rsidR="002A0FF3" w:rsidRPr="002A0FF3">
        <w:rPr>
          <w:b/>
          <w:noProof/>
          <w:sz w:val="18"/>
          <w:szCs w:val="19"/>
          <w:lang w:val="en-GB" w:eastAsia="pl-PL"/>
        </w:rPr>
        <w:t xml:space="preserve">by </w:t>
      </w:r>
      <w:r w:rsidR="002A0FF3">
        <w:rPr>
          <w:b/>
          <w:lang w:val="en-GB" w:eastAsia="pl-PL"/>
        </w:rPr>
        <w:t xml:space="preserve">education level of the head of the household </w:t>
      </w:r>
    </w:p>
    <w:p w14:paraId="6932C955" w14:textId="77777777" w:rsidR="001A195E" w:rsidRPr="00A2475E" w:rsidRDefault="00D16EC5" w:rsidP="0079372F">
      <w:pPr>
        <w:spacing w:before="240" w:line="240" w:lineRule="auto"/>
        <w:rPr>
          <w:noProof/>
          <w:sz w:val="18"/>
          <w:szCs w:val="19"/>
          <w:lang w:eastAsia="pl-PL"/>
        </w:rPr>
      </w:pPr>
      <w:r>
        <w:rPr>
          <w:noProof/>
          <w:lang w:eastAsia="pl-PL"/>
        </w:rPr>
        <w:drawing>
          <wp:inline distT="0" distB="0" distL="0" distR="0" wp14:anchorId="2B0E9758" wp14:editId="69D0D6DE">
            <wp:extent cx="5040000" cy="2683759"/>
            <wp:effectExtent l="0" t="0" r="8255" b="254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B317CB">
        <w:rPr>
          <w:noProof/>
          <w:szCs w:val="19"/>
          <w:lang w:eastAsia="pl-PL"/>
        </w:rPr>
        <mc:AlternateContent>
          <mc:Choice Requires="wps">
            <w:drawing>
              <wp:anchor distT="45720" distB="45720" distL="114300" distR="114300" simplePos="0" relativeHeight="251835392" behindDoc="0" locked="0" layoutInCell="1" allowOverlap="1" wp14:anchorId="0BD002EE" wp14:editId="460D16BD">
                <wp:simplePos x="0" y="0"/>
                <wp:positionH relativeFrom="margin">
                  <wp:posOffset>5372100</wp:posOffset>
                </wp:positionH>
                <wp:positionV relativeFrom="paragraph">
                  <wp:posOffset>48260</wp:posOffset>
                </wp:positionV>
                <wp:extent cx="1390650" cy="192024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920240"/>
                        </a:xfrm>
                        <a:prstGeom prst="rect">
                          <a:avLst/>
                        </a:prstGeom>
                        <a:noFill/>
                        <a:ln w="9525">
                          <a:noFill/>
                          <a:miter lim="800000"/>
                          <a:headEnd/>
                          <a:tailEnd/>
                        </a:ln>
                      </wps:spPr>
                      <wps:txbx>
                        <w:txbxContent>
                          <w:p w14:paraId="111CEECC" w14:textId="77777777" w:rsidR="00B317CB" w:rsidRPr="00B921FC" w:rsidRDefault="00B317CB" w:rsidP="00B317CB">
                            <w:pPr>
                              <w:suppressAutoHyphens/>
                              <w:rPr>
                                <w:color w:val="001D77"/>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002EE" id="_x0000_s1036" type="#_x0000_t202" style="position:absolute;margin-left:423pt;margin-top:3.8pt;width:109.5pt;height:151.2pt;z-index:251835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" filled="f" stroked="f">
                <v:textbox style="mso-fit-shape-to-text:t">
                  <w:txbxContent>
                    <w:p w14:paraId="111CEECC" w14:textId="77777777" w:rsidR="00B317CB" w:rsidRPr="00B921FC" w:rsidRDefault="00B317CB" w:rsidP="00B317CB">
                      <w:pPr>
                        <w:suppressAutoHyphens/>
                        <w:rPr>
                          <w:color w:val="001D77"/>
                          <w:sz w:val="18"/>
                          <w:szCs w:val="18"/>
                        </w:rPr>
                      </w:pPr>
                    </w:p>
                  </w:txbxContent>
                </v:textbox>
                <w10:wrap anchorx="margin"/>
              </v:shape>
            </w:pict>
          </mc:Fallback>
        </mc:AlternateContent>
      </w:r>
    </w:p>
    <w:p w14:paraId="6D2AFAAD" w14:textId="77777777" w:rsidR="00000F96" w:rsidRDefault="00000F96" w:rsidP="000C040F">
      <w:pPr>
        <w:spacing w:before="240" w:line="240" w:lineRule="auto"/>
        <w:rPr>
          <w:b/>
          <w:noProof/>
          <w:sz w:val="18"/>
          <w:szCs w:val="19"/>
          <w:lang w:val="en-GB" w:eastAsia="pl-PL"/>
        </w:rPr>
      </w:pPr>
    </w:p>
    <w:p w14:paraId="24DFBDB4" w14:textId="77777777" w:rsidR="00000F96" w:rsidRDefault="00000F96" w:rsidP="000C040F">
      <w:pPr>
        <w:spacing w:before="240" w:line="240" w:lineRule="auto"/>
        <w:rPr>
          <w:b/>
          <w:noProof/>
          <w:sz w:val="18"/>
          <w:szCs w:val="19"/>
          <w:lang w:val="en-GB" w:eastAsia="pl-PL"/>
        </w:rPr>
      </w:pPr>
    </w:p>
    <w:p w14:paraId="367D69CC" w14:textId="77777777" w:rsidR="00000F96" w:rsidRDefault="00000F96" w:rsidP="000C040F">
      <w:pPr>
        <w:spacing w:before="240" w:line="240" w:lineRule="auto"/>
        <w:rPr>
          <w:b/>
          <w:noProof/>
          <w:sz w:val="18"/>
          <w:szCs w:val="19"/>
          <w:lang w:val="en-GB" w:eastAsia="pl-PL"/>
        </w:rPr>
      </w:pPr>
    </w:p>
    <w:p w14:paraId="045094EC" w14:textId="77777777" w:rsidR="00000F96" w:rsidRDefault="00000F96" w:rsidP="000C040F">
      <w:pPr>
        <w:spacing w:before="240" w:line="240" w:lineRule="auto"/>
        <w:rPr>
          <w:b/>
          <w:noProof/>
          <w:sz w:val="18"/>
          <w:szCs w:val="19"/>
          <w:lang w:val="en-GB" w:eastAsia="pl-PL"/>
        </w:rPr>
      </w:pPr>
    </w:p>
    <w:p w14:paraId="226DE519" w14:textId="77777777" w:rsidR="00000F96" w:rsidRDefault="00000F96" w:rsidP="000C040F">
      <w:pPr>
        <w:spacing w:before="240" w:line="240" w:lineRule="auto"/>
        <w:rPr>
          <w:b/>
          <w:noProof/>
          <w:sz w:val="18"/>
          <w:szCs w:val="19"/>
          <w:lang w:val="en-GB" w:eastAsia="pl-PL"/>
        </w:rPr>
      </w:pPr>
    </w:p>
    <w:p w14:paraId="6CFAAEDF" w14:textId="77777777" w:rsidR="00000F96" w:rsidRDefault="00000F96" w:rsidP="000C040F">
      <w:pPr>
        <w:spacing w:before="240" w:line="240" w:lineRule="auto"/>
        <w:rPr>
          <w:b/>
          <w:noProof/>
          <w:sz w:val="18"/>
          <w:szCs w:val="19"/>
          <w:lang w:val="en-GB" w:eastAsia="pl-PL"/>
        </w:rPr>
      </w:pPr>
    </w:p>
    <w:p w14:paraId="68138317" w14:textId="77777777" w:rsidR="00000F96" w:rsidRDefault="00000F96" w:rsidP="000C040F">
      <w:pPr>
        <w:spacing w:before="240" w:line="240" w:lineRule="auto"/>
        <w:rPr>
          <w:b/>
          <w:noProof/>
          <w:sz w:val="18"/>
          <w:szCs w:val="19"/>
          <w:lang w:val="en-GB" w:eastAsia="pl-PL"/>
        </w:rPr>
      </w:pPr>
    </w:p>
    <w:p w14:paraId="4F9900B7" w14:textId="77777777" w:rsidR="00000F96" w:rsidRDefault="00000F96" w:rsidP="000C040F">
      <w:pPr>
        <w:spacing w:before="240" w:line="240" w:lineRule="auto"/>
        <w:rPr>
          <w:b/>
          <w:noProof/>
          <w:sz w:val="18"/>
          <w:szCs w:val="19"/>
          <w:lang w:val="en-GB" w:eastAsia="pl-PL"/>
        </w:rPr>
      </w:pPr>
    </w:p>
    <w:p w14:paraId="3BBD53E2" w14:textId="77777777" w:rsidR="00000F96" w:rsidRDefault="00000F96" w:rsidP="000C040F">
      <w:pPr>
        <w:spacing w:before="240" w:line="240" w:lineRule="auto"/>
        <w:rPr>
          <w:b/>
          <w:noProof/>
          <w:sz w:val="18"/>
          <w:szCs w:val="19"/>
          <w:lang w:val="en-GB" w:eastAsia="pl-PL"/>
        </w:rPr>
      </w:pPr>
    </w:p>
    <w:p w14:paraId="6947D20D" w14:textId="77777777" w:rsidR="00000F96" w:rsidRDefault="00000F96" w:rsidP="000C040F">
      <w:pPr>
        <w:spacing w:before="240" w:line="240" w:lineRule="auto"/>
        <w:rPr>
          <w:b/>
          <w:noProof/>
          <w:sz w:val="18"/>
          <w:szCs w:val="19"/>
          <w:lang w:val="en-GB" w:eastAsia="pl-PL"/>
        </w:rPr>
      </w:pPr>
    </w:p>
    <w:p w14:paraId="5C62C17B" w14:textId="77777777" w:rsidR="0079372F" w:rsidRPr="00B74340" w:rsidRDefault="002A0FF3" w:rsidP="000C040F">
      <w:pPr>
        <w:spacing w:before="240" w:line="240" w:lineRule="auto"/>
        <w:rPr>
          <w:b/>
          <w:noProof/>
          <w:sz w:val="18"/>
          <w:szCs w:val="19"/>
          <w:lang w:val="en-GB" w:eastAsia="pl-PL"/>
        </w:rPr>
      </w:pPr>
      <w:r w:rsidRPr="00B74340">
        <w:rPr>
          <w:b/>
          <w:noProof/>
          <w:sz w:val="18"/>
          <w:szCs w:val="19"/>
          <w:lang w:val="en-GB" w:eastAsia="pl-PL"/>
        </w:rPr>
        <w:lastRenderedPageBreak/>
        <w:t>Chart</w:t>
      </w:r>
      <w:r w:rsidR="0079372F" w:rsidRPr="00B74340">
        <w:rPr>
          <w:b/>
          <w:noProof/>
          <w:sz w:val="18"/>
          <w:szCs w:val="19"/>
          <w:lang w:val="en-GB" w:eastAsia="pl-PL"/>
        </w:rPr>
        <w:t xml:space="preserve"> </w:t>
      </w:r>
      <w:r w:rsidR="00C1559E" w:rsidRPr="00B74340">
        <w:rPr>
          <w:b/>
          <w:noProof/>
          <w:sz w:val="18"/>
          <w:szCs w:val="19"/>
          <w:lang w:val="en-GB" w:eastAsia="pl-PL"/>
        </w:rPr>
        <w:t>11</w:t>
      </w:r>
      <w:r w:rsidRPr="00B74340">
        <w:rPr>
          <w:b/>
          <w:noProof/>
          <w:sz w:val="18"/>
          <w:szCs w:val="19"/>
          <w:lang w:val="en-GB" w:eastAsia="pl-PL"/>
        </w:rPr>
        <w:t>.</w:t>
      </w:r>
      <w:r w:rsidR="0079372F" w:rsidRPr="00B74340">
        <w:rPr>
          <w:b/>
          <w:noProof/>
          <w:sz w:val="18"/>
          <w:szCs w:val="19"/>
          <w:lang w:val="en-GB" w:eastAsia="pl-PL"/>
        </w:rPr>
        <w:t xml:space="preserve"> </w:t>
      </w:r>
      <w:r w:rsidRPr="00B74340">
        <w:rPr>
          <w:b/>
          <w:noProof/>
          <w:sz w:val="18"/>
          <w:szCs w:val="19"/>
          <w:lang w:val="en-GB" w:eastAsia="pl-PL"/>
        </w:rPr>
        <w:t xml:space="preserve">Extreme poverty rate in </w:t>
      </w:r>
      <w:r w:rsidR="0079372F" w:rsidRPr="00B74340">
        <w:rPr>
          <w:b/>
          <w:noProof/>
          <w:sz w:val="18"/>
          <w:szCs w:val="19"/>
          <w:lang w:val="en-GB" w:eastAsia="pl-PL"/>
        </w:rPr>
        <w:t>201</w:t>
      </w:r>
      <w:r w:rsidR="009C68F7" w:rsidRPr="00B74340">
        <w:rPr>
          <w:b/>
          <w:noProof/>
          <w:sz w:val="18"/>
          <w:szCs w:val="19"/>
          <w:lang w:val="en-GB" w:eastAsia="pl-PL"/>
        </w:rPr>
        <w:t>9</w:t>
      </w:r>
      <w:r w:rsidR="0079372F" w:rsidRPr="00B74340">
        <w:rPr>
          <w:b/>
          <w:noProof/>
          <w:sz w:val="18"/>
          <w:szCs w:val="19"/>
          <w:lang w:val="en-GB" w:eastAsia="pl-PL"/>
        </w:rPr>
        <w:t xml:space="preserve"> </w:t>
      </w:r>
      <w:r w:rsidRPr="00B74340">
        <w:rPr>
          <w:b/>
          <w:noProof/>
          <w:sz w:val="18"/>
          <w:szCs w:val="19"/>
          <w:lang w:val="en-GB" w:eastAsia="pl-PL"/>
        </w:rPr>
        <w:t xml:space="preserve">and </w:t>
      </w:r>
      <w:r w:rsidR="0079372F" w:rsidRPr="00B74340">
        <w:rPr>
          <w:b/>
          <w:noProof/>
          <w:sz w:val="18"/>
          <w:szCs w:val="19"/>
          <w:lang w:val="en-GB" w:eastAsia="pl-PL"/>
        </w:rPr>
        <w:t>20</w:t>
      </w:r>
      <w:r w:rsidR="009C68F7" w:rsidRPr="00B74340">
        <w:rPr>
          <w:b/>
          <w:noProof/>
          <w:sz w:val="18"/>
          <w:szCs w:val="19"/>
          <w:lang w:val="en-GB" w:eastAsia="pl-PL"/>
        </w:rPr>
        <w:t>20</w:t>
      </w:r>
      <w:r w:rsidR="0079372F" w:rsidRPr="00B74340">
        <w:rPr>
          <w:b/>
          <w:noProof/>
          <w:sz w:val="18"/>
          <w:szCs w:val="19"/>
          <w:lang w:val="en-GB" w:eastAsia="pl-PL"/>
        </w:rPr>
        <w:t xml:space="preserve"> </w:t>
      </w:r>
      <w:r w:rsidRPr="00B74340">
        <w:rPr>
          <w:b/>
          <w:noProof/>
          <w:sz w:val="18"/>
          <w:szCs w:val="19"/>
          <w:lang w:val="en-GB" w:eastAsia="pl-PL"/>
        </w:rPr>
        <w:t>by place of residence</w:t>
      </w:r>
    </w:p>
    <w:p w14:paraId="53A57256" w14:textId="77777777" w:rsidR="00B841AF" w:rsidRDefault="00D16EC5" w:rsidP="0079372F">
      <w:pPr>
        <w:spacing w:before="240" w:line="240" w:lineRule="auto"/>
        <w:rPr>
          <w:noProof/>
          <w:sz w:val="18"/>
          <w:szCs w:val="19"/>
          <w:lang w:eastAsia="pl-PL"/>
        </w:rPr>
      </w:pPr>
      <w:r>
        <w:rPr>
          <w:noProof/>
          <w:lang w:eastAsia="pl-PL"/>
        </w:rPr>
        <w:drawing>
          <wp:inline distT="0" distB="0" distL="0" distR="0" wp14:anchorId="7F2E25ED" wp14:editId="2871EA10">
            <wp:extent cx="5040000" cy="2981314"/>
            <wp:effectExtent l="0" t="0" r="8255" b="1016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B317CB">
        <w:rPr>
          <w:noProof/>
          <w:szCs w:val="19"/>
          <w:lang w:eastAsia="pl-PL"/>
        </w:rPr>
        <mc:AlternateContent>
          <mc:Choice Requires="wps">
            <w:drawing>
              <wp:anchor distT="45720" distB="45720" distL="114300" distR="114300" simplePos="0" relativeHeight="251803648" behindDoc="0" locked="0" layoutInCell="1" allowOverlap="1" wp14:anchorId="352D301F" wp14:editId="219BD39B">
                <wp:simplePos x="0" y="0"/>
                <wp:positionH relativeFrom="column">
                  <wp:posOffset>5400675</wp:posOffset>
                </wp:positionH>
                <wp:positionV relativeFrom="paragraph">
                  <wp:posOffset>511175</wp:posOffset>
                </wp:positionV>
                <wp:extent cx="1567815" cy="117157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171575"/>
                        </a:xfrm>
                        <a:prstGeom prst="rect">
                          <a:avLst/>
                        </a:prstGeom>
                        <a:noFill/>
                        <a:ln w="9525">
                          <a:noFill/>
                          <a:miter lim="800000"/>
                          <a:headEnd/>
                          <a:tailEnd/>
                        </a:ln>
                      </wps:spPr>
                      <wps:txbx>
                        <w:txbxContent>
                          <w:p w14:paraId="45215FAC" w14:textId="77777777" w:rsidR="004F7C9F" w:rsidRPr="00330E56" w:rsidRDefault="004F7C9F" w:rsidP="00FF7E13">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D301F" id="_x0000_s1037" type="#_x0000_t202" style="position:absolute;margin-left:425.25pt;margin-top:40.25pt;width:123.45pt;height:92.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" filled="f" stroked="f">
                <v:textbox>
                  <w:txbxContent>
                    <w:p w14:paraId="45215FAC" w14:textId="77777777" w:rsidR="004F7C9F" w:rsidRPr="00330E56" w:rsidRDefault="004F7C9F" w:rsidP="00FF7E13">
                      <w:pPr>
                        <w:suppressAutoHyphens/>
                        <w:rPr>
                          <w:color w:val="001D77"/>
                          <w:sz w:val="18"/>
                        </w:rPr>
                      </w:pPr>
                    </w:p>
                  </w:txbxContent>
                </v:textbox>
              </v:shape>
            </w:pict>
          </mc:Fallback>
        </mc:AlternateContent>
      </w:r>
    </w:p>
    <w:p w14:paraId="0D20213D" w14:textId="77777777" w:rsidR="00003646" w:rsidRDefault="00003646" w:rsidP="00003646">
      <w:pPr>
        <w:spacing w:before="240" w:line="240" w:lineRule="auto"/>
        <w:rPr>
          <w:noProof/>
          <w:sz w:val="18"/>
          <w:szCs w:val="18"/>
          <w:lang w:eastAsia="pl-PL"/>
        </w:rPr>
      </w:pPr>
    </w:p>
    <w:p w14:paraId="24A7EC64" w14:textId="77777777" w:rsidR="00B74340" w:rsidRPr="00B74340" w:rsidRDefault="00B74340" w:rsidP="00B74340">
      <w:pPr>
        <w:autoSpaceDE w:val="0"/>
        <w:autoSpaceDN w:val="0"/>
        <w:adjustRightInd w:val="0"/>
        <w:spacing w:after="0" w:line="240" w:lineRule="auto"/>
        <w:rPr>
          <w:rFonts w:eastAsia="Fira Sans Light" w:cs="Times New Roman"/>
          <w:noProof/>
          <w:szCs w:val="19"/>
          <w:lang w:val="en-US" w:eastAsia="pl-PL"/>
        </w:rPr>
      </w:pPr>
      <w:r w:rsidRPr="00B74340">
        <w:rPr>
          <w:rFonts w:eastAsia="Fira Sans Light" w:cs="Fira Sans"/>
          <w:color w:val="000000"/>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592479E4" w14:textId="7DBD4159" w:rsidR="00207C9A" w:rsidRPr="00A70224" w:rsidRDefault="00207C9A" w:rsidP="00B74340">
      <w:pPr>
        <w:rPr>
          <w:rFonts w:ascii="Calibri" w:hAnsi="Calibri"/>
          <w:sz w:val="22"/>
          <w:lang w:val="en-GB"/>
        </w:rPr>
      </w:pPr>
    </w:p>
    <w:p w14:paraId="6764F731" w14:textId="77777777" w:rsidR="00207C9A" w:rsidRPr="00A70224" w:rsidRDefault="00207C9A" w:rsidP="008A720C">
      <w:pPr>
        <w:spacing w:before="240" w:line="240" w:lineRule="auto"/>
        <w:rPr>
          <w:noProof/>
          <w:szCs w:val="19"/>
          <w:lang w:val="en-GB" w:eastAsia="pl-PL"/>
        </w:rPr>
      </w:pPr>
    </w:p>
    <w:p w14:paraId="276C0B10" w14:textId="77777777" w:rsidR="00391B62" w:rsidRPr="00A70224" w:rsidRDefault="00391B62" w:rsidP="008A720C">
      <w:pPr>
        <w:spacing w:before="240" w:line="240" w:lineRule="auto"/>
        <w:rPr>
          <w:noProof/>
          <w:szCs w:val="19"/>
          <w:lang w:val="en-GB" w:eastAsia="pl-PL"/>
        </w:rPr>
        <w:sectPr w:rsidR="00391B62" w:rsidRPr="00A70224" w:rsidSect="00EF7B36">
          <w:headerReference w:type="default" r:id="rId22"/>
          <w:footerReference w:type="default" r:id="rId23"/>
          <w:headerReference w:type="first" r:id="rId24"/>
          <w:footerReference w:type="first" r:id="rId25"/>
          <w:footnotePr>
            <w:numFmt w:val="lowerLetter"/>
          </w:footnotePr>
          <w:pgSz w:w="11906" w:h="16838"/>
          <w:pgMar w:top="720" w:right="3119"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8"/>
        <w:gridCol w:w="3819"/>
      </w:tblGrid>
      <w:tr w:rsidR="00883763" w:rsidRPr="00DF2E41" w14:paraId="37A34FAA" w14:textId="77777777" w:rsidTr="00106181">
        <w:trPr>
          <w:trHeight w:val="1912"/>
        </w:trPr>
        <w:tc>
          <w:tcPr>
            <w:tcW w:w="4248" w:type="dxa"/>
          </w:tcPr>
          <w:p w14:paraId="76F12CBE" w14:textId="77777777" w:rsidR="00883763" w:rsidRPr="00A70224" w:rsidRDefault="00B74065" w:rsidP="00EE696D">
            <w:pPr>
              <w:spacing w:before="0" w:after="0" w:line="240" w:lineRule="auto"/>
              <w:rPr>
                <w:rFonts w:cs="Arial"/>
                <w:color w:val="000000" w:themeColor="text1"/>
                <w:sz w:val="20"/>
                <w:lang w:val="en-GB"/>
              </w:rPr>
            </w:pPr>
            <w:r w:rsidRPr="00A70224">
              <w:rPr>
                <w:rFonts w:cs="Arial"/>
                <w:color w:val="000000" w:themeColor="text1"/>
                <w:sz w:val="20"/>
                <w:lang w:val="en-GB"/>
              </w:rPr>
              <w:lastRenderedPageBreak/>
              <w:t>Prepared by</w:t>
            </w:r>
            <w:r w:rsidR="00883763" w:rsidRPr="00A70224">
              <w:rPr>
                <w:rFonts w:cs="Arial"/>
                <w:color w:val="000000" w:themeColor="text1"/>
                <w:sz w:val="20"/>
                <w:lang w:val="en-GB"/>
              </w:rPr>
              <w:t>:</w:t>
            </w:r>
          </w:p>
          <w:p w14:paraId="1D4E5D40" w14:textId="77777777" w:rsidR="00883763" w:rsidRPr="00A70224" w:rsidRDefault="00B74065" w:rsidP="00EE696D">
            <w:pPr>
              <w:spacing w:before="0" w:after="0" w:line="240" w:lineRule="auto"/>
              <w:rPr>
                <w:rFonts w:cs="Arial"/>
                <w:b/>
                <w:color w:val="000000" w:themeColor="text1"/>
                <w:sz w:val="20"/>
                <w:lang w:val="en-GB"/>
              </w:rPr>
            </w:pPr>
            <w:r w:rsidRPr="00A70224">
              <w:rPr>
                <w:rFonts w:cs="Arial"/>
                <w:b/>
                <w:color w:val="000000" w:themeColor="text1"/>
                <w:sz w:val="20"/>
                <w:lang w:val="en-GB"/>
              </w:rPr>
              <w:t xml:space="preserve">Social Surveys </w:t>
            </w:r>
            <w:r w:rsidR="00F93B25" w:rsidRPr="00A70224">
              <w:rPr>
                <w:rFonts w:cs="Arial"/>
                <w:b/>
                <w:color w:val="000000" w:themeColor="text1"/>
                <w:sz w:val="20"/>
                <w:lang w:val="en-GB"/>
              </w:rPr>
              <w:t xml:space="preserve">Department  </w:t>
            </w:r>
          </w:p>
          <w:p w14:paraId="625C2D33" w14:textId="77777777" w:rsidR="00DB65D4" w:rsidRPr="00B74065" w:rsidRDefault="00B74065" w:rsidP="00EE696D">
            <w:pPr>
              <w:spacing w:before="0" w:after="0" w:line="240" w:lineRule="auto"/>
              <w:rPr>
                <w:rFonts w:cs="Arial"/>
                <w:b/>
                <w:color w:val="000000" w:themeColor="text1"/>
                <w:sz w:val="20"/>
                <w:lang w:val="en-GB"/>
              </w:rPr>
            </w:pPr>
            <w:r w:rsidRPr="00B74065">
              <w:rPr>
                <w:rFonts w:cs="Arial"/>
                <w:b/>
                <w:color w:val="000000" w:themeColor="text1"/>
                <w:sz w:val="20"/>
                <w:lang w:val="en-GB"/>
              </w:rPr>
              <w:t xml:space="preserve">The </w:t>
            </w:r>
            <w:r>
              <w:rPr>
                <w:rFonts w:cs="Arial"/>
                <w:b/>
                <w:color w:val="000000" w:themeColor="text1"/>
                <w:sz w:val="20"/>
                <w:lang w:val="en-GB"/>
              </w:rPr>
              <w:t>S</w:t>
            </w:r>
            <w:r w:rsidRPr="00B74065">
              <w:rPr>
                <w:rFonts w:cs="Arial"/>
                <w:b/>
                <w:color w:val="000000" w:themeColor="text1"/>
                <w:sz w:val="20"/>
                <w:lang w:val="en-GB"/>
              </w:rPr>
              <w:t xml:space="preserve">ection of </w:t>
            </w:r>
            <w:r>
              <w:rPr>
                <w:rFonts w:cs="Arial"/>
                <w:b/>
                <w:color w:val="000000" w:themeColor="text1"/>
                <w:sz w:val="20"/>
                <w:lang w:val="en-GB"/>
              </w:rPr>
              <w:t>S</w:t>
            </w:r>
            <w:r w:rsidRPr="00B74065">
              <w:rPr>
                <w:rFonts w:cs="Arial"/>
                <w:b/>
                <w:color w:val="000000" w:themeColor="text1"/>
                <w:sz w:val="20"/>
                <w:lang w:val="en-GB"/>
              </w:rPr>
              <w:t xml:space="preserve">urveys and </w:t>
            </w:r>
            <w:r>
              <w:rPr>
                <w:rFonts w:cs="Arial"/>
                <w:b/>
                <w:color w:val="000000" w:themeColor="text1"/>
                <w:sz w:val="20"/>
                <w:lang w:val="en-GB"/>
              </w:rPr>
              <w:t>A</w:t>
            </w:r>
            <w:r w:rsidRPr="00B74065">
              <w:rPr>
                <w:rFonts w:cs="Arial"/>
                <w:b/>
                <w:color w:val="000000" w:themeColor="text1"/>
                <w:sz w:val="20"/>
                <w:lang w:val="en-GB"/>
              </w:rPr>
              <w:t xml:space="preserve">nalyses of </w:t>
            </w:r>
            <w:r>
              <w:rPr>
                <w:rFonts w:cs="Arial"/>
                <w:b/>
                <w:color w:val="000000" w:themeColor="text1"/>
                <w:sz w:val="20"/>
                <w:lang w:val="en-GB"/>
              </w:rPr>
              <w:t>Q</w:t>
            </w:r>
            <w:r w:rsidRPr="00B74065">
              <w:rPr>
                <w:rFonts w:cs="Arial"/>
                <w:b/>
                <w:color w:val="000000" w:themeColor="text1"/>
                <w:sz w:val="20"/>
                <w:lang w:val="en-GB"/>
              </w:rPr>
              <w:t xml:space="preserve">uality of Life </w:t>
            </w:r>
            <w:r>
              <w:rPr>
                <w:rFonts w:cs="Arial"/>
                <w:b/>
                <w:color w:val="000000" w:themeColor="text1"/>
                <w:sz w:val="20"/>
                <w:lang w:val="en-GB"/>
              </w:rPr>
              <w:t>and Social Capital</w:t>
            </w:r>
          </w:p>
          <w:p w14:paraId="053EEC46" w14:textId="77777777" w:rsidR="00883763" w:rsidRPr="00353928" w:rsidRDefault="007A1678" w:rsidP="00EE696D">
            <w:pPr>
              <w:pStyle w:val="Nagwek3"/>
              <w:spacing w:before="0" w:line="240" w:lineRule="auto"/>
              <w:rPr>
                <w:rFonts w:ascii="Fira Sans" w:hAnsi="Fira Sans" w:cs="Arial"/>
                <w:b/>
                <w:color w:val="000000" w:themeColor="text1"/>
                <w:sz w:val="20"/>
                <w:szCs w:val="28"/>
                <w:lang w:val="en-GB"/>
              </w:rPr>
            </w:pPr>
            <w:r w:rsidRPr="00353928">
              <w:rPr>
                <w:rFonts w:ascii="Fira Sans" w:hAnsi="Fira Sans" w:cs="Arial"/>
                <w:b/>
                <w:color w:val="000000" w:themeColor="text1"/>
                <w:sz w:val="20"/>
                <w:szCs w:val="28"/>
                <w:lang w:val="en-GB"/>
              </w:rPr>
              <w:t>D</w:t>
            </w:r>
            <w:r w:rsidR="00B74065" w:rsidRPr="00353928">
              <w:rPr>
                <w:rFonts w:ascii="Fira Sans" w:hAnsi="Fira Sans" w:cs="Arial"/>
                <w:b/>
                <w:color w:val="000000" w:themeColor="text1"/>
                <w:sz w:val="20"/>
                <w:szCs w:val="28"/>
                <w:lang w:val="en-GB"/>
              </w:rPr>
              <w:t>irector</w:t>
            </w:r>
            <w:r w:rsidR="00FF172B" w:rsidRPr="00353928">
              <w:rPr>
                <w:rFonts w:ascii="Fira Sans" w:hAnsi="Fira Sans" w:cs="Arial"/>
                <w:b/>
                <w:color w:val="000000" w:themeColor="text1"/>
                <w:sz w:val="20"/>
                <w:szCs w:val="28"/>
                <w:lang w:val="en-GB"/>
              </w:rPr>
              <w:t xml:space="preserve"> - </w:t>
            </w:r>
            <w:r w:rsidRPr="00353928">
              <w:rPr>
                <w:rFonts w:ascii="Fira Sans" w:hAnsi="Fira Sans" w:cs="Arial"/>
                <w:b/>
                <w:color w:val="000000" w:themeColor="text1"/>
                <w:sz w:val="20"/>
                <w:szCs w:val="28"/>
                <w:lang w:val="en-GB"/>
              </w:rPr>
              <w:t>Piotr Łysoń</w:t>
            </w:r>
            <w:r w:rsidR="00FF172B" w:rsidRPr="00353928">
              <w:rPr>
                <w:rFonts w:ascii="Fira Sans" w:hAnsi="Fira Sans" w:cs="Arial"/>
                <w:b/>
                <w:color w:val="000000" w:themeColor="text1"/>
                <w:sz w:val="20"/>
                <w:szCs w:val="28"/>
                <w:lang w:val="en-GB"/>
              </w:rPr>
              <w:t>, Ph.D.</w:t>
            </w:r>
          </w:p>
          <w:p w14:paraId="59FAFEBD" w14:textId="77777777" w:rsidR="00883763" w:rsidRPr="008F3638" w:rsidRDefault="00A671AE" w:rsidP="005B0D62">
            <w:pPr>
              <w:pStyle w:val="Nagwek3"/>
              <w:spacing w:before="0" w:line="240" w:lineRule="auto"/>
              <w:rPr>
                <w:rFonts w:ascii="Fira Sans" w:hAnsi="Fira Sans"/>
                <w:color w:val="000000" w:themeColor="text1"/>
                <w:lang w:val="fi-FI"/>
              </w:rPr>
            </w:pPr>
            <w:r>
              <w:rPr>
                <w:rFonts w:ascii="Fira Sans" w:hAnsi="Fira Sans" w:cs="Arial"/>
                <w:color w:val="000000" w:themeColor="text1"/>
                <w:sz w:val="20"/>
                <w:lang w:val="fi-FI"/>
              </w:rPr>
              <w:t xml:space="preserve">Tel: 22 </w:t>
            </w:r>
            <w:r w:rsidR="005B0D62">
              <w:rPr>
                <w:rFonts w:ascii="Fira Sans" w:hAnsi="Fira Sans" w:cs="Arial"/>
                <w:color w:val="000000" w:themeColor="text1"/>
                <w:sz w:val="20"/>
                <w:lang w:val="fi-FI"/>
              </w:rPr>
              <w:t>449</w:t>
            </w:r>
            <w:r w:rsidR="00883763">
              <w:rPr>
                <w:rFonts w:ascii="Fira Sans" w:hAnsi="Fira Sans" w:cs="Arial"/>
                <w:color w:val="000000" w:themeColor="text1"/>
                <w:sz w:val="20"/>
                <w:lang w:val="fi-FI"/>
              </w:rPr>
              <w:t xml:space="preserve"> </w:t>
            </w:r>
            <w:r>
              <w:rPr>
                <w:rFonts w:ascii="Fira Sans" w:hAnsi="Fira Sans" w:cs="Arial"/>
                <w:color w:val="000000" w:themeColor="text1"/>
                <w:sz w:val="20"/>
                <w:lang w:val="fi-FI"/>
              </w:rPr>
              <w:t>40</w:t>
            </w:r>
            <w:r w:rsidR="005B0D62">
              <w:rPr>
                <w:rFonts w:ascii="Fira Sans" w:hAnsi="Fira Sans" w:cs="Arial"/>
                <w:color w:val="000000" w:themeColor="text1"/>
                <w:sz w:val="20"/>
                <w:lang w:val="fi-FI"/>
              </w:rPr>
              <w:t xml:space="preserve"> 27</w:t>
            </w:r>
          </w:p>
        </w:tc>
        <w:tc>
          <w:tcPr>
            <w:tcW w:w="3819" w:type="dxa"/>
          </w:tcPr>
          <w:p w14:paraId="0D0B732D" w14:textId="77777777" w:rsidR="00102C97" w:rsidRDefault="00B74065" w:rsidP="00EE696D">
            <w:pPr>
              <w:spacing w:before="0" w:after="0" w:line="240" w:lineRule="auto"/>
              <w:rPr>
                <w:rFonts w:cs="Arial"/>
                <w:color w:val="000000" w:themeColor="text1"/>
                <w:sz w:val="20"/>
              </w:rPr>
            </w:pPr>
            <w:proofErr w:type="spellStart"/>
            <w:r>
              <w:rPr>
                <w:rFonts w:cs="Arial"/>
                <w:color w:val="000000" w:themeColor="text1"/>
                <w:sz w:val="20"/>
              </w:rPr>
              <w:t>Issued</w:t>
            </w:r>
            <w:proofErr w:type="spellEnd"/>
            <w:r>
              <w:rPr>
                <w:rFonts w:cs="Arial"/>
                <w:color w:val="000000" w:themeColor="text1"/>
                <w:sz w:val="20"/>
              </w:rPr>
              <w:t xml:space="preserve"> by</w:t>
            </w:r>
            <w:r w:rsidR="00883763" w:rsidRPr="008F3638">
              <w:rPr>
                <w:rFonts w:cs="Arial"/>
                <w:color w:val="000000" w:themeColor="text1"/>
                <w:sz w:val="20"/>
              </w:rPr>
              <w:t>:</w:t>
            </w:r>
          </w:p>
          <w:p w14:paraId="0B4E4903" w14:textId="77777777" w:rsidR="00883763" w:rsidRPr="008F3638" w:rsidRDefault="00883763" w:rsidP="00EE696D">
            <w:pPr>
              <w:spacing w:before="0" w:after="0" w:line="240" w:lineRule="auto"/>
              <w:rPr>
                <w:rFonts w:cs="Arial"/>
                <w:b/>
                <w:color w:val="000000" w:themeColor="text1"/>
                <w:sz w:val="20"/>
              </w:rPr>
            </w:pPr>
            <w:r w:rsidRPr="008F3638">
              <w:rPr>
                <w:rFonts w:cs="Arial"/>
                <w:b/>
                <w:color w:val="000000" w:themeColor="text1"/>
                <w:sz w:val="20"/>
              </w:rPr>
              <w:t>Rzecznik Prasowy Prezesa GUS</w:t>
            </w:r>
          </w:p>
          <w:p w14:paraId="5553AC64" w14:textId="77777777" w:rsidR="000A0E48" w:rsidRPr="008F3638" w:rsidRDefault="000A0E48" w:rsidP="000A0E48">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w:t>
            </w:r>
            <w:r w:rsidRPr="008F3638">
              <w:rPr>
                <w:rFonts w:ascii="Fira Sans" w:hAnsi="Fira Sans" w:cs="Arial"/>
                <w:b/>
                <w:color w:val="000000" w:themeColor="text1"/>
                <w:sz w:val="20"/>
                <w:szCs w:val="28"/>
              </w:rPr>
              <w:t>k</w:t>
            </w:r>
          </w:p>
          <w:p w14:paraId="060949EE" w14:textId="77777777" w:rsidR="00883763" w:rsidRPr="008F3638" w:rsidRDefault="000A0E48" w:rsidP="000A0E4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695 255 011</w:t>
            </w:r>
          </w:p>
          <w:p w14:paraId="2D65DB85" w14:textId="77777777" w:rsidR="00883763" w:rsidRPr="00A70224" w:rsidRDefault="00883763" w:rsidP="00EE696D">
            <w:pPr>
              <w:pStyle w:val="Nagwek3"/>
              <w:spacing w:before="0" w:line="240" w:lineRule="auto"/>
              <w:rPr>
                <w:rFonts w:ascii="Fira Sans" w:hAnsi="Fira Sans" w:cs="Arial"/>
                <w:color w:val="000000" w:themeColor="text1"/>
                <w:sz w:val="20"/>
                <w:szCs w:val="20"/>
              </w:rPr>
            </w:pPr>
            <w:r w:rsidRPr="00A70224">
              <w:rPr>
                <w:rFonts w:ascii="Fira Sans" w:hAnsi="Fira Sans" w:cs="Arial"/>
                <w:b/>
                <w:color w:val="000000" w:themeColor="text1"/>
                <w:sz w:val="20"/>
                <w:szCs w:val="20"/>
              </w:rPr>
              <w:t xml:space="preserve">e-mail: </w:t>
            </w:r>
            <w:hyperlink r:id="rId26" w:history="1">
              <w:r w:rsidRPr="00A70224">
                <w:rPr>
                  <w:rStyle w:val="Hipercze"/>
                  <w:rFonts w:ascii="Fira Sans" w:hAnsi="Fira Sans" w:cs="Arial"/>
                  <w:b/>
                  <w:color w:val="auto"/>
                  <w:sz w:val="20"/>
                  <w:szCs w:val="20"/>
                </w:rPr>
                <w:t>rzecznik@stat.gov.pl</w:t>
              </w:r>
            </w:hyperlink>
          </w:p>
        </w:tc>
      </w:tr>
    </w:tbl>
    <w:p w14:paraId="0F33F824" w14:textId="77777777" w:rsidR="000470AA" w:rsidRPr="00A70224" w:rsidRDefault="000470AA" w:rsidP="000470AA">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14:paraId="6A62896A" w14:textId="77777777" w:rsidTr="000470AA">
        <w:trPr>
          <w:trHeight w:val="610"/>
        </w:trPr>
        <w:tc>
          <w:tcPr>
            <w:tcW w:w="2721" w:type="pct"/>
            <w:vMerge w:val="restart"/>
            <w:vAlign w:val="center"/>
          </w:tcPr>
          <w:p w14:paraId="57C32636" w14:textId="77777777" w:rsidR="000470AA" w:rsidRPr="00A70224" w:rsidRDefault="00B74065" w:rsidP="00A33F84">
            <w:pPr>
              <w:ind w:left="142"/>
              <w:rPr>
                <w:b/>
                <w:sz w:val="20"/>
                <w:lang w:val="en-GB"/>
              </w:rPr>
            </w:pPr>
            <w:r w:rsidRPr="00A70224">
              <w:rPr>
                <w:b/>
                <w:sz w:val="20"/>
                <w:lang w:val="en-GB"/>
              </w:rPr>
              <w:t>Press Office</w:t>
            </w:r>
          </w:p>
          <w:p w14:paraId="749DDB1A" w14:textId="77777777" w:rsidR="000470AA" w:rsidRPr="00A70224" w:rsidRDefault="000470AA" w:rsidP="00A33F84">
            <w:pPr>
              <w:ind w:left="142"/>
              <w:rPr>
                <w:sz w:val="20"/>
                <w:lang w:val="en-GB"/>
              </w:rPr>
            </w:pPr>
            <w:r w:rsidRPr="00A70224">
              <w:rPr>
                <w:b/>
                <w:sz w:val="20"/>
                <w:lang w:val="en-GB"/>
              </w:rPr>
              <w:t xml:space="preserve">tel.: </w:t>
            </w:r>
            <w:r w:rsidR="00097840" w:rsidRPr="00A70224">
              <w:rPr>
                <w:sz w:val="20"/>
                <w:lang w:val="en-GB"/>
              </w:rPr>
              <w:t>22 608 34 91, 22</w:t>
            </w:r>
            <w:r w:rsidRPr="00A70224">
              <w:rPr>
                <w:sz w:val="20"/>
                <w:lang w:val="en-GB"/>
              </w:rPr>
              <w:t xml:space="preserve"> 608 38 04 </w:t>
            </w:r>
          </w:p>
          <w:p w14:paraId="66EB6D74" w14:textId="77777777" w:rsidR="000470AA" w:rsidRPr="00685123" w:rsidRDefault="000470AA" w:rsidP="00A33F84">
            <w:pPr>
              <w:ind w:left="142"/>
              <w:rPr>
                <w:sz w:val="18"/>
                <w:lang w:val="en-US"/>
              </w:rPr>
            </w:pPr>
            <w:r w:rsidRPr="00685123">
              <w:rPr>
                <w:b/>
                <w:sz w:val="20"/>
                <w:lang w:val="en-US"/>
              </w:rPr>
              <w:t>e-mail:</w:t>
            </w:r>
            <w:r w:rsidRPr="00685123">
              <w:rPr>
                <w:sz w:val="20"/>
                <w:lang w:val="en-US"/>
              </w:rPr>
              <w:t xml:space="preserve"> </w:t>
            </w:r>
            <w:hyperlink r:id="rId27" w:history="1">
              <w:r w:rsidRPr="00267AB1">
                <w:rPr>
                  <w:rStyle w:val="Hipercze"/>
                  <w:rFonts w:cstheme="minorBidi"/>
                  <w:b/>
                  <w:color w:val="auto"/>
                  <w:sz w:val="20"/>
                  <w:lang w:val="en-US"/>
                </w:rPr>
                <w:t>obslugaprasowa@stat.gov.pl</w:t>
              </w:r>
            </w:hyperlink>
          </w:p>
        </w:tc>
        <w:tc>
          <w:tcPr>
            <w:tcW w:w="369" w:type="pct"/>
            <w:vAlign w:val="center"/>
          </w:tcPr>
          <w:p w14:paraId="70D2E277" w14:textId="77777777" w:rsidR="000470AA" w:rsidRPr="00685123"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72119994" wp14:editId="283DAC6B">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6546DB93" w14:textId="77777777" w:rsidR="000470AA" w:rsidRDefault="00BD4FC9" w:rsidP="000470AA">
            <w:pPr>
              <w:rPr>
                <w:sz w:val="18"/>
              </w:rPr>
            </w:pPr>
            <w:hyperlink r:id="rId29" w:history="1">
              <w:r w:rsidR="00267AB1" w:rsidRPr="00783FEA">
                <w:rPr>
                  <w:sz w:val="20"/>
                  <w:szCs w:val="20"/>
                </w:rPr>
                <w:t>http://stat.gov.pl/</w:t>
              </w:r>
            </w:hyperlink>
          </w:p>
        </w:tc>
      </w:tr>
      <w:tr w:rsidR="000470AA" w14:paraId="3FB58F4C" w14:textId="77777777" w:rsidTr="000470AA">
        <w:trPr>
          <w:trHeight w:val="436"/>
        </w:trPr>
        <w:tc>
          <w:tcPr>
            <w:tcW w:w="2721" w:type="pct"/>
            <w:vMerge/>
            <w:vAlign w:val="center"/>
          </w:tcPr>
          <w:p w14:paraId="613EA0BD" w14:textId="77777777" w:rsidR="000470AA" w:rsidRDefault="000470AA" w:rsidP="000470AA">
            <w:pPr>
              <w:rPr>
                <w:sz w:val="18"/>
              </w:rPr>
            </w:pPr>
          </w:p>
        </w:tc>
        <w:tc>
          <w:tcPr>
            <w:tcW w:w="369" w:type="pct"/>
            <w:vAlign w:val="center"/>
          </w:tcPr>
          <w:p w14:paraId="3AA96ED1" w14:textId="77777777" w:rsidR="000470AA" w:rsidRDefault="000470AA" w:rsidP="000470AA">
            <w:pPr>
              <w:rPr>
                <w:sz w:val="18"/>
              </w:rPr>
            </w:pPr>
            <w:r>
              <w:rPr>
                <w:noProof/>
                <w:sz w:val="20"/>
                <w:lang w:eastAsia="pl-PL"/>
              </w:rPr>
              <w:drawing>
                <wp:anchor distT="0" distB="0" distL="114300" distR="114300" simplePos="0" relativeHeight="251735040" behindDoc="0" locked="0" layoutInCell="1" allowOverlap="1" wp14:anchorId="610C3CD7" wp14:editId="2D86F83F">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10D20F2" w14:textId="77777777" w:rsidR="000470AA" w:rsidRDefault="000470AA" w:rsidP="000470AA">
            <w:pPr>
              <w:rPr>
                <w:sz w:val="18"/>
              </w:rPr>
            </w:pPr>
            <w:r w:rsidRPr="003D5F42">
              <w:rPr>
                <w:sz w:val="20"/>
              </w:rPr>
              <w:t>@GUS_STAT</w:t>
            </w:r>
          </w:p>
        </w:tc>
      </w:tr>
      <w:tr w:rsidR="000470AA" w14:paraId="6623477C" w14:textId="77777777" w:rsidTr="000470AA">
        <w:trPr>
          <w:trHeight w:val="436"/>
        </w:trPr>
        <w:tc>
          <w:tcPr>
            <w:tcW w:w="2721" w:type="pct"/>
            <w:vMerge/>
            <w:vAlign w:val="center"/>
          </w:tcPr>
          <w:p w14:paraId="334736F8" w14:textId="77777777" w:rsidR="000470AA" w:rsidRDefault="000470AA" w:rsidP="000470AA">
            <w:pPr>
              <w:rPr>
                <w:sz w:val="18"/>
              </w:rPr>
            </w:pPr>
          </w:p>
        </w:tc>
        <w:tc>
          <w:tcPr>
            <w:tcW w:w="369" w:type="pct"/>
            <w:vAlign w:val="center"/>
          </w:tcPr>
          <w:p w14:paraId="4E149233"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2DEE5132" wp14:editId="2AADA98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6397AA9"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727A52AF" w14:textId="77777777" w:rsidR="00233C68" w:rsidRDefault="00233C68" w:rsidP="00E76D26">
      <w:pPr>
        <w:rPr>
          <w:sz w:val="18"/>
        </w:rPr>
      </w:pPr>
    </w:p>
    <w:p w14:paraId="59C30054" w14:textId="77777777" w:rsidR="0051166C" w:rsidRPr="00001C5B" w:rsidRDefault="00B16AF1" w:rsidP="00E76D26">
      <w:pPr>
        <w:rPr>
          <w:sz w:val="18"/>
        </w:rPr>
      </w:pPr>
      <w:r>
        <w:rPr>
          <w:noProof/>
          <w:sz w:val="18"/>
          <w:lang w:eastAsia="pl-PL"/>
        </w:rPr>
        <mc:AlternateContent>
          <mc:Choice Requires="wps">
            <w:drawing>
              <wp:anchor distT="45720" distB="45720" distL="114300" distR="114300" simplePos="0" relativeHeight="251744256" behindDoc="0" locked="0" layoutInCell="1" allowOverlap="1" wp14:anchorId="634C987F" wp14:editId="0C8329CA">
                <wp:simplePos x="0" y="0"/>
                <wp:positionH relativeFrom="margin">
                  <wp:posOffset>17780</wp:posOffset>
                </wp:positionH>
                <wp:positionV relativeFrom="paragraph">
                  <wp:posOffset>433705</wp:posOffset>
                </wp:positionV>
                <wp:extent cx="6559550" cy="5107940"/>
                <wp:effectExtent l="0" t="0" r="12700" b="165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7940"/>
                        </a:xfrm>
                        <a:prstGeom prst="rect">
                          <a:avLst/>
                        </a:prstGeom>
                        <a:solidFill>
                          <a:schemeClr val="bg1">
                            <a:lumMod val="95000"/>
                          </a:schemeClr>
                        </a:solidFill>
                        <a:ln w="9525">
                          <a:solidFill>
                            <a:schemeClr val="bg1"/>
                          </a:solidFill>
                          <a:miter lim="800000"/>
                          <a:headEnd/>
                          <a:tailEnd/>
                        </a:ln>
                      </wps:spPr>
                      <wps:txbx>
                        <w:txbxContent>
                          <w:p w14:paraId="0176DEF7" w14:textId="4F48E3E4" w:rsidR="002C6CCD" w:rsidRPr="00193EC1" w:rsidRDefault="00A74927" w:rsidP="002C6CCD">
                            <w:pPr>
                              <w:rPr>
                                <w:b/>
                                <w:lang w:val="en-US"/>
                              </w:rPr>
                            </w:pPr>
                            <w:r w:rsidRPr="00193EC1">
                              <w:rPr>
                                <w:b/>
                                <w:lang w:val="en-US"/>
                              </w:rPr>
                              <w:t xml:space="preserve">Related information </w:t>
                            </w:r>
                          </w:p>
                          <w:p w14:paraId="0C2E5404" w14:textId="7AD26466" w:rsidR="00426D9E" w:rsidRPr="00000F96" w:rsidRDefault="00F06FE9" w:rsidP="002C6CCD">
                            <w:pPr>
                              <w:spacing w:before="60" w:after="60"/>
                              <w:rPr>
                                <w:color w:val="001D77"/>
                                <w:lang w:val="en-GB"/>
                              </w:rPr>
                            </w:pPr>
                            <w:r w:rsidRPr="00090DCC">
                              <w:rPr>
                                <w:rStyle w:val="Hipercze"/>
                                <w:rFonts w:cstheme="minorBidi"/>
                                <w:color w:val="001D77"/>
                                <w:lang w:val="en-GB"/>
                              </w:rPr>
                              <w:t>News release: “Economic p</w:t>
                            </w:r>
                            <w:r w:rsidR="00090DCC">
                              <w:rPr>
                                <w:rStyle w:val="Hipercze"/>
                                <w:rFonts w:cstheme="minorBidi"/>
                                <w:color w:val="001D77"/>
                                <w:lang w:val="en-GB"/>
                              </w:rPr>
                              <w:t>overty rates in Poland in 2019”</w:t>
                            </w:r>
                          </w:p>
                          <w:p w14:paraId="0B01B03E" w14:textId="3B123C89" w:rsidR="00F06FE9" w:rsidRPr="00000F96" w:rsidRDefault="00BD4FC9" w:rsidP="002C6CCD">
                            <w:pPr>
                              <w:spacing w:before="60" w:after="60"/>
                              <w:rPr>
                                <w:color w:val="001D77"/>
                                <w:lang w:val="en-GB"/>
                              </w:rPr>
                            </w:pPr>
                            <w:hyperlink r:id="rId32" w:history="1">
                              <w:r w:rsidR="009A174D" w:rsidRPr="00000F96">
                                <w:rPr>
                                  <w:rStyle w:val="Hipercze"/>
                                  <w:rFonts w:cstheme="minorBidi"/>
                                  <w:color w:val="001D77"/>
                                  <w:lang w:val="en-GB"/>
                                </w:rPr>
                                <w:t>News release: The situation of households in 2020 on the basis of results</w:t>
                              </w:r>
                              <w:r w:rsidR="00B2374D" w:rsidRPr="00000F96">
                                <w:rPr>
                                  <w:rStyle w:val="Hipercze"/>
                                  <w:rFonts w:cstheme="minorBidi"/>
                                  <w:color w:val="001D77"/>
                                  <w:lang w:val="en-GB"/>
                                </w:rPr>
                                <w:t xml:space="preserve"> </w:t>
                              </w:r>
                              <w:r w:rsidR="009A174D" w:rsidRPr="00000F96">
                                <w:rPr>
                                  <w:rStyle w:val="Hipercze"/>
                                  <w:rFonts w:cstheme="minorBidi"/>
                                  <w:color w:val="001D77"/>
                                  <w:lang w:val="en-GB"/>
                                </w:rPr>
                                <w:t>of the Household Budget Survey</w:t>
                              </w:r>
                            </w:hyperlink>
                          </w:p>
                          <w:p w14:paraId="05B4F1F1" w14:textId="2BDD8220" w:rsidR="00B2374D" w:rsidRPr="00000F96" w:rsidRDefault="00BD4FC9" w:rsidP="002C6CCD">
                            <w:pPr>
                              <w:spacing w:before="60" w:after="60"/>
                              <w:rPr>
                                <w:color w:val="001D77"/>
                                <w:lang w:val="en-GB"/>
                              </w:rPr>
                            </w:pPr>
                            <w:hyperlink r:id="rId33" w:history="1">
                              <w:r w:rsidR="00800E17" w:rsidRPr="00000F96">
                                <w:rPr>
                                  <w:rStyle w:val="Hipercze"/>
                                  <w:rFonts w:cstheme="minorBidi"/>
                                  <w:color w:val="001D77"/>
                                  <w:lang w:val="en-GB"/>
                                </w:rPr>
                                <w:t>Publication: Incomes and living conditions of the population in Poland - report from EU-SILC of 2019</w:t>
                              </w:r>
                            </w:hyperlink>
                          </w:p>
                          <w:p w14:paraId="34AF97F9" w14:textId="77777777" w:rsidR="002C6CCD" w:rsidRPr="00193EC1" w:rsidRDefault="002C6CCD" w:rsidP="002C6CCD">
                            <w:pPr>
                              <w:rPr>
                                <w:lang w:val="en-US"/>
                              </w:rPr>
                            </w:pPr>
                          </w:p>
                          <w:p w14:paraId="4F65F1BD" w14:textId="65EF87D1" w:rsidR="002C6CCD" w:rsidRPr="00555F0B" w:rsidRDefault="004C4E9B" w:rsidP="002C6CCD">
                            <w:pPr>
                              <w:rPr>
                                <w:b/>
                                <w:color w:val="000000" w:themeColor="text1"/>
                                <w:szCs w:val="24"/>
                                <w:lang w:val="en-GB"/>
                              </w:rPr>
                            </w:pPr>
                            <w:r w:rsidRPr="00555F0B">
                              <w:rPr>
                                <w:b/>
                                <w:color w:val="000000" w:themeColor="text1"/>
                                <w:szCs w:val="24"/>
                                <w:lang w:val="en-GB"/>
                              </w:rPr>
                              <w:t>Data available in databases</w:t>
                            </w:r>
                          </w:p>
                          <w:p w14:paraId="14F7C80A" w14:textId="0A687398" w:rsidR="002C6CCD" w:rsidRPr="00193EC1" w:rsidRDefault="00BD4FC9" w:rsidP="002C6CCD">
                            <w:pPr>
                              <w:rPr>
                                <w:rStyle w:val="Hipercze"/>
                                <w:color w:val="001D77"/>
                                <w:szCs w:val="19"/>
                                <w:lang w:val="en-US"/>
                              </w:rPr>
                            </w:pPr>
                            <w:hyperlink r:id="rId34" w:history="1">
                              <w:r w:rsidR="00555F0B" w:rsidRPr="00193EC1">
                                <w:rPr>
                                  <w:rStyle w:val="Hipercze"/>
                                  <w:color w:val="001D77"/>
                                  <w:szCs w:val="19"/>
                                  <w:lang w:val="en-US"/>
                                </w:rPr>
                                <w:t>Local Data Bank</w:t>
                              </w:r>
                            </w:hyperlink>
                          </w:p>
                          <w:p w14:paraId="00C1DC16" w14:textId="394C6995" w:rsidR="002C6CCD" w:rsidRPr="00A74927" w:rsidRDefault="00BD4FC9" w:rsidP="002C6CCD">
                            <w:pPr>
                              <w:rPr>
                                <w:rStyle w:val="Hipercze"/>
                                <w:color w:val="001D77"/>
                                <w:szCs w:val="19"/>
                                <w:lang w:val="en-GB"/>
                              </w:rPr>
                            </w:pPr>
                            <w:hyperlink r:id="rId35" w:history="1">
                              <w:r w:rsidR="00555F0B" w:rsidRPr="00A74927">
                                <w:rPr>
                                  <w:rStyle w:val="Hipercze"/>
                                  <w:color w:val="001D77"/>
                                  <w:szCs w:val="19"/>
                                  <w:lang w:val="en-GB"/>
                                </w:rPr>
                                <w:t>Knowledge Data Base Living Conditions</w:t>
                              </w:r>
                              <w:r w:rsidR="002C6CCD" w:rsidRPr="00A74927">
                                <w:rPr>
                                  <w:rStyle w:val="Hipercze"/>
                                  <w:color w:val="001D77"/>
                                  <w:szCs w:val="19"/>
                                  <w:lang w:val="en-GB"/>
                                </w:rPr>
                                <w:t>/</w:t>
                              </w:r>
                              <w:r w:rsidR="00A74927">
                                <w:rPr>
                                  <w:rStyle w:val="Hipercze"/>
                                  <w:color w:val="001D77"/>
                                  <w:szCs w:val="19"/>
                                  <w:lang w:val="en-GB"/>
                                </w:rPr>
                                <w:t>Poverty by socio-economic groups</w:t>
                              </w:r>
                            </w:hyperlink>
                          </w:p>
                          <w:p w14:paraId="2824F12A" w14:textId="3A5B83AF" w:rsidR="00CF38F9" w:rsidRPr="00A74927" w:rsidRDefault="00BD4FC9" w:rsidP="002C6CCD">
                            <w:pPr>
                              <w:rPr>
                                <w:rStyle w:val="Hipercze"/>
                                <w:rFonts w:cstheme="minorBidi"/>
                                <w:color w:val="001D77"/>
                                <w:szCs w:val="19"/>
                                <w:lang w:val="en-GB"/>
                              </w:rPr>
                            </w:pPr>
                            <w:hyperlink r:id="rId36" w:history="1">
                              <w:r w:rsidR="00A74927" w:rsidRPr="00A74927">
                                <w:rPr>
                                  <w:rStyle w:val="Hipercze"/>
                                  <w:color w:val="001D77"/>
                                  <w:szCs w:val="19"/>
                                  <w:lang w:val="en-GB"/>
                                </w:rPr>
                                <w:t>Knowledge Data Base Living Conditions</w:t>
                              </w:r>
                              <w:r w:rsidR="002C6CCD" w:rsidRPr="00A74927">
                                <w:rPr>
                                  <w:rStyle w:val="Hipercze"/>
                                  <w:color w:val="001D77"/>
                                  <w:szCs w:val="19"/>
                                  <w:lang w:val="en-GB"/>
                                </w:rPr>
                                <w:t>/</w:t>
                              </w:r>
                              <w:r w:rsidR="00A74927" w:rsidRPr="00A74927">
                                <w:rPr>
                                  <w:rStyle w:val="Hipercze"/>
                                  <w:color w:val="001D77"/>
                                  <w:szCs w:val="19"/>
                                  <w:lang w:val="en-GB"/>
                                </w:rPr>
                                <w:t>Povert</w:t>
                              </w:r>
                              <w:r w:rsidR="00A74927">
                                <w:rPr>
                                  <w:rStyle w:val="Hipercze"/>
                                  <w:color w:val="001D77"/>
                                  <w:szCs w:val="19"/>
                                  <w:lang w:val="en-GB"/>
                                </w:rPr>
                                <w:t>y</w:t>
                              </w:r>
                              <w:r w:rsidR="00A74927" w:rsidRPr="00A74927">
                                <w:rPr>
                                  <w:rStyle w:val="Hipercze"/>
                                  <w:color w:val="001D77"/>
                                  <w:szCs w:val="19"/>
                                  <w:lang w:val="en-GB"/>
                                </w:rPr>
                                <w:t xml:space="preserve"> by </w:t>
                              </w:r>
                              <w:r w:rsidR="00A74927">
                                <w:rPr>
                                  <w:rStyle w:val="Hipercze"/>
                                  <w:color w:val="001D77"/>
                                  <w:szCs w:val="19"/>
                                  <w:lang w:val="en-GB"/>
                                </w:rPr>
                                <w:t xml:space="preserve">urban and rural areas </w:t>
                              </w:r>
                            </w:hyperlink>
                          </w:p>
                          <w:p w14:paraId="2C44A271" w14:textId="77777777" w:rsidR="002C6CCD" w:rsidRPr="00A74927" w:rsidRDefault="002C6CCD" w:rsidP="002C6CCD">
                            <w:pPr>
                              <w:rPr>
                                <w:b/>
                                <w:color w:val="000000" w:themeColor="text1"/>
                                <w:szCs w:val="24"/>
                                <w:lang w:val="en-GB"/>
                              </w:rPr>
                            </w:pPr>
                          </w:p>
                          <w:p w14:paraId="60188148" w14:textId="5E7DE77F" w:rsidR="002C6CCD" w:rsidRPr="00A74927" w:rsidRDefault="004C4E9B" w:rsidP="002C6CCD">
                            <w:pPr>
                              <w:rPr>
                                <w:b/>
                                <w:color w:val="000000" w:themeColor="text1"/>
                                <w:szCs w:val="24"/>
                                <w:lang w:val="en-GB"/>
                              </w:rPr>
                            </w:pPr>
                            <w:r w:rsidRPr="00A74927">
                              <w:rPr>
                                <w:b/>
                                <w:color w:val="000000" w:themeColor="text1"/>
                                <w:szCs w:val="24"/>
                                <w:lang w:val="en-GB"/>
                              </w:rPr>
                              <w:t>Terms used in official statistics</w:t>
                            </w:r>
                          </w:p>
                          <w:p w14:paraId="2724A081" w14:textId="10CA32EB" w:rsidR="002C6CCD" w:rsidRPr="00193EC1" w:rsidRDefault="00BD4FC9" w:rsidP="002C6CCD">
                            <w:pPr>
                              <w:rPr>
                                <w:rStyle w:val="Hipercze"/>
                                <w:color w:val="001D77"/>
                                <w:szCs w:val="19"/>
                                <w:lang w:val="en-US"/>
                              </w:rPr>
                            </w:pPr>
                            <w:hyperlink r:id="rId37" w:history="1">
                              <w:r w:rsidR="00A74927" w:rsidRPr="00193EC1">
                                <w:rPr>
                                  <w:rStyle w:val="Hipercze"/>
                                  <w:color w:val="001D77"/>
                                  <w:szCs w:val="19"/>
                                  <w:lang w:val="en-US"/>
                                </w:rPr>
                                <w:t>Extreme poverty rate</w:t>
                              </w:r>
                            </w:hyperlink>
                          </w:p>
                          <w:p w14:paraId="432E41E4" w14:textId="77D49228" w:rsidR="002C6CCD" w:rsidRPr="00193EC1" w:rsidRDefault="00BD4FC9" w:rsidP="002C6CCD">
                            <w:pPr>
                              <w:rPr>
                                <w:rStyle w:val="Hipercze"/>
                                <w:color w:val="001D77"/>
                                <w:szCs w:val="19"/>
                                <w:lang w:val="en-US"/>
                              </w:rPr>
                            </w:pPr>
                            <w:hyperlink r:id="rId38" w:history="1">
                              <w:r w:rsidR="00A74927" w:rsidRPr="00193EC1">
                                <w:rPr>
                                  <w:rStyle w:val="Hipercze"/>
                                  <w:color w:val="001D77"/>
                                  <w:szCs w:val="19"/>
                                  <w:lang w:val="en-US"/>
                                </w:rPr>
                                <w:t xml:space="preserve">Relative poverty rate </w:t>
                              </w:r>
                            </w:hyperlink>
                          </w:p>
                          <w:p w14:paraId="2C43510C" w14:textId="4DABFB61" w:rsidR="00A74927" w:rsidRPr="00193EC1" w:rsidRDefault="00A74927" w:rsidP="00883763">
                            <w:pPr>
                              <w:rPr>
                                <w:rStyle w:val="Hipercze"/>
                                <w:rFonts w:cstheme="minorBidi"/>
                                <w:color w:val="001D77"/>
                                <w:sz w:val="18"/>
                                <w:lang w:val="en-US"/>
                              </w:rPr>
                            </w:pPr>
                            <w:r w:rsidRPr="00193EC1">
                              <w:rPr>
                                <w:lang w:val="en-US"/>
                              </w:rPr>
                              <w:t>”</w:t>
                            </w:r>
                            <w:hyperlink r:id="rId39" w:history="1">
                              <w:r w:rsidRPr="00193EC1">
                                <w:rPr>
                                  <w:rStyle w:val="Hipercze"/>
                                  <w:color w:val="001D77"/>
                                  <w:szCs w:val="19"/>
                                  <w:lang w:val="en-US"/>
                                </w:rPr>
                                <w:t>Legal” poverty rate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987F" id="_x0000_s1038" type="#_x0000_t202" style="position:absolute;margin-left:1.4pt;margin-top:34.15pt;width:516.5pt;height:402.2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" fillcolor="#f2f2f2 [3052]" strokecolor="white [3212]">
                <v:textbox>
                  <w:txbxContent>
                    <w:p w14:paraId="0176DEF7" w14:textId="4F48E3E4" w:rsidR="002C6CCD" w:rsidRPr="00193EC1" w:rsidRDefault="00A74927" w:rsidP="002C6CCD">
                      <w:pPr>
                        <w:rPr>
                          <w:b/>
                          <w:lang w:val="en-US"/>
                        </w:rPr>
                      </w:pPr>
                      <w:r w:rsidRPr="00193EC1">
                        <w:rPr>
                          <w:b/>
                          <w:lang w:val="en-US"/>
                        </w:rPr>
                        <w:t xml:space="preserve">Related information </w:t>
                      </w:r>
                    </w:p>
                    <w:p w14:paraId="0C2E5404" w14:textId="7AD26466" w:rsidR="00426D9E" w:rsidRPr="00000F96" w:rsidRDefault="00F06FE9" w:rsidP="002C6CCD">
                      <w:pPr>
                        <w:spacing w:before="60" w:after="60"/>
                        <w:rPr>
                          <w:color w:val="001D77"/>
                          <w:lang w:val="en-GB"/>
                        </w:rPr>
                      </w:pPr>
                      <w:r w:rsidRPr="00090DCC">
                        <w:rPr>
                          <w:rStyle w:val="Hipercze"/>
                          <w:rFonts w:cstheme="minorBidi"/>
                          <w:color w:val="001D77"/>
                          <w:lang w:val="en-GB"/>
                        </w:rPr>
                        <w:t>News release: “Economic p</w:t>
                      </w:r>
                      <w:r w:rsidR="00090DCC">
                        <w:rPr>
                          <w:rStyle w:val="Hipercze"/>
                          <w:rFonts w:cstheme="minorBidi"/>
                          <w:color w:val="001D77"/>
                          <w:lang w:val="en-GB"/>
                        </w:rPr>
                        <w:t>overty rates in Poland in 2019”</w:t>
                      </w:r>
                    </w:p>
                    <w:p w14:paraId="0B01B03E" w14:textId="3B123C89" w:rsidR="00F06FE9" w:rsidRPr="00000F96" w:rsidRDefault="00434B34" w:rsidP="002C6CCD">
                      <w:pPr>
                        <w:spacing w:before="60" w:after="60"/>
                        <w:rPr>
                          <w:color w:val="001D77"/>
                          <w:lang w:val="en-GB"/>
                        </w:rPr>
                      </w:pPr>
                      <w:hyperlink r:id="rId40" w:history="1">
                        <w:r w:rsidR="009A174D" w:rsidRPr="00000F96">
                          <w:rPr>
                            <w:rStyle w:val="Hipercze"/>
                            <w:rFonts w:cstheme="minorBidi"/>
                            <w:color w:val="001D77"/>
                            <w:lang w:val="en-GB"/>
                          </w:rPr>
                          <w:t>News release: The situation of households in 2020 on the basis of results</w:t>
                        </w:r>
                        <w:r w:rsidR="00B2374D" w:rsidRPr="00000F96">
                          <w:rPr>
                            <w:rStyle w:val="Hipercze"/>
                            <w:rFonts w:cstheme="minorBidi"/>
                            <w:color w:val="001D77"/>
                            <w:lang w:val="en-GB"/>
                          </w:rPr>
                          <w:t xml:space="preserve"> </w:t>
                        </w:r>
                        <w:r w:rsidR="009A174D" w:rsidRPr="00000F96">
                          <w:rPr>
                            <w:rStyle w:val="Hipercze"/>
                            <w:rFonts w:cstheme="minorBidi"/>
                            <w:color w:val="001D77"/>
                            <w:lang w:val="en-GB"/>
                          </w:rPr>
                          <w:t>of the Household Budget Survey</w:t>
                        </w:r>
                      </w:hyperlink>
                    </w:p>
                    <w:p w14:paraId="05B4F1F1" w14:textId="2BDD8220" w:rsidR="00B2374D" w:rsidRPr="00000F96" w:rsidRDefault="00434B34" w:rsidP="002C6CCD">
                      <w:pPr>
                        <w:spacing w:before="60" w:after="60"/>
                        <w:rPr>
                          <w:color w:val="001D77"/>
                          <w:lang w:val="en-GB"/>
                        </w:rPr>
                      </w:pPr>
                      <w:hyperlink r:id="rId41" w:history="1">
                        <w:r w:rsidR="00800E17" w:rsidRPr="00000F96">
                          <w:rPr>
                            <w:rStyle w:val="Hipercze"/>
                            <w:rFonts w:cstheme="minorBidi"/>
                            <w:color w:val="001D77"/>
                            <w:lang w:val="en-GB"/>
                          </w:rPr>
                          <w:t>Publication: Incomes and living conditions of the population in Poland - report from EU-SILC of 2019</w:t>
                        </w:r>
                      </w:hyperlink>
                    </w:p>
                    <w:p w14:paraId="34AF97F9" w14:textId="77777777" w:rsidR="002C6CCD" w:rsidRPr="00193EC1" w:rsidRDefault="002C6CCD" w:rsidP="002C6CCD">
                      <w:pPr>
                        <w:rPr>
                          <w:lang w:val="en-US"/>
                        </w:rPr>
                      </w:pPr>
                    </w:p>
                    <w:p w14:paraId="4F65F1BD" w14:textId="65EF87D1" w:rsidR="002C6CCD" w:rsidRPr="00555F0B" w:rsidRDefault="004C4E9B" w:rsidP="002C6CCD">
                      <w:pPr>
                        <w:rPr>
                          <w:b/>
                          <w:color w:val="000000" w:themeColor="text1"/>
                          <w:szCs w:val="24"/>
                          <w:lang w:val="en-GB"/>
                        </w:rPr>
                      </w:pPr>
                      <w:r w:rsidRPr="00555F0B">
                        <w:rPr>
                          <w:b/>
                          <w:color w:val="000000" w:themeColor="text1"/>
                          <w:szCs w:val="24"/>
                          <w:lang w:val="en-GB"/>
                        </w:rPr>
                        <w:t>Data available in databases</w:t>
                      </w:r>
                    </w:p>
                    <w:p w14:paraId="14F7C80A" w14:textId="0A687398" w:rsidR="002C6CCD" w:rsidRPr="00193EC1" w:rsidRDefault="00434B34" w:rsidP="002C6CCD">
                      <w:pPr>
                        <w:rPr>
                          <w:rStyle w:val="Hipercze"/>
                          <w:color w:val="001D77"/>
                          <w:szCs w:val="19"/>
                          <w:lang w:val="en-US"/>
                        </w:rPr>
                      </w:pPr>
                      <w:hyperlink r:id="rId42" w:history="1">
                        <w:r w:rsidR="00555F0B" w:rsidRPr="00193EC1">
                          <w:rPr>
                            <w:rStyle w:val="Hipercze"/>
                            <w:color w:val="001D77"/>
                            <w:szCs w:val="19"/>
                            <w:lang w:val="en-US"/>
                          </w:rPr>
                          <w:t>Local Data Bank</w:t>
                        </w:r>
                      </w:hyperlink>
                    </w:p>
                    <w:p w14:paraId="00C1DC16" w14:textId="394C6995" w:rsidR="002C6CCD" w:rsidRPr="00A74927" w:rsidRDefault="00434B34" w:rsidP="002C6CCD">
                      <w:pPr>
                        <w:rPr>
                          <w:rStyle w:val="Hipercze"/>
                          <w:color w:val="001D77"/>
                          <w:szCs w:val="19"/>
                          <w:lang w:val="en-GB"/>
                        </w:rPr>
                      </w:pPr>
                      <w:hyperlink r:id="rId43" w:history="1">
                        <w:r w:rsidR="00555F0B" w:rsidRPr="00A74927">
                          <w:rPr>
                            <w:rStyle w:val="Hipercze"/>
                            <w:color w:val="001D77"/>
                            <w:szCs w:val="19"/>
                            <w:lang w:val="en-GB"/>
                          </w:rPr>
                          <w:t>Knowledge Data Base Living Conditions</w:t>
                        </w:r>
                        <w:r w:rsidR="002C6CCD" w:rsidRPr="00A74927">
                          <w:rPr>
                            <w:rStyle w:val="Hipercze"/>
                            <w:color w:val="001D77"/>
                            <w:szCs w:val="19"/>
                            <w:lang w:val="en-GB"/>
                          </w:rPr>
                          <w:t>/</w:t>
                        </w:r>
                        <w:r w:rsidR="00A74927">
                          <w:rPr>
                            <w:rStyle w:val="Hipercze"/>
                            <w:color w:val="001D77"/>
                            <w:szCs w:val="19"/>
                            <w:lang w:val="en-GB"/>
                          </w:rPr>
                          <w:t>Poverty by socio-economic groups</w:t>
                        </w:r>
                      </w:hyperlink>
                    </w:p>
                    <w:p w14:paraId="2824F12A" w14:textId="3A5B83AF" w:rsidR="00CF38F9" w:rsidRPr="00A74927" w:rsidRDefault="00434B34" w:rsidP="002C6CCD">
                      <w:pPr>
                        <w:rPr>
                          <w:rStyle w:val="Hipercze"/>
                          <w:rFonts w:cstheme="minorBidi"/>
                          <w:color w:val="001D77"/>
                          <w:szCs w:val="19"/>
                          <w:lang w:val="en-GB"/>
                        </w:rPr>
                      </w:pPr>
                      <w:hyperlink r:id="rId44" w:history="1">
                        <w:r w:rsidR="00A74927" w:rsidRPr="00A74927">
                          <w:rPr>
                            <w:rStyle w:val="Hipercze"/>
                            <w:color w:val="001D77"/>
                            <w:szCs w:val="19"/>
                            <w:lang w:val="en-GB"/>
                          </w:rPr>
                          <w:t>Knowledge Data Base Living Conditions</w:t>
                        </w:r>
                        <w:r w:rsidR="002C6CCD" w:rsidRPr="00A74927">
                          <w:rPr>
                            <w:rStyle w:val="Hipercze"/>
                            <w:color w:val="001D77"/>
                            <w:szCs w:val="19"/>
                            <w:lang w:val="en-GB"/>
                          </w:rPr>
                          <w:t>/</w:t>
                        </w:r>
                        <w:r w:rsidR="00A74927" w:rsidRPr="00A74927">
                          <w:rPr>
                            <w:rStyle w:val="Hipercze"/>
                            <w:color w:val="001D77"/>
                            <w:szCs w:val="19"/>
                            <w:lang w:val="en-GB"/>
                          </w:rPr>
                          <w:t>Povert</w:t>
                        </w:r>
                        <w:r w:rsidR="00A74927">
                          <w:rPr>
                            <w:rStyle w:val="Hipercze"/>
                            <w:color w:val="001D77"/>
                            <w:szCs w:val="19"/>
                            <w:lang w:val="en-GB"/>
                          </w:rPr>
                          <w:t>y</w:t>
                        </w:r>
                        <w:r w:rsidR="00A74927" w:rsidRPr="00A74927">
                          <w:rPr>
                            <w:rStyle w:val="Hipercze"/>
                            <w:color w:val="001D77"/>
                            <w:szCs w:val="19"/>
                            <w:lang w:val="en-GB"/>
                          </w:rPr>
                          <w:t xml:space="preserve"> by </w:t>
                        </w:r>
                        <w:r w:rsidR="00A74927">
                          <w:rPr>
                            <w:rStyle w:val="Hipercze"/>
                            <w:color w:val="001D77"/>
                            <w:szCs w:val="19"/>
                            <w:lang w:val="en-GB"/>
                          </w:rPr>
                          <w:t xml:space="preserve">urban and rural areas </w:t>
                        </w:r>
                      </w:hyperlink>
                    </w:p>
                    <w:p w14:paraId="2C44A271" w14:textId="77777777" w:rsidR="002C6CCD" w:rsidRPr="00A74927" w:rsidRDefault="002C6CCD" w:rsidP="002C6CCD">
                      <w:pPr>
                        <w:rPr>
                          <w:b/>
                          <w:color w:val="000000" w:themeColor="text1"/>
                          <w:szCs w:val="24"/>
                          <w:lang w:val="en-GB"/>
                        </w:rPr>
                      </w:pPr>
                    </w:p>
                    <w:p w14:paraId="60188148" w14:textId="5E7DE77F" w:rsidR="002C6CCD" w:rsidRPr="00A74927" w:rsidRDefault="004C4E9B" w:rsidP="002C6CCD">
                      <w:pPr>
                        <w:rPr>
                          <w:b/>
                          <w:color w:val="000000" w:themeColor="text1"/>
                          <w:szCs w:val="24"/>
                          <w:lang w:val="en-GB"/>
                        </w:rPr>
                      </w:pPr>
                      <w:r w:rsidRPr="00A74927">
                        <w:rPr>
                          <w:b/>
                          <w:color w:val="000000" w:themeColor="text1"/>
                          <w:szCs w:val="24"/>
                          <w:lang w:val="en-GB"/>
                        </w:rPr>
                        <w:t>Terms used in official statistics</w:t>
                      </w:r>
                    </w:p>
                    <w:p w14:paraId="2724A081" w14:textId="10CA32EB" w:rsidR="002C6CCD" w:rsidRPr="00193EC1" w:rsidRDefault="00434B34" w:rsidP="002C6CCD">
                      <w:pPr>
                        <w:rPr>
                          <w:rStyle w:val="Hipercze"/>
                          <w:color w:val="001D77"/>
                          <w:szCs w:val="19"/>
                          <w:lang w:val="en-US"/>
                        </w:rPr>
                      </w:pPr>
                      <w:hyperlink r:id="rId45" w:history="1">
                        <w:r w:rsidR="00A74927" w:rsidRPr="00193EC1">
                          <w:rPr>
                            <w:rStyle w:val="Hipercze"/>
                            <w:color w:val="001D77"/>
                            <w:szCs w:val="19"/>
                            <w:lang w:val="en-US"/>
                          </w:rPr>
                          <w:t>Extreme poverty rate</w:t>
                        </w:r>
                      </w:hyperlink>
                    </w:p>
                    <w:p w14:paraId="432E41E4" w14:textId="77D49228" w:rsidR="002C6CCD" w:rsidRPr="00193EC1" w:rsidRDefault="00434B34" w:rsidP="002C6CCD">
                      <w:pPr>
                        <w:rPr>
                          <w:rStyle w:val="Hipercze"/>
                          <w:color w:val="001D77"/>
                          <w:szCs w:val="19"/>
                          <w:lang w:val="en-US"/>
                        </w:rPr>
                      </w:pPr>
                      <w:hyperlink r:id="rId46" w:history="1">
                        <w:r w:rsidR="00A74927" w:rsidRPr="00193EC1">
                          <w:rPr>
                            <w:rStyle w:val="Hipercze"/>
                            <w:color w:val="001D77"/>
                            <w:szCs w:val="19"/>
                            <w:lang w:val="en-US"/>
                          </w:rPr>
                          <w:t xml:space="preserve">Relative poverty rate </w:t>
                        </w:r>
                      </w:hyperlink>
                    </w:p>
                    <w:p w14:paraId="2C43510C" w14:textId="4DABFB61" w:rsidR="00A74927" w:rsidRPr="00193EC1" w:rsidRDefault="00A74927" w:rsidP="00883763">
                      <w:pPr>
                        <w:rPr>
                          <w:rStyle w:val="Hipercze"/>
                          <w:rFonts w:cstheme="minorBidi"/>
                          <w:color w:val="001D77"/>
                          <w:sz w:val="18"/>
                          <w:lang w:val="en-US"/>
                        </w:rPr>
                      </w:pPr>
                      <w:r w:rsidRPr="00193EC1">
                        <w:rPr>
                          <w:lang w:val="en-US"/>
                        </w:rPr>
                        <w:t>”</w:t>
                      </w:r>
                      <w:hyperlink r:id="rId47" w:history="1">
                        <w:r w:rsidRPr="00193EC1">
                          <w:rPr>
                            <w:rStyle w:val="Hipercze"/>
                            <w:color w:val="001D77"/>
                            <w:szCs w:val="19"/>
                            <w:lang w:val="en-US"/>
                          </w:rPr>
                          <w:t>Legal” poverty rate</w:t>
                        </w:r>
                      </w:hyperlink>
                    </w:p>
                  </w:txbxContent>
                </v:textbox>
                <w10:wrap type="square" anchorx="margin"/>
              </v:shape>
            </w:pict>
          </mc:Fallback>
        </mc:AlternateContent>
      </w:r>
    </w:p>
    <w:sectPr w:rsidR="0051166C" w:rsidRPr="00001C5B" w:rsidSect="00EF7B36">
      <w:headerReference w:type="default" r:id="rId48"/>
      <w:footerReference w:type="default" r:id="rId49"/>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7D83A" w14:textId="77777777" w:rsidR="00BD4FC9" w:rsidRDefault="00BD4FC9" w:rsidP="000662E2">
      <w:pPr>
        <w:spacing w:after="0" w:line="240" w:lineRule="auto"/>
      </w:pPr>
      <w:r>
        <w:separator/>
      </w:r>
    </w:p>
  </w:endnote>
  <w:endnote w:type="continuationSeparator" w:id="0">
    <w:p w14:paraId="79324161" w14:textId="77777777" w:rsidR="00BD4FC9" w:rsidRDefault="00BD4FC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620116"/>
      <w:docPartObj>
        <w:docPartGallery w:val="Page Numbers (Bottom of Page)"/>
        <w:docPartUnique/>
      </w:docPartObj>
    </w:sdtPr>
    <w:sdtEndPr/>
    <w:sdtContent>
      <w:p w14:paraId="780A4445"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530C8E">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512466"/>
      <w:docPartObj>
        <w:docPartGallery w:val="Page Numbers (Bottom of Page)"/>
        <w:docPartUnique/>
      </w:docPartObj>
    </w:sdtPr>
    <w:sdtEndPr/>
    <w:sdtContent>
      <w:p w14:paraId="6917F311"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530C8E">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FF8BF8F"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530C8E">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B145F" w14:textId="77777777" w:rsidR="00BD4FC9" w:rsidRDefault="00BD4FC9" w:rsidP="000662E2">
      <w:pPr>
        <w:spacing w:after="0" w:line="240" w:lineRule="auto"/>
      </w:pPr>
      <w:r>
        <w:separator/>
      </w:r>
    </w:p>
  </w:footnote>
  <w:footnote w:type="continuationSeparator" w:id="0">
    <w:p w14:paraId="0A713955" w14:textId="77777777" w:rsidR="00BD4FC9" w:rsidRDefault="00BD4FC9" w:rsidP="000662E2">
      <w:pPr>
        <w:spacing w:after="0" w:line="240" w:lineRule="auto"/>
      </w:pPr>
      <w:r>
        <w:continuationSeparator/>
      </w:r>
    </w:p>
  </w:footnote>
  <w:footnote w:id="1">
    <w:p w14:paraId="55119C83" w14:textId="77777777" w:rsidR="00D20819" w:rsidRPr="00AA6264" w:rsidRDefault="00D20819" w:rsidP="00AA6264">
      <w:pPr>
        <w:pStyle w:val="Tekstprzypisudolnego"/>
        <w:spacing w:before="0"/>
        <w:rPr>
          <w:sz w:val="14"/>
          <w:szCs w:val="14"/>
          <w:lang w:val="en-GB"/>
        </w:rPr>
      </w:pPr>
      <w:r w:rsidRPr="00FB4FE4">
        <w:rPr>
          <w:rStyle w:val="Odwoanieprzypisudolnego"/>
          <w:sz w:val="14"/>
          <w:szCs w:val="14"/>
        </w:rPr>
        <w:footnoteRef/>
      </w:r>
      <w:r w:rsidRPr="00FB4FE4">
        <w:rPr>
          <w:sz w:val="14"/>
          <w:szCs w:val="14"/>
          <w:lang w:val="en-GB"/>
        </w:rPr>
        <w:t xml:space="preserve"> </w:t>
      </w:r>
      <w:r w:rsidRPr="00D20819">
        <w:rPr>
          <w:sz w:val="14"/>
          <w:szCs w:val="14"/>
          <w:lang w:val="en"/>
        </w:rPr>
        <w:t xml:space="preserve">In 2020, in connection with the pandemic and the introduction of various types of restrictions aimed at reducing the transmission of the coronavirus by limiting interpersonal contacts, there was a change in the current method of collecting information from respondents from </w:t>
      </w:r>
      <w:r>
        <w:rPr>
          <w:sz w:val="14"/>
          <w:szCs w:val="14"/>
          <w:lang w:val="en"/>
        </w:rPr>
        <w:t>face-to-face</w:t>
      </w:r>
      <w:r w:rsidRPr="00D20819">
        <w:rPr>
          <w:sz w:val="14"/>
          <w:szCs w:val="14"/>
          <w:lang w:val="en"/>
        </w:rPr>
        <w:t xml:space="preserve"> interview to telephone interview.</w:t>
      </w:r>
    </w:p>
  </w:footnote>
  <w:footnote w:id="2">
    <w:p w14:paraId="788D08B9" w14:textId="13B3DA45" w:rsidR="006054E9" w:rsidRPr="006054E9" w:rsidRDefault="006054E9" w:rsidP="005F67DB">
      <w:pPr>
        <w:pStyle w:val="Tekstprzypisudolnego"/>
        <w:spacing w:before="0"/>
        <w:rPr>
          <w:lang w:val="en-GB"/>
        </w:rPr>
      </w:pPr>
      <w:r w:rsidRPr="00FB4FE4">
        <w:rPr>
          <w:rStyle w:val="Odwoanieprzypisudolnego"/>
          <w:sz w:val="14"/>
          <w:szCs w:val="14"/>
        </w:rPr>
        <w:footnoteRef/>
      </w:r>
      <w:r w:rsidRPr="006054E9">
        <w:rPr>
          <w:lang w:val="en-GB"/>
        </w:rPr>
        <w:t xml:space="preserve"> </w:t>
      </w:r>
      <w:r w:rsidR="000230FC" w:rsidRPr="000230FC">
        <w:rPr>
          <w:sz w:val="14"/>
          <w:szCs w:val="14"/>
          <w:lang w:val="en"/>
        </w:rPr>
        <w:t>The expen</w:t>
      </w:r>
      <w:r w:rsidR="000230FC">
        <w:rPr>
          <w:sz w:val="14"/>
          <w:szCs w:val="14"/>
          <w:lang w:val="en"/>
        </w:rPr>
        <w:t>diture</w:t>
      </w:r>
      <w:r w:rsidR="000230FC" w:rsidRPr="000230FC">
        <w:rPr>
          <w:sz w:val="14"/>
          <w:szCs w:val="14"/>
          <w:lang w:val="en"/>
        </w:rPr>
        <w:t xml:space="preserve"> also include</w:t>
      </w:r>
      <w:r w:rsidR="007A731E">
        <w:rPr>
          <w:sz w:val="14"/>
          <w:szCs w:val="14"/>
          <w:lang w:val="en"/>
        </w:rPr>
        <w:t>s</w:t>
      </w:r>
      <w:r w:rsidR="000230FC" w:rsidRPr="000230FC">
        <w:rPr>
          <w:sz w:val="14"/>
          <w:szCs w:val="14"/>
          <w:lang w:val="en"/>
        </w:rPr>
        <w:t xml:space="preserve"> the value of </w:t>
      </w:r>
      <w:r w:rsidR="00856BF2">
        <w:rPr>
          <w:sz w:val="14"/>
          <w:szCs w:val="14"/>
          <w:lang w:val="en"/>
        </w:rPr>
        <w:t>products</w:t>
      </w:r>
      <w:r w:rsidR="000230FC" w:rsidRPr="000230FC">
        <w:rPr>
          <w:sz w:val="14"/>
          <w:szCs w:val="14"/>
          <w:lang w:val="en"/>
        </w:rPr>
        <w:t xml:space="preserve"> received free of charge</w:t>
      </w:r>
      <w:r w:rsidR="00856BF2">
        <w:rPr>
          <w:sz w:val="14"/>
          <w:szCs w:val="14"/>
          <w:lang w:val="en"/>
        </w:rPr>
        <w:t>,</w:t>
      </w:r>
      <w:r w:rsidR="000230FC" w:rsidRPr="000230FC">
        <w:rPr>
          <w:sz w:val="14"/>
          <w:szCs w:val="14"/>
          <w:lang w:val="en"/>
        </w:rPr>
        <w:t xml:space="preserve"> the value of </w:t>
      </w:r>
      <w:r w:rsidR="00856BF2">
        <w:rPr>
          <w:sz w:val="14"/>
          <w:szCs w:val="14"/>
          <w:lang w:val="en"/>
        </w:rPr>
        <w:t>own</w:t>
      </w:r>
      <w:r w:rsidR="000230FC" w:rsidRPr="000230FC">
        <w:rPr>
          <w:sz w:val="14"/>
          <w:szCs w:val="14"/>
          <w:lang w:val="en"/>
        </w:rPr>
        <w:t xml:space="preserve"> consumption as well as the </w:t>
      </w:r>
      <w:r w:rsidR="00856BF2">
        <w:rPr>
          <w:sz w:val="14"/>
          <w:szCs w:val="14"/>
          <w:lang w:val="en"/>
        </w:rPr>
        <w:t xml:space="preserve">so-called </w:t>
      </w:r>
      <w:r w:rsidR="000230FC" w:rsidRPr="000230FC">
        <w:rPr>
          <w:sz w:val="14"/>
          <w:szCs w:val="14"/>
          <w:lang w:val="en"/>
        </w:rPr>
        <w:t>renovation fund</w:t>
      </w:r>
      <w:r w:rsidR="005F67DB">
        <w:rPr>
          <w:sz w:val="14"/>
          <w:szCs w:val="14"/>
          <w:lang w:val="en"/>
        </w:rPr>
        <w:t>.</w:t>
      </w:r>
    </w:p>
  </w:footnote>
  <w:footnote w:id="3">
    <w:p w14:paraId="559498CB" w14:textId="325BF650" w:rsidR="00FD53BB" w:rsidRPr="00FD53BB" w:rsidRDefault="00FD53BB" w:rsidP="005F67DB">
      <w:pPr>
        <w:pStyle w:val="Tekstprzypisudolnego"/>
        <w:spacing w:before="0"/>
        <w:rPr>
          <w:sz w:val="14"/>
          <w:szCs w:val="14"/>
          <w:lang w:val="en-GB"/>
        </w:rPr>
      </w:pPr>
      <w:r w:rsidRPr="00FB4FE4">
        <w:rPr>
          <w:rStyle w:val="Odwoanieprzypisudolnego"/>
          <w:sz w:val="14"/>
          <w:szCs w:val="14"/>
        </w:rPr>
        <w:footnoteRef/>
      </w:r>
      <w:r w:rsidRPr="00FD53BB">
        <w:rPr>
          <w:lang w:val="en-GB"/>
        </w:rPr>
        <w:t xml:space="preserve"> </w:t>
      </w:r>
      <w:r w:rsidRPr="00FD53BB">
        <w:rPr>
          <w:sz w:val="14"/>
          <w:szCs w:val="14"/>
          <w:lang w:val="en-GB"/>
        </w:rPr>
        <w:t xml:space="preserve">per equivalent unit, taking into account the so-called OECD original equivalence scale, according to which the weight 1 is assigned to the first person in the household aged 14 and </w:t>
      </w:r>
      <w:r w:rsidR="00F97546">
        <w:rPr>
          <w:sz w:val="14"/>
          <w:szCs w:val="14"/>
          <w:lang w:val="en-GB"/>
        </w:rPr>
        <w:t>over</w:t>
      </w:r>
      <w:r w:rsidRPr="00FD53BB">
        <w:rPr>
          <w:sz w:val="14"/>
          <w:szCs w:val="14"/>
          <w:lang w:val="en-GB"/>
        </w:rPr>
        <w:t xml:space="preserve">; weight 0.7 - for </w:t>
      </w:r>
      <w:r w:rsidR="00F97546">
        <w:rPr>
          <w:sz w:val="14"/>
          <w:szCs w:val="14"/>
          <w:lang w:val="en-GB"/>
        </w:rPr>
        <w:t xml:space="preserve">any other </w:t>
      </w:r>
      <w:r w:rsidRPr="00FD53BB">
        <w:rPr>
          <w:sz w:val="14"/>
          <w:szCs w:val="14"/>
          <w:lang w:val="en-GB"/>
        </w:rPr>
        <w:t xml:space="preserve">person </w:t>
      </w:r>
      <w:r w:rsidR="00F97546">
        <w:rPr>
          <w:sz w:val="14"/>
          <w:szCs w:val="14"/>
          <w:lang w:val="en-GB"/>
        </w:rPr>
        <w:t xml:space="preserve">at that </w:t>
      </w:r>
      <w:r w:rsidRPr="00FD53BB">
        <w:rPr>
          <w:sz w:val="14"/>
          <w:szCs w:val="14"/>
          <w:lang w:val="en-GB"/>
        </w:rPr>
        <w:t xml:space="preserve">age; weight 0.5 </w:t>
      </w:r>
      <w:r w:rsidR="00F97546">
        <w:rPr>
          <w:sz w:val="14"/>
          <w:szCs w:val="14"/>
          <w:lang w:val="en-GB"/>
        </w:rPr>
        <w:t>–</w:t>
      </w:r>
      <w:r w:rsidRPr="00FD53BB">
        <w:rPr>
          <w:sz w:val="14"/>
          <w:szCs w:val="14"/>
          <w:lang w:val="en-GB"/>
        </w:rPr>
        <w:t xml:space="preserve"> </w:t>
      </w:r>
      <w:r w:rsidR="00F97546">
        <w:rPr>
          <w:sz w:val="14"/>
          <w:szCs w:val="14"/>
          <w:lang w:val="en-GB"/>
        </w:rPr>
        <w:t>to</w:t>
      </w:r>
      <w:r w:rsidRPr="00FD53BB">
        <w:rPr>
          <w:sz w:val="14"/>
          <w:szCs w:val="14"/>
          <w:lang w:val="en-GB"/>
        </w:rPr>
        <w:t xml:space="preserve"> </w:t>
      </w:r>
      <w:r w:rsidR="00F97546">
        <w:rPr>
          <w:sz w:val="14"/>
          <w:szCs w:val="14"/>
          <w:lang w:val="en-GB"/>
        </w:rPr>
        <w:t xml:space="preserve">every </w:t>
      </w:r>
      <w:r w:rsidRPr="00FD53BB">
        <w:rPr>
          <w:sz w:val="14"/>
          <w:szCs w:val="14"/>
          <w:lang w:val="en-GB"/>
        </w:rPr>
        <w:t>child under 14.</w:t>
      </w:r>
    </w:p>
  </w:footnote>
  <w:footnote w:id="4">
    <w:p w14:paraId="40B679B0" w14:textId="77777777" w:rsidR="00F13B07" w:rsidRPr="009B505C" w:rsidRDefault="00F13B07" w:rsidP="00F13B07">
      <w:pPr>
        <w:pStyle w:val="Tekstprzypisudolnego"/>
        <w:spacing w:before="60"/>
        <w:rPr>
          <w:sz w:val="14"/>
          <w:szCs w:val="14"/>
          <w:lang w:val="en-GB"/>
        </w:rPr>
      </w:pPr>
      <w:r w:rsidRPr="00A24EC7">
        <w:rPr>
          <w:rStyle w:val="Odwoanieprzypisudolnego"/>
          <w:sz w:val="14"/>
          <w:szCs w:val="14"/>
        </w:rPr>
        <w:footnoteRef/>
      </w:r>
      <w:r w:rsidRPr="009B505C">
        <w:rPr>
          <w:sz w:val="14"/>
          <w:szCs w:val="14"/>
          <w:lang w:val="en-GB"/>
        </w:rPr>
        <w:t xml:space="preserve"> </w:t>
      </w:r>
      <w:r w:rsidR="009B505C" w:rsidRPr="009B505C">
        <w:rPr>
          <w:sz w:val="14"/>
          <w:szCs w:val="14"/>
          <w:lang w:val="en-GB"/>
        </w:rPr>
        <w:t xml:space="preserve">Real increase in expenditure - that is, taking into account changes in the level of prices of consumer goods and services </w:t>
      </w:r>
    </w:p>
  </w:footnote>
  <w:footnote w:id="5">
    <w:p w14:paraId="33673BE4" w14:textId="77777777" w:rsidR="00F13B07" w:rsidRPr="003031E3" w:rsidRDefault="00F13B07" w:rsidP="00F13B07">
      <w:pPr>
        <w:pStyle w:val="Tekstprzypisudolnego"/>
        <w:spacing w:before="0"/>
        <w:rPr>
          <w:sz w:val="14"/>
          <w:szCs w:val="14"/>
          <w:lang w:val="en-GB"/>
        </w:rPr>
      </w:pPr>
      <w:r w:rsidRPr="00A24EC7">
        <w:rPr>
          <w:rStyle w:val="Odwoanieprzypisudolnego"/>
          <w:sz w:val="14"/>
          <w:szCs w:val="14"/>
        </w:rPr>
        <w:footnoteRef/>
      </w:r>
      <w:r w:rsidR="00BF0B69" w:rsidRPr="00BF0B69">
        <w:rPr>
          <w:sz w:val="14"/>
          <w:szCs w:val="14"/>
          <w:lang w:val="en-GB"/>
        </w:rPr>
        <w:t xml:space="preserve"> More </w:t>
      </w:r>
      <w:r w:rsidR="0086530A">
        <w:rPr>
          <w:sz w:val="14"/>
          <w:szCs w:val="14"/>
          <w:lang w:val="en-GB"/>
        </w:rPr>
        <w:t xml:space="preserve">information about this topic </w:t>
      </w:r>
      <w:r w:rsidR="00BF0B69" w:rsidRPr="00BF0B69">
        <w:rPr>
          <w:sz w:val="14"/>
          <w:szCs w:val="14"/>
          <w:lang w:val="en-GB"/>
        </w:rPr>
        <w:t xml:space="preserve">in the </w:t>
      </w:r>
      <w:r w:rsidR="00BF0B69">
        <w:rPr>
          <w:sz w:val="14"/>
          <w:szCs w:val="14"/>
          <w:lang w:val="en-GB"/>
        </w:rPr>
        <w:t xml:space="preserve">news release </w:t>
      </w:r>
      <w:r w:rsidR="00BF0B69" w:rsidRPr="00BF0B69">
        <w:rPr>
          <w:sz w:val="14"/>
          <w:szCs w:val="14"/>
          <w:lang w:val="en-GB"/>
        </w:rPr>
        <w:t xml:space="preserve">available on the </w:t>
      </w:r>
      <w:r w:rsidR="00BF0B69">
        <w:rPr>
          <w:sz w:val="14"/>
          <w:szCs w:val="14"/>
          <w:lang w:val="en-GB"/>
        </w:rPr>
        <w:t xml:space="preserve">Statistics Poland </w:t>
      </w:r>
      <w:r w:rsidR="00BF0B69" w:rsidRPr="00BF0B69">
        <w:rPr>
          <w:sz w:val="14"/>
          <w:szCs w:val="14"/>
          <w:lang w:val="en-GB"/>
        </w:rPr>
        <w:t xml:space="preserve">website: "The situation of households in 2020 </w:t>
      </w:r>
      <w:r w:rsidR="003031E3">
        <w:rPr>
          <w:sz w:val="14"/>
          <w:szCs w:val="14"/>
          <w:lang w:val="en-GB"/>
        </w:rPr>
        <w:t>on the basis of results of the H</w:t>
      </w:r>
      <w:r w:rsidR="00BF0B69" w:rsidRPr="00BF0B69">
        <w:rPr>
          <w:sz w:val="14"/>
          <w:szCs w:val="14"/>
          <w:lang w:val="en-GB"/>
        </w:rPr>
        <w:t xml:space="preserve">ousehold </w:t>
      </w:r>
      <w:r w:rsidR="003031E3">
        <w:rPr>
          <w:sz w:val="14"/>
          <w:szCs w:val="14"/>
          <w:lang w:val="en-GB"/>
        </w:rPr>
        <w:t>B</w:t>
      </w:r>
      <w:r w:rsidR="00BF0B69" w:rsidRPr="00BF0B69">
        <w:rPr>
          <w:sz w:val="14"/>
          <w:szCs w:val="14"/>
          <w:lang w:val="en-GB"/>
        </w:rPr>
        <w:t xml:space="preserve">udget </w:t>
      </w:r>
      <w:r w:rsidR="003031E3">
        <w:rPr>
          <w:sz w:val="14"/>
          <w:szCs w:val="14"/>
          <w:lang w:val="en-GB"/>
        </w:rPr>
        <w:t>S</w:t>
      </w:r>
      <w:r w:rsidR="00BF0B69" w:rsidRPr="00BF0B69">
        <w:rPr>
          <w:sz w:val="14"/>
          <w:szCs w:val="14"/>
          <w:lang w:val="en-GB"/>
        </w:rPr>
        <w:t>urvey</w:t>
      </w:r>
      <w:r w:rsidRPr="00BF0B69">
        <w:rPr>
          <w:sz w:val="14"/>
          <w:szCs w:val="14"/>
          <w:lang w:val="en-GB"/>
        </w:rPr>
        <w:t>”</w:t>
      </w:r>
      <w:r w:rsidR="00D27DC6">
        <w:rPr>
          <w:sz w:val="14"/>
          <w:szCs w:val="14"/>
          <w:lang w:val="en-GB"/>
        </w:rPr>
        <w:t>:</w:t>
      </w:r>
      <w:r w:rsidRPr="00BF0B69">
        <w:rPr>
          <w:sz w:val="14"/>
          <w:szCs w:val="14"/>
          <w:lang w:val="en-GB"/>
        </w:rPr>
        <w:t xml:space="preserve"> </w:t>
      </w:r>
      <w:hyperlink r:id="rId1" w:history="1">
        <w:r w:rsidR="003031E3" w:rsidRPr="005E04CE">
          <w:rPr>
            <w:rStyle w:val="Hipercze"/>
            <w:rFonts w:cstheme="minorBidi"/>
            <w:sz w:val="14"/>
            <w:szCs w:val="14"/>
            <w:lang w:val="en-GB"/>
          </w:rPr>
          <w:t>https://stat.gov.pl/en/topics/living-conditions/living-conditions/the-situation-of-households-in-2020-on-the-basis-of-results-of-the-household-budget-survey,12,20.html</w:t>
        </w:r>
      </w:hyperlink>
    </w:p>
  </w:footnote>
  <w:footnote w:id="6">
    <w:p w14:paraId="1A716356" w14:textId="77777777" w:rsidR="0096007D" w:rsidRPr="00D27DC6" w:rsidRDefault="0096007D" w:rsidP="0096007D">
      <w:pPr>
        <w:pStyle w:val="Tekstprzypisudolnego"/>
        <w:spacing w:before="0"/>
        <w:rPr>
          <w:sz w:val="14"/>
          <w:szCs w:val="14"/>
          <w:lang w:val="en-GB"/>
        </w:rPr>
      </w:pPr>
      <w:r w:rsidRPr="00A24EC7">
        <w:rPr>
          <w:rStyle w:val="Odwoanieprzypisudolnego"/>
          <w:sz w:val="14"/>
          <w:szCs w:val="14"/>
        </w:rPr>
        <w:footnoteRef/>
      </w:r>
      <w:r w:rsidRPr="001D1150">
        <w:rPr>
          <w:sz w:val="14"/>
          <w:szCs w:val="14"/>
          <w:lang w:val="en-GB"/>
        </w:rPr>
        <w:t xml:space="preserve"> Macroeconomic indicators (annual or quarterly) available on the website of the</w:t>
      </w:r>
      <w:r>
        <w:rPr>
          <w:sz w:val="14"/>
          <w:szCs w:val="14"/>
          <w:lang w:val="en-GB"/>
        </w:rPr>
        <w:t xml:space="preserve"> Statistics Poland:</w:t>
      </w:r>
      <w:r w:rsidRPr="001D1150">
        <w:rPr>
          <w:sz w:val="14"/>
          <w:szCs w:val="14"/>
          <w:lang w:val="en-GB"/>
        </w:rPr>
        <w:t xml:space="preserve"> </w:t>
      </w:r>
      <w:hyperlink r:id="rId2" w:history="1">
        <w:r w:rsidRPr="00D27DC6">
          <w:rPr>
            <w:rStyle w:val="Hipercze"/>
            <w:rFonts w:cstheme="minorBidi"/>
            <w:sz w:val="14"/>
            <w:szCs w:val="14"/>
            <w:lang w:val="en-GB"/>
          </w:rPr>
          <w:t>https://stat.gov.pl/en/poland-macroeconomic-indicators/</w:t>
        </w:r>
      </w:hyperlink>
    </w:p>
    <w:p w14:paraId="0AFC94FD" w14:textId="77777777" w:rsidR="0096007D" w:rsidRPr="00D27DC6" w:rsidRDefault="0096007D" w:rsidP="0096007D">
      <w:pPr>
        <w:pStyle w:val="Tekstprzypisudolnego"/>
        <w:spacing w:before="0"/>
        <w:rPr>
          <w:color w:val="001D77"/>
          <w:sz w:val="14"/>
          <w:szCs w:val="14"/>
          <w:lang w:val="en-GB"/>
        </w:rPr>
      </w:pPr>
      <w:r w:rsidRPr="00D27DC6">
        <w:rPr>
          <w:color w:val="001D77"/>
          <w:sz w:val="14"/>
          <w:szCs w:val="14"/>
          <w:lang w:val="en-GB"/>
        </w:rPr>
        <w:t xml:space="preserve"> </w:t>
      </w:r>
    </w:p>
  </w:footnote>
  <w:footnote w:id="7">
    <w:p w14:paraId="16EC70F9" w14:textId="60A3A90E" w:rsidR="00D95102" w:rsidRPr="005D27C2" w:rsidRDefault="00D95102" w:rsidP="00D9204A">
      <w:pPr>
        <w:pStyle w:val="Tekstprzypisudolnego"/>
        <w:spacing w:before="0"/>
        <w:rPr>
          <w:lang w:val="en-GB"/>
        </w:rPr>
      </w:pPr>
      <w:r w:rsidRPr="00D95102">
        <w:rPr>
          <w:rStyle w:val="Odwoanieprzypisudolnego"/>
          <w:sz w:val="14"/>
          <w:szCs w:val="14"/>
        </w:rPr>
        <w:footnoteRef/>
      </w:r>
      <w:r w:rsidRPr="005D27C2">
        <w:rPr>
          <w:lang w:val="en-GB"/>
        </w:rPr>
        <w:t xml:space="preserve"> </w:t>
      </w:r>
      <w:r>
        <w:rPr>
          <w:rFonts w:eastAsia="Times New Roman" w:cs="Arial"/>
          <w:color w:val="000000"/>
          <w:sz w:val="14"/>
          <w:szCs w:val="14"/>
          <w:lang w:val="en-US" w:eastAsia="pl-PL"/>
        </w:rPr>
        <w:t>Cohabiting couple are included in m</w:t>
      </w:r>
      <w:r w:rsidRPr="00296723">
        <w:rPr>
          <w:rFonts w:eastAsia="Times New Roman" w:cs="Arial"/>
          <w:color w:val="000000"/>
          <w:sz w:val="14"/>
          <w:szCs w:val="14"/>
          <w:lang w:val="en-US" w:eastAsia="pl-PL"/>
        </w:rPr>
        <w:t>arriages.</w:t>
      </w:r>
    </w:p>
  </w:footnote>
  <w:footnote w:id="8">
    <w:p w14:paraId="07B6C9BE" w14:textId="77777777" w:rsidR="005D27C2" w:rsidRPr="005D27C2" w:rsidRDefault="005D27C2" w:rsidP="00D9204A">
      <w:pPr>
        <w:pStyle w:val="Tekstprzypisudolnego"/>
        <w:spacing w:before="0"/>
        <w:rPr>
          <w:lang w:val="en-GB"/>
        </w:rPr>
      </w:pPr>
      <w:r w:rsidRPr="005D27C2">
        <w:rPr>
          <w:rStyle w:val="Odwoanieprzypisudolnego"/>
          <w:sz w:val="14"/>
          <w:szCs w:val="14"/>
        </w:rPr>
        <w:footnoteRef/>
      </w:r>
      <w:r w:rsidRPr="005D27C2">
        <w:rPr>
          <w:sz w:val="14"/>
          <w:szCs w:val="14"/>
          <w:lang w:val="en-GB"/>
        </w:rPr>
        <w:t xml:space="preserve"> </w:t>
      </w:r>
      <w:r w:rsidRPr="003E620C">
        <w:rPr>
          <w:rFonts w:eastAsia="Times New Roman" w:cs="Arial"/>
          <w:iCs/>
          <w:color w:val="000000"/>
          <w:sz w:val="14"/>
          <w:szCs w:val="14"/>
          <w:lang w:val="en-US" w:eastAsia="pl-PL"/>
        </w:rPr>
        <w:t xml:space="preserve">A dependent child is a person </w:t>
      </w:r>
      <w:r>
        <w:rPr>
          <w:rFonts w:eastAsia="Times New Roman" w:cs="Arial"/>
          <w:iCs/>
          <w:color w:val="000000"/>
          <w:sz w:val="14"/>
          <w:szCs w:val="14"/>
          <w:lang w:val="en-US" w:eastAsia="pl-PL"/>
        </w:rPr>
        <w:t>aged 0-14</w:t>
      </w:r>
      <w:r w:rsidRPr="003E620C">
        <w:rPr>
          <w:rFonts w:eastAsia="Times New Roman" w:cs="Arial"/>
          <w:iCs/>
          <w:color w:val="000000"/>
          <w:sz w:val="14"/>
          <w:szCs w:val="14"/>
          <w:lang w:val="en-US" w:eastAsia="pl-PL"/>
        </w:rPr>
        <w:t xml:space="preserve"> or a person aged </w:t>
      </w:r>
      <w:r w:rsidRPr="003E620C">
        <w:rPr>
          <w:rFonts w:eastAsia="Times New Roman" w:cs="Arial"/>
          <w:color w:val="000000"/>
          <w:sz w:val="14"/>
          <w:szCs w:val="14"/>
          <w:lang w:val="en-US" w:eastAsia="pl-PL"/>
        </w:rPr>
        <w:t>15-25 with no own source of income and not married (or not living in cohabiting couple)</w:t>
      </w:r>
    </w:p>
  </w:footnote>
  <w:footnote w:id="9">
    <w:p w14:paraId="24AD50B2" w14:textId="61E36115" w:rsidR="00F34898" w:rsidRPr="00D9204A" w:rsidRDefault="00F34898" w:rsidP="00D9204A">
      <w:pPr>
        <w:spacing w:before="0" w:after="0" w:line="240" w:lineRule="auto"/>
        <w:rPr>
          <w:sz w:val="14"/>
          <w:szCs w:val="14"/>
          <w:lang w:val="en-US"/>
        </w:rPr>
      </w:pPr>
      <w:r w:rsidRPr="00D9204A">
        <w:rPr>
          <w:rStyle w:val="Odwoanieprzypisudolnego"/>
          <w:sz w:val="14"/>
          <w:szCs w:val="14"/>
        </w:rPr>
        <w:footnoteRef/>
      </w:r>
      <w:r w:rsidRPr="00D9204A">
        <w:rPr>
          <w:sz w:val="14"/>
          <w:szCs w:val="14"/>
          <w:lang w:val="en-US"/>
        </w:rPr>
        <w:t xml:space="preserve"> In this particular case, it is the ratio  of the extreme poverty rate in 2020 to the poverty rate in 2019.</w:t>
      </w:r>
    </w:p>
    <w:p w14:paraId="3D941E24" w14:textId="3A1D2C90" w:rsidR="00F34898" w:rsidRPr="00193EC1" w:rsidRDefault="00F34898">
      <w:pPr>
        <w:pStyle w:val="Tekstprzypisudolnego"/>
        <w:rPr>
          <w:lang w:val="en-US"/>
        </w:rPr>
      </w:pPr>
    </w:p>
  </w:footnote>
  <w:footnote w:id="10">
    <w:p w14:paraId="55172E32" w14:textId="3D284A02" w:rsidR="007F3B81" w:rsidRPr="007F3B81" w:rsidRDefault="007F3B81" w:rsidP="00506324">
      <w:pPr>
        <w:pStyle w:val="Tekstprzypisudolnego"/>
        <w:spacing w:before="0"/>
        <w:rPr>
          <w:lang w:val="en-GB"/>
        </w:rPr>
      </w:pPr>
      <w:r>
        <w:rPr>
          <w:rStyle w:val="Odwoanieprzypisudolnego"/>
        </w:rPr>
        <w:footnoteRef/>
      </w:r>
      <w:r w:rsidRPr="007F3B81">
        <w:rPr>
          <w:lang w:val="en-GB"/>
        </w:rPr>
        <w:t xml:space="preserve"> </w:t>
      </w:r>
      <w:r w:rsidRPr="007F3B81">
        <w:rPr>
          <w:sz w:val="14"/>
          <w:szCs w:val="14"/>
          <w:lang w:val="en"/>
        </w:rPr>
        <w:t xml:space="preserve">The data in </w:t>
      </w:r>
      <w:r>
        <w:rPr>
          <w:sz w:val="14"/>
          <w:szCs w:val="14"/>
          <w:lang w:val="en"/>
        </w:rPr>
        <w:t xml:space="preserve">Chart </w:t>
      </w:r>
      <w:r w:rsidRPr="007F3B81">
        <w:rPr>
          <w:sz w:val="14"/>
          <w:szCs w:val="14"/>
          <w:lang w:val="en"/>
        </w:rPr>
        <w:t xml:space="preserve">7 refer to households with children aged 0-17, regardless of whether they are supported by parents (or other household members) or have their own source of income, such as a survivor's pension or alimony. Apart from parents and children aged 0-17, these </w:t>
      </w:r>
      <w:r w:rsidR="007D3EE3">
        <w:rPr>
          <w:sz w:val="14"/>
          <w:szCs w:val="14"/>
          <w:lang w:val="en"/>
        </w:rPr>
        <w:t>households</w:t>
      </w:r>
      <w:r w:rsidRPr="007F3B81">
        <w:rPr>
          <w:sz w:val="14"/>
          <w:szCs w:val="14"/>
          <w:lang w:val="en"/>
        </w:rPr>
        <w:t xml:space="preserve"> may also include other persons, such as older siblings, grandparents or brothers or sisters of one of the parents. Meanwhile, the data in Figure 6 refer only to selected types of households, such as married couples or single parents with dependent children (these households cannot include other people). Dependent children include, for example, unemployed students as well as young people who have already completed their education but have not yet started work, if they do not have their own source of income.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D648D" w14:textId="77777777" w:rsidR="004F7C9F" w:rsidRDefault="00B16AF1">
    <w:pPr>
      <w:pStyle w:val="Nagwek"/>
    </w:pPr>
    <w:r>
      <w:rPr>
        <w:noProof/>
        <w:lang w:eastAsia="pl-PL"/>
      </w:rPr>
      <mc:AlternateContent>
        <mc:Choice Requires="wps">
          <w:drawing>
            <wp:anchor distT="0" distB="0" distL="114300" distR="114300" simplePos="0" relativeHeight="251662336" behindDoc="1" locked="0" layoutInCell="1" allowOverlap="1" wp14:anchorId="53BF5DA3" wp14:editId="6F7824B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2508BDA"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51273EBA" w14:textId="77777777" w:rsidR="004F7C9F" w:rsidRDefault="004F7C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3E477" w14:textId="77777777" w:rsidR="004F7C9F" w:rsidRDefault="00B16AF1">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6F261710" wp14:editId="234FA7D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DD1F8E" w14:textId="77777777" w:rsidR="004F7C9F" w:rsidRPr="003C6C8D" w:rsidRDefault="00B17027"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1710" id="Schemat blokowy: opóźnienie 6" o:spid="_x0000_s1039"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DDD1F8E" w14:textId="77777777" w:rsidR="004F7C9F" w:rsidRPr="003C6C8D" w:rsidRDefault="00B17027"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1E6B3A7" wp14:editId="4A86F19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D44363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B17027">
      <w:rPr>
        <w:noProof/>
        <w:lang w:eastAsia="pl-PL"/>
      </w:rPr>
      <w:drawing>
        <wp:inline distT="0" distB="0" distL="0" distR="0" wp14:anchorId="35F04671" wp14:editId="5DCB232F">
          <wp:extent cx="1957070" cy="74358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BE715" w14:textId="77777777" w:rsidR="004F7C9F" w:rsidRDefault="004F7C9F">
    <w:pPr>
      <w:pStyle w:val="Nagwek"/>
    </w:pPr>
  </w:p>
  <w:p w14:paraId="789CEE5C" w14:textId="77777777" w:rsidR="004F7C9F" w:rsidRDefault="004F7C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05pt;height:125.15pt;visibility:visible;mso-wrap-style:square" o:bullet="t">
        <v:imagedata r:id="rId1" o:title=""/>
      </v:shape>
    </w:pict>
  </w:numPicBullet>
  <w:numPicBullet w:numPicBulletId="1">
    <w:pict>
      <v:shape id="_x0000_i1033" type="#_x0000_t75" style="width:123.65pt;height:125.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60B7628"/>
    <w:multiLevelType w:val="hybridMultilevel"/>
    <w:tmpl w:val="3B7A167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F96"/>
    <w:rsid w:val="00001277"/>
    <w:rsid w:val="000014E9"/>
    <w:rsid w:val="00001C5B"/>
    <w:rsid w:val="00002E1D"/>
    <w:rsid w:val="00003437"/>
    <w:rsid w:val="00003646"/>
    <w:rsid w:val="00003EB5"/>
    <w:rsid w:val="00005371"/>
    <w:rsid w:val="00006366"/>
    <w:rsid w:val="000065AB"/>
    <w:rsid w:val="0000709F"/>
    <w:rsid w:val="000108B8"/>
    <w:rsid w:val="000116DD"/>
    <w:rsid w:val="000152F5"/>
    <w:rsid w:val="00015386"/>
    <w:rsid w:val="00015BD6"/>
    <w:rsid w:val="00016161"/>
    <w:rsid w:val="00017329"/>
    <w:rsid w:val="00021239"/>
    <w:rsid w:val="000212F4"/>
    <w:rsid w:val="000230FC"/>
    <w:rsid w:val="00025FCF"/>
    <w:rsid w:val="000305A0"/>
    <w:rsid w:val="000337BB"/>
    <w:rsid w:val="00034160"/>
    <w:rsid w:val="0003560F"/>
    <w:rsid w:val="00035665"/>
    <w:rsid w:val="00035EAC"/>
    <w:rsid w:val="00037C8E"/>
    <w:rsid w:val="00040344"/>
    <w:rsid w:val="0004081F"/>
    <w:rsid w:val="000417D5"/>
    <w:rsid w:val="00042199"/>
    <w:rsid w:val="0004582E"/>
    <w:rsid w:val="0004646A"/>
    <w:rsid w:val="000470AA"/>
    <w:rsid w:val="00051119"/>
    <w:rsid w:val="00053AA7"/>
    <w:rsid w:val="00057831"/>
    <w:rsid w:val="00057CA1"/>
    <w:rsid w:val="00057F3F"/>
    <w:rsid w:val="000630B9"/>
    <w:rsid w:val="0006547E"/>
    <w:rsid w:val="000662E2"/>
    <w:rsid w:val="000665C5"/>
    <w:rsid w:val="00066883"/>
    <w:rsid w:val="00066E76"/>
    <w:rsid w:val="00071D41"/>
    <w:rsid w:val="000730CD"/>
    <w:rsid w:val="000739C9"/>
    <w:rsid w:val="00074DD8"/>
    <w:rsid w:val="00075D41"/>
    <w:rsid w:val="0007743F"/>
    <w:rsid w:val="00080209"/>
    <w:rsid w:val="000806F7"/>
    <w:rsid w:val="0008411D"/>
    <w:rsid w:val="00085030"/>
    <w:rsid w:val="00085FAA"/>
    <w:rsid w:val="000866F3"/>
    <w:rsid w:val="000903B7"/>
    <w:rsid w:val="00090DCC"/>
    <w:rsid w:val="0009119C"/>
    <w:rsid w:val="000916A9"/>
    <w:rsid w:val="000925E1"/>
    <w:rsid w:val="00095EE8"/>
    <w:rsid w:val="0009696C"/>
    <w:rsid w:val="00097840"/>
    <w:rsid w:val="000A0BAD"/>
    <w:rsid w:val="000A0E48"/>
    <w:rsid w:val="000A1A1A"/>
    <w:rsid w:val="000A2E3E"/>
    <w:rsid w:val="000A448B"/>
    <w:rsid w:val="000A5F0B"/>
    <w:rsid w:val="000A6963"/>
    <w:rsid w:val="000A7F1A"/>
    <w:rsid w:val="000B0727"/>
    <w:rsid w:val="000B192E"/>
    <w:rsid w:val="000B2618"/>
    <w:rsid w:val="000B49B4"/>
    <w:rsid w:val="000C040F"/>
    <w:rsid w:val="000C0C94"/>
    <w:rsid w:val="000C135D"/>
    <w:rsid w:val="000C1FDC"/>
    <w:rsid w:val="000C29F1"/>
    <w:rsid w:val="000D06E0"/>
    <w:rsid w:val="000D11C0"/>
    <w:rsid w:val="000D1D43"/>
    <w:rsid w:val="000D225C"/>
    <w:rsid w:val="000D2A5C"/>
    <w:rsid w:val="000D3477"/>
    <w:rsid w:val="000D3CDA"/>
    <w:rsid w:val="000D7F85"/>
    <w:rsid w:val="000E01EC"/>
    <w:rsid w:val="000E0918"/>
    <w:rsid w:val="000E1349"/>
    <w:rsid w:val="000E1F41"/>
    <w:rsid w:val="000E20FF"/>
    <w:rsid w:val="000E229F"/>
    <w:rsid w:val="000E375E"/>
    <w:rsid w:val="000E39B3"/>
    <w:rsid w:val="000E3DF4"/>
    <w:rsid w:val="000E480F"/>
    <w:rsid w:val="000E5691"/>
    <w:rsid w:val="000E7917"/>
    <w:rsid w:val="000F5B9D"/>
    <w:rsid w:val="000F6476"/>
    <w:rsid w:val="000F704F"/>
    <w:rsid w:val="000F7FAB"/>
    <w:rsid w:val="001011C3"/>
    <w:rsid w:val="001023A6"/>
    <w:rsid w:val="00102C97"/>
    <w:rsid w:val="00105496"/>
    <w:rsid w:val="00105A84"/>
    <w:rsid w:val="00106181"/>
    <w:rsid w:val="00110C64"/>
    <w:rsid w:val="00110D87"/>
    <w:rsid w:val="00111C66"/>
    <w:rsid w:val="00113685"/>
    <w:rsid w:val="001149A1"/>
    <w:rsid w:val="00114DB9"/>
    <w:rsid w:val="00115809"/>
    <w:rsid w:val="00116087"/>
    <w:rsid w:val="00125CCD"/>
    <w:rsid w:val="00130296"/>
    <w:rsid w:val="00130FEE"/>
    <w:rsid w:val="00135024"/>
    <w:rsid w:val="00135A93"/>
    <w:rsid w:val="00135B65"/>
    <w:rsid w:val="00140B4E"/>
    <w:rsid w:val="00141D35"/>
    <w:rsid w:val="00142037"/>
    <w:rsid w:val="001423B6"/>
    <w:rsid w:val="001425A3"/>
    <w:rsid w:val="0014348C"/>
    <w:rsid w:val="001445DE"/>
    <w:rsid w:val="001448A7"/>
    <w:rsid w:val="00145302"/>
    <w:rsid w:val="00146621"/>
    <w:rsid w:val="0014758F"/>
    <w:rsid w:val="00150BC9"/>
    <w:rsid w:val="0015238A"/>
    <w:rsid w:val="00153F1D"/>
    <w:rsid w:val="001571B5"/>
    <w:rsid w:val="00162325"/>
    <w:rsid w:val="00167B8C"/>
    <w:rsid w:val="00175466"/>
    <w:rsid w:val="00175554"/>
    <w:rsid w:val="00175ADA"/>
    <w:rsid w:val="001778A6"/>
    <w:rsid w:val="001778BA"/>
    <w:rsid w:val="00180A0C"/>
    <w:rsid w:val="00180A3F"/>
    <w:rsid w:val="00180C89"/>
    <w:rsid w:val="001838DD"/>
    <w:rsid w:val="00184CD0"/>
    <w:rsid w:val="00184FCD"/>
    <w:rsid w:val="00186576"/>
    <w:rsid w:val="0018675A"/>
    <w:rsid w:val="00191656"/>
    <w:rsid w:val="00191DA6"/>
    <w:rsid w:val="00193D72"/>
    <w:rsid w:val="00193EC1"/>
    <w:rsid w:val="001951DA"/>
    <w:rsid w:val="0019731B"/>
    <w:rsid w:val="001973B2"/>
    <w:rsid w:val="00197B46"/>
    <w:rsid w:val="001A195E"/>
    <w:rsid w:val="001A253B"/>
    <w:rsid w:val="001A4EEA"/>
    <w:rsid w:val="001A564B"/>
    <w:rsid w:val="001B085B"/>
    <w:rsid w:val="001B09A2"/>
    <w:rsid w:val="001B2ADE"/>
    <w:rsid w:val="001B34B0"/>
    <w:rsid w:val="001B4364"/>
    <w:rsid w:val="001C3269"/>
    <w:rsid w:val="001C3F17"/>
    <w:rsid w:val="001C3FD4"/>
    <w:rsid w:val="001C41D7"/>
    <w:rsid w:val="001C54DC"/>
    <w:rsid w:val="001C5F39"/>
    <w:rsid w:val="001C7C58"/>
    <w:rsid w:val="001D1150"/>
    <w:rsid w:val="001D1206"/>
    <w:rsid w:val="001D1DB4"/>
    <w:rsid w:val="001D3440"/>
    <w:rsid w:val="001D4BB5"/>
    <w:rsid w:val="001D7C73"/>
    <w:rsid w:val="001E050F"/>
    <w:rsid w:val="001E1D94"/>
    <w:rsid w:val="001E48EA"/>
    <w:rsid w:val="001E7DBB"/>
    <w:rsid w:val="001F131D"/>
    <w:rsid w:val="001F24A7"/>
    <w:rsid w:val="001F377B"/>
    <w:rsid w:val="001F3E2C"/>
    <w:rsid w:val="001F502F"/>
    <w:rsid w:val="00201BC2"/>
    <w:rsid w:val="00202617"/>
    <w:rsid w:val="002069F2"/>
    <w:rsid w:val="00207C9A"/>
    <w:rsid w:val="00214B6B"/>
    <w:rsid w:val="00216245"/>
    <w:rsid w:val="002172EF"/>
    <w:rsid w:val="002174AA"/>
    <w:rsid w:val="0022027D"/>
    <w:rsid w:val="00222C87"/>
    <w:rsid w:val="00224478"/>
    <w:rsid w:val="00226B71"/>
    <w:rsid w:val="00227BED"/>
    <w:rsid w:val="00233288"/>
    <w:rsid w:val="00233C68"/>
    <w:rsid w:val="002353DF"/>
    <w:rsid w:val="002416B9"/>
    <w:rsid w:val="00241915"/>
    <w:rsid w:val="00243B76"/>
    <w:rsid w:val="00245A92"/>
    <w:rsid w:val="00246D6E"/>
    <w:rsid w:val="002509E8"/>
    <w:rsid w:val="002574F9"/>
    <w:rsid w:val="00257B3D"/>
    <w:rsid w:val="0026168B"/>
    <w:rsid w:val="00262B61"/>
    <w:rsid w:val="00262F01"/>
    <w:rsid w:val="002669C0"/>
    <w:rsid w:val="00267967"/>
    <w:rsid w:val="00267AB1"/>
    <w:rsid w:val="00267ACE"/>
    <w:rsid w:val="00271E09"/>
    <w:rsid w:val="00272C76"/>
    <w:rsid w:val="002731F4"/>
    <w:rsid w:val="002736E9"/>
    <w:rsid w:val="00274187"/>
    <w:rsid w:val="002761E5"/>
    <w:rsid w:val="00276811"/>
    <w:rsid w:val="00276C9A"/>
    <w:rsid w:val="0028121D"/>
    <w:rsid w:val="002813EE"/>
    <w:rsid w:val="00281611"/>
    <w:rsid w:val="00282699"/>
    <w:rsid w:val="00284F5F"/>
    <w:rsid w:val="00287E5D"/>
    <w:rsid w:val="0029077F"/>
    <w:rsid w:val="00291239"/>
    <w:rsid w:val="00291D70"/>
    <w:rsid w:val="002926DF"/>
    <w:rsid w:val="0029416C"/>
    <w:rsid w:val="00296697"/>
    <w:rsid w:val="00296723"/>
    <w:rsid w:val="002970BE"/>
    <w:rsid w:val="0029720E"/>
    <w:rsid w:val="002977C0"/>
    <w:rsid w:val="002A0FF3"/>
    <w:rsid w:val="002A10B9"/>
    <w:rsid w:val="002A1CFD"/>
    <w:rsid w:val="002A1EA7"/>
    <w:rsid w:val="002A3F8F"/>
    <w:rsid w:val="002A43C4"/>
    <w:rsid w:val="002A4D80"/>
    <w:rsid w:val="002A6D75"/>
    <w:rsid w:val="002B0472"/>
    <w:rsid w:val="002B1B4A"/>
    <w:rsid w:val="002B2C96"/>
    <w:rsid w:val="002B4D10"/>
    <w:rsid w:val="002B4DFD"/>
    <w:rsid w:val="002B6B12"/>
    <w:rsid w:val="002C6773"/>
    <w:rsid w:val="002C6CCD"/>
    <w:rsid w:val="002D0020"/>
    <w:rsid w:val="002D7576"/>
    <w:rsid w:val="002E2E99"/>
    <w:rsid w:val="002E4612"/>
    <w:rsid w:val="002E48EA"/>
    <w:rsid w:val="002E5500"/>
    <w:rsid w:val="002E6140"/>
    <w:rsid w:val="002E697F"/>
    <w:rsid w:val="002E6985"/>
    <w:rsid w:val="002E6F2A"/>
    <w:rsid w:val="002E71B6"/>
    <w:rsid w:val="002F0F30"/>
    <w:rsid w:val="002F2188"/>
    <w:rsid w:val="002F670A"/>
    <w:rsid w:val="002F77C8"/>
    <w:rsid w:val="003031E3"/>
    <w:rsid w:val="00303466"/>
    <w:rsid w:val="00304F22"/>
    <w:rsid w:val="00305162"/>
    <w:rsid w:val="0030639F"/>
    <w:rsid w:val="003067C1"/>
    <w:rsid w:val="00306C7C"/>
    <w:rsid w:val="00310E05"/>
    <w:rsid w:val="0031133C"/>
    <w:rsid w:val="00311561"/>
    <w:rsid w:val="00311F87"/>
    <w:rsid w:val="0031287C"/>
    <w:rsid w:val="00312A6B"/>
    <w:rsid w:val="00314263"/>
    <w:rsid w:val="00315200"/>
    <w:rsid w:val="003204F1"/>
    <w:rsid w:val="0032271E"/>
    <w:rsid w:val="00322EDD"/>
    <w:rsid w:val="00327420"/>
    <w:rsid w:val="003279D3"/>
    <w:rsid w:val="00330E56"/>
    <w:rsid w:val="00331802"/>
    <w:rsid w:val="00332320"/>
    <w:rsid w:val="00333DD0"/>
    <w:rsid w:val="00334978"/>
    <w:rsid w:val="00334B55"/>
    <w:rsid w:val="003401E3"/>
    <w:rsid w:val="00342947"/>
    <w:rsid w:val="00343187"/>
    <w:rsid w:val="003454B0"/>
    <w:rsid w:val="0034677A"/>
    <w:rsid w:val="00346CA8"/>
    <w:rsid w:val="00347D72"/>
    <w:rsid w:val="003513BF"/>
    <w:rsid w:val="00353928"/>
    <w:rsid w:val="0035697D"/>
    <w:rsid w:val="00357611"/>
    <w:rsid w:val="00364F5C"/>
    <w:rsid w:val="00367237"/>
    <w:rsid w:val="0036770C"/>
    <w:rsid w:val="0037077F"/>
    <w:rsid w:val="00372411"/>
    <w:rsid w:val="00373882"/>
    <w:rsid w:val="00375F23"/>
    <w:rsid w:val="00380C23"/>
    <w:rsid w:val="003816C0"/>
    <w:rsid w:val="003826E8"/>
    <w:rsid w:val="003843DB"/>
    <w:rsid w:val="00386435"/>
    <w:rsid w:val="003869AC"/>
    <w:rsid w:val="003901AC"/>
    <w:rsid w:val="003903D9"/>
    <w:rsid w:val="00390A37"/>
    <w:rsid w:val="00391B62"/>
    <w:rsid w:val="00393761"/>
    <w:rsid w:val="00393B98"/>
    <w:rsid w:val="00393DB9"/>
    <w:rsid w:val="00393FA8"/>
    <w:rsid w:val="00394A1D"/>
    <w:rsid w:val="00397D18"/>
    <w:rsid w:val="003A1B36"/>
    <w:rsid w:val="003A440F"/>
    <w:rsid w:val="003B1454"/>
    <w:rsid w:val="003B18B6"/>
    <w:rsid w:val="003B26B3"/>
    <w:rsid w:val="003B5E1C"/>
    <w:rsid w:val="003C0256"/>
    <w:rsid w:val="003C0EB3"/>
    <w:rsid w:val="003C2499"/>
    <w:rsid w:val="003C572C"/>
    <w:rsid w:val="003C579C"/>
    <w:rsid w:val="003C59E0"/>
    <w:rsid w:val="003C5C96"/>
    <w:rsid w:val="003C6C8D"/>
    <w:rsid w:val="003D25FC"/>
    <w:rsid w:val="003D288D"/>
    <w:rsid w:val="003D4F95"/>
    <w:rsid w:val="003D5C58"/>
    <w:rsid w:val="003D5F42"/>
    <w:rsid w:val="003D60A9"/>
    <w:rsid w:val="003D6F45"/>
    <w:rsid w:val="003D7A3D"/>
    <w:rsid w:val="003D7FA5"/>
    <w:rsid w:val="003E11CD"/>
    <w:rsid w:val="003E61A2"/>
    <w:rsid w:val="003E620C"/>
    <w:rsid w:val="003F0EA8"/>
    <w:rsid w:val="003F1FAD"/>
    <w:rsid w:val="003F360E"/>
    <w:rsid w:val="003F4C97"/>
    <w:rsid w:val="003F5245"/>
    <w:rsid w:val="003F57C8"/>
    <w:rsid w:val="003F650D"/>
    <w:rsid w:val="003F7FE6"/>
    <w:rsid w:val="00400193"/>
    <w:rsid w:val="00401184"/>
    <w:rsid w:val="00401C52"/>
    <w:rsid w:val="004025F5"/>
    <w:rsid w:val="00410AE8"/>
    <w:rsid w:val="00410FC6"/>
    <w:rsid w:val="00411D1D"/>
    <w:rsid w:val="00412AB7"/>
    <w:rsid w:val="00413F3D"/>
    <w:rsid w:val="00414018"/>
    <w:rsid w:val="004143EC"/>
    <w:rsid w:val="004160D3"/>
    <w:rsid w:val="00416B42"/>
    <w:rsid w:val="00417EDF"/>
    <w:rsid w:val="0042007B"/>
    <w:rsid w:val="0042077D"/>
    <w:rsid w:val="00420941"/>
    <w:rsid w:val="00420F1B"/>
    <w:rsid w:val="004212E7"/>
    <w:rsid w:val="00421734"/>
    <w:rsid w:val="00424174"/>
    <w:rsid w:val="0042434B"/>
    <w:rsid w:val="0042446D"/>
    <w:rsid w:val="0042554A"/>
    <w:rsid w:val="00426D9E"/>
    <w:rsid w:val="00426ECB"/>
    <w:rsid w:val="00427212"/>
    <w:rsid w:val="004276D8"/>
    <w:rsid w:val="00427BF8"/>
    <w:rsid w:val="00431C02"/>
    <w:rsid w:val="00432294"/>
    <w:rsid w:val="004343C9"/>
    <w:rsid w:val="00434B34"/>
    <w:rsid w:val="004371F0"/>
    <w:rsid w:val="00437395"/>
    <w:rsid w:val="00437EB1"/>
    <w:rsid w:val="00445047"/>
    <w:rsid w:val="00445261"/>
    <w:rsid w:val="004520C9"/>
    <w:rsid w:val="004524C4"/>
    <w:rsid w:val="00452E99"/>
    <w:rsid w:val="00456132"/>
    <w:rsid w:val="004566AB"/>
    <w:rsid w:val="00456775"/>
    <w:rsid w:val="004601AC"/>
    <w:rsid w:val="00461F5B"/>
    <w:rsid w:val="00461F98"/>
    <w:rsid w:val="00463E39"/>
    <w:rsid w:val="004640FF"/>
    <w:rsid w:val="00465153"/>
    <w:rsid w:val="004657FC"/>
    <w:rsid w:val="00466642"/>
    <w:rsid w:val="004676E8"/>
    <w:rsid w:val="00472414"/>
    <w:rsid w:val="00472CB9"/>
    <w:rsid w:val="004733F6"/>
    <w:rsid w:val="00474276"/>
    <w:rsid w:val="00474431"/>
    <w:rsid w:val="00474E69"/>
    <w:rsid w:val="00475047"/>
    <w:rsid w:val="00480650"/>
    <w:rsid w:val="004808CA"/>
    <w:rsid w:val="00480F69"/>
    <w:rsid w:val="004858DA"/>
    <w:rsid w:val="0048607E"/>
    <w:rsid w:val="0049076A"/>
    <w:rsid w:val="004926D7"/>
    <w:rsid w:val="00496001"/>
    <w:rsid w:val="0049621B"/>
    <w:rsid w:val="004A1496"/>
    <w:rsid w:val="004A64B6"/>
    <w:rsid w:val="004A6DAC"/>
    <w:rsid w:val="004A70C7"/>
    <w:rsid w:val="004B025F"/>
    <w:rsid w:val="004B282C"/>
    <w:rsid w:val="004B4B29"/>
    <w:rsid w:val="004B5CC9"/>
    <w:rsid w:val="004B5F1D"/>
    <w:rsid w:val="004B76D7"/>
    <w:rsid w:val="004B7D58"/>
    <w:rsid w:val="004C0AF5"/>
    <w:rsid w:val="004C1895"/>
    <w:rsid w:val="004C3CB2"/>
    <w:rsid w:val="004C4E9B"/>
    <w:rsid w:val="004C59C7"/>
    <w:rsid w:val="004C5DBD"/>
    <w:rsid w:val="004C6D40"/>
    <w:rsid w:val="004D25F7"/>
    <w:rsid w:val="004D32F8"/>
    <w:rsid w:val="004D5050"/>
    <w:rsid w:val="004D5843"/>
    <w:rsid w:val="004E071F"/>
    <w:rsid w:val="004E17B5"/>
    <w:rsid w:val="004F0C3C"/>
    <w:rsid w:val="004F1CF8"/>
    <w:rsid w:val="004F3BDA"/>
    <w:rsid w:val="004F440F"/>
    <w:rsid w:val="004F529E"/>
    <w:rsid w:val="004F63FC"/>
    <w:rsid w:val="004F6E12"/>
    <w:rsid w:val="004F738F"/>
    <w:rsid w:val="004F7C9F"/>
    <w:rsid w:val="00502CA5"/>
    <w:rsid w:val="00502E6F"/>
    <w:rsid w:val="00503A1F"/>
    <w:rsid w:val="00504BA1"/>
    <w:rsid w:val="00505A92"/>
    <w:rsid w:val="005062F8"/>
    <w:rsid w:val="00506324"/>
    <w:rsid w:val="0051166C"/>
    <w:rsid w:val="00514B54"/>
    <w:rsid w:val="00515D62"/>
    <w:rsid w:val="0051646A"/>
    <w:rsid w:val="00516A50"/>
    <w:rsid w:val="005203F1"/>
    <w:rsid w:val="0052058B"/>
    <w:rsid w:val="00521BC3"/>
    <w:rsid w:val="005239F8"/>
    <w:rsid w:val="005265D2"/>
    <w:rsid w:val="00526672"/>
    <w:rsid w:val="00526A58"/>
    <w:rsid w:val="00526DF2"/>
    <w:rsid w:val="00530C8E"/>
    <w:rsid w:val="00531957"/>
    <w:rsid w:val="005321A2"/>
    <w:rsid w:val="00533150"/>
    <w:rsid w:val="00533632"/>
    <w:rsid w:val="0053648F"/>
    <w:rsid w:val="00541946"/>
    <w:rsid w:val="00541E6E"/>
    <w:rsid w:val="0054251F"/>
    <w:rsid w:val="00542ADC"/>
    <w:rsid w:val="005456BD"/>
    <w:rsid w:val="0055163B"/>
    <w:rsid w:val="005520D8"/>
    <w:rsid w:val="00554B53"/>
    <w:rsid w:val="00554F36"/>
    <w:rsid w:val="00555F0B"/>
    <w:rsid w:val="00556CF1"/>
    <w:rsid w:val="005573EF"/>
    <w:rsid w:val="005574AD"/>
    <w:rsid w:val="005611CB"/>
    <w:rsid w:val="00561C7D"/>
    <w:rsid w:val="005623C2"/>
    <w:rsid w:val="00562479"/>
    <w:rsid w:val="00564730"/>
    <w:rsid w:val="00571703"/>
    <w:rsid w:val="00575915"/>
    <w:rsid w:val="00575B6B"/>
    <w:rsid w:val="005762A7"/>
    <w:rsid w:val="0057773F"/>
    <w:rsid w:val="00582C5C"/>
    <w:rsid w:val="00583894"/>
    <w:rsid w:val="005861D7"/>
    <w:rsid w:val="005877DE"/>
    <w:rsid w:val="00587BF0"/>
    <w:rsid w:val="005916D7"/>
    <w:rsid w:val="005919BA"/>
    <w:rsid w:val="00594608"/>
    <w:rsid w:val="0059684E"/>
    <w:rsid w:val="0059734D"/>
    <w:rsid w:val="005A14B0"/>
    <w:rsid w:val="005A538A"/>
    <w:rsid w:val="005A698C"/>
    <w:rsid w:val="005A7D4E"/>
    <w:rsid w:val="005B0D62"/>
    <w:rsid w:val="005B3800"/>
    <w:rsid w:val="005B3B21"/>
    <w:rsid w:val="005B5807"/>
    <w:rsid w:val="005C1AF8"/>
    <w:rsid w:val="005C6682"/>
    <w:rsid w:val="005C7939"/>
    <w:rsid w:val="005D27C2"/>
    <w:rsid w:val="005D45EB"/>
    <w:rsid w:val="005D470D"/>
    <w:rsid w:val="005D5F71"/>
    <w:rsid w:val="005E0799"/>
    <w:rsid w:val="005E104D"/>
    <w:rsid w:val="005E1722"/>
    <w:rsid w:val="005E2988"/>
    <w:rsid w:val="005E3B5E"/>
    <w:rsid w:val="005E7A67"/>
    <w:rsid w:val="005F0D76"/>
    <w:rsid w:val="005F253D"/>
    <w:rsid w:val="005F4F77"/>
    <w:rsid w:val="005F5A80"/>
    <w:rsid w:val="005F67DB"/>
    <w:rsid w:val="005F6CA4"/>
    <w:rsid w:val="006009C9"/>
    <w:rsid w:val="0060333C"/>
    <w:rsid w:val="006039C0"/>
    <w:rsid w:val="006044FF"/>
    <w:rsid w:val="006054E9"/>
    <w:rsid w:val="00607C1F"/>
    <w:rsid w:val="00607CC5"/>
    <w:rsid w:val="00611336"/>
    <w:rsid w:val="00613DB1"/>
    <w:rsid w:val="00616FDA"/>
    <w:rsid w:val="006200B5"/>
    <w:rsid w:val="006220DA"/>
    <w:rsid w:val="00622953"/>
    <w:rsid w:val="006233FF"/>
    <w:rsid w:val="00626512"/>
    <w:rsid w:val="00633014"/>
    <w:rsid w:val="0063437B"/>
    <w:rsid w:val="006352CF"/>
    <w:rsid w:val="00637C1E"/>
    <w:rsid w:val="00640790"/>
    <w:rsid w:val="00643236"/>
    <w:rsid w:val="0064454E"/>
    <w:rsid w:val="006451E5"/>
    <w:rsid w:val="0064774F"/>
    <w:rsid w:val="00647757"/>
    <w:rsid w:val="00650320"/>
    <w:rsid w:val="0065082D"/>
    <w:rsid w:val="00650C0C"/>
    <w:rsid w:val="00650F9C"/>
    <w:rsid w:val="006619BD"/>
    <w:rsid w:val="006640F6"/>
    <w:rsid w:val="00664BA1"/>
    <w:rsid w:val="00666655"/>
    <w:rsid w:val="006673CA"/>
    <w:rsid w:val="006677A2"/>
    <w:rsid w:val="00670458"/>
    <w:rsid w:val="00673017"/>
    <w:rsid w:val="00673C26"/>
    <w:rsid w:val="00673D6D"/>
    <w:rsid w:val="00674A8B"/>
    <w:rsid w:val="00675B16"/>
    <w:rsid w:val="00677DF4"/>
    <w:rsid w:val="006812AF"/>
    <w:rsid w:val="0068327D"/>
    <w:rsid w:val="006838EE"/>
    <w:rsid w:val="00684B13"/>
    <w:rsid w:val="00685123"/>
    <w:rsid w:val="00691225"/>
    <w:rsid w:val="00693CA3"/>
    <w:rsid w:val="00694AF0"/>
    <w:rsid w:val="006978DE"/>
    <w:rsid w:val="006A0108"/>
    <w:rsid w:val="006A07DC"/>
    <w:rsid w:val="006A404B"/>
    <w:rsid w:val="006A4686"/>
    <w:rsid w:val="006A4AF9"/>
    <w:rsid w:val="006A578A"/>
    <w:rsid w:val="006B046A"/>
    <w:rsid w:val="006B0E9E"/>
    <w:rsid w:val="006B208D"/>
    <w:rsid w:val="006B292D"/>
    <w:rsid w:val="006B4B96"/>
    <w:rsid w:val="006B5AE4"/>
    <w:rsid w:val="006C4304"/>
    <w:rsid w:val="006D0EA2"/>
    <w:rsid w:val="006D1507"/>
    <w:rsid w:val="006D4054"/>
    <w:rsid w:val="006D5A53"/>
    <w:rsid w:val="006D6B72"/>
    <w:rsid w:val="006E00B6"/>
    <w:rsid w:val="006E02EC"/>
    <w:rsid w:val="006E2976"/>
    <w:rsid w:val="006E2F89"/>
    <w:rsid w:val="006E31FE"/>
    <w:rsid w:val="006E4C01"/>
    <w:rsid w:val="006E5A5D"/>
    <w:rsid w:val="006E73D7"/>
    <w:rsid w:val="006E7A8A"/>
    <w:rsid w:val="006F2F1A"/>
    <w:rsid w:val="006F42BD"/>
    <w:rsid w:val="006F4F57"/>
    <w:rsid w:val="006F583A"/>
    <w:rsid w:val="007000D0"/>
    <w:rsid w:val="00700B06"/>
    <w:rsid w:val="007015FE"/>
    <w:rsid w:val="007059D5"/>
    <w:rsid w:val="00705F52"/>
    <w:rsid w:val="0070644E"/>
    <w:rsid w:val="00706F0E"/>
    <w:rsid w:val="007100C6"/>
    <w:rsid w:val="0071139E"/>
    <w:rsid w:val="00714169"/>
    <w:rsid w:val="007162EB"/>
    <w:rsid w:val="00717F48"/>
    <w:rsid w:val="00720447"/>
    <w:rsid w:val="007211B1"/>
    <w:rsid w:val="0072181E"/>
    <w:rsid w:val="00722234"/>
    <w:rsid w:val="00722F6B"/>
    <w:rsid w:val="00724F7E"/>
    <w:rsid w:val="00730095"/>
    <w:rsid w:val="00731574"/>
    <w:rsid w:val="00733D55"/>
    <w:rsid w:val="00737BB2"/>
    <w:rsid w:val="0074249C"/>
    <w:rsid w:val="007442D0"/>
    <w:rsid w:val="0074479C"/>
    <w:rsid w:val="00745E8C"/>
    <w:rsid w:val="00746187"/>
    <w:rsid w:val="007464A5"/>
    <w:rsid w:val="00747679"/>
    <w:rsid w:val="00752A67"/>
    <w:rsid w:val="00756E62"/>
    <w:rsid w:val="0075742C"/>
    <w:rsid w:val="00757DDA"/>
    <w:rsid w:val="00761070"/>
    <w:rsid w:val="007619A7"/>
    <w:rsid w:val="00761CA8"/>
    <w:rsid w:val="0076254F"/>
    <w:rsid w:val="00765BEE"/>
    <w:rsid w:val="00765D12"/>
    <w:rsid w:val="0077473D"/>
    <w:rsid w:val="0077490E"/>
    <w:rsid w:val="007764D0"/>
    <w:rsid w:val="007801F5"/>
    <w:rsid w:val="00780AC9"/>
    <w:rsid w:val="007824C9"/>
    <w:rsid w:val="007828D6"/>
    <w:rsid w:val="00783CA4"/>
    <w:rsid w:val="007842FB"/>
    <w:rsid w:val="00786124"/>
    <w:rsid w:val="00786328"/>
    <w:rsid w:val="0078645E"/>
    <w:rsid w:val="00786AE8"/>
    <w:rsid w:val="007874A9"/>
    <w:rsid w:val="0078756B"/>
    <w:rsid w:val="0079150A"/>
    <w:rsid w:val="0079372F"/>
    <w:rsid w:val="00794BF3"/>
    <w:rsid w:val="0079514B"/>
    <w:rsid w:val="00797175"/>
    <w:rsid w:val="00797CED"/>
    <w:rsid w:val="007A0AB2"/>
    <w:rsid w:val="007A1678"/>
    <w:rsid w:val="007A2DC1"/>
    <w:rsid w:val="007A4CF7"/>
    <w:rsid w:val="007A731E"/>
    <w:rsid w:val="007B090C"/>
    <w:rsid w:val="007B0E24"/>
    <w:rsid w:val="007B1654"/>
    <w:rsid w:val="007B2420"/>
    <w:rsid w:val="007B4C18"/>
    <w:rsid w:val="007B5CBB"/>
    <w:rsid w:val="007B6165"/>
    <w:rsid w:val="007B632D"/>
    <w:rsid w:val="007B6D51"/>
    <w:rsid w:val="007B74D8"/>
    <w:rsid w:val="007B7847"/>
    <w:rsid w:val="007C0655"/>
    <w:rsid w:val="007C302E"/>
    <w:rsid w:val="007C49C8"/>
    <w:rsid w:val="007D3319"/>
    <w:rsid w:val="007D335D"/>
    <w:rsid w:val="007D3CF8"/>
    <w:rsid w:val="007D3EE3"/>
    <w:rsid w:val="007D4522"/>
    <w:rsid w:val="007E07F3"/>
    <w:rsid w:val="007E1DB6"/>
    <w:rsid w:val="007E252E"/>
    <w:rsid w:val="007E2E61"/>
    <w:rsid w:val="007E3314"/>
    <w:rsid w:val="007E4B03"/>
    <w:rsid w:val="007E6CBB"/>
    <w:rsid w:val="007E7848"/>
    <w:rsid w:val="007F16D5"/>
    <w:rsid w:val="007F324B"/>
    <w:rsid w:val="007F3B81"/>
    <w:rsid w:val="007F45AB"/>
    <w:rsid w:val="007F6D53"/>
    <w:rsid w:val="007F743D"/>
    <w:rsid w:val="007F7B7B"/>
    <w:rsid w:val="0080030C"/>
    <w:rsid w:val="00800E17"/>
    <w:rsid w:val="0080158B"/>
    <w:rsid w:val="00802A9A"/>
    <w:rsid w:val="00805383"/>
    <w:rsid w:val="0080553C"/>
    <w:rsid w:val="00805B46"/>
    <w:rsid w:val="00807C71"/>
    <w:rsid w:val="0081116C"/>
    <w:rsid w:val="00812A2D"/>
    <w:rsid w:val="00815D0F"/>
    <w:rsid w:val="00816BC7"/>
    <w:rsid w:val="00820B10"/>
    <w:rsid w:val="008219F7"/>
    <w:rsid w:val="008227DE"/>
    <w:rsid w:val="00822BF2"/>
    <w:rsid w:val="0082498D"/>
    <w:rsid w:val="00825DC2"/>
    <w:rsid w:val="008270D5"/>
    <w:rsid w:val="00831172"/>
    <w:rsid w:val="00831DEF"/>
    <w:rsid w:val="00834AD3"/>
    <w:rsid w:val="00837116"/>
    <w:rsid w:val="00837A63"/>
    <w:rsid w:val="00843795"/>
    <w:rsid w:val="00846193"/>
    <w:rsid w:val="0084642E"/>
    <w:rsid w:val="00847898"/>
    <w:rsid w:val="00847F0F"/>
    <w:rsid w:val="00852448"/>
    <w:rsid w:val="00853FF8"/>
    <w:rsid w:val="00855F0D"/>
    <w:rsid w:val="008568CD"/>
    <w:rsid w:val="00856BF2"/>
    <w:rsid w:val="00857606"/>
    <w:rsid w:val="00860B06"/>
    <w:rsid w:val="00863FFC"/>
    <w:rsid w:val="0086530A"/>
    <w:rsid w:val="00865967"/>
    <w:rsid w:val="00873926"/>
    <w:rsid w:val="00875548"/>
    <w:rsid w:val="00875E9E"/>
    <w:rsid w:val="00876BFD"/>
    <w:rsid w:val="00876F76"/>
    <w:rsid w:val="00877B12"/>
    <w:rsid w:val="00881F0B"/>
    <w:rsid w:val="0088258A"/>
    <w:rsid w:val="00882C01"/>
    <w:rsid w:val="008832C4"/>
    <w:rsid w:val="00883763"/>
    <w:rsid w:val="00883CE6"/>
    <w:rsid w:val="00886332"/>
    <w:rsid w:val="00886943"/>
    <w:rsid w:val="008957B5"/>
    <w:rsid w:val="008A2173"/>
    <w:rsid w:val="008A26D9"/>
    <w:rsid w:val="008A3A03"/>
    <w:rsid w:val="008A62FC"/>
    <w:rsid w:val="008A720C"/>
    <w:rsid w:val="008B2734"/>
    <w:rsid w:val="008B7CDC"/>
    <w:rsid w:val="008C0C29"/>
    <w:rsid w:val="008C43C1"/>
    <w:rsid w:val="008C4EB6"/>
    <w:rsid w:val="008C73C5"/>
    <w:rsid w:val="008C74CC"/>
    <w:rsid w:val="008C7A01"/>
    <w:rsid w:val="008D357B"/>
    <w:rsid w:val="008D53FF"/>
    <w:rsid w:val="008E59C2"/>
    <w:rsid w:val="008E6EF2"/>
    <w:rsid w:val="008E778B"/>
    <w:rsid w:val="008E7FA8"/>
    <w:rsid w:val="008F2CC2"/>
    <w:rsid w:val="008F3638"/>
    <w:rsid w:val="008F38AB"/>
    <w:rsid w:val="008F4441"/>
    <w:rsid w:val="008F6F31"/>
    <w:rsid w:val="008F74DF"/>
    <w:rsid w:val="0090087E"/>
    <w:rsid w:val="0090345E"/>
    <w:rsid w:val="00903547"/>
    <w:rsid w:val="00911874"/>
    <w:rsid w:val="009127BA"/>
    <w:rsid w:val="00913C32"/>
    <w:rsid w:val="00916353"/>
    <w:rsid w:val="00916782"/>
    <w:rsid w:val="00916C38"/>
    <w:rsid w:val="009170BA"/>
    <w:rsid w:val="009200FC"/>
    <w:rsid w:val="00920915"/>
    <w:rsid w:val="009227A6"/>
    <w:rsid w:val="00923104"/>
    <w:rsid w:val="00923B09"/>
    <w:rsid w:val="00923FCE"/>
    <w:rsid w:val="00930F95"/>
    <w:rsid w:val="00931CDD"/>
    <w:rsid w:val="009324DE"/>
    <w:rsid w:val="00932B19"/>
    <w:rsid w:val="00933B26"/>
    <w:rsid w:val="00933EC1"/>
    <w:rsid w:val="00936AB7"/>
    <w:rsid w:val="00940A6C"/>
    <w:rsid w:val="0095029C"/>
    <w:rsid w:val="0095033A"/>
    <w:rsid w:val="00951AE7"/>
    <w:rsid w:val="00952646"/>
    <w:rsid w:val="009530DB"/>
    <w:rsid w:val="00953676"/>
    <w:rsid w:val="009549CB"/>
    <w:rsid w:val="00954B54"/>
    <w:rsid w:val="0095536D"/>
    <w:rsid w:val="0095709E"/>
    <w:rsid w:val="009577F6"/>
    <w:rsid w:val="00957895"/>
    <w:rsid w:val="009578BB"/>
    <w:rsid w:val="0096007D"/>
    <w:rsid w:val="00960F0F"/>
    <w:rsid w:val="009705EE"/>
    <w:rsid w:val="00973EDB"/>
    <w:rsid w:val="009753C3"/>
    <w:rsid w:val="00975F7E"/>
    <w:rsid w:val="00977927"/>
    <w:rsid w:val="009806C0"/>
    <w:rsid w:val="0098135C"/>
    <w:rsid w:val="0098156A"/>
    <w:rsid w:val="009833DF"/>
    <w:rsid w:val="00983C8A"/>
    <w:rsid w:val="0098460E"/>
    <w:rsid w:val="00985747"/>
    <w:rsid w:val="009866AF"/>
    <w:rsid w:val="009876F2"/>
    <w:rsid w:val="00987A4E"/>
    <w:rsid w:val="00990133"/>
    <w:rsid w:val="00991BAC"/>
    <w:rsid w:val="00995216"/>
    <w:rsid w:val="009A0726"/>
    <w:rsid w:val="009A174D"/>
    <w:rsid w:val="009A1D47"/>
    <w:rsid w:val="009A284B"/>
    <w:rsid w:val="009A427B"/>
    <w:rsid w:val="009A6EA0"/>
    <w:rsid w:val="009B00DD"/>
    <w:rsid w:val="009B05C5"/>
    <w:rsid w:val="009B1280"/>
    <w:rsid w:val="009B1399"/>
    <w:rsid w:val="009B2C6B"/>
    <w:rsid w:val="009B2F7E"/>
    <w:rsid w:val="009B505C"/>
    <w:rsid w:val="009B5ABC"/>
    <w:rsid w:val="009B6DAC"/>
    <w:rsid w:val="009C1335"/>
    <w:rsid w:val="009C156D"/>
    <w:rsid w:val="009C1AB2"/>
    <w:rsid w:val="009C5407"/>
    <w:rsid w:val="009C68F7"/>
    <w:rsid w:val="009C7251"/>
    <w:rsid w:val="009D35D1"/>
    <w:rsid w:val="009D48C2"/>
    <w:rsid w:val="009D50E2"/>
    <w:rsid w:val="009E0DC3"/>
    <w:rsid w:val="009E0FB6"/>
    <w:rsid w:val="009E1E41"/>
    <w:rsid w:val="009E2E91"/>
    <w:rsid w:val="009E3BF4"/>
    <w:rsid w:val="009E3F9D"/>
    <w:rsid w:val="009E4892"/>
    <w:rsid w:val="009E5223"/>
    <w:rsid w:val="009F2D33"/>
    <w:rsid w:val="009F5815"/>
    <w:rsid w:val="009F661F"/>
    <w:rsid w:val="009F7C8A"/>
    <w:rsid w:val="00A036A8"/>
    <w:rsid w:val="00A0519C"/>
    <w:rsid w:val="00A05FD5"/>
    <w:rsid w:val="00A07F00"/>
    <w:rsid w:val="00A104EB"/>
    <w:rsid w:val="00A12435"/>
    <w:rsid w:val="00A139F5"/>
    <w:rsid w:val="00A168F9"/>
    <w:rsid w:val="00A202B4"/>
    <w:rsid w:val="00A2136A"/>
    <w:rsid w:val="00A213B8"/>
    <w:rsid w:val="00A221A2"/>
    <w:rsid w:val="00A2273C"/>
    <w:rsid w:val="00A238D5"/>
    <w:rsid w:val="00A2475E"/>
    <w:rsid w:val="00A24CEE"/>
    <w:rsid w:val="00A24EC7"/>
    <w:rsid w:val="00A25CCA"/>
    <w:rsid w:val="00A25FF0"/>
    <w:rsid w:val="00A26BCC"/>
    <w:rsid w:val="00A27261"/>
    <w:rsid w:val="00A27DC9"/>
    <w:rsid w:val="00A33F84"/>
    <w:rsid w:val="00A34A3F"/>
    <w:rsid w:val="00A34C24"/>
    <w:rsid w:val="00A35421"/>
    <w:rsid w:val="00A365F4"/>
    <w:rsid w:val="00A37CE0"/>
    <w:rsid w:val="00A4548D"/>
    <w:rsid w:val="00A460E6"/>
    <w:rsid w:val="00A46BD5"/>
    <w:rsid w:val="00A47D80"/>
    <w:rsid w:val="00A51AC0"/>
    <w:rsid w:val="00A51E49"/>
    <w:rsid w:val="00A52D14"/>
    <w:rsid w:val="00A53132"/>
    <w:rsid w:val="00A55280"/>
    <w:rsid w:val="00A563F2"/>
    <w:rsid w:val="00A566E8"/>
    <w:rsid w:val="00A65705"/>
    <w:rsid w:val="00A671AE"/>
    <w:rsid w:val="00A70224"/>
    <w:rsid w:val="00A70AFB"/>
    <w:rsid w:val="00A73889"/>
    <w:rsid w:val="00A74927"/>
    <w:rsid w:val="00A76691"/>
    <w:rsid w:val="00A810F9"/>
    <w:rsid w:val="00A81781"/>
    <w:rsid w:val="00A86ECC"/>
    <w:rsid w:val="00A86FCC"/>
    <w:rsid w:val="00A87C7E"/>
    <w:rsid w:val="00A92164"/>
    <w:rsid w:val="00A94476"/>
    <w:rsid w:val="00A9718A"/>
    <w:rsid w:val="00AA293B"/>
    <w:rsid w:val="00AA4416"/>
    <w:rsid w:val="00AA6264"/>
    <w:rsid w:val="00AA710D"/>
    <w:rsid w:val="00AA7119"/>
    <w:rsid w:val="00AB0104"/>
    <w:rsid w:val="00AB1A9B"/>
    <w:rsid w:val="00AB1E44"/>
    <w:rsid w:val="00AB270B"/>
    <w:rsid w:val="00AB3FB5"/>
    <w:rsid w:val="00AB66AA"/>
    <w:rsid w:val="00AB6BCE"/>
    <w:rsid w:val="00AB6D25"/>
    <w:rsid w:val="00AB7D89"/>
    <w:rsid w:val="00AC3A14"/>
    <w:rsid w:val="00AC3E05"/>
    <w:rsid w:val="00AC672F"/>
    <w:rsid w:val="00AC6C54"/>
    <w:rsid w:val="00AC7483"/>
    <w:rsid w:val="00AC76BB"/>
    <w:rsid w:val="00AC7FA4"/>
    <w:rsid w:val="00AD1BBD"/>
    <w:rsid w:val="00AD2387"/>
    <w:rsid w:val="00AD2BA7"/>
    <w:rsid w:val="00AD4947"/>
    <w:rsid w:val="00AD7994"/>
    <w:rsid w:val="00AE1D05"/>
    <w:rsid w:val="00AE2036"/>
    <w:rsid w:val="00AE20FD"/>
    <w:rsid w:val="00AE2D4B"/>
    <w:rsid w:val="00AE3075"/>
    <w:rsid w:val="00AE32EA"/>
    <w:rsid w:val="00AE3D89"/>
    <w:rsid w:val="00AE4F99"/>
    <w:rsid w:val="00AE55E4"/>
    <w:rsid w:val="00AF38BA"/>
    <w:rsid w:val="00AF3F8B"/>
    <w:rsid w:val="00AF3FAC"/>
    <w:rsid w:val="00AF5A02"/>
    <w:rsid w:val="00AF6A14"/>
    <w:rsid w:val="00B04DD4"/>
    <w:rsid w:val="00B063A8"/>
    <w:rsid w:val="00B06E90"/>
    <w:rsid w:val="00B11721"/>
    <w:rsid w:val="00B1188B"/>
    <w:rsid w:val="00B11B69"/>
    <w:rsid w:val="00B14952"/>
    <w:rsid w:val="00B15058"/>
    <w:rsid w:val="00B15BF3"/>
    <w:rsid w:val="00B16AF1"/>
    <w:rsid w:val="00B17027"/>
    <w:rsid w:val="00B20525"/>
    <w:rsid w:val="00B21B10"/>
    <w:rsid w:val="00B22193"/>
    <w:rsid w:val="00B2374D"/>
    <w:rsid w:val="00B23A98"/>
    <w:rsid w:val="00B24394"/>
    <w:rsid w:val="00B24B66"/>
    <w:rsid w:val="00B27F51"/>
    <w:rsid w:val="00B317CB"/>
    <w:rsid w:val="00B31E5A"/>
    <w:rsid w:val="00B322EC"/>
    <w:rsid w:val="00B3255C"/>
    <w:rsid w:val="00B3270A"/>
    <w:rsid w:val="00B32B44"/>
    <w:rsid w:val="00B349BC"/>
    <w:rsid w:val="00B35EF9"/>
    <w:rsid w:val="00B4171D"/>
    <w:rsid w:val="00B4269A"/>
    <w:rsid w:val="00B46CE8"/>
    <w:rsid w:val="00B54D43"/>
    <w:rsid w:val="00B56B8D"/>
    <w:rsid w:val="00B57B02"/>
    <w:rsid w:val="00B606DD"/>
    <w:rsid w:val="00B609CE"/>
    <w:rsid w:val="00B653AB"/>
    <w:rsid w:val="00B65CEF"/>
    <w:rsid w:val="00B65F9E"/>
    <w:rsid w:val="00B66B19"/>
    <w:rsid w:val="00B704A1"/>
    <w:rsid w:val="00B71133"/>
    <w:rsid w:val="00B7305F"/>
    <w:rsid w:val="00B7382C"/>
    <w:rsid w:val="00B74065"/>
    <w:rsid w:val="00B74340"/>
    <w:rsid w:val="00B74BE2"/>
    <w:rsid w:val="00B7583E"/>
    <w:rsid w:val="00B8057F"/>
    <w:rsid w:val="00B82E6C"/>
    <w:rsid w:val="00B834FA"/>
    <w:rsid w:val="00B84159"/>
    <w:rsid w:val="00B841AF"/>
    <w:rsid w:val="00B85D58"/>
    <w:rsid w:val="00B914E9"/>
    <w:rsid w:val="00B921FC"/>
    <w:rsid w:val="00B939B5"/>
    <w:rsid w:val="00B93CB1"/>
    <w:rsid w:val="00B94737"/>
    <w:rsid w:val="00B956EE"/>
    <w:rsid w:val="00B97152"/>
    <w:rsid w:val="00BA05D8"/>
    <w:rsid w:val="00BA1326"/>
    <w:rsid w:val="00BA2BA1"/>
    <w:rsid w:val="00BA3562"/>
    <w:rsid w:val="00BA4554"/>
    <w:rsid w:val="00BA495E"/>
    <w:rsid w:val="00BA5009"/>
    <w:rsid w:val="00BA5A42"/>
    <w:rsid w:val="00BB2F35"/>
    <w:rsid w:val="00BB4AC2"/>
    <w:rsid w:val="00BB4F09"/>
    <w:rsid w:val="00BB745A"/>
    <w:rsid w:val="00BC0997"/>
    <w:rsid w:val="00BC4896"/>
    <w:rsid w:val="00BC515D"/>
    <w:rsid w:val="00BC5C8D"/>
    <w:rsid w:val="00BC6D4A"/>
    <w:rsid w:val="00BC7D35"/>
    <w:rsid w:val="00BD375E"/>
    <w:rsid w:val="00BD3992"/>
    <w:rsid w:val="00BD49C9"/>
    <w:rsid w:val="00BD4E33"/>
    <w:rsid w:val="00BD4FC9"/>
    <w:rsid w:val="00BD6234"/>
    <w:rsid w:val="00BE145F"/>
    <w:rsid w:val="00BE1C58"/>
    <w:rsid w:val="00BE1CFB"/>
    <w:rsid w:val="00BE2A80"/>
    <w:rsid w:val="00BE3505"/>
    <w:rsid w:val="00BE3D40"/>
    <w:rsid w:val="00BE5495"/>
    <w:rsid w:val="00BE5A17"/>
    <w:rsid w:val="00BE778D"/>
    <w:rsid w:val="00BE7831"/>
    <w:rsid w:val="00BE7E20"/>
    <w:rsid w:val="00BF0340"/>
    <w:rsid w:val="00BF0B69"/>
    <w:rsid w:val="00BF4927"/>
    <w:rsid w:val="00BF49E5"/>
    <w:rsid w:val="00BF4ABF"/>
    <w:rsid w:val="00BF50B1"/>
    <w:rsid w:val="00BF68FE"/>
    <w:rsid w:val="00BF6F12"/>
    <w:rsid w:val="00C002C2"/>
    <w:rsid w:val="00C00EDA"/>
    <w:rsid w:val="00C0123A"/>
    <w:rsid w:val="00C030DE"/>
    <w:rsid w:val="00C04FEC"/>
    <w:rsid w:val="00C050DD"/>
    <w:rsid w:val="00C05CCE"/>
    <w:rsid w:val="00C06D50"/>
    <w:rsid w:val="00C12384"/>
    <w:rsid w:val="00C123F4"/>
    <w:rsid w:val="00C12A2C"/>
    <w:rsid w:val="00C141A0"/>
    <w:rsid w:val="00C15200"/>
    <w:rsid w:val="00C1559E"/>
    <w:rsid w:val="00C163E1"/>
    <w:rsid w:val="00C16442"/>
    <w:rsid w:val="00C22105"/>
    <w:rsid w:val="00C244B6"/>
    <w:rsid w:val="00C27D75"/>
    <w:rsid w:val="00C303F7"/>
    <w:rsid w:val="00C32F2B"/>
    <w:rsid w:val="00C348B0"/>
    <w:rsid w:val="00C36C85"/>
    <w:rsid w:val="00C3702F"/>
    <w:rsid w:val="00C40A97"/>
    <w:rsid w:val="00C413DD"/>
    <w:rsid w:val="00C4278C"/>
    <w:rsid w:val="00C43656"/>
    <w:rsid w:val="00C4500A"/>
    <w:rsid w:val="00C5002D"/>
    <w:rsid w:val="00C52267"/>
    <w:rsid w:val="00C52277"/>
    <w:rsid w:val="00C52893"/>
    <w:rsid w:val="00C52B9D"/>
    <w:rsid w:val="00C54E5E"/>
    <w:rsid w:val="00C557C6"/>
    <w:rsid w:val="00C55977"/>
    <w:rsid w:val="00C55C91"/>
    <w:rsid w:val="00C56E8E"/>
    <w:rsid w:val="00C64A37"/>
    <w:rsid w:val="00C67619"/>
    <w:rsid w:val="00C67FDA"/>
    <w:rsid w:val="00C71465"/>
    <w:rsid w:val="00C7158E"/>
    <w:rsid w:val="00C7250B"/>
    <w:rsid w:val="00C72F55"/>
    <w:rsid w:val="00C7346B"/>
    <w:rsid w:val="00C74548"/>
    <w:rsid w:val="00C7499C"/>
    <w:rsid w:val="00C77C0E"/>
    <w:rsid w:val="00C77D75"/>
    <w:rsid w:val="00C77DAE"/>
    <w:rsid w:val="00C8000E"/>
    <w:rsid w:val="00C8596C"/>
    <w:rsid w:val="00C85FF2"/>
    <w:rsid w:val="00C870B3"/>
    <w:rsid w:val="00C90542"/>
    <w:rsid w:val="00C90979"/>
    <w:rsid w:val="00C91687"/>
    <w:rsid w:val="00C91DF2"/>
    <w:rsid w:val="00C924A8"/>
    <w:rsid w:val="00C9296C"/>
    <w:rsid w:val="00C92F37"/>
    <w:rsid w:val="00C9341D"/>
    <w:rsid w:val="00C945FE"/>
    <w:rsid w:val="00C950B4"/>
    <w:rsid w:val="00C965E8"/>
    <w:rsid w:val="00C96FAA"/>
    <w:rsid w:val="00C97A04"/>
    <w:rsid w:val="00CA107B"/>
    <w:rsid w:val="00CA247A"/>
    <w:rsid w:val="00CA484D"/>
    <w:rsid w:val="00CA4FB6"/>
    <w:rsid w:val="00CA7A1E"/>
    <w:rsid w:val="00CB12B9"/>
    <w:rsid w:val="00CB7FCC"/>
    <w:rsid w:val="00CC0993"/>
    <w:rsid w:val="00CC0D76"/>
    <w:rsid w:val="00CC2CA1"/>
    <w:rsid w:val="00CC3A4E"/>
    <w:rsid w:val="00CC3DF5"/>
    <w:rsid w:val="00CC739E"/>
    <w:rsid w:val="00CD1E2E"/>
    <w:rsid w:val="00CD58B7"/>
    <w:rsid w:val="00CD686C"/>
    <w:rsid w:val="00CD7BE6"/>
    <w:rsid w:val="00CE1B20"/>
    <w:rsid w:val="00CF38F9"/>
    <w:rsid w:val="00CF4099"/>
    <w:rsid w:val="00D00796"/>
    <w:rsid w:val="00D014A0"/>
    <w:rsid w:val="00D02D2C"/>
    <w:rsid w:val="00D05758"/>
    <w:rsid w:val="00D06C0A"/>
    <w:rsid w:val="00D13953"/>
    <w:rsid w:val="00D13BE7"/>
    <w:rsid w:val="00D1537F"/>
    <w:rsid w:val="00D16512"/>
    <w:rsid w:val="00D16EC5"/>
    <w:rsid w:val="00D179E4"/>
    <w:rsid w:val="00D2072B"/>
    <w:rsid w:val="00D20819"/>
    <w:rsid w:val="00D21C26"/>
    <w:rsid w:val="00D22C4F"/>
    <w:rsid w:val="00D22F3F"/>
    <w:rsid w:val="00D230B7"/>
    <w:rsid w:val="00D2483A"/>
    <w:rsid w:val="00D261A2"/>
    <w:rsid w:val="00D273A2"/>
    <w:rsid w:val="00D27DC6"/>
    <w:rsid w:val="00D30438"/>
    <w:rsid w:val="00D34017"/>
    <w:rsid w:val="00D3456A"/>
    <w:rsid w:val="00D35294"/>
    <w:rsid w:val="00D4181F"/>
    <w:rsid w:val="00D4466E"/>
    <w:rsid w:val="00D44836"/>
    <w:rsid w:val="00D47534"/>
    <w:rsid w:val="00D478C0"/>
    <w:rsid w:val="00D5188B"/>
    <w:rsid w:val="00D538E4"/>
    <w:rsid w:val="00D54284"/>
    <w:rsid w:val="00D608C9"/>
    <w:rsid w:val="00D616D2"/>
    <w:rsid w:val="00D62BD1"/>
    <w:rsid w:val="00D62BD2"/>
    <w:rsid w:val="00D63B5F"/>
    <w:rsid w:val="00D64849"/>
    <w:rsid w:val="00D65E7E"/>
    <w:rsid w:val="00D6611E"/>
    <w:rsid w:val="00D7066F"/>
    <w:rsid w:val="00D70EF7"/>
    <w:rsid w:val="00D72BB0"/>
    <w:rsid w:val="00D732D2"/>
    <w:rsid w:val="00D7444B"/>
    <w:rsid w:val="00D757F2"/>
    <w:rsid w:val="00D75ADE"/>
    <w:rsid w:val="00D815F5"/>
    <w:rsid w:val="00D8397C"/>
    <w:rsid w:val="00D87084"/>
    <w:rsid w:val="00D91CC9"/>
    <w:rsid w:val="00D9204A"/>
    <w:rsid w:val="00D92F18"/>
    <w:rsid w:val="00D94EED"/>
    <w:rsid w:val="00D95102"/>
    <w:rsid w:val="00D96026"/>
    <w:rsid w:val="00D978B0"/>
    <w:rsid w:val="00DA0243"/>
    <w:rsid w:val="00DA13F1"/>
    <w:rsid w:val="00DA1FC9"/>
    <w:rsid w:val="00DA259D"/>
    <w:rsid w:val="00DA34BB"/>
    <w:rsid w:val="00DA3908"/>
    <w:rsid w:val="00DA433C"/>
    <w:rsid w:val="00DA56D1"/>
    <w:rsid w:val="00DA7B44"/>
    <w:rsid w:val="00DA7C1C"/>
    <w:rsid w:val="00DB08AC"/>
    <w:rsid w:val="00DB147A"/>
    <w:rsid w:val="00DB1B7A"/>
    <w:rsid w:val="00DB2762"/>
    <w:rsid w:val="00DB651B"/>
    <w:rsid w:val="00DB65D4"/>
    <w:rsid w:val="00DB7AA0"/>
    <w:rsid w:val="00DC15CA"/>
    <w:rsid w:val="00DC1F9F"/>
    <w:rsid w:val="00DC4D06"/>
    <w:rsid w:val="00DC6708"/>
    <w:rsid w:val="00DD0F4D"/>
    <w:rsid w:val="00DD29A7"/>
    <w:rsid w:val="00DD2FF8"/>
    <w:rsid w:val="00DD3249"/>
    <w:rsid w:val="00DD7785"/>
    <w:rsid w:val="00DE341A"/>
    <w:rsid w:val="00DE34D7"/>
    <w:rsid w:val="00DF2E41"/>
    <w:rsid w:val="00DF712D"/>
    <w:rsid w:val="00DF7C13"/>
    <w:rsid w:val="00E005DC"/>
    <w:rsid w:val="00E00D3B"/>
    <w:rsid w:val="00E01436"/>
    <w:rsid w:val="00E0173C"/>
    <w:rsid w:val="00E045BD"/>
    <w:rsid w:val="00E056D9"/>
    <w:rsid w:val="00E05A4E"/>
    <w:rsid w:val="00E11028"/>
    <w:rsid w:val="00E11099"/>
    <w:rsid w:val="00E1284C"/>
    <w:rsid w:val="00E15735"/>
    <w:rsid w:val="00E15DFD"/>
    <w:rsid w:val="00E17A9F"/>
    <w:rsid w:val="00E17B77"/>
    <w:rsid w:val="00E23337"/>
    <w:rsid w:val="00E2484A"/>
    <w:rsid w:val="00E259EA"/>
    <w:rsid w:val="00E25C1F"/>
    <w:rsid w:val="00E2644C"/>
    <w:rsid w:val="00E266B2"/>
    <w:rsid w:val="00E27E85"/>
    <w:rsid w:val="00E30793"/>
    <w:rsid w:val="00E32061"/>
    <w:rsid w:val="00E41CA5"/>
    <w:rsid w:val="00E41FCF"/>
    <w:rsid w:val="00E4234B"/>
    <w:rsid w:val="00E42FF9"/>
    <w:rsid w:val="00E4389F"/>
    <w:rsid w:val="00E43B08"/>
    <w:rsid w:val="00E44C7E"/>
    <w:rsid w:val="00E44FA9"/>
    <w:rsid w:val="00E4714C"/>
    <w:rsid w:val="00E502D2"/>
    <w:rsid w:val="00E5084E"/>
    <w:rsid w:val="00E51AEB"/>
    <w:rsid w:val="00E522A7"/>
    <w:rsid w:val="00E52681"/>
    <w:rsid w:val="00E52E39"/>
    <w:rsid w:val="00E54452"/>
    <w:rsid w:val="00E560F6"/>
    <w:rsid w:val="00E5639F"/>
    <w:rsid w:val="00E5790D"/>
    <w:rsid w:val="00E57C17"/>
    <w:rsid w:val="00E60C77"/>
    <w:rsid w:val="00E63060"/>
    <w:rsid w:val="00E632E1"/>
    <w:rsid w:val="00E63984"/>
    <w:rsid w:val="00E6448F"/>
    <w:rsid w:val="00E6463D"/>
    <w:rsid w:val="00E651E3"/>
    <w:rsid w:val="00E65A0C"/>
    <w:rsid w:val="00E664C5"/>
    <w:rsid w:val="00E671A2"/>
    <w:rsid w:val="00E74509"/>
    <w:rsid w:val="00E75E7E"/>
    <w:rsid w:val="00E76307"/>
    <w:rsid w:val="00E76D26"/>
    <w:rsid w:val="00E77A82"/>
    <w:rsid w:val="00E80F67"/>
    <w:rsid w:val="00E82EDF"/>
    <w:rsid w:val="00E857C7"/>
    <w:rsid w:val="00E900F3"/>
    <w:rsid w:val="00E90B93"/>
    <w:rsid w:val="00E93515"/>
    <w:rsid w:val="00EA0676"/>
    <w:rsid w:val="00EA0F2D"/>
    <w:rsid w:val="00EA1451"/>
    <w:rsid w:val="00EA1AD1"/>
    <w:rsid w:val="00EA212A"/>
    <w:rsid w:val="00EA4D76"/>
    <w:rsid w:val="00EA5C3C"/>
    <w:rsid w:val="00EB02C9"/>
    <w:rsid w:val="00EB09B0"/>
    <w:rsid w:val="00EB1390"/>
    <w:rsid w:val="00EB2C71"/>
    <w:rsid w:val="00EB4142"/>
    <w:rsid w:val="00EB4340"/>
    <w:rsid w:val="00EB556D"/>
    <w:rsid w:val="00EB5A7D"/>
    <w:rsid w:val="00EC2E24"/>
    <w:rsid w:val="00EC5B0F"/>
    <w:rsid w:val="00ED3475"/>
    <w:rsid w:val="00ED369B"/>
    <w:rsid w:val="00ED41E6"/>
    <w:rsid w:val="00ED55C0"/>
    <w:rsid w:val="00ED619B"/>
    <w:rsid w:val="00ED682B"/>
    <w:rsid w:val="00ED71DD"/>
    <w:rsid w:val="00EE07FB"/>
    <w:rsid w:val="00EE3685"/>
    <w:rsid w:val="00EE41D5"/>
    <w:rsid w:val="00EE447E"/>
    <w:rsid w:val="00EE49FD"/>
    <w:rsid w:val="00EE696D"/>
    <w:rsid w:val="00EE786D"/>
    <w:rsid w:val="00EF600E"/>
    <w:rsid w:val="00EF7B36"/>
    <w:rsid w:val="00F0048C"/>
    <w:rsid w:val="00F031E7"/>
    <w:rsid w:val="00F037A4"/>
    <w:rsid w:val="00F06FE9"/>
    <w:rsid w:val="00F12FEC"/>
    <w:rsid w:val="00F13B07"/>
    <w:rsid w:val="00F14357"/>
    <w:rsid w:val="00F161D3"/>
    <w:rsid w:val="00F16CA6"/>
    <w:rsid w:val="00F17C38"/>
    <w:rsid w:val="00F20448"/>
    <w:rsid w:val="00F20881"/>
    <w:rsid w:val="00F24783"/>
    <w:rsid w:val="00F26013"/>
    <w:rsid w:val="00F268A5"/>
    <w:rsid w:val="00F27C8F"/>
    <w:rsid w:val="00F30570"/>
    <w:rsid w:val="00F30A0C"/>
    <w:rsid w:val="00F32588"/>
    <w:rsid w:val="00F32749"/>
    <w:rsid w:val="00F34898"/>
    <w:rsid w:val="00F360EB"/>
    <w:rsid w:val="00F37172"/>
    <w:rsid w:val="00F41302"/>
    <w:rsid w:val="00F41786"/>
    <w:rsid w:val="00F418EF"/>
    <w:rsid w:val="00F428ED"/>
    <w:rsid w:val="00F42CF6"/>
    <w:rsid w:val="00F4477E"/>
    <w:rsid w:val="00F45717"/>
    <w:rsid w:val="00F472F8"/>
    <w:rsid w:val="00F50C9C"/>
    <w:rsid w:val="00F510DE"/>
    <w:rsid w:val="00F531E1"/>
    <w:rsid w:val="00F65EEC"/>
    <w:rsid w:val="00F6637E"/>
    <w:rsid w:val="00F66EF7"/>
    <w:rsid w:val="00F67D8F"/>
    <w:rsid w:val="00F71162"/>
    <w:rsid w:val="00F72954"/>
    <w:rsid w:val="00F739B3"/>
    <w:rsid w:val="00F74926"/>
    <w:rsid w:val="00F74B10"/>
    <w:rsid w:val="00F80247"/>
    <w:rsid w:val="00F802BE"/>
    <w:rsid w:val="00F80E93"/>
    <w:rsid w:val="00F8350E"/>
    <w:rsid w:val="00F86024"/>
    <w:rsid w:val="00F86119"/>
    <w:rsid w:val="00F8611A"/>
    <w:rsid w:val="00F866F2"/>
    <w:rsid w:val="00F86C02"/>
    <w:rsid w:val="00F86DF5"/>
    <w:rsid w:val="00F90BB1"/>
    <w:rsid w:val="00F9121B"/>
    <w:rsid w:val="00F91D3F"/>
    <w:rsid w:val="00F9358F"/>
    <w:rsid w:val="00F93B25"/>
    <w:rsid w:val="00F9518C"/>
    <w:rsid w:val="00F952B9"/>
    <w:rsid w:val="00F961E4"/>
    <w:rsid w:val="00F968F6"/>
    <w:rsid w:val="00F97546"/>
    <w:rsid w:val="00FA5128"/>
    <w:rsid w:val="00FA5BDD"/>
    <w:rsid w:val="00FA776D"/>
    <w:rsid w:val="00FB13F8"/>
    <w:rsid w:val="00FB2A1E"/>
    <w:rsid w:val="00FB42D4"/>
    <w:rsid w:val="00FB4FE4"/>
    <w:rsid w:val="00FB5906"/>
    <w:rsid w:val="00FB762F"/>
    <w:rsid w:val="00FB76CE"/>
    <w:rsid w:val="00FC1EA0"/>
    <w:rsid w:val="00FC2AED"/>
    <w:rsid w:val="00FC3FBF"/>
    <w:rsid w:val="00FC5433"/>
    <w:rsid w:val="00FC6342"/>
    <w:rsid w:val="00FD0589"/>
    <w:rsid w:val="00FD1767"/>
    <w:rsid w:val="00FD3DC6"/>
    <w:rsid w:val="00FD4F05"/>
    <w:rsid w:val="00FD53BB"/>
    <w:rsid w:val="00FD5EA7"/>
    <w:rsid w:val="00FD68BD"/>
    <w:rsid w:val="00FE2FEC"/>
    <w:rsid w:val="00FE54FA"/>
    <w:rsid w:val="00FF172B"/>
    <w:rsid w:val="00FF314D"/>
    <w:rsid w:val="00FF6D7F"/>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5FCEE"/>
  <w15:docId w15:val="{04BBD487-149A-467B-8E63-14FA78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character" w:customStyle="1" w:styleId="Nierozpoznanawzmianka2">
    <w:name w:val="Nierozpoznana wzmianka2"/>
    <w:basedOn w:val="Domylnaczcionkaakapitu"/>
    <w:uiPriority w:val="99"/>
    <w:semiHidden/>
    <w:unhideWhenUsed/>
    <w:rsid w:val="003031E3"/>
    <w:rPr>
      <w:color w:val="605E5C"/>
      <w:shd w:val="clear" w:color="auto" w:fill="E1DFDD"/>
    </w:rPr>
  </w:style>
  <w:style w:type="paragraph" w:styleId="HTML-wstpniesformatowany">
    <w:name w:val="HTML Preformatted"/>
    <w:basedOn w:val="Normalny"/>
    <w:link w:val="HTML-wstpniesformatowanyZnak"/>
    <w:uiPriority w:val="99"/>
    <w:semiHidden/>
    <w:unhideWhenUsed/>
    <w:rsid w:val="00D20819"/>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D20819"/>
    <w:rPr>
      <w:rFonts w:ascii="Consolas" w:hAnsi="Consolas"/>
      <w:sz w:val="20"/>
      <w:szCs w:val="20"/>
    </w:rPr>
  </w:style>
  <w:style w:type="character" w:customStyle="1" w:styleId="UnresolvedMention">
    <w:name w:val="Unresolved Mention"/>
    <w:basedOn w:val="Domylnaczcionkaakapitu"/>
    <w:uiPriority w:val="99"/>
    <w:semiHidden/>
    <w:unhideWhenUsed/>
    <w:rsid w:val="00F06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55007245">
      <w:bodyDiv w:val="1"/>
      <w:marLeft w:val="0"/>
      <w:marRight w:val="0"/>
      <w:marTop w:val="0"/>
      <w:marBottom w:val="0"/>
      <w:divBdr>
        <w:top w:val="none" w:sz="0" w:space="0" w:color="auto"/>
        <w:left w:val="none" w:sz="0" w:space="0" w:color="auto"/>
        <w:bottom w:val="none" w:sz="0" w:space="0" w:color="auto"/>
        <w:right w:val="none" w:sz="0" w:space="0" w:color="auto"/>
      </w:divBdr>
    </w:div>
    <w:div w:id="123351645">
      <w:bodyDiv w:val="1"/>
      <w:marLeft w:val="0"/>
      <w:marRight w:val="0"/>
      <w:marTop w:val="0"/>
      <w:marBottom w:val="0"/>
      <w:divBdr>
        <w:top w:val="none" w:sz="0" w:space="0" w:color="auto"/>
        <w:left w:val="none" w:sz="0" w:space="0" w:color="auto"/>
        <w:bottom w:val="none" w:sz="0" w:space="0" w:color="auto"/>
        <w:right w:val="none" w:sz="0" w:space="0" w:color="auto"/>
      </w:divBdr>
    </w:div>
    <w:div w:id="148444144">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23181188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9788786">
      <w:bodyDiv w:val="1"/>
      <w:marLeft w:val="0"/>
      <w:marRight w:val="0"/>
      <w:marTop w:val="0"/>
      <w:marBottom w:val="0"/>
      <w:divBdr>
        <w:top w:val="none" w:sz="0" w:space="0" w:color="auto"/>
        <w:left w:val="none" w:sz="0" w:space="0" w:color="auto"/>
        <w:bottom w:val="none" w:sz="0" w:space="0" w:color="auto"/>
        <w:right w:val="none" w:sz="0" w:space="0" w:color="auto"/>
      </w:divBdr>
    </w:div>
    <w:div w:id="41833618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316463">
      <w:bodyDiv w:val="1"/>
      <w:marLeft w:val="0"/>
      <w:marRight w:val="0"/>
      <w:marTop w:val="0"/>
      <w:marBottom w:val="0"/>
      <w:divBdr>
        <w:top w:val="none" w:sz="0" w:space="0" w:color="auto"/>
        <w:left w:val="none" w:sz="0" w:space="0" w:color="auto"/>
        <w:bottom w:val="none" w:sz="0" w:space="0" w:color="auto"/>
        <w:right w:val="none" w:sz="0" w:space="0" w:color="auto"/>
      </w:divBdr>
    </w:div>
    <w:div w:id="55558039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82434880">
      <w:bodyDiv w:val="1"/>
      <w:marLeft w:val="0"/>
      <w:marRight w:val="0"/>
      <w:marTop w:val="0"/>
      <w:marBottom w:val="0"/>
      <w:divBdr>
        <w:top w:val="none" w:sz="0" w:space="0" w:color="auto"/>
        <w:left w:val="none" w:sz="0" w:space="0" w:color="auto"/>
        <w:bottom w:val="none" w:sz="0" w:space="0" w:color="auto"/>
        <w:right w:val="none" w:sz="0" w:space="0" w:color="auto"/>
      </w:divBdr>
    </w:div>
    <w:div w:id="684555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0739">
          <w:marLeft w:val="0"/>
          <w:marRight w:val="0"/>
          <w:marTop w:val="0"/>
          <w:marBottom w:val="0"/>
          <w:divBdr>
            <w:top w:val="none" w:sz="0" w:space="0" w:color="auto"/>
            <w:left w:val="none" w:sz="0" w:space="0" w:color="auto"/>
            <w:bottom w:val="none" w:sz="0" w:space="0" w:color="auto"/>
            <w:right w:val="none" w:sz="0" w:space="0" w:color="auto"/>
          </w:divBdr>
        </w:div>
      </w:divsChild>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939338498">
      <w:bodyDiv w:val="1"/>
      <w:marLeft w:val="0"/>
      <w:marRight w:val="0"/>
      <w:marTop w:val="0"/>
      <w:marBottom w:val="0"/>
      <w:divBdr>
        <w:top w:val="none" w:sz="0" w:space="0" w:color="auto"/>
        <w:left w:val="none" w:sz="0" w:space="0" w:color="auto"/>
        <w:bottom w:val="none" w:sz="0" w:space="0" w:color="auto"/>
        <w:right w:val="none" w:sz="0" w:space="0" w:color="auto"/>
      </w:divBdr>
    </w:div>
    <w:div w:id="983464183">
      <w:bodyDiv w:val="1"/>
      <w:marLeft w:val="0"/>
      <w:marRight w:val="0"/>
      <w:marTop w:val="0"/>
      <w:marBottom w:val="0"/>
      <w:divBdr>
        <w:top w:val="none" w:sz="0" w:space="0" w:color="auto"/>
        <w:left w:val="none" w:sz="0" w:space="0" w:color="auto"/>
        <w:bottom w:val="none" w:sz="0" w:space="0" w:color="auto"/>
        <w:right w:val="none" w:sz="0" w:space="0" w:color="auto"/>
      </w:divBdr>
    </w:div>
    <w:div w:id="115942132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584491">
      <w:bodyDiv w:val="1"/>
      <w:marLeft w:val="0"/>
      <w:marRight w:val="0"/>
      <w:marTop w:val="0"/>
      <w:marBottom w:val="0"/>
      <w:divBdr>
        <w:top w:val="none" w:sz="0" w:space="0" w:color="auto"/>
        <w:left w:val="none" w:sz="0" w:space="0" w:color="auto"/>
        <w:bottom w:val="none" w:sz="0" w:space="0" w:color="auto"/>
        <w:right w:val="none" w:sz="0" w:space="0" w:color="auto"/>
      </w:divBdr>
    </w:div>
    <w:div w:id="1405956934">
      <w:bodyDiv w:val="1"/>
      <w:marLeft w:val="0"/>
      <w:marRight w:val="0"/>
      <w:marTop w:val="0"/>
      <w:marBottom w:val="0"/>
      <w:divBdr>
        <w:top w:val="none" w:sz="0" w:space="0" w:color="auto"/>
        <w:left w:val="none" w:sz="0" w:space="0" w:color="auto"/>
        <w:bottom w:val="none" w:sz="0" w:space="0" w:color="auto"/>
        <w:right w:val="none" w:sz="0" w:space="0" w:color="auto"/>
      </w:divBdr>
    </w:div>
    <w:div w:id="1427846405">
      <w:bodyDiv w:val="1"/>
      <w:marLeft w:val="0"/>
      <w:marRight w:val="0"/>
      <w:marTop w:val="0"/>
      <w:marBottom w:val="0"/>
      <w:divBdr>
        <w:top w:val="none" w:sz="0" w:space="0" w:color="auto"/>
        <w:left w:val="none" w:sz="0" w:space="0" w:color="auto"/>
        <w:bottom w:val="none" w:sz="0" w:space="0" w:color="auto"/>
        <w:right w:val="none" w:sz="0" w:space="0" w:color="auto"/>
      </w:divBdr>
    </w:div>
    <w:div w:id="1451128966">
      <w:bodyDiv w:val="1"/>
      <w:marLeft w:val="0"/>
      <w:marRight w:val="0"/>
      <w:marTop w:val="0"/>
      <w:marBottom w:val="0"/>
      <w:divBdr>
        <w:top w:val="none" w:sz="0" w:space="0" w:color="auto"/>
        <w:left w:val="none" w:sz="0" w:space="0" w:color="auto"/>
        <w:bottom w:val="none" w:sz="0" w:space="0" w:color="auto"/>
        <w:right w:val="none" w:sz="0" w:space="0" w:color="auto"/>
      </w:divBdr>
    </w:div>
    <w:div w:id="1475101048">
      <w:bodyDiv w:val="1"/>
      <w:marLeft w:val="0"/>
      <w:marRight w:val="0"/>
      <w:marTop w:val="0"/>
      <w:marBottom w:val="0"/>
      <w:divBdr>
        <w:top w:val="none" w:sz="0" w:space="0" w:color="auto"/>
        <w:left w:val="none" w:sz="0" w:space="0" w:color="auto"/>
        <w:bottom w:val="none" w:sz="0" w:space="0" w:color="auto"/>
        <w:right w:val="none" w:sz="0" w:space="0" w:color="auto"/>
      </w:divBdr>
    </w:div>
    <w:div w:id="1556505585">
      <w:bodyDiv w:val="1"/>
      <w:marLeft w:val="0"/>
      <w:marRight w:val="0"/>
      <w:marTop w:val="0"/>
      <w:marBottom w:val="0"/>
      <w:divBdr>
        <w:top w:val="none" w:sz="0" w:space="0" w:color="auto"/>
        <w:left w:val="none" w:sz="0" w:space="0" w:color="auto"/>
        <w:bottom w:val="none" w:sz="0" w:space="0" w:color="auto"/>
        <w:right w:val="none" w:sz="0" w:space="0" w:color="auto"/>
      </w:divBdr>
    </w:div>
    <w:div w:id="1574778409">
      <w:bodyDiv w:val="1"/>
      <w:marLeft w:val="0"/>
      <w:marRight w:val="0"/>
      <w:marTop w:val="0"/>
      <w:marBottom w:val="0"/>
      <w:divBdr>
        <w:top w:val="none" w:sz="0" w:space="0" w:color="auto"/>
        <w:left w:val="none" w:sz="0" w:space="0" w:color="auto"/>
        <w:bottom w:val="none" w:sz="0" w:space="0" w:color="auto"/>
        <w:right w:val="none" w:sz="0" w:space="0" w:color="auto"/>
      </w:divBdr>
    </w:div>
    <w:div w:id="1695377606">
      <w:bodyDiv w:val="1"/>
      <w:marLeft w:val="0"/>
      <w:marRight w:val="0"/>
      <w:marTop w:val="0"/>
      <w:marBottom w:val="0"/>
      <w:divBdr>
        <w:top w:val="none" w:sz="0" w:space="0" w:color="auto"/>
        <w:left w:val="none" w:sz="0" w:space="0" w:color="auto"/>
        <w:bottom w:val="none" w:sz="0" w:space="0" w:color="auto"/>
        <w:right w:val="none" w:sz="0" w:space="0" w:color="auto"/>
      </w:divBdr>
    </w:div>
    <w:div w:id="1802651845">
      <w:bodyDiv w:val="1"/>
      <w:marLeft w:val="0"/>
      <w:marRight w:val="0"/>
      <w:marTop w:val="0"/>
      <w:marBottom w:val="0"/>
      <w:divBdr>
        <w:top w:val="none" w:sz="0" w:space="0" w:color="auto"/>
        <w:left w:val="none" w:sz="0" w:space="0" w:color="auto"/>
        <w:bottom w:val="none" w:sz="0" w:space="0" w:color="auto"/>
        <w:right w:val="none" w:sz="0" w:space="0" w:color="auto"/>
      </w:divBdr>
    </w:div>
    <w:div w:id="184755447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42225950">
      <w:bodyDiv w:val="1"/>
      <w:marLeft w:val="0"/>
      <w:marRight w:val="0"/>
      <w:marTop w:val="0"/>
      <w:marBottom w:val="0"/>
      <w:divBdr>
        <w:top w:val="none" w:sz="0" w:space="0" w:color="auto"/>
        <w:left w:val="none" w:sz="0" w:space="0" w:color="auto"/>
        <w:bottom w:val="none" w:sz="0" w:space="0" w:color="auto"/>
        <w:right w:val="none" w:sz="0" w:space="0" w:color="auto"/>
      </w:divBdr>
    </w:div>
    <w:div w:id="1965773508">
      <w:bodyDiv w:val="1"/>
      <w:marLeft w:val="0"/>
      <w:marRight w:val="0"/>
      <w:marTop w:val="0"/>
      <w:marBottom w:val="0"/>
      <w:divBdr>
        <w:top w:val="none" w:sz="0" w:space="0" w:color="auto"/>
        <w:left w:val="none" w:sz="0" w:space="0" w:color="auto"/>
        <w:bottom w:val="none" w:sz="0" w:space="0" w:color="auto"/>
        <w:right w:val="none" w:sz="0" w:space="0" w:color="auto"/>
      </w:divBdr>
    </w:div>
    <w:div w:id="1981498014">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mailto:rzecznik@stat.gov.pl" TargetMode="External"/><Relationship Id="rId39" Type="http://schemas.openxmlformats.org/officeDocument/2006/relationships/hyperlink" Target="http://stat.gov.pl/metainformacje/slownik-pojec/pojecia-stosowane-w-statystyce-publicznej/3217,pojecie.html" TargetMode="External"/><Relationship Id="rId21" Type="http://schemas.openxmlformats.org/officeDocument/2006/relationships/chart" Target="charts/chart11.xml"/><Relationship Id="rId34" Type="http://schemas.openxmlformats.org/officeDocument/2006/relationships/hyperlink" Target="https://bdl.stat.gov.pl/BDL/metadane/cechy/2713?back=True" TargetMode="External"/><Relationship Id="rId42" Type="http://schemas.openxmlformats.org/officeDocument/2006/relationships/hyperlink" Target="https://bdl.stat.gov.pl/BDL/metadane/cechy/2713?back=True" TargetMode="External"/><Relationship Id="rId47" Type="http://schemas.openxmlformats.org/officeDocument/2006/relationships/hyperlink" Target="http://stat.gov.pl/metainformacje/slownik-pojec/pojecia-stosowane-w-statystyce-publicznej/3217,pojecie.html"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hyperlink" Target="http://stat.gov.pl/" TargetMode="External"/><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hyperlink" Target="https://stat.gov.pl/en/topics/living-conditions/living-conditions/the-situation-of-households-in-2020-on-the-basis-of-results-of-the-household-budget-survey,12,20.html" TargetMode="External"/><Relationship Id="rId37" Type="http://schemas.openxmlformats.org/officeDocument/2006/relationships/hyperlink" Target="http://stat.gov.pl/metainformacje/slownik-pojec/pojecia-stosowane-w-statystyce-publicznej/3214,pojecie.html" TargetMode="External"/><Relationship Id="rId40" Type="http://schemas.openxmlformats.org/officeDocument/2006/relationships/hyperlink" Target="https://stat.gov.pl/en/topics/living-conditions/living-conditions/the-situation-of-households-in-2020-on-the-basis-of-results-of-the-household-budget-survey,12,20.html" TargetMode="External"/><Relationship Id="rId45" Type="http://schemas.openxmlformats.org/officeDocument/2006/relationships/hyperlink" Target="http://stat.gov.pl/metainformacje/slownik-pojec/pojecia-stosowane-w-statystyce-publicznej/3214,pojecie.html" TargetMode="Externa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hyperlink" Target="http://swaid.stat.gov.pl/WarunkiZyciaLudnosci_dashboards/Raporty_predefiniowane/RAP_DBD_WZL_11.aspx"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image" Target="media/image6.png"/><Relationship Id="rId44" Type="http://schemas.openxmlformats.org/officeDocument/2006/relationships/hyperlink" Target="http://swaid.stat.gov.pl/WarunkiZyciaLudnosci_dashboards/Raporty_predefiniowane/RAP_DBD_WZL_11.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hyperlink" Target="mailto:obslugaprasowa@stat.gov.pl" TargetMode="External"/><Relationship Id="rId30" Type="http://schemas.openxmlformats.org/officeDocument/2006/relationships/image" Target="media/image5.png"/><Relationship Id="rId35" Type="http://schemas.openxmlformats.org/officeDocument/2006/relationships/hyperlink" Target="http://swaid.stat.gov.pl/WarunkiZyciaLudnosci_dashboards/Raporty_predefiniowane/RAP_DBD_WZL_10.aspx" TargetMode="External"/><Relationship Id="rId43" Type="http://schemas.openxmlformats.org/officeDocument/2006/relationships/hyperlink" Target="http://swaid.stat.gov.pl/WarunkiZyciaLudnosci_dashboards/Raporty_predefiniowane/RAP_DBD_WZL_10.aspx"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2.xml"/><Relationship Id="rId33" Type="http://schemas.openxmlformats.org/officeDocument/2006/relationships/hyperlink" Target="https://stat.gov.pl/en/topics/living-conditions/living-conditions/incomes-and-living-conditions-of-the-population-in-poland-report-from-the-eu-silc-survey-of-2019,1,12.html" TargetMode="External"/><Relationship Id="rId38" Type="http://schemas.openxmlformats.org/officeDocument/2006/relationships/hyperlink" Target="http://stat.gov.pl/metainformacje/slownik-pojec/pojecia-stosowane-w-statystyce-publicznej/3215,pojecie.html" TargetMode="External"/><Relationship Id="rId46" Type="http://schemas.openxmlformats.org/officeDocument/2006/relationships/hyperlink" Target="http://stat.gov.pl/metainformacje/slownik-pojec/pojecia-stosowane-w-statystyce-publicznej/3215,pojecie.html" TargetMode="External"/><Relationship Id="rId20" Type="http://schemas.openxmlformats.org/officeDocument/2006/relationships/chart" Target="charts/chart10.xml"/><Relationship Id="rId41" Type="http://schemas.openxmlformats.org/officeDocument/2006/relationships/hyperlink" Target="https://stat.gov.pl/en/topics/living-conditions/living-conditions/incomes-and-living-conditions-of-the-population-in-poland-report-from-the-eu-silc-survey-of-2019,1,12.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poland-macroeconomic-indicators/" TargetMode="External"/><Relationship Id="rId1" Type="http://schemas.openxmlformats.org/officeDocument/2006/relationships/hyperlink" Target="https://stat.gov.pl/en/topics/living-conditions/living-conditions/the-situation-of-households-in-2020-on-the-basis-of-results-of-the-household-budget-survey,12,20.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Arkusz_programu_Microsoft_Excel1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Arkusz_programu_Microsoft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Arkusz_programu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Arkusz_programu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585059523809523"/>
          <c:y val="0.11064232642561472"/>
          <c:w val="0.73137658730158717"/>
          <c:h val="0.66317398713786369"/>
        </c:manualLayout>
      </c:layout>
      <c:barChart>
        <c:barDir val="bar"/>
        <c:grouping val="clustered"/>
        <c:varyColors val="0"/>
        <c:ser>
          <c:idx val="0"/>
          <c:order val="0"/>
          <c:tx>
            <c:strRef>
              <c:f>Granice!$C$6</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8678-4EF4-A107-AFBB22A0B254}"/>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Granice!$B$7:$B$14</c:f>
              <c:strCache>
                <c:ptCount val="8"/>
                <c:pt idx="0">
                  <c:v>„legal” poverty</c:v>
                </c:pt>
                <c:pt idx="1">
                  <c:v>relative poverty</c:v>
                </c:pt>
                <c:pt idx="2">
                  <c:v>extreme poverty</c:v>
                </c:pt>
                <c:pt idx="5">
                  <c:v>„legal” poverty</c:v>
                </c:pt>
                <c:pt idx="6">
                  <c:v>relative poverty</c:v>
                </c:pt>
                <c:pt idx="7">
                  <c:v>extreme poverty</c:v>
                </c:pt>
              </c:strCache>
            </c:strRef>
          </c:cat>
          <c:val>
            <c:numRef>
              <c:f>Granice!$C$7:$C$14</c:f>
              <c:numCache>
                <c:formatCode>0</c:formatCode>
                <c:ptCount val="8"/>
                <c:pt idx="0">
                  <c:v>2112</c:v>
                </c:pt>
                <c:pt idx="1">
                  <c:v>2317</c:v>
                </c:pt>
                <c:pt idx="2">
                  <c:v>1658</c:v>
                </c:pt>
                <c:pt idx="5">
                  <c:v>701</c:v>
                </c:pt>
                <c:pt idx="6">
                  <c:v>858</c:v>
                </c:pt>
                <c:pt idx="7">
                  <c:v>614</c:v>
                </c:pt>
              </c:numCache>
            </c:numRef>
          </c:val>
          <c:extLst xmlns:c16r2="http://schemas.microsoft.com/office/drawing/2015/06/chart">
            <c:ext xmlns:c16="http://schemas.microsoft.com/office/drawing/2014/chart" uri="{C3380CC4-5D6E-409C-BE32-E72D297353CC}">
              <c16:uniqueId val="{00000001-8678-4EF4-A107-AFBB22A0B254}"/>
            </c:ext>
          </c:extLst>
        </c:ser>
        <c:ser>
          <c:idx val="1"/>
          <c:order val="1"/>
          <c:tx>
            <c:strRef>
              <c:f>Granice!$D$6</c:f>
              <c:strCache>
                <c:ptCount val="1"/>
                <c:pt idx="0">
                  <c:v>2020</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Granice!$B$7:$B$14</c:f>
              <c:strCache>
                <c:ptCount val="8"/>
                <c:pt idx="0">
                  <c:v>„legal” poverty</c:v>
                </c:pt>
                <c:pt idx="1">
                  <c:v>relative poverty</c:v>
                </c:pt>
                <c:pt idx="2">
                  <c:v>extreme poverty</c:v>
                </c:pt>
                <c:pt idx="5">
                  <c:v>„legal” poverty</c:v>
                </c:pt>
                <c:pt idx="6">
                  <c:v>relative poverty</c:v>
                </c:pt>
                <c:pt idx="7">
                  <c:v>extreme poverty</c:v>
                </c:pt>
              </c:strCache>
            </c:strRef>
          </c:cat>
          <c:val>
            <c:numRef>
              <c:f>Granice!$D$7:$D$14</c:f>
              <c:numCache>
                <c:formatCode>0</c:formatCode>
                <c:ptCount val="8"/>
                <c:pt idx="0">
                  <c:v>2112</c:v>
                </c:pt>
                <c:pt idx="1">
                  <c:v>2157</c:v>
                </c:pt>
                <c:pt idx="2">
                  <c:v>1727</c:v>
                </c:pt>
                <c:pt idx="5">
                  <c:v>701</c:v>
                </c:pt>
                <c:pt idx="6">
                  <c:v>799</c:v>
                </c:pt>
                <c:pt idx="7">
                  <c:v>640</c:v>
                </c:pt>
              </c:numCache>
            </c:numRef>
          </c:val>
          <c:extLst xmlns:c16r2="http://schemas.microsoft.com/office/drawing/2015/06/chart">
            <c:ext xmlns:c16="http://schemas.microsoft.com/office/drawing/2014/chart" uri="{C3380CC4-5D6E-409C-BE32-E72D297353CC}">
              <c16:uniqueId val="{00000002-8678-4EF4-A107-AFBB22A0B254}"/>
            </c:ext>
          </c:extLst>
        </c:ser>
        <c:dLbls>
          <c:showLegendKey val="0"/>
          <c:showVal val="0"/>
          <c:showCatName val="0"/>
          <c:showSerName val="0"/>
          <c:showPercent val="0"/>
          <c:showBubbleSize val="0"/>
        </c:dLbls>
        <c:gapWidth val="60"/>
        <c:axId val="-811894368"/>
        <c:axId val="-811895456"/>
      </c:barChart>
      <c:catAx>
        <c:axId val="-811894368"/>
        <c:scaling>
          <c:orientation val="minMax"/>
        </c:scaling>
        <c:delete val="0"/>
        <c:axPos val="l"/>
        <c:numFmt formatCode="General" sourceLinked="0"/>
        <c:majorTickMark val="out"/>
        <c:minorTickMark val="none"/>
        <c:tickLblPos val="nextTo"/>
        <c:crossAx val="-811895456"/>
        <c:crosses val="autoZero"/>
        <c:auto val="0"/>
        <c:lblAlgn val="ctr"/>
        <c:lblOffset val="100"/>
        <c:noMultiLvlLbl val="0"/>
      </c:catAx>
      <c:valAx>
        <c:axId val="-811895456"/>
        <c:scaling>
          <c:orientation val="minMax"/>
        </c:scaling>
        <c:delete val="0"/>
        <c:axPos val="b"/>
        <c:majorGridlines/>
        <c:title>
          <c:tx>
            <c:rich>
              <a:bodyPr/>
              <a:lstStyle/>
              <a:p>
                <a:pPr>
                  <a:defRPr b="0"/>
                </a:pPr>
                <a:r>
                  <a:rPr lang="pl-PL" b="0"/>
                  <a:t>in PLN</a:t>
                </a:r>
              </a:p>
            </c:rich>
          </c:tx>
          <c:layout>
            <c:manualLayout>
              <c:xMode val="edge"/>
              <c:yMode val="edge"/>
              <c:x val="0.53638214285714281"/>
              <c:y val="0.82430420078087252"/>
            </c:manualLayout>
          </c:layout>
          <c:overlay val="0"/>
        </c:title>
        <c:numFmt formatCode="General" sourceLinked="0"/>
        <c:majorTickMark val="out"/>
        <c:minorTickMark val="none"/>
        <c:tickLblPos val="nextTo"/>
        <c:crossAx val="-811894368"/>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107281746031747"/>
          <c:y val="8.3793302432940558E-2"/>
          <c:w val="0.75149206349206354"/>
          <c:h val="0.64323970142030118"/>
        </c:manualLayout>
      </c:layout>
      <c:barChart>
        <c:barDir val="bar"/>
        <c:grouping val="clustered"/>
        <c:varyColors val="0"/>
        <c:ser>
          <c:idx val="0"/>
          <c:order val="0"/>
          <c:tx>
            <c:strRef>
              <c:f>Wykształcenie!$B$1</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CF86-4E6D-8ADA-B89693758501}"/>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Wykształcenie!$A$2:$A$5</c:f>
              <c:strCache>
                <c:ptCount val="4"/>
                <c:pt idx="0">
                  <c:v>Tertiary </c:v>
                </c:pt>
                <c:pt idx="1">
                  <c:v>Secondary</c:v>
                </c:pt>
                <c:pt idx="2">
                  <c:v>Basic vocational /basic sectoral vocational</c:v>
                </c:pt>
                <c:pt idx="3">
                  <c:v>Not higher than lower secondary </c:v>
                </c:pt>
              </c:strCache>
            </c:strRef>
          </c:cat>
          <c:val>
            <c:numRef>
              <c:f>Wykształcenie!$B$2:$B$5</c:f>
              <c:numCache>
                <c:formatCode>0.0</c:formatCode>
                <c:ptCount val="4"/>
                <c:pt idx="0">
                  <c:v>1.1000000000000001</c:v>
                </c:pt>
                <c:pt idx="1">
                  <c:v>2.9</c:v>
                </c:pt>
                <c:pt idx="2">
                  <c:v>6.4</c:v>
                </c:pt>
                <c:pt idx="3">
                  <c:v>10.1</c:v>
                </c:pt>
              </c:numCache>
            </c:numRef>
          </c:val>
          <c:extLst xmlns:c16r2="http://schemas.microsoft.com/office/drawing/2015/06/chart">
            <c:ext xmlns:c16="http://schemas.microsoft.com/office/drawing/2014/chart" uri="{C3380CC4-5D6E-409C-BE32-E72D297353CC}">
              <c16:uniqueId val="{00000001-CF86-4E6D-8ADA-B89693758501}"/>
            </c:ext>
          </c:extLst>
        </c:ser>
        <c:ser>
          <c:idx val="1"/>
          <c:order val="1"/>
          <c:tx>
            <c:strRef>
              <c:f>Wykształcenie!$C$1</c:f>
              <c:strCache>
                <c:ptCount val="1"/>
                <c:pt idx="0">
                  <c:v>2020</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Wykształcenie!$A$2:$A$5</c:f>
              <c:strCache>
                <c:ptCount val="4"/>
                <c:pt idx="0">
                  <c:v>Tertiary </c:v>
                </c:pt>
                <c:pt idx="1">
                  <c:v>Secondary</c:v>
                </c:pt>
                <c:pt idx="2">
                  <c:v>Basic vocational /basic sectoral vocational</c:v>
                </c:pt>
                <c:pt idx="3">
                  <c:v>Not higher than lower secondary </c:v>
                </c:pt>
              </c:strCache>
            </c:strRef>
          </c:cat>
          <c:val>
            <c:numRef>
              <c:f>Wykształcenie!$C$2:$C$5</c:f>
              <c:numCache>
                <c:formatCode>0.0</c:formatCode>
                <c:ptCount val="4"/>
                <c:pt idx="0">
                  <c:v>1.9</c:v>
                </c:pt>
                <c:pt idx="1">
                  <c:v>4.3</c:v>
                </c:pt>
                <c:pt idx="2">
                  <c:v>7.8</c:v>
                </c:pt>
                <c:pt idx="3">
                  <c:v>11.9</c:v>
                </c:pt>
              </c:numCache>
            </c:numRef>
          </c:val>
          <c:extLst xmlns:c16r2="http://schemas.microsoft.com/office/drawing/2015/06/chart">
            <c:ext xmlns:c16="http://schemas.microsoft.com/office/drawing/2014/chart" uri="{C3380CC4-5D6E-409C-BE32-E72D297353CC}">
              <c16:uniqueId val="{00000002-CF86-4E6D-8ADA-B89693758501}"/>
            </c:ext>
          </c:extLst>
        </c:ser>
        <c:dLbls>
          <c:showLegendKey val="0"/>
          <c:showVal val="0"/>
          <c:showCatName val="0"/>
          <c:showSerName val="0"/>
          <c:showPercent val="0"/>
          <c:showBubbleSize val="0"/>
        </c:dLbls>
        <c:gapWidth val="60"/>
        <c:axId val="-805870352"/>
        <c:axId val="-648376432"/>
      </c:barChart>
      <c:catAx>
        <c:axId val="-805870352"/>
        <c:scaling>
          <c:orientation val="minMax"/>
        </c:scaling>
        <c:delete val="0"/>
        <c:axPos val="l"/>
        <c:numFmt formatCode="General" sourceLinked="0"/>
        <c:majorTickMark val="out"/>
        <c:minorTickMark val="none"/>
        <c:tickLblPos val="nextTo"/>
        <c:crossAx val="-648376432"/>
        <c:crosses val="autoZero"/>
        <c:auto val="0"/>
        <c:lblAlgn val="ctr"/>
        <c:lblOffset val="100"/>
        <c:noMultiLvlLbl val="0"/>
      </c:catAx>
      <c:valAx>
        <c:axId val="-648376432"/>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1477817460317468"/>
              <c:y val="0.81782223567013146"/>
            </c:manualLayout>
          </c:layout>
          <c:overlay val="0"/>
        </c:title>
        <c:numFmt formatCode="General" sourceLinked="0"/>
        <c:majorTickMark val="out"/>
        <c:minorTickMark val="none"/>
        <c:tickLblPos val="nextTo"/>
        <c:crossAx val="-805870352"/>
        <c:crosses val="autoZero"/>
        <c:crossBetween val="between"/>
      </c:valAx>
    </c:plotArea>
    <c:legend>
      <c:legendPos val="b"/>
      <c:layout>
        <c:manualLayout>
          <c:xMode val="edge"/>
          <c:yMode val="edge"/>
          <c:x val="0.46575993433146323"/>
          <c:y val="0.8927093687757115"/>
          <c:w val="0.21472182539682538"/>
          <c:h val="9.2826187574686622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460912698412698"/>
          <c:y val="6.2577483249422708E-2"/>
          <c:w val="0.71009821428571418"/>
          <c:h val="0.7116907113875619"/>
        </c:manualLayout>
      </c:layout>
      <c:barChart>
        <c:barDir val="bar"/>
        <c:grouping val="clustered"/>
        <c:varyColors val="0"/>
        <c:ser>
          <c:idx val="0"/>
          <c:order val="0"/>
          <c:tx>
            <c:strRef>
              <c:f>'Miejsce zam'!$C$1</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E2B4-415F-B63E-F6CFC62ECE8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'Miejsce zam'!$B$2:$B$8</c:f>
              <c:strCache>
                <c:ptCount val="7"/>
                <c:pt idx="0">
                  <c:v>Rural areas</c:v>
                </c:pt>
                <c:pt idx="1">
                  <c:v>      up to 20 thous. </c:v>
                </c:pt>
                <c:pt idx="2">
                  <c:v>       20 - 100 thous.</c:v>
                </c:pt>
                <c:pt idx="3">
                  <c:v>     100 - 200 thous.</c:v>
                </c:pt>
                <c:pt idx="4">
                  <c:v>     200 - 500 thous.</c:v>
                </c:pt>
                <c:pt idx="5">
                  <c:v>     500 thous.
and more</c:v>
                </c:pt>
                <c:pt idx="6">
                  <c:v>Urban areas total</c:v>
                </c:pt>
              </c:strCache>
            </c:strRef>
          </c:cat>
          <c:val>
            <c:numRef>
              <c:f>'Miejsce zam'!$C$2:$C$8</c:f>
              <c:numCache>
                <c:formatCode>0.0</c:formatCode>
                <c:ptCount val="7"/>
                <c:pt idx="0">
                  <c:v>7.5</c:v>
                </c:pt>
                <c:pt idx="1">
                  <c:v>2.8</c:v>
                </c:pt>
                <c:pt idx="2">
                  <c:v>2.5</c:v>
                </c:pt>
                <c:pt idx="3">
                  <c:v>2.1</c:v>
                </c:pt>
                <c:pt idx="4">
                  <c:v>1.4</c:v>
                </c:pt>
                <c:pt idx="5">
                  <c:v>1</c:v>
                </c:pt>
                <c:pt idx="6">
                  <c:v>2.1</c:v>
                </c:pt>
              </c:numCache>
            </c:numRef>
          </c:val>
          <c:extLst xmlns:c16r2="http://schemas.microsoft.com/office/drawing/2015/06/chart">
            <c:ext xmlns:c16="http://schemas.microsoft.com/office/drawing/2014/chart" uri="{C3380CC4-5D6E-409C-BE32-E72D297353CC}">
              <c16:uniqueId val="{00000001-E2B4-415F-B63E-F6CFC62ECE80}"/>
            </c:ext>
          </c:extLst>
        </c:ser>
        <c:ser>
          <c:idx val="1"/>
          <c:order val="1"/>
          <c:tx>
            <c:strRef>
              <c:f>'Miejsce zam'!$D$1</c:f>
              <c:strCache>
                <c:ptCount val="1"/>
                <c:pt idx="0">
                  <c:v>2020</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'Miejsce zam'!$B$2:$B$8</c:f>
              <c:strCache>
                <c:ptCount val="7"/>
                <c:pt idx="0">
                  <c:v>Rural areas</c:v>
                </c:pt>
                <c:pt idx="1">
                  <c:v>      up to 20 thous. </c:v>
                </c:pt>
                <c:pt idx="2">
                  <c:v>       20 - 100 thous.</c:v>
                </c:pt>
                <c:pt idx="3">
                  <c:v>     100 - 200 thous.</c:v>
                </c:pt>
                <c:pt idx="4">
                  <c:v>     200 - 500 thous.</c:v>
                </c:pt>
                <c:pt idx="5">
                  <c:v>     500 thous.
and more</c:v>
                </c:pt>
                <c:pt idx="6">
                  <c:v>Urban areas total</c:v>
                </c:pt>
              </c:strCache>
            </c:strRef>
          </c:cat>
          <c:val>
            <c:numRef>
              <c:f>'Miejsce zam'!$D$2:$D$8</c:f>
              <c:numCache>
                <c:formatCode>0.0</c:formatCode>
                <c:ptCount val="7"/>
                <c:pt idx="0">
                  <c:v>9.5</c:v>
                </c:pt>
                <c:pt idx="1">
                  <c:v>4.4000000000000004</c:v>
                </c:pt>
                <c:pt idx="2">
                  <c:v>2.2999999999999998</c:v>
                </c:pt>
                <c:pt idx="3">
                  <c:v>2</c:v>
                </c:pt>
                <c:pt idx="4">
                  <c:v>1.2</c:v>
                </c:pt>
                <c:pt idx="5">
                  <c:v>1.6</c:v>
                </c:pt>
                <c:pt idx="6">
                  <c:v>2.4</c:v>
                </c:pt>
              </c:numCache>
            </c:numRef>
          </c:val>
          <c:extLst xmlns:c16r2="http://schemas.microsoft.com/office/drawing/2015/06/chart">
            <c:ext xmlns:c16="http://schemas.microsoft.com/office/drawing/2014/chart" uri="{C3380CC4-5D6E-409C-BE32-E72D297353CC}">
              <c16:uniqueId val="{00000002-E2B4-415F-B63E-F6CFC62ECE80}"/>
            </c:ext>
          </c:extLst>
        </c:ser>
        <c:dLbls>
          <c:showLegendKey val="0"/>
          <c:showVal val="0"/>
          <c:showCatName val="0"/>
          <c:showSerName val="0"/>
          <c:showPercent val="0"/>
          <c:showBubbleSize val="0"/>
        </c:dLbls>
        <c:gapWidth val="60"/>
        <c:axId val="-648373712"/>
        <c:axId val="-648377520"/>
      </c:barChart>
      <c:catAx>
        <c:axId val="-648373712"/>
        <c:scaling>
          <c:orientation val="minMax"/>
        </c:scaling>
        <c:delete val="0"/>
        <c:axPos val="l"/>
        <c:numFmt formatCode="General" sourceLinked="0"/>
        <c:majorTickMark val="out"/>
        <c:minorTickMark val="none"/>
        <c:tickLblPos val="nextTo"/>
        <c:crossAx val="-648377520"/>
        <c:crosses val="autoZero"/>
        <c:auto val="0"/>
        <c:lblAlgn val="ctr"/>
        <c:lblOffset val="100"/>
        <c:noMultiLvlLbl val="0"/>
      </c:catAx>
      <c:valAx>
        <c:axId val="-648377520"/>
        <c:scaling>
          <c:orientation val="minMax"/>
        </c:scaling>
        <c:delete val="0"/>
        <c:axPos val="b"/>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800" b="0"/>
                  <a:t>% </a:t>
                </a:r>
                <a:r>
                  <a:rPr lang="pl-PL" sz="800" b="0" i="0" baseline="0">
                    <a:effectLst/>
                  </a:rPr>
                  <a:t>of people in households </a:t>
                </a:r>
                <a:endParaRPr lang="pl-PL" sz="800">
                  <a:effectLst/>
                </a:endParaRPr>
              </a:p>
            </c:rich>
          </c:tx>
          <c:layout>
            <c:manualLayout>
              <c:xMode val="edge"/>
              <c:yMode val="edge"/>
              <c:x val="0.46615158730158729"/>
              <c:y val="0.84330231569032998"/>
            </c:manualLayout>
          </c:layout>
          <c:overlay val="0"/>
        </c:title>
        <c:numFmt formatCode="General" sourceLinked="0"/>
        <c:majorTickMark val="out"/>
        <c:minorTickMark val="none"/>
        <c:tickLblPos val="nextTo"/>
        <c:crossAx val="-648373712"/>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81761731003139E-2"/>
          <c:y val="6.6666588882367969E-2"/>
          <c:w val="0.88576051469176109"/>
          <c:h val="0.72808969943778945"/>
        </c:manualLayout>
      </c:layout>
      <c:lineChart>
        <c:grouping val="standard"/>
        <c:varyColors val="0"/>
        <c:ser>
          <c:idx val="0"/>
          <c:order val="0"/>
          <c:tx>
            <c:strRef>
              <c:f>Trend!$A$3</c:f>
              <c:strCache>
                <c:ptCount val="1"/>
                <c:pt idx="0">
                  <c:v>extreme poverty (subsistence minimum)</c:v>
                </c:pt>
              </c:strCache>
            </c:strRef>
          </c:tx>
          <c:spPr>
            <a:ln>
              <a:solidFill>
                <a:srgbClr val="001D77"/>
              </a:solidFill>
            </a:ln>
          </c:spPr>
          <c:marker>
            <c:spPr>
              <a:solidFill>
                <a:srgbClr val="001D77"/>
              </a:solidFill>
              <a:ln>
                <a:solidFill>
                  <a:srgbClr val="001D77"/>
                </a:solidFill>
              </a:ln>
            </c:spPr>
          </c:marker>
          <c:dLbls>
            <c:dLbl>
              <c:idx val="3"/>
              <c:layout>
                <c:manualLayout>
                  <c:x val="-3.188079748482265E-2"/>
                  <c:y val="-3.73122653316645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73-4FB7-8F41-CC6C1E7806FF}"/>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73-4FB7-8F41-CC6C1E7806FF}"/>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Trend!$B$3:$N$3</c:f>
              <c:numCache>
                <c:formatCode>General</c:formatCode>
                <c:ptCount val="13"/>
                <c:pt idx="0">
                  <c:v>5.6</c:v>
                </c:pt>
                <c:pt idx="1">
                  <c:v>5.7</c:v>
                </c:pt>
                <c:pt idx="2">
                  <c:v>5.8</c:v>
                </c:pt>
                <c:pt idx="3">
                  <c:v>6.8</c:v>
                </c:pt>
                <c:pt idx="4">
                  <c:v>6.8</c:v>
                </c:pt>
                <c:pt idx="5">
                  <c:v>7.4</c:v>
                </c:pt>
                <c:pt idx="6">
                  <c:v>7.4</c:v>
                </c:pt>
                <c:pt idx="7">
                  <c:v>6.5</c:v>
                </c:pt>
                <c:pt idx="8">
                  <c:v>4.9000000000000004</c:v>
                </c:pt>
                <c:pt idx="9">
                  <c:v>4.3</c:v>
                </c:pt>
                <c:pt idx="10">
                  <c:v>5.4</c:v>
                </c:pt>
                <c:pt idx="11">
                  <c:v>4.2</c:v>
                </c:pt>
                <c:pt idx="12">
                  <c:v>5.2</c:v>
                </c:pt>
              </c:numCache>
            </c:numRef>
          </c:val>
          <c:smooth val="0"/>
          <c:extLst xmlns:c16r2="http://schemas.microsoft.com/office/drawing/2015/06/chart">
            <c:ext xmlns:c16="http://schemas.microsoft.com/office/drawing/2014/chart" uri="{C3380CC4-5D6E-409C-BE32-E72D297353CC}">
              <c16:uniqueId val="{00000002-2073-4FB7-8F41-CC6C1E7806FF}"/>
            </c:ext>
          </c:extLst>
        </c:ser>
        <c:ser>
          <c:idx val="1"/>
          <c:order val="1"/>
          <c:tx>
            <c:strRef>
              <c:f>Trend!$A$4</c:f>
              <c:strCache>
                <c:ptCount val="1"/>
                <c:pt idx="0">
                  <c:v>relative poverty </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Trend!$B$4:$N$4</c:f>
              <c:numCache>
                <c:formatCode>General</c:formatCode>
                <c:ptCount val="13"/>
                <c:pt idx="0">
                  <c:v>17.600000000000001</c:v>
                </c:pt>
                <c:pt idx="1">
                  <c:v>17.3</c:v>
                </c:pt>
                <c:pt idx="2">
                  <c:v>17.399999999999999</c:v>
                </c:pt>
                <c:pt idx="3">
                  <c:v>16.899999999999999</c:v>
                </c:pt>
                <c:pt idx="4">
                  <c:v>16.3</c:v>
                </c:pt>
                <c:pt idx="5">
                  <c:v>16.2</c:v>
                </c:pt>
                <c:pt idx="6">
                  <c:v>16.2</c:v>
                </c:pt>
                <c:pt idx="7">
                  <c:v>15.5</c:v>
                </c:pt>
                <c:pt idx="8">
                  <c:v>13.9</c:v>
                </c:pt>
                <c:pt idx="9">
                  <c:v>13.4</c:v>
                </c:pt>
                <c:pt idx="10">
                  <c:v>14.2</c:v>
                </c:pt>
                <c:pt idx="11" formatCode="0.0">
                  <c:v>13</c:v>
                </c:pt>
                <c:pt idx="12">
                  <c:v>11.8</c:v>
                </c:pt>
              </c:numCache>
            </c:numRef>
          </c:val>
          <c:smooth val="0"/>
          <c:extLst xmlns:c16r2="http://schemas.microsoft.com/office/drawing/2015/06/chart">
            <c:ext xmlns:c16="http://schemas.microsoft.com/office/drawing/2014/chart" uri="{C3380CC4-5D6E-409C-BE32-E72D297353CC}">
              <c16:uniqueId val="{00000003-2073-4FB7-8F41-CC6C1E7806FF}"/>
            </c:ext>
          </c:extLst>
        </c:ser>
        <c:ser>
          <c:idx val="2"/>
          <c:order val="2"/>
          <c:tx>
            <c:strRef>
              <c:f>Trend!$A$5</c:f>
              <c:strCache>
                <c:ptCount val="1"/>
                <c:pt idx="0">
                  <c:v>"legal" poverty </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73-4FB7-8F41-CC6C1E7806FF}"/>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073-4FB7-8F41-CC6C1E7806FF}"/>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073-4FB7-8F41-CC6C1E7806FF}"/>
                </c:ext>
                <c:ext xmlns:c15="http://schemas.microsoft.com/office/drawing/2012/chart" uri="{CE6537A1-D6FC-4f65-9D91-7224C49458BB}"/>
              </c:extLst>
            </c:dLbl>
            <c:dLbl>
              <c:idx val="4"/>
              <c:layout>
                <c:manualLayout>
                  <c:x val="-3.8489213238589157E-2"/>
                  <c:y val="-2.83026269592353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073-4FB7-8F41-CC6C1E7806FF}"/>
                </c:ext>
                <c:ext xmlns:c15="http://schemas.microsoft.com/office/drawing/2012/chart" uri="{CE6537A1-D6FC-4f65-9D91-7224C49458BB}"/>
              </c:extLst>
            </c:dLbl>
            <c:dLbl>
              <c:idx val="5"/>
              <c:layout>
                <c:manualLayout>
                  <c:x val="-3.9520837334357593E-2"/>
                  <c:y val="-3.40011062532732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073-4FB7-8F41-CC6C1E7806FF}"/>
                </c:ext>
                <c:ext xmlns:c15="http://schemas.microsoft.com/office/drawing/2012/chart" uri="{CE6537A1-D6FC-4f65-9D91-7224C49458BB}"/>
              </c:extLst>
            </c:dLbl>
            <c:dLbl>
              <c:idx val="6"/>
              <c:layout>
                <c:manualLayout>
                  <c:x val="-3.3028295243582355E-2"/>
                  <c:y val="-3.6339880626641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073-4FB7-8F41-CC6C1E7806FF}"/>
                </c:ext>
                <c:ext xmlns:c15="http://schemas.microsoft.com/office/drawing/2012/chart" uri="{CE6537A1-D6FC-4f65-9D91-7224C49458BB}"/>
              </c:extLst>
            </c:dLbl>
            <c:dLbl>
              <c:idx val="7"/>
              <c:layout>
                <c:manualLayout>
                  <c:x val="-3.8730875104026778E-2"/>
                  <c:y val="-3.605645226144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073-4FB7-8F41-CC6C1E7806FF}"/>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Trend!$B$5:$N$5</c:f>
              <c:numCache>
                <c:formatCode>General</c:formatCode>
                <c:ptCount val="13"/>
                <c:pt idx="0">
                  <c:v>10.6</c:v>
                </c:pt>
                <c:pt idx="1">
                  <c:v>8.3000000000000007</c:v>
                </c:pt>
                <c:pt idx="2">
                  <c:v>7.4</c:v>
                </c:pt>
                <c:pt idx="3">
                  <c:v>6.6</c:v>
                </c:pt>
                <c:pt idx="4">
                  <c:v>7.2</c:v>
                </c:pt>
                <c:pt idx="5">
                  <c:v>12.8</c:v>
                </c:pt>
                <c:pt idx="6">
                  <c:v>12.2</c:v>
                </c:pt>
                <c:pt idx="7">
                  <c:v>12.2</c:v>
                </c:pt>
                <c:pt idx="8">
                  <c:v>12.7</c:v>
                </c:pt>
                <c:pt idx="9">
                  <c:v>10.7</c:v>
                </c:pt>
                <c:pt idx="10">
                  <c:v>10.9</c:v>
                </c:pt>
                <c:pt idx="11" formatCode="#\ ##0.0">
                  <c:v>9</c:v>
                </c:pt>
                <c:pt idx="12">
                  <c:v>9.1</c:v>
                </c:pt>
              </c:numCache>
            </c:numRef>
          </c:val>
          <c:smooth val="0"/>
          <c:extLst xmlns:c16r2="http://schemas.microsoft.com/office/drawing/2015/06/chart">
            <c:ext xmlns:c16="http://schemas.microsoft.com/office/drawing/2014/chart" uri="{C3380CC4-5D6E-409C-BE32-E72D297353CC}">
              <c16:uniqueId val="{0000000B-2073-4FB7-8F41-CC6C1E7806FF}"/>
            </c:ext>
          </c:extLst>
        </c:ser>
        <c:dLbls>
          <c:showLegendKey val="0"/>
          <c:showVal val="0"/>
          <c:showCatName val="0"/>
          <c:showSerName val="0"/>
          <c:showPercent val="0"/>
          <c:showBubbleSize val="0"/>
        </c:dLbls>
        <c:marker val="1"/>
        <c:smooth val="0"/>
        <c:axId val="-811893824"/>
        <c:axId val="-811896544"/>
      </c:lineChart>
      <c:catAx>
        <c:axId val="-811893824"/>
        <c:scaling>
          <c:orientation val="minMax"/>
        </c:scaling>
        <c:delete val="0"/>
        <c:axPos val="b"/>
        <c:title>
          <c:tx>
            <c:rich>
              <a:bodyPr/>
              <a:lstStyle/>
              <a:p>
                <a:pPr>
                  <a:defRPr sz="800" b="0"/>
                </a:pPr>
                <a:r>
                  <a:rPr lang="pl-PL" sz="800" b="0"/>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811896544"/>
        <c:crosses val="autoZero"/>
        <c:auto val="1"/>
        <c:lblAlgn val="ctr"/>
        <c:lblOffset val="100"/>
        <c:noMultiLvlLbl val="0"/>
      </c:catAx>
      <c:valAx>
        <c:axId val="-811896544"/>
        <c:scaling>
          <c:orientation val="minMax"/>
        </c:scaling>
        <c:delete val="0"/>
        <c:axPos val="l"/>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811893824"/>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'granice (2)'!$B$4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6846679081315954E-2"/>
                  <c:y val="6.47609849408322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339-4F67-93CC-7A290127CF1F}"/>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339-4F67-93CC-7A290127CF1F}"/>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(2)'!$B$5:$B$17</c:f>
              <c:numCache>
                <c:formatCode>General</c:formatCode>
                <c:ptCount val="13"/>
                <c:pt idx="0">
                  <c:v>418</c:v>
                </c:pt>
                <c:pt idx="1">
                  <c:v>443</c:v>
                </c:pt>
                <c:pt idx="2">
                  <c:v>466</c:v>
                </c:pt>
                <c:pt idx="3">
                  <c:v>495</c:v>
                </c:pt>
                <c:pt idx="4">
                  <c:v>519</c:v>
                </c:pt>
                <c:pt idx="5">
                  <c:v>551</c:v>
                </c:pt>
                <c:pt idx="6">
                  <c:v>540</c:v>
                </c:pt>
                <c:pt idx="7">
                  <c:v>545</c:v>
                </c:pt>
                <c:pt idx="8">
                  <c:v>550</c:v>
                </c:pt>
                <c:pt idx="9">
                  <c:v>582</c:v>
                </c:pt>
                <c:pt idx="10">
                  <c:v>595</c:v>
                </c:pt>
                <c:pt idx="11">
                  <c:v>614</c:v>
                </c:pt>
                <c:pt idx="12">
                  <c:v>640</c:v>
                </c:pt>
              </c:numCache>
            </c:numRef>
          </c:val>
          <c:smooth val="0"/>
          <c:extLst xmlns:c16r2="http://schemas.microsoft.com/office/drawing/2015/06/chart">
            <c:ext xmlns:c16="http://schemas.microsoft.com/office/drawing/2014/chart" uri="{C3380CC4-5D6E-409C-BE32-E72D297353CC}">
              <c16:uniqueId val="{00000002-2339-4F67-93CC-7A290127CF1F}"/>
            </c:ext>
          </c:extLst>
        </c:ser>
        <c:ser>
          <c:idx val="1"/>
          <c:order val="1"/>
          <c:tx>
            <c:strRef>
              <c:f>'granice (2)'!$C$4</c:f>
              <c:strCache>
                <c:ptCount val="1"/>
                <c:pt idx="0">
                  <c:v>relative poverty</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(2)'!$C$5:$C$17</c:f>
              <c:numCache>
                <c:formatCode>General</c:formatCode>
                <c:ptCount val="13"/>
                <c:pt idx="0">
                  <c:v>612</c:v>
                </c:pt>
                <c:pt idx="1">
                  <c:v>633</c:v>
                </c:pt>
                <c:pt idx="2">
                  <c:v>668</c:v>
                </c:pt>
                <c:pt idx="3">
                  <c:v>692</c:v>
                </c:pt>
                <c:pt idx="4">
                  <c:v>693</c:v>
                </c:pt>
                <c:pt idx="5">
                  <c:v>706</c:v>
                </c:pt>
                <c:pt idx="6">
                  <c:v>713</c:v>
                </c:pt>
                <c:pt idx="7">
                  <c:v>734</c:v>
                </c:pt>
                <c:pt idx="8">
                  <c:v>770</c:v>
                </c:pt>
                <c:pt idx="9">
                  <c:v>799</c:v>
                </c:pt>
                <c:pt idx="10">
                  <c:v>810</c:v>
                </c:pt>
                <c:pt idx="11">
                  <c:v>858</c:v>
                </c:pt>
                <c:pt idx="12">
                  <c:v>799</c:v>
                </c:pt>
              </c:numCache>
            </c:numRef>
          </c:val>
          <c:smooth val="0"/>
          <c:extLst xmlns:c16r2="http://schemas.microsoft.com/office/drawing/2015/06/chart">
            <c:ext xmlns:c16="http://schemas.microsoft.com/office/drawing/2014/chart" uri="{C3380CC4-5D6E-409C-BE32-E72D297353CC}">
              <c16:uniqueId val="{00000003-2339-4F67-93CC-7A290127CF1F}"/>
            </c:ext>
          </c:extLst>
        </c:ser>
        <c:ser>
          <c:idx val="2"/>
          <c:order val="2"/>
          <c:tx>
            <c:strRef>
              <c:f>'granice (2)'!$D$4</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339-4F67-93CC-7A290127CF1F}"/>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339-4F67-93CC-7A290127CF1F}"/>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339-4F67-93CC-7A290127CF1F}"/>
                </c:ext>
                <c:ext xmlns:c15="http://schemas.microsoft.com/office/drawing/2012/chart" uri="{CE6537A1-D6FC-4f65-9D91-7224C49458BB}"/>
              </c:extLst>
            </c:dLbl>
            <c:dLbl>
              <c:idx val="3"/>
              <c:layout>
                <c:manualLayout>
                  <c:x val="-3.7684619031559605E-2"/>
                  <c:y val="-5.61403414768754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339-4F67-93CC-7A290127CF1F}"/>
                </c:ext>
                <c:ext xmlns:c15="http://schemas.microsoft.com/office/drawing/2012/chart" uri="{CE6537A1-D6FC-4f65-9D91-7224C49458BB}"/>
              </c:extLst>
            </c:dLbl>
            <c:dLbl>
              <c:idx val="4"/>
              <c:layout>
                <c:manualLayout>
                  <c:x val="-3.8489213238589157E-2"/>
                  <c:y val="-2.83026269592353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339-4F67-93CC-7A290127CF1F}"/>
                </c:ext>
                <c:ext xmlns:c15="http://schemas.microsoft.com/office/drawing/2012/chart" uri="{CE6537A1-D6FC-4f65-9D91-7224C49458BB}"/>
              </c:extLst>
            </c:dLbl>
            <c:dLbl>
              <c:idx val="5"/>
              <c:layout>
                <c:manualLayout>
                  <c:x val="-3.9520837334357593E-2"/>
                  <c:y val="-3.40011062532732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339-4F67-93CC-7A290127CF1F}"/>
                </c:ext>
                <c:ext xmlns:c15="http://schemas.microsoft.com/office/drawing/2012/chart" uri="{CE6537A1-D6FC-4f65-9D91-7224C49458BB}"/>
              </c:extLst>
            </c:dLbl>
            <c:dLbl>
              <c:idx val="6"/>
              <c:layout>
                <c:manualLayout>
                  <c:x val="-3.3028295243582355E-2"/>
                  <c:y val="-3.6339880626641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339-4F67-93CC-7A290127CF1F}"/>
                </c:ext>
                <c:ext xmlns:c15="http://schemas.microsoft.com/office/drawing/2012/chart" uri="{CE6537A1-D6FC-4f65-9D91-7224C49458BB}"/>
              </c:extLst>
            </c:dLbl>
            <c:dLbl>
              <c:idx val="7"/>
              <c:layout>
                <c:manualLayout>
                  <c:x val="-3.8730875104026778E-2"/>
                  <c:y val="-3.605645226144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339-4F67-93CC-7A290127CF1F}"/>
                </c:ext>
                <c:ext xmlns:c15="http://schemas.microsoft.com/office/drawing/2012/chart" uri="{CE6537A1-D6FC-4f65-9D91-7224C49458BB}"/>
              </c:extLst>
            </c:dLbl>
            <c:dLbl>
              <c:idx val="8"/>
              <c:layout>
                <c:manualLayout>
                  <c:x val="-3.9118657653826702E-2"/>
                  <c:y val="-5.18872853043849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339-4F67-93CC-7A290127CF1F}"/>
                </c:ext>
                <c:ext xmlns:c15="http://schemas.microsoft.com/office/drawing/2012/chart" uri="{CE6537A1-D6FC-4f65-9D91-7224C49458BB}"/>
              </c:extLst>
            </c:dLbl>
            <c:dLbl>
              <c:idx val="9"/>
              <c:layout>
                <c:manualLayout>
                  <c:x val="-4.6567447225521481E-2"/>
                  <c:y val="-5.18872853043849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339-4F67-93CC-7A290127CF1F}"/>
                </c:ext>
                <c:ext xmlns:c15="http://schemas.microsoft.com/office/drawing/2012/chart" uri="{CE6537A1-D6FC-4f65-9D91-7224C49458BB}"/>
              </c:extLst>
            </c:dLbl>
            <c:dLbl>
              <c:idx val="10"/>
              <c:layout>
                <c:manualLayout>
                  <c:x val="-3.7839851024208566E-2"/>
                  <c:y val="-4.3381172959403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339-4F67-93CC-7A290127CF1F}"/>
                </c:ext>
                <c:ext xmlns:c15="http://schemas.microsoft.com/office/drawing/2012/chart" uri="{CE6537A1-D6FC-4f65-9D91-7224C49458BB}"/>
              </c:extLst>
            </c:dLbl>
            <c:dLbl>
              <c:idx val="11"/>
              <c:layout>
                <c:manualLayout>
                  <c:x val="-3.7839851024208566E-2"/>
                  <c:y val="-4.7634229131894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339-4F67-93CC-7A290127CF1F}"/>
                </c:ext>
                <c:ext xmlns:c15="http://schemas.microsoft.com/office/drawing/2012/chart" uri="{CE6537A1-D6FC-4f65-9D91-7224C49458BB}"/>
              </c:extLst>
            </c:dLbl>
            <c:dLbl>
              <c:idx val="12"/>
              <c:layout>
                <c:manualLayout>
                  <c:x val="-3.3780749473354937E-2"/>
                  <c:y val="-2.21158920969509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339-4F67-93CC-7A290127CF1F}"/>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(2)'!$D$5:$D$17</c:f>
              <c:numCache>
                <c:formatCode>General</c:formatCode>
                <c:ptCount val="13"/>
                <c:pt idx="0">
                  <c:v>477</c:v>
                </c:pt>
                <c:pt idx="1">
                  <c:v>477</c:v>
                </c:pt>
                <c:pt idx="2">
                  <c:v>477</c:v>
                </c:pt>
                <c:pt idx="3">
                  <c:v>477</c:v>
                </c:pt>
                <c:pt idx="4">
                  <c:v>542</c:v>
                </c:pt>
                <c:pt idx="5">
                  <c:v>542</c:v>
                </c:pt>
                <c:pt idx="6">
                  <c:v>542</c:v>
                </c:pt>
                <c:pt idx="7">
                  <c:v>634</c:v>
                </c:pt>
                <c:pt idx="8">
                  <c:v>634</c:v>
                </c:pt>
                <c:pt idx="9">
                  <c:v>634</c:v>
                </c:pt>
                <c:pt idx="10">
                  <c:v>701</c:v>
                </c:pt>
                <c:pt idx="11">
                  <c:v>701</c:v>
                </c:pt>
                <c:pt idx="12">
                  <c:v>701</c:v>
                </c:pt>
              </c:numCache>
            </c:numRef>
          </c:val>
          <c:smooth val="0"/>
          <c:extLst xmlns:c16r2="http://schemas.microsoft.com/office/drawing/2015/06/chart">
            <c:ext xmlns:c16="http://schemas.microsoft.com/office/drawing/2014/chart" uri="{C3380CC4-5D6E-409C-BE32-E72D297353CC}">
              <c16:uniqueId val="{00000011-2339-4F67-93CC-7A290127CF1F}"/>
            </c:ext>
          </c:extLst>
        </c:ser>
        <c:dLbls>
          <c:showLegendKey val="0"/>
          <c:showVal val="0"/>
          <c:showCatName val="0"/>
          <c:showSerName val="0"/>
          <c:showPercent val="0"/>
          <c:showBubbleSize val="0"/>
        </c:dLbls>
        <c:marker val="1"/>
        <c:smooth val="0"/>
        <c:axId val="-811894912"/>
        <c:axId val="-811897088"/>
      </c:lineChart>
      <c:catAx>
        <c:axId val="-811894912"/>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811897088"/>
        <c:crosses val="autoZero"/>
        <c:auto val="1"/>
        <c:lblAlgn val="ctr"/>
        <c:lblOffset val="100"/>
        <c:noMultiLvlLbl val="0"/>
      </c:catAx>
      <c:valAx>
        <c:axId val="-811897088"/>
        <c:scaling>
          <c:orientation val="minMax"/>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811894912"/>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'granice (2)'!$F$4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7033685872805061E-2"/>
                  <c:y val="4.38647065704217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CAF-4339-BA10-207F99735F05}"/>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CAF-4339-BA10-207F99735F05}"/>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(2)'!$F$5:$F$17</c:f>
              <c:numCache>
                <c:formatCode>General</c:formatCode>
                <c:ptCount val="13"/>
                <c:pt idx="0">
                  <c:v>1129</c:v>
                </c:pt>
                <c:pt idx="1">
                  <c:v>1196</c:v>
                </c:pt>
                <c:pt idx="2">
                  <c:v>1257</c:v>
                </c:pt>
                <c:pt idx="3">
                  <c:v>1336</c:v>
                </c:pt>
                <c:pt idx="4">
                  <c:v>1401</c:v>
                </c:pt>
                <c:pt idx="5">
                  <c:v>1486</c:v>
                </c:pt>
                <c:pt idx="6">
                  <c:v>1458</c:v>
                </c:pt>
                <c:pt idx="7">
                  <c:v>1472</c:v>
                </c:pt>
                <c:pt idx="8">
                  <c:v>1486</c:v>
                </c:pt>
                <c:pt idx="9">
                  <c:v>1572</c:v>
                </c:pt>
                <c:pt idx="10">
                  <c:v>1606</c:v>
                </c:pt>
                <c:pt idx="11">
                  <c:v>1658</c:v>
                </c:pt>
                <c:pt idx="12">
                  <c:v>1727</c:v>
                </c:pt>
              </c:numCache>
            </c:numRef>
          </c:val>
          <c:smooth val="0"/>
          <c:extLst xmlns:c16r2="http://schemas.microsoft.com/office/drawing/2015/06/chart">
            <c:ext xmlns:c16="http://schemas.microsoft.com/office/drawing/2014/chart" uri="{C3380CC4-5D6E-409C-BE32-E72D297353CC}">
              <c16:uniqueId val="{00000002-4CAF-4339-BA10-207F99735F05}"/>
            </c:ext>
          </c:extLst>
        </c:ser>
        <c:ser>
          <c:idx val="1"/>
          <c:order val="1"/>
          <c:tx>
            <c:strRef>
              <c:f>'granice (2)'!$G$4</c:f>
              <c:strCache>
                <c:ptCount val="1"/>
                <c:pt idx="0">
                  <c:v>relative poverty</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(2)'!$G$5:$G$17</c:f>
              <c:numCache>
                <c:formatCode>General</c:formatCode>
                <c:ptCount val="13"/>
                <c:pt idx="0">
                  <c:v>1676</c:v>
                </c:pt>
                <c:pt idx="1">
                  <c:v>1709</c:v>
                </c:pt>
                <c:pt idx="2">
                  <c:v>1802</c:v>
                </c:pt>
                <c:pt idx="3">
                  <c:v>1868</c:v>
                </c:pt>
                <c:pt idx="4">
                  <c:v>1871</c:v>
                </c:pt>
                <c:pt idx="5">
                  <c:v>1906</c:v>
                </c:pt>
                <c:pt idx="6">
                  <c:v>1926</c:v>
                </c:pt>
                <c:pt idx="7">
                  <c:v>1982</c:v>
                </c:pt>
                <c:pt idx="8">
                  <c:v>2080</c:v>
                </c:pt>
                <c:pt idx="9">
                  <c:v>2157</c:v>
                </c:pt>
                <c:pt idx="10">
                  <c:v>2187</c:v>
                </c:pt>
                <c:pt idx="11">
                  <c:v>2317</c:v>
                </c:pt>
                <c:pt idx="12">
                  <c:v>2157</c:v>
                </c:pt>
              </c:numCache>
            </c:numRef>
          </c:val>
          <c:smooth val="0"/>
          <c:extLst xmlns:c16r2="http://schemas.microsoft.com/office/drawing/2015/06/chart">
            <c:ext xmlns:c16="http://schemas.microsoft.com/office/drawing/2014/chart" uri="{C3380CC4-5D6E-409C-BE32-E72D297353CC}">
              <c16:uniqueId val="{00000003-4CAF-4339-BA10-207F99735F05}"/>
            </c:ext>
          </c:extLst>
        </c:ser>
        <c:ser>
          <c:idx val="2"/>
          <c:order val="2"/>
          <c:tx>
            <c:strRef>
              <c:f>'granice (2)'!$H$4</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CAF-4339-BA10-207F99735F05}"/>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CAF-4339-BA10-207F99735F05}"/>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CAF-4339-BA10-207F99735F05}"/>
                </c:ext>
                <c:ext xmlns:c15="http://schemas.microsoft.com/office/drawing/2012/chart" uri="{CE6537A1-D6FC-4f65-9D91-7224C49458BB}"/>
              </c:extLst>
            </c:dLbl>
            <c:dLbl>
              <c:idx val="3"/>
              <c:layout>
                <c:manualLayout>
                  <c:x val="-3.0196454263866582E-2"/>
                  <c:y val="-3.32826029846319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CAF-4339-BA10-207F99735F05}"/>
                </c:ext>
                <c:ext xmlns:c15="http://schemas.microsoft.com/office/drawing/2012/chart" uri="{CE6537A1-D6FC-4f65-9D91-7224C49458BB}"/>
              </c:extLst>
            </c:dLbl>
            <c:dLbl>
              <c:idx val="4"/>
              <c:layout>
                <c:manualLayout>
                  <c:x val="-2.5606854516403155E-2"/>
                  <c:y val="4.47566956709604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CAF-4339-BA10-207F99735F05}"/>
                </c:ext>
                <c:ext xmlns:c15="http://schemas.microsoft.com/office/drawing/2012/chart" uri="{CE6537A1-D6FC-4f65-9D91-7224C49458BB}"/>
              </c:extLst>
            </c:dLbl>
            <c:dLbl>
              <c:idx val="5"/>
              <c:layout>
                <c:manualLayout>
                  <c:x val="-3.1791443134244424E-2"/>
                  <c:y val="3.09406122541596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CAF-4339-BA10-207F99735F05}"/>
                </c:ext>
                <c:ext xmlns:c15="http://schemas.microsoft.com/office/drawing/2012/chart" uri="{CE6537A1-D6FC-4f65-9D91-7224C49458BB}"/>
              </c:extLst>
            </c:dLbl>
            <c:dLbl>
              <c:idx val="6"/>
              <c:layout>
                <c:manualLayout>
                  <c:x val="-4.07578286727956E-2"/>
                  <c:y val="4.48372335618010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CAF-4339-BA10-207F99735F05}"/>
                </c:ext>
                <c:ext xmlns:c15="http://schemas.microsoft.com/office/drawing/2012/chart" uri="{CE6537A1-D6FC-4f65-9D91-7224C49458BB}"/>
              </c:extLst>
            </c:dLbl>
            <c:dLbl>
              <c:idx val="7"/>
              <c:layout>
                <c:manualLayout>
                  <c:x val="-3.615443354970433E-2"/>
                  <c:y val="7.35326923113799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CAF-4339-BA10-207F99735F05}"/>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 (2)'!$E$5:$E$17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 (2)'!$H$5:$H$17</c:f>
              <c:numCache>
                <c:formatCode>General</c:formatCode>
                <c:ptCount val="13"/>
                <c:pt idx="0">
                  <c:v>1404</c:v>
                </c:pt>
                <c:pt idx="1">
                  <c:v>1404</c:v>
                </c:pt>
                <c:pt idx="2">
                  <c:v>1404</c:v>
                </c:pt>
                <c:pt idx="3">
                  <c:v>1404</c:v>
                </c:pt>
                <c:pt idx="4">
                  <c:v>1824</c:v>
                </c:pt>
                <c:pt idx="5">
                  <c:v>1824</c:v>
                </c:pt>
                <c:pt idx="6">
                  <c:v>1824</c:v>
                </c:pt>
                <c:pt idx="7">
                  <c:v>2056</c:v>
                </c:pt>
                <c:pt idx="8">
                  <c:v>2056</c:v>
                </c:pt>
                <c:pt idx="9">
                  <c:v>2056</c:v>
                </c:pt>
                <c:pt idx="10">
                  <c:v>2112</c:v>
                </c:pt>
                <c:pt idx="11">
                  <c:v>2112</c:v>
                </c:pt>
                <c:pt idx="12">
                  <c:v>2112</c:v>
                </c:pt>
              </c:numCache>
            </c:numRef>
          </c:val>
          <c:smooth val="0"/>
          <c:extLst xmlns:c16r2="http://schemas.microsoft.com/office/drawing/2015/06/chart">
            <c:ext xmlns:c16="http://schemas.microsoft.com/office/drawing/2014/chart" uri="{C3380CC4-5D6E-409C-BE32-E72D297353CC}">
              <c16:uniqueId val="{0000000C-4CAF-4339-BA10-207F99735F05}"/>
            </c:ext>
          </c:extLst>
        </c:ser>
        <c:dLbls>
          <c:showLegendKey val="0"/>
          <c:showVal val="0"/>
          <c:showCatName val="0"/>
          <c:showSerName val="0"/>
          <c:showPercent val="0"/>
          <c:showBubbleSize val="0"/>
        </c:dLbls>
        <c:marker val="1"/>
        <c:smooth val="0"/>
        <c:axId val="-648351104"/>
        <c:axId val="-648347296"/>
      </c:lineChart>
      <c:catAx>
        <c:axId val="-648351104"/>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648347296"/>
        <c:crosses val="autoZero"/>
        <c:auto val="1"/>
        <c:lblAlgn val="ctr"/>
        <c:lblOffset val="100"/>
        <c:noMultiLvlLbl val="0"/>
      </c:catAx>
      <c:valAx>
        <c:axId val="-648347296"/>
        <c:scaling>
          <c:orientation val="minMax"/>
          <c:max val="24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648351104"/>
        <c:crosses val="autoZero"/>
        <c:crossBetween val="between"/>
        <c:majorUnit val="3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5268253968253971"/>
          <c:y val="5.1735498830291826E-2"/>
          <c:w val="0.59698511904761908"/>
          <c:h val="0.71669405310274847"/>
        </c:manualLayout>
      </c:layout>
      <c:barChart>
        <c:barDir val="bar"/>
        <c:grouping val="clustered"/>
        <c:varyColors val="0"/>
        <c:ser>
          <c:idx val="0"/>
          <c:order val="0"/>
          <c:tx>
            <c:strRef>
              <c:f>'Gr społ-ekon'!$B$1</c:f>
              <c:strCache>
                <c:ptCount val="1"/>
                <c:pt idx="0">
                  <c:v>2019</c:v>
                </c:pt>
              </c:strCache>
            </c:strRef>
          </c:tx>
          <c:spPr>
            <a:solidFill>
              <a:srgbClr val="D9E2FF"/>
            </a:solidFill>
            <a:ln>
              <a:noFill/>
            </a:ln>
            <a:effectLst/>
          </c:spPr>
          <c:invertIfNegative val="0"/>
          <c:dPt>
            <c:idx val="6"/>
            <c:invertIfNegative val="0"/>
            <c:bubble3D val="0"/>
            <c:extLst xmlns:c16r2="http://schemas.microsoft.com/office/drawing/2015/06/chart">
              <c:ext xmlns:c16="http://schemas.microsoft.com/office/drawing/2014/chart" uri="{C3380CC4-5D6E-409C-BE32-E72D297353CC}">
                <c16:uniqueId val="{00000000-D163-4C5F-A255-DBCBF626F078}"/>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 społ-ekon'!$A$2:$A$7</c:f>
              <c:strCache>
                <c:ptCount val="6"/>
                <c:pt idx="0">
                  <c:v>living on unearned sources</c:v>
                </c:pt>
                <c:pt idx="1">
                  <c:v>farmers</c:v>
                </c:pt>
                <c:pt idx="2">
                  <c:v>pensioners</c:v>
                </c:pt>
                <c:pt idx="3">
                  <c:v>employees </c:v>
                </c:pt>
                <c:pt idx="4">
                  <c:v>retirees</c:v>
                </c:pt>
                <c:pt idx="5">
                  <c:v>the self-employed</c:v>
                </c:pt>
              </c:strCache>
            </c:strRef>
          </c:cat>
          <c:val>
            <c:numRef>
              <c:f>'Gr społ-ekon'!$B$2:$B$7</c:f>
              <c:numCache>
                <c:formatCode>0.0</c:formatCode>
                <c:ptCount val="6"/>
                <c:pt idx="0">
                  <c:v>10.9</c:v>
                </c:pt>
                <c:pt idx="1">
                  <c:v>9.8000000000000007</c:v>
                </c:pt>
                <c:pt idx="2">
                  <c:v>6.3</c:v>
                </c:pt>
                <c:pt idx="3">
                  <c:v>3.6</c:v>
                </c:pt>
                <c:pt idx="4" formatCode="General">
                  <c:v>3.5</c:v>
                </c:pt>
                <c:pt idx="5" formatCode="General">
                  <c:v>2.4</c:v>
                </c:pt>
              </c:numCache>
            </c:numRef>
          </c:val>
          <c:extLst xmlns:c16r2="http://schemas.microsoft.com/office/drawing/2015/06/chart">
            <c:ext xmlns:c16="http://schemas.microsoft.com/office/drawing/2014/chart" uri="{C3380CC4-5D6E-409C-BE32-E72D297353CC}">
              <c16:uniqueId val="{00000001-D163-4C5F-A255-DBCBF626F078}"/>
            </c:ext>
          </c:extLst>
        </c:ser>
        <c:ser>
          <c:idx val="1"/>
          <c:order val="1"/>
          <c:tx>
            <c:strRef>
              <c:f>'Gr społ-ekon'!$C$1</c:f>
              <c:strCache>
                <c:ptCount val="1"/>
                <c:pt idx="0">
                  <c:v>2020</c:v>
                </c:pt>
              </c:strCache>
            </c:strRef>
          </c:tx>
          <c:spPr>
            <a:solidFill>
              <a:srgbClr val="001D77"/>
            </a:solidFill>
            <a:effectLst/>
          </c:spPr>
          <c:invertIfNegative val="0"/>
          <c:dLbls>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'Gr społ-ekon'!$A$2:$A$7</c:f>
              <c:strCache>
                <c:ptCount val="6"/>
                <c:pt idx="0">
                  <c:v>living on unearned sources</c:v>
                </c:pt>
                <c:pt idx="1">
                  <c:v>farmers</c:v>
                </c:pt>
                <c:pt idx="2">
                  <c:v>pensioners</c:v>
                </c:pt>
                <c:pt idx="3">
                  <c:v>employees </c:v>
                </c:pt>
                <c:pt idx="4">
                  <c:v>retirees</c:v>
                </c:pt>
                <c:pt idx="5">
                  <c:v>the self-employed</c:v>
                </c:pt>
              </c:strCache>
            </c:strRef>
          </c:cat>
          <c:val>
            <c:numRef>
              <c:f>'Gr społ-ekon'!$C$2:$C$7</c:f>
              <c:numCache>
                <c:formatCode>0.0</c:formatCode>
                <c:ptCount val="6"/>
                <c:pt idx="0">
                  <c:v>13.6</c:v>
                </c:pt>
                <c:pt idx="1">
                  <c:v>13.5</c:v>
                </c:pt>
                <c:pt idx="2">
                  <c:v>8.1999999999999993</c:v>
                </c:pt>
                <c:pt idx="3">
                  <c:v>4.5999999999999996</c:v>
                </c:pt>
                <c:pt idx="4" formatCode="General">
                  <c:v>4.2</c:v>
                </c:pt>
                <c:pt idx="5" formatCode="General">
                  <c:v>2.7</c:v>
                </c:pt>
              </c:numCache>
            </c:numRef>
          </c:val>
          <c:extLst xmlns:c16r2="http://schemas.microsoft.com/office/drawing/2015/06/chart">
            <c:ext xmlns:c16="http://schemas.microsoft.com/office/drawing/2014/chart" uri="{C3380CC4-5D6E-409C-BE32-E72D297353CC}">
              <c16:uniqueId val="{00000002-D163-4C5F-A255-DBCBF626F078}"/>
            </c:ext>
          </c:extLst>
        </c:ser>
        <c:dLbls>
          <c:showLegendKey val="0"/>
          <c:showVal val="0"/>
          <c:showCatName val="0"/>
          <c:showSerName val="0"/>
          <c:showPercent val="0"/>
          <c:showBubbleSize val="0"/>
        </c:dLbls>
        <c:gapWidth val="60"/>
        <c:axId val="-648346208"/>
        <c:axId val="-648346752"/>
      </c:barChart>
      <c:catAx>
        <c:axId val="-648346208"/>
        <c:scaling>
          <c:orientation val="minMax"/>
        </c:scaling>
        <c:delete val="0"/>
        <c:axPos val="l"/>
        <c:numFmt formatCode="General" sourceLinked="0"/>
        <c:majorTickMark val="out"/>
        <c:minorTickMark val="none"/>
        <c:tickLblPos val="nextTo"/>
        <c:crossAx val="-648346752"/>
        <c:crosses val="autoZero"/>
        <c:auto val="0"/>
        <c:lblAlgn val="ctr"/>
        <c:lblOffset val="100"/>
        <c:noMultiLvlLbl val="0"/>
      </c:catAx>
      <c:valAx>
        <c:axId val="-648346752"/>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3448472222222223"/>
              <c:y val="0.83277859135392795"/>
            </c:manualLayout>
          </c:layout>
          <c:overlay val="0"/>
        </c:title>
        <c:numFmt formatCode="General" sourceLinked="0"/>
        <c:majorTickMark val="out"/>
        <c:minorTickMark val="none"/>
        <c:tickLblPos val="nextTo"/>
        <c:crossAx val="-648346208"/>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4512301587301586"/>
          <c:y val="6.4113503336368408E-2"/>
          <c:w val="0.60958432539682539"/>
          <c:h val="0.72413383905386741"/>
        </c:manualLayout>
      </c:layout>
      <c:barChart>
        <c:barDir val="bar"/>
        <c:grouping val="clustered"/>
        <c:varyColors val="0"/>
        <c:ser>
          <c:idx val="0"/>
          <c:order val="0"/>
          <c:tx>
            <c:strRef>
              <c:f>'Typ biol'!$B$1</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076F-4837-A9E7-F84B7B512D41}"/>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'Typ biol'!$A$2:$A$7</c:f>
              <c:strCache>
                <c:ptCount val="6"/>
                <c:pt idx="0">
                  <c:v>Mather or father with
dependent children</c:v>
                </c:pt>
                <c:pt idx="1">
                  <c:v>with 3 and more
dependent children</c:v>
                </c:pt>
                <c:pt idx="2">
                  <c:v>with 2 children</c:v>
                </c:pt>
                <c:pt idx="3">
                  <c:v>with 1 child</c:v>
                </c:pt>
                <c:pt idx="4">
                  <c:v>without dependent
children</c:v>
                </c:pt>
                <c:pt idx="5">
                  <c:v>One-person households</c:v>
                </c:pt>
              </c:strCache>
            </c:strRef>
          </c:cat>
          <c:val>
            <c:numRef>
              <c:f>'Typ biol'!$B$2:$B$7</c:f>
              <c:numCache>
                <c:formatCode>0.0</c:formatCode>
                <c:ptCount val="6"/>
                <c:pt idx="0">
                  <c:v>1.9</c:v>
                </c:pt>
                <c:pt idx="1">
                  <c:v>5</c:v>
                </c:pt>
                <c:pt idx="2">
                  <c:v>1.9</c:v>
                </c:pt>
                <c:pt idx="3">
                  <c:v>1</c:v>
                </c:pt>
                <c:pt idx="4">
                  <c:v>1.1000000000000001</c:v>
                </c:pt>
                <c:pt idx="5">
                  <c:v>1.3</c:v>
                </c:pt>
              </c:numCache>
            </c:numRef>
          </c:val>
          <c:extLst xmlns:c16r2="http://schemas.microsoft.com/office/drawing/2015/06/chart">
            <c:ext xmlns:c16="http://schemas.microsoft.com/office/drawing/2014/chart" uri="{C3380CC4-5D6E-409C-BE32-E72D297353CC}">
              <c16:uniqueId val="{00000001-076F-4837-A9E7-F84B7B512D41}"/>
            </c:ext>
          </c:extLst>
        </c:ser>
        <c:ser>
          <c:idx val="1"/>
          <c:order val="1"/>
          <c:tx>
            <c:strRef>
              <c:f>'Typ biol'!$C$1</c:f>
              <c:strCache>
                <c:ptCount val="1"/>
                <c:pt idx="0">
                  <c:v>2020</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'Typ biol'!$A$2:$A$7</c:f>
              <c:strCache>
                <c:ptCount val="6"/>
                <c:pt idx="0">
                  <c:v>Mather or father with
dependent children</c:v>
                </c:pt>
                <c:pt idx="1">
                  <c:v>with 3 and more
dependent children</c:v>
                </c:pt>
                <c:pt idx="2">
                  <c:v>with 2 children</c:v>
                </c:pt>
                <c:pt idx="3">
                  <c:v>with 1 child</c:v>
                </c:pt>
                <c:pt idx="4">
                  <c:v>without dependent
children</c:v>
                </c:pt>
                <c:pt idx="5">
                  <c:v>One-person households</c:v>
                </c:pt>
              </c:strCache>
            </c:strRef>
          </c:cat>
          <c:val>
            <c:numRef>
              <c:f>'Typ biol'!$C$2:$C$7</c:f>
              <c:numCache>
                <c:formatCode>0.0</c:formatCode>
                <c:ptCount val="6"/>
                <c:pt idx="0">
                  <c:v>2.8</c:v>
                </c:pt>
                <c:pt idx="1">
                  <c:v>5.9</c:v>
                </c:pt>
                <c:pt idx="2">
                  <c:v>2.7</c:v>
                </c:pt>
                <c:pt idx="3">
                  <c:v>1.4</c:v>
                </c:pt>
                <c:pt idx="4">
                  <c:v>1.4</c:v>
                </c:pt>
                <c:pt idx="5">
                  <c:v>1.4</c:v>
                </c:pt>
              </c:numCache>
            </c:numRef>
          </c:val>
          <c:extLst xmlns:c16r2="http://schemas.microsoft.com/office/drawing/2015/06/chart">
            <c:ext xmlns:c16="http://schemas.microsoft.com/office/drawing/2014/chart" uri="{C3380CC4-5D6E-409C-BE32-E72D297353CC}">
              <c16:uniqueId val="{00000002-076F-4837-A9E7-F84B7B512D41}"/>
            </c:ext>
          </c:extLst>
        </c:ser>
        <c:dLbls>
          <c:showLegendKey val="0"/>
          <c:showVal val="0"/>
          <c:showCatName val="0"/>
          <c:showSerName val="0"/>
          <c:showPercent val="0"/>
          <c:showBubbleSize val="0"/>
        </c:dLbls>
        <c:gapWidth val="60"/>
        <c:axId val="-648348928"/>
        <c:axId val="-648345664"/>
      </c:barChart>
      <c:catAx>
        <c:axId val="-648348928"/>
        <c:scaling>
          <c:orientation val="minMax"/>
        </c:scaling>
        <c:delete val="0"/>
        <c:axPos val="l"/>
        <c:numFmt formatCode="General" sourceLinked="0"/>
        <c:majorTickMark val="out"/>
        <c:minorTickMark val="none"/>
        <c:tickLblPos val="nextTo"/>
        <c:crossAx val="-648345664"/>
        <c:crosses val="autoZero"/>
        <c:auto val="0"/>
        <c:lblAlgn val="ctr"/>
        <c:lblOffset val="100"/>
        <c:noMultiLvlLbl val="0"/>
      </c:catAx>
      <c:valAx>
        <c:axId val="-648345664"/>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8632599206349209"/>
              <c:y val="0.84759569590339645"/>
            </c:manualLayout>
          </c:layout>
          <c:overlay val="0"/>
        </c:title>
        <c:numFmt formatCode="General" sourceLinked="0"/>
        <c:majorTickMark val="out"/>
        <c:minorTickMark val="none"/>
        <c:tickLblPos val="nextTo"/>
        <c:crossAx val="-648348928"/>
        <c:crosses val="autoZero"/>
        <c:crossBetween val="between"/>
      </c:valAx>
    </c:plotArea>
    <c:legend>
      <c:legendPos val="b"/>
      <c:layout>
        <c:manualLayout>
          <c:xMode val="edge"/>
          <c:yMode val="edge"/>
          <c:x val="0.39263908730158736"/>
          <c:y val="0.92043618714204911"/>
          <c:w val="0.21472182539682538"/>
          <c:h val="6.7442554461354817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496428571428571"/>
          <c:y val="5.5141505285561006E-2"/>
          <c:w val="0.64486210317460313"/>
          <c:h val="0.72075281867271723"/>
        </c:manualLayout>
      </c:layout>
      <c:barChart>
        <c:barDir val="bar"/>
        <c:grouping val="clustered"/>
        <c:varyColors val="0"/>
        <c:ser>
          <c:idx val="0"/>
          <c:order val="0"/>
          <c:tx>
            <c:strRef>
              <c:f>'Do 18 lat'!$D$8</c:f>
              <c:strCache>
                <c:ptCount val="1"/>
                <c:pt idx="0">
                  <c:v>2019</c:v>
                </c:pt>
              </c:strCache>
            </c:strRef>
          </c:tx>
          <c:spPr>
            <a:solidFill>
              <a:srgbClr val="D9E2FF"/>
            </a:solidFill>
            <a:ln>
              <a:noFill/>
            </a:ln>
            <a:effectLst/>
          </c:spPr>
          <c:invertIfNegative val="0"/>
          <c:dPt>
            <c:idx val="6"/>
            <c:invertIfNegative val="0"/>
            <c:bubble3D val="0"/>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 18 lat'!$A$10:$C$13</c:f>
              <c:strCache>
                <c:ptCount val="4"/>
                <c:pt idx="0">
                  <c:v>with at least 3 children  
aged 0-17 </c:v>
                </c:pt>
                <c:pt idx="1">
                  <c:v>with exactly 2 children  
aged 0-17 lat</c:v>
                </c:pt>
                <c:pt idx="2">
                  <c:v>with exactly 1 child 
 aged 0-17</c:v>
                </c:pt>
                <c:pt idx="3">
                  <c:v>with at least 1 child  
aged 0-17 </c:v>
                </c:pt>
              </c:strCache>
            </c:strRef>
          </c:cat>
          <c:val>
            <c:numRef>
              <c:f>'Do 18 lat'!$D$10:$D$13</c:f>
              <c:numCache>
                <c:formatCode>General</c:formatCode>
                <c:ptCount val="4"/>
                <c:pt idx="0">
                  <c:v>6.8</c:v>
                </c:pt>
                <c:pt idx="1">
                  <c:v>5.0999999999999996</c:v>
                </c:pt>
                <c:pt idx="2" formatCode="0.0">
                  <c:v>4</c:v>
                </c:pt>
                <c:pt idx="3">
                  <c:v>5.0999999999999996</c:v>
                </c:pt>
              </c:numCache>
            </c:numRef>
          </c:val>
        </c:ser>
        <c:ser>
          <c:idx val="1"/>
          <c:order val="1"/>
          <c:tx>
            <c:strRef>
              <c:f>'Do 18 lat'!$E$8</c:f>
              <c:strCache>
                <c:ptCount val="1"/>
                <c:pt idx="0">
                  <c:v>2020</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 18 lat'!$A$10:$C$13</c:f>
              <c:strCache>
                <c:ptCount val="4"/>
                <c:pt idx="0">
                  <c:v>with at least 3 children  
aged 0-17 </c:v>
                </c:pt>
                <c:pt idx="1">
                  <c:v>with exactly 2 children  
aged 0-17 lat</c:v>
                </c:pt>
                <c:pt idx="2">
                  <c:v>with exactly 1 child 
 aged 0-17</c:v>
                </c:pt>
                <c:pt idx="3">
                  <c:v>with at least 1 child  
aged 0-17 </c:v>
                </c:pt>
              </c:strCache>
            </c:strRef>
          </c:cat>
          <c:val>
            <c:numRef>
              <c:f>'Do 18 lat'!$E$10:$E$13</c:f>
              <c:numCache>
                <c:formatCode>General</c:formatCode>
                <c:ptCount val="4"/>
                <c:pt idx="0">
                  <c:v>8.6999999999999993</c:v>
                </c:pt>
                <c:pt idx="1">
                  <c:v>6.5</c:v>
                </c:pt>
                <c:pt idx="2" formatCode="0.0">
                  <c:v>5.2</c:v>
                </c:pt>
                <c:pt idx="3">
                  <c:v>6.5</c:v>
                </c:pt>
              </c:numCache>
            </c:numRef>
          </c:val>
        </c:ser>
        <c:dLbls>
          <c:showLegendKey val="0"/>
          <c:showVal val="0"/>
          <c:showCatName val="0"/>
          <c:showSerName val="0"/>
          <c:showPercent val="0"/>
          <c:showBubbleSize val="0"/>
        </c:dLbls>
        <c:gapWidth val="60"/>
        <c:axId val="-648345120"/>
        <c:axId val="-648350560"/>
      </c:barChart>
      <c:catAx>
        <c:axId val="-648345120"/>
        <c:scaling>
          <c:orientation val="minMax"/>
        </c:scaling>
        <c:delete val="0"/>
        <c:axPos val="l"/>
        <c:numFmt formatCode="General" sourceLinked="0"/>
        <c:majorTickMark val="out"/>
        <c:minorTickMark val="none"/>
        <c:tickLblPos val="nextTo"/>
        <c:crossAx val="-648350560"/>
        <c:crosses val="autoZero"/>
        <c:auto val="0"/>
        <c:lblAlgn val="ctr"/>
        <c:lblOffset val="100"/>
        <c:noMultiLvlLbl val="0"/>
      </c:catAx>
      <c:valAx>
        <c:axId val="-648350560"/>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9638968253968246"/>
              <c:y val="0.8350999947232336"/>
            </c:manualLayout>
          </c:layout>
          <c:overlay val="0"/>
        </c:title>
        <c:numFmt formatCode="General" sourceLinked="0"/>
        <c:majorTickMark val="out"/>
        <c:minorTickMark val="none"/>
        <c:tickLblPos val="nextTo"/>
        <c:crossAx val="-648345120"/>
        <c:crosses val="autoZero"/>
        <c:crossBetween val="between"/>
      </c:valAx>
    </c:plotArea>
    <c:legend>
      <c:legendPos val="b"/>
      <c:layout>
        <c:manualLayout>
          <c:xMode val="edge"/>
          <c:yMode val="edge"/>
          <c:x val="0.40476468253968256"/>
          <c:y val="0.91202293634460807"/>
          <c:w val="0.21472182539682538"/>
          <c:h val="8.366937831316931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0"/>
          <c:order val="0"/>
          <c:tx>
            <c:strRef>
              <c:f>Wiek!$C$1</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DD10-4FD9-8C06-598ED3717C23}"/>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Wiek!$B$2:$B$4</c:f>
              <c:strCache>
                <c:ptCount val="3"/>
                <c:pt idx="0">
                  <c:v>65 years and over</c:v>
                </c:pt>
                <c:pt idx="1">
                  <c:v>18-64 years</c:v>
                </c:pt>
                <c:pt idx="2">
                  <c:v>0-17 years</c:v>
                </c:pt>
              </c:strCache>
            </c:strRef>
          </c:cat>
          <c:val>
            <c:numRef>
              <c:f>Wiek!$C$2:$C$4</c:f>
              <c:numCache>
                <c:formatCode>0.0</c:formatCode>
                <c:ptCount val="3"/>
                <c:pt idx="0">
                  <c:v>3.8</c:v>
                </c:pt>
                <c:pt idx="1">
                  <c:v>4.2</c:v>
                </c:pt>
                <c:pt idx="2">
                  <c:v>4.5</c:v>
                </c:pt>
              </c:numCache>
            </c:numRef>
          </c:val>
          <c:extLst xmlns:c16r2="http://schemas.microsoft.com/office/drawing/2015/06/chart">
            <c:ext xmlns:c16="http://schemas.microsoft.com/office/drawing/2014/chart" uri="{C3380CC4-5D6E-409C-BE32-E72D297353CC}">
              <c16:uniqueId val="{00000001-DD10-4FD9-8C06-598ED3717C23}"/>
            </c:ext>
          </c:extLst>
        </c:ser>
        <c:ser>
          <c:idx val="1"/>
          <c:order val="1"/>
          <c:tx>
            <c:strRef>
              <c:f>Wiek!$D$1</c:f>
              <c:strCache>
                <c:ptCount val="1"/>
                <c:pt idx="0">
                  <c:v>2020</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Wiek!$B$2:$B$4</c:f>
              <c:strCache>
                <c:ptCount val="3"/>
                <c:pt idx="0">
                  <c:v>65 years and over</c:v>
                </c:pt>
                <c:pt idx="1">
                  <c:v>18-64 years</c:v>
                </c:pt>
                <c:pt idx="2">
                  <c:v>0-17 years</c:v>
                </c:pt>
              </c:strCache>
            </c:strRef>
          </c:cat>
          <c:val>
            <c:numRef>
              <c:f>Wiek!$D$2:$D$4</c:f>
              <c:numCache>
                <c:formatCode>0.0</c:formatCode>
                <c:ptCount val="3"/>
                <c:pt idx="0">
                  <c:v>4.4000000000000004</c:v>
                </c:pt>
                <c:pt idx="1">
                  <c:v>5.0999999999999996</c:v>
                </c:pt>
                <c:pt idx="2">
                  <c:v>5.9</c:v>
                </c:pt>
              </c:numCache>
            </c:numRef>
          </c:val>
          <c:extLst xmlns:c16r2="http://schemas.microsoft.com/office/drawing/2015/06/chart">
            <c:ext xmlns:c16="http://schemas.microsoft.com/office/drawing/2014/chart" uri="{C3380CC4-5D6E-409C-BE32-E72D297353CC}">
              <c16:uniqueId val="{00000002-DD10-4FD9-8C06-598ED3717C23}"/>
            </c:ext>
          </c:extLst>
        </c:ser>
        <c:dLbls>
          <c:showLegendKey val="0"/>
          <c:showVal val="0"/>
          <c:showCatName val="0"/>
          <c:showSerName val="0"/>
          <c:showPercent val="0"/>
          <c:showBubbleSize val="0"/>
        </c:dLbls>
        <c:gapWidth val="60"/>
        <c:axId val="-648350016"/>
        <c:axId val="-648349472"/>
      </c:barChart>
      <c:catAx>
        <c:axId val="-648350016"/>
        <c:scaling>
          <c:orientation val="minMax"/>
        </c:scaling>
        <c:delete val="0"/>
        <c:axPos val="l"/>
        <c:numFmt formatCode="General" sourceLinked="0"/>
        <c:majorTickMark val="out"/>
        <c:minorTickMark val="none"/>
        <c:tickLblPos val="nextTo"/>
        <c:crossAx val="-648349472"/>
        <c:crosses val="autoZero"/>
        <c:auto val="0"/>
        <c:lblAlgn val="ctr"/>
        <c:lblOffset val="100"/>
        <c:noMultiLvlLbl val="0"/>
      </c:catAx>
      <c:valAx>
        <c:axId val="-648349472"/>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38015198412698414"/>
              <c:y val="0.80156767734349943"/>
            </c:manualLayout>
          </c:layout>
          <c:overlay val="0"/>
        </c:title>
        <c:numFmt formatCode="General" sourceLinked="0"/>
        <c:majorTickMark val="out"/>
        <c:minorTickMark val="none"/>
        <c:tickLblPos val="nextTo"/>
        <c:crossAx val="-648350016"/>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4275218253968252"/>
          <c:y val="4.7376968633409865E-2"/>
          <c:w val="0.52350873015873012"/>
          <c:h val="0.7360909547920923"/>
        </c:manualLayout>
      </c:layout>
      <c:barChart>
        <c:barDir val="bar"/>
        <c:grouping val="clustered"/>
        <c:varyColors val="0"/>
        <c:ser>
          <c:idx val="0"/>
          <c:order val="0"/>
          <c:tx>
            <c:strRef>
              <c:f>Niepełnospr!$C$3</c:f>
              <c:strCache>
                <c:ptCount val="1"/>
                <c:pt idx="0">
                  <c:v>2019</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6145-427D-867C-AE0BA5ED117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Niepełnospr!$B$4:$B$7</c:f>
              <c:strCache>
                <c:ptCount val="4"/>
                <c:pt idx="0">
                  <c:v>Houesholds without people
with disabilities</c:v>
                </c:pt>
                <c:pt idx="1">
                  <c:v>   Households with at least
1 child up to the age
of 16 with a disability certificate </c:v>
                </c:pt>
                <c:pt idx="2">
                  <c:v>Households with the household
head with disabilities </c:v>
                </c:pt>
                <c:pt idx="3">
                  <c:v>Households with at least 1 person
with disabilities</c:v>
                </c:pt>
              </c:strCache>
            </c:strRef>
          </c:cat>
          <c:val>
            <c:numRef>
              <c:f>Niepełnospr!$C$4:$C$7</c:f>
              <c:numCache>
                <c:formatCode>0.0</c:formatCode>
                <c:ptCount val="4"/>
                <c:pt idx="0" formatCode="General">
                  <c:v>3.7</c:v>
                </c:pt>
                <c:pt idx="1">
                  <c:v>5.5</c:v>
                </c:pt>
                <c:pt idx="2">
                  <c:v>5</c:v>
                </c:pt>
                <c:pt idx="3">
                  <c:v>6.5</c:v>
                </c:pt>
              </c:numCache>
            </c:numRef>
          </c:val>
          <c:extLst xmlns:c16r2="http://schemas.microsoft.com/office/drawing/2015/06/chart">
            <c:ext xmlns:c16="http://schemas.microsoft.com/office/drawing/2014/chart" uri="{C3380CC4-5D6E-409C-BE32-E72D297353CC}">
              <c16:uniqueId val="{00000001-6145-427D-867C-AE0BA5ED1170}"/>
            </c:ext>
          </c:extLst>
        </c:ser>
        <c:ser>
          <c:idx val="1"/>
          <c:order val="1"/>
          <c:tx>
            <c:strRef>
              <c:f>Niepełnospr!$D$3</c:f>
              <c:strCache>
                <c:ptCount val="1"/>
                <c:pt idx="0">
                  <c:v>2020</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Niepełnospr!$B$4:$B$7</c:f>
              <c:strCache>
                <c:ptCount val="4"/>
                <c:pt idx="0">
                  <c:v>Houesholds without people
with disabilities</c:v>
                </c:pt>
                <c:pt idx="1">
                  <c:v>   Households with at least
1 child up to the age
of 16 with a disability certificate </c:v>
                </c:pt>
                <c:pt idx="2">
                  <c:v>Households with the household
head with disabilities </c:v>
                </c:pt>
                <c:pt idx="3">
                  <c:v>Households with at least 1 person
with disabilities</c:v>
                </c:pt>
              </c:strCache>
            </c:strRef>
          </c:cat>
          <c:val>
            <c:numRef>
              <c:f>Niepełnospr!$D$4:$D$7</c:f>
              <c:numCache>
                <c:formatCode>0.0</c:formatCode>
                <c:ptCount val="4"/>
                <c:pt idx="0" formatCode="General">
                  <c:v>4.7</c:v>
                </c:pt>
                <c:pt idx="1">
                  <c:v>7</c:v>
                </c:pt>
                <c:pt idx="2">
                  <c:v>6.5</c:v>
                </c:pt>
                <c:pt idx="3">
                  <c:v>7.5</c:v>
                </c:pt>
              </c:numCache>
            </c:numRef>
          </c:val>
          <c:extLst xmlns:c16r2="http://schemas.microsoft.com/office/drawing/2015/06/chart">
            <c:ext xmlns:c16="http://schemas.microsoft.com/office/drawing/2014/chart" uri="{C3380CC4-5D6E-409C-BE32-E72D297353CC}">
              <c16:uniqueId val="{00000002-6145-427D-867C-AE0BA5ED1170}"/>
            </c:ext>
          </c:extLst>
        </c:ser>
        <c:dLbls>
          <c:showLegendKey val="0"/>
          <c:showVal val="0"/>
          <c:showCatName val="0"/>
          <c:showSerName val="0"/>
          <c:showPercent val="0"/>
          <c:showBubbleSize val="0"/>
        </c:dLbls>
        <c:gapWidth val="60"/>
        <c:axId val="-648348384"/>
        <c:axId val="-648347840"/>
      </c:barChart>
      <c:catAx>
        <c:axId val="-648348384"/>
        <c:scaling>
          <c:orientation val="minMax"/>
        </c:scaling>
        <c:delete val="0"/>
        <c:axPos val="l"/>
        <c:numFmt formatCode="General" sourceLinked="0"/>
        <c:majorTickMark val="out"/>
        <c:minorTickMark val="none"/>
        <c:tickLblPos val="nextTo"/>
        <c:crossAx val="-648347840"/>
        <c:crosses val="autoZero"/>
        <c:auto val="0"/>
        <c:lblAlgn val="ctr"/>
        <c:lblOffset val="100"/>
        <c:noMultiLvlLbl val="0"/>
      </c:catAx>
      <c:valAx>
        <c:axId val="-648347840"/>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56201419920081275"/>
              <c:y val="0.8544755650604613"/>
            </c:manualLayout>
          </c:layout>
          <c:overlay val="0"/>
        </c:title>
        <c:numFmt formatCode="General" sourceLinked="0"/>
        <c:majorTickMark val="out"/>
        <c:minorTickMark val="none"/>
        <c:tickLblPos val="nextTo"/>
        <c:crossAx val="-648348384"/>
        <c:crosses val="autoZero"/>
        <c:crossBetween val="between"/>
      </c:valAx>
    </c:plotArea>
    <c:legend>
      <c:legendPos val="b"/>
      <c:layout>
        <c:manualLayout>
          <c:xMode val="edge"/>
          <c:yMode val="edge"/>
          <c:x val="0.39263908730158736"/>
          <c:y val="0.9041142866836932"/>
          <c:w val="0.21472182539682538"/>
          <c:h val="8.562615041407838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0.39121</cdr:x>
      <cdr:y>0.01197</cdr:y>
    </cdr:from>
    <cdr:to>
      <cdr:x>0.57263</cdr:x>
      <cdr:y>0.23945</cdr:y>
    </cdr:to>
    <cdr:sp macro="" textlink="">
      <cdr:nvSpPr>
        <cdr:cNvPr id="2" name="pole tekstowe 1"/>
        <cdr:cNvSpPr txBox="1"/>
      </cdr:nvSpPr>
      <cdr:spPr>
        <a:xfrm xmlns:a="http://schemas.openxmlformats.org/drawingml/2006/main">
          <a:off x="1971696" y="38537"/>
          <a:ext cx="914357" cy="7323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P</a:t>
          </a:r>
          <a:r>
            <a:rPr lang="en-US"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overty</a:t>
          </a:r>
          <a:r>
            <a:rPr lang="pl-PL"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 thresholds for </a:t>
          </a:r>
          <a:r>
            <a:rPr lang="pl-PL" sz="800" b="1">
              <a:effectLst/>
              <a:latin typeface="Fira Sans" panose="020B0503050000020004" pitchFamily="34" charset="0"/>
              <a:ea typeface="Fira Sans" panose="020B0503050000020004" pitchFamily="34" charset="0"/>
              <a:cs typeface="+mn-cs"/>
            </a:rPr>
            <a:t>1-person households </a:t>
          </a:r>
          <a:endParaRPr lang="pl-PL" sz="800">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0.22679</cdr:x>
      <cdr:y>0.38757</cdr:y>
    </cdr:from>
    <cdr:to>
      <cdr:x>1</cdr:x>
      <cdr:y>0.50592</cdr:y>
    </cdr:to>
    <cdr:sp macro="" textlink="">
      <cdr:nvSpPr>
        <cdr:cNvPr id="3" name="pole tekstowe 2"/>
        <cdr:cNvSpPr txBox="1"/>
      </cdr:nvSpPr>
      <cdr:spPr>
        <a:xfrm xmlns:a="http://schemas.openxmlformats.org/drawingml/2006/main">
          <a:off x="1143025" y="1247775"/>
          <a:ext cx="3896975" cy="3810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pl-PL" sz="800" b="1">
              <a:effectLst/>
              <a:latin typeface="Fira Sans" panose="020B0503050000020004" pitchFamily="34" charset="0"/>
              <a:ea typeface="Fira Sans" panose="020B0503050000020004" pitchFamily="34" charset="0"/>
              <a:cs typeface="+mn-cs"/>
            </a:rPr>
            <a:t>Poverty thresholds for 4-person</a:t>
          </a:r>
          <a:r>
            <a:rPr lang="pl-PL" sz="800" b="1" baseline="0">
              <a:effectLst/>
              <a:latin typeface="Fira Sans" panose="020B0503050000020004" pitchFamily="34" charset="0"/>
              <a:ea typeface="Fira Sans" panose="020B0503050000020004" pitchFamily="34" charset="0"/>
              <a:cs typeface="+mn-cs"/>
            </a:rPr>
            <a:t> households</a:t>
          </a:r>
        </a:p>
        <a:p xmlns:a="http://schemas.openxmlformats.org/drawingml/2006/main">
          <a:pPr algn="ctr"/>
          <a:r>
            <a:rPr lang="pl-PL" sz="800" b="0" baseline="0">
              <a:effectLst/>
              <a:latin typeface="Fira Sans" panose="020B0503050000020004" pitchFamily="34" charset="0"/>
              <a:ea typeface="Fira Sans" panose="020B0503050000020004" pitchFamily="34" charset="0"/>
              <a:cs typeface="+mn-cs"/>
            </a:rPr>
            <a:t>(2 adults + 2 children up to 14 years</a:t>
          </a:r>
          <a:r>
            <a:rPr lang="pl-PL" sz="800" b="1" baseline="0">
              <a:effectLst/>
              <a:latin typeface="Fira Sans" panose="020B0503050000020004" pitchFamily="34" charset="0"/>
              <a:ea typeface="Fira Sans" panose="020B0503050000020004" pitchFamily="34" charset="0"/>
              <a:cs typeface="+mn-cs"/>
            </a:rPr>
            <a:t>)</a:t>
          </a:r>
          <a:endParaRPr lang="pl-PL" sz="800">
            <a:latin typeface="Fira Sans" panose="020B0503050000020004" pitchFamily="34" charset="0"/>
            <a:ea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4.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5.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0.02898</cdr:x>
      <cdr:y>0.1406</cdr:y>
    </cdr:from>
    <cdr:to>
      <cdr:x>0.05544</cdr:x>
      <cdr:y>0.64742</cdr:y>
    </cdr:to>
    <cdr:sp macro="" textlink="">
      <cdr:nvSpPr>
        <cdr:cNvPr id="5" name="pole tekstowe 2"/>
        <cdr:cNvSpPr txBox="1"/>
      </cdr:nvSpPr>
      <cdr:spPr>
        <a:xfrm xmlns:a="http://schemas.openxmlformats.org/drawingml/2006/main">
          <a:off x="146050" y="412750"/>
          <a:ext cx="133349" cy="14878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 of:</a:t>
          </a:r>
        </a:p>
      </cdr:txBody>
    </cdr:sp>
  </cdr:relSizeAnchor>
</c:userShapes>
</file>

<file path=word/drawings/drawing6.xml><?xml version="1.0" encoding="utf-8"?>
<c:userShapes xmlns:c="http://schemas.openxmlformats.org/drawingml/2006/chart">
  <cdr:relSizeAnchor xmlns:cdr="http://schemas.openxmlformats.org/drawingml/2006/chartDrawing">
    <cdr:from>
      <cdr:x>0.0765</cdr:x>
      <cdr:y>0.2</cdr:y>
    </cdr:from>
    <cdr:to>
      <cdr:x>0.09449</cdr:x>
      <cdr:y>0.64848</cdr:y>
    </cdr:to>
    <cdr:sp macro="" textlink="">
      <cdr:nvSpPr>
        <cdr:cNvPr id="2" name="Nawias otwierający 1"/>
        <cdr:cNvSpPr/>
      </cdr:nvSpPr>
      <cdr:spPr>
        <a:xfrm xmlns:a="http://schemas.openxmlformats.org/drawingml/2006/main">
          <a:off x="385560" y="628638"/>
          <a:ext cx="90690" cy="1409700"/>
        </a:xfrm>
        <a:prstGeom xmlns:a="http://schemas.openxmlformats.org/drawingml/2006/main" prst="leftBracket">
          <a:avLst/>
        </a:prstGeom>
        <a:ln xmlns:a="http://schemas.openxmlformats.org/drawingml/2006/main" w="31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0.03285</cdr:x>
      <cdr:y>0.19033</cdr:y>
    </cdr:from>
    <cdr:to>
      <cdr:x>0.07406</cdr:x>
      <cdr:y>0.66036</cdr:y>
    </cdr:to>
    <cdr:sp macro="" textlink="">
      <cdr:nvSpPr>
        <cdr:cNvPr id="5" name="pole tekstowe 3"/>
        <cdr:cNvSpPr txBox="1"/>
      </cdr:nvSpPr>
      <cdr:spPr>
        <a:xfrm xmlns:a="http://schemas.openxmlformats.org/drawingml/2006/main">
          <a:off x="174625" y="574675"/>
          <a:ext cx="219075" cy="14192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Marriages:</a:t>
          </a:r>
        </a:p>
      </cdr:txBody>
    </cdr:sp>
  </cdr:relSizeAnchor>
</c:userShapes>
</file>

<file path=word/drawings/drawing7.xml><?xml version="1.0" encoding="utf-8"?>
<c:userShapes xmlns:c="http://schemas.openxmlformats.org/drawingml/2006/chart">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0.01575</cdr:x>
      <cdr:y>0.07154</cdr:y>
    </cdr:from>
    <cdr:to>
      <cdr:x>0.04788</cdr:x>
      <cdr:y>0.77966</cdr:y>
    </cdr:to>
    <cdr:sp macro="" textlink="">
      <cdr:nvSpPr>
        <cdr:cNvPr id="4" name="pole tekstowe 1"/>
        <cdr:cNvSpPr txBox="1"/>
      </cdr:nvSpPr>
      <cdr:spPr>
        <a:xfrm xmlns:a="http://schemas.openxmlformats.org/drawingml/2006/main">
          <a:off x="79375" y="203200"/>
          <a:ext cx="161936" cy="201129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a:t>
          </a:r>
        </a:p>
      </cdr:txBody>
    </cdr:sp>
  </cdr:relSizeAnchor>
</c:userShapes>
</file>

<file path=word/drawings/drawing8.xml><?xml version="1.0" encoding="utf-8"?>
<c:userShapes xmlns:c="http://schemas.openxmlformats.org/drawingml/2006/chart">
  <cdr:relSizeAnchor xmlns:cdr="http://schemas.openxmlformats.org/drawingml/2006/chartDrawing">
    <cdr:from>
      <cdr:x>0.09834</cdr:x>
      <cdr:y>0.26263</cdr:y>
    </cdr:from>
    <cdr:to>
      <cdr:x>0.10934</cdr:x>
      <cdr:y>0.58957</cdr:y>
    </cdr:to>
    <cdr:sp macro="" textlink="">
      <cdr:nvSpPr>
        <cdr:cNvPr id="2" name="Nawias otwierający 1"/>
        <cdr:cNvSpPr/>
      </cdr:nvSpPr>
      <cdr:spPr>
        <a:xfrm xmlns:a="http://schemas.openxmlformats.org/drawingml/2006/main">
          <a:off x="498062" y="738714"/>
          <a:ext cx="55714" cy="919596"/>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0.05908</cdr:x>
      <cdr:y>0.16999</cdr:y>
    </cdr:from>
    <cdr:to>
      <cdr:x>0.08932</cdr:x>
      <cdr:y>0.66282</cdr:y>
    </cdr:to>
    <cdr:sp macro="" textlink="">
      <cdr:nvSpPr>
        <cdr:cNvPr id="3" name="pole tekstowe 2"/>
        <cdr:cNvSpPr txBox="1"/>
      </cdr:nvSpPr>
      <cdr:spPr>
        <a:xfrm xmlns:a="http://schemas.openxmlformats.org/drawingml/2006/main">
          <a:off x="299215" y="478127"/>
          <a:ext cx="153163" cy="138620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of</a:t>
          </a:r>
          <a:r>
            <a:rPr lang="pl-PL" sz="800" b="0" baseline="0">
              <a:latin typeface="Fira Sans" panose="020B0503050000020004" pitchFamily="34" charset="0"/>
              <a:ea typeface="Fira Sans" panose="020B0503050000020004" pitchFamily="34" charset="0"/>
            </a:rPr>
            <a:t> which</a:t>
          </a:r>
          <a:r>
            <a:rPr lang="pl-PL" sz="800" b="0">
              <a:latin typeface="Fira Sans" panose="020B0503050000020004" pitchFamily="34" charset="0"/>
              <a:ea typeface="Fira Sans" panose="020B05030500000200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0.06922</cdr:x>
      <cdr:y>0.18122</cdr:y>
    </cdr:from>
    <cdr:to>
      <cdr:x>0.08077</cdr:x>
      <cdr:y>0.67497</cdr:y>
    </cdr:to>
    <cdr:sp macro="" textlink="">
      <cdr:nvSpPr>
        <cdr:cNvPr id="2" name="Nawias otwierający 1"/>
        <cdr:cNvSpPr/>
      </cdr:nvSpPr>
      <cdr:spPr>
        <a:xfrm xmlns:a="http://schemas.openxmlformats.org/drawingml/2006/main">
          <a:off x="348874" y="557539"/>
          <a:ext cx="58197" cy="15190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0.01953</cdr:x>
      <cdr:y>0.12886</cdr:y>
    </cdr:from>
    <cdr:to>
      <cdr:x>0.05355</cdr:x>
      <cdr:y>0.74228</cdr:y>
    </cdr:to>
    <cdr:sp macro="" textlink="">
      <cdr:nvSpPr>
        <cdr:cNvPr id="5" name="pole tekstowe 3"/>
        <cdr:cNvSpPr txBox="1"/>
      </cdr:nvSpPr>
      <cdr:spPr>
        <a:xfrm xmlns:a="http://schemas.openxmlformats.org/drawingml/2006/main">
          <a:off x="98425" y="384175"/>
          <a:ext cx="171451" cy="18288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Urban</a:t>
          </a:r>
          <a:r>
            <a:rPr lang="pl-PL" sz="800" b="0" baseline="0">
              <a:latin typeface="Fira Sans" panose="020B0503050000020004" pitchFamily="34" charset="0"/>
              <a:ea typeface="Fira Sans" panose="020B0503050000020004" pitchFamily="34" charset="0"/>
            </a:rPr>
            <a:t> areas by population</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872519-2689-45DC-9965-9F340EDBA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1856</Words>
  <Characters>11136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Ciecieląg Paweł</cp:lastModifiedBy>
  <cp:revision>23</cp:revision>
  <cp:lastPrinted>2021-06-30T10:26:00Z</cp:lastPrinted>
  <dcterms:created xsi:type="dcterms:W3CDTF">2021-06-30T05:41:00Z</dcterms:created>
  <dcterms:modified xsi:type="dcterms:W3CDTF">2021-06-30T11:57:00Z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