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56" w:rsidRPr="009E7E5D" w:rsidRDefault="000C1856" w:rsidP="000C1856">
      <w:pPr>
        <w:spacing w:after="0" w:line="240" w:lineRule="auto"/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</w:pPr>
      <w:bookmarkStart w:id="0" w:name="_GoBack"/>
      <w:bookmarkEnd w:id="0"/>
      <w:r w:rsidRPr="00C16562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>Financial</w:t>
      </w:r>
      <w:r w:rsidR="00D675E6" w:rsidRPr="00C16562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 xml:space="preserve"> results of investment funds </w:t>
      </w:r>
      <w:r w:rsidRPr="00C16562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 xml:space="preserve">in </w:t>
      </w:r>
      <w:r w:rsidR="00F91D06">
        <w:rPr>
          <w:rFonts w:ascii="Fira Sans Extra Condensed" w:eastAsia="Times New Roman" w:hAnsi="Fira Sans Extra Condensed" w:cs="Times New Roman"/>
          <w:b/>
          <w:sz w:val="40"/>
          <w:szCs w:val="40"/>
          <w:lang w:val="en-US" w:eastAsia="pl-PL"/>
        </w:rPr>
        <w:t>the first half of 2021</w:t>
      </w:r>
    </w:p>
    <w:p w:rsidR="0098135C" w:rsidRPr="000744E8" w:rsidRDefault="0098135C" w:rsidP="00074DD8">
      <w:pPr>
        <w:pStyle w:val="tytuinformacji"/>
        <w:rPr>
          <w:shd w:val="clear" w:color="auto" w:fill="FFFFFF"/>
          <w:lang w:val="en-US"/>
        </w:rPr>
      </w:pPr>
    </w:p>
    <w:p w:rsidR="00393761" w:rsidRPr="000744E8" w:rsidRDefault="00393761" w:rsidP="00074DD8">
      <w:pPr>
        <w:pStyle w:val="tytuinformacji"/>
        <w:rPr>
          <w:sz w:val="32"/>
          <w:lang w:val="en-US"/>
        </w:rPr>
      </w:pPr>
    </w:p>
    <w:p w:rsidR="00CD4EC0" w:rsidRPr="00CD4EC0" w:rsidRDefault="00417A6E" w:rsidP="00CD4EC0">
      <w:pPr>
        <w:rPr>
          <w:rStyle w:val="jlqj4b"/>
          <w:b/>
          <w:lang w:val="en"/>
        </w:rPr>
      </w:pPr>
      <w:r w:rsidRPr="00A72C7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94435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44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386E9A" w:rsidRDefault="00417A6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B3875" w:rsidRPr="00386E9A">
                              <w:rPr>
                                <w:rFonts w:asciiTheme="minorHAnsi" w:hAnsiTheme="minorHAnsi"/>
                                <w:color w:val="001D77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5E49FD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116,8</w:t>
                            </w:r>
                            <w:r w:rsidR="00262720" w:rsidRPr="00386E9A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%</w:t>
                            </w:r>
                          </w:p>
                          <w:p w:rsidR="009C0B60" w:rsidRPr="009C0B60" w:rsidRDefault="00AD617F" w:rsidP="003B3875">
                            <w:pPr>
                              <w:pStyle w:val="HTML-wstpniesformatowany"/>
                              <w:spacing w:before="120"/>
                              <w:rPr>
                                <w:rFonts w:ascii="Fira Sans" w:eastAsiaTheme="minorHAnsi" w:hAnsi="Fira Sans" w:cstheme="minorBidi"/>
                                <w:sz w:val="19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Fira Sans" w:eastAsiaTheme="minorHAnsi" w:hAnsi="Fira Sans" w:cstheme="minorBidi"/>
                                <w:sz w:val="19"/>
                                <w:szCs w:val="22"/>
                                <w:lang w:val="en-US"/>
                              </w:rPr>
                              <w:t>Dynamics of investment income</w:t>
                            </w:r>
                          </w:p>
                          <w:p w:rsidR="00933EC1" w:rsidRPr="000744E8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4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" fillcolor="#001d77" stroked="f">
                <v:textbox>
                  <w:txbxContent>
                    <w:p w:rsidR="00933EC1" w:rsidRPr="00386E9A" w:rsidRDefault="00417A6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B3875" w:rsidRPr="00386E9A">
                        <w:rPr>
                          <w:rFonts w:asciiTheme="minorHAnsi" w:hAnsiTheme="minorHAnsi"/>
                          <w:color w:val="001D77"/>
                          <w:sz w:val="22"/>
                          <w:lang w:val="en-US"/>
                        </w:rPr>
                        <w:t xml:space="preserve"> </w:t>
                      </w:r>
                      <w:r w:rsidR="005E49FD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116,8</w:t>
                      </w:r>
                      <w:r w:rsidR="00262720" w:rsidRPr="00386E9A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%</w:t>
                      </w:r>
                    </w:p>
                    <w:p w:rsidR="009C0B60" w:rsidRPr="009C0B60" w:rsidRDefault="00AD617F" w:rsidP="003B3875">
                      <w:pPr>
                        <w:pStyle w:val="HTML-wstpniesformatowany"/>
                        <w:spacing w:before="120"/>
                        <w:rPr>
                          <w:rFonts w:ascii="Fira Sans" w:eastAsiaTheme="minorHAnsi" w:hAnsi="Fira Sans" w:cstheme="minorBidi"/>
                          <w:sz w:val="19"/>
                          <w:szCs w:val="22"/>
                          <w:lang w:val="en-US"/>
                        </w:rPr>
                      </w:pPr>
                      <w:r>
                        <w:rPr>
                          <w:rFonts w:ascii="Fira Sans" w:eastAsiaTheme="minorHAnsi" w:hAnsi="Fira Sans" w:cstheme="minorBidi"/>
                          <w:sz w:val="19"/>
                          <w:szCs w:val="22"/>
                          <w:lang w:val="en-US"/>
                        </w:rPr>
                        <w:t>Dynamics of investment income</w:t>
                      </w:r>
                    </w:p>
                    <w:p w:rsidR="00933EC1" w:rsidRPr="000744E8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EC0" w:rsidRPr="00A72C73">
        <w:rPr>
          <w:rStyle w:val="jlqj4b"/>
          <w:b/>
          <w:lang w:val="en"/>
        </w:rPr>
        <w:t>The value of total assets collected by investment funds at the e</w:t>
      </w:r>
      <w:r w:rsidR="002A61C9" w:rsidRPr="00A72C73">
        <w:rPr>
          <w:rStyle w:val="jlqj4b"/>
          <w:b/>
          <w:lang w:val="en"/>
        </w:rPr>
        <w:t>nd of June 2021</w:t>
      </w:r>
      <w:r w:rsidR="00BE23E7" w:rsidRPr="00A72C73">
        <w:rPr>
          <w:rStyle w:val="jlqj4b"/>
          <w:b/>
          <w:lang w:val="en"/>
        </w:rPr>
        <w:t xml:space="preserve"> amounted to </w:t>
      </w:r>
      <w:r w:rsidR="002A61C9" w:rsidRPr="00A72C73">
        <w:rPr>
          <w:rStyle w:val="jlqj4b"/>
          <w:b/>
          <w:lang w:val="en"/>
        </w:rPr>
        <w:t>348.9</w:t>
      </w:r>
      <w:r w:rsidR="00CD4EC0" w:rsidRPr="00A72C73">
        <w:rPr>
          <w:rStyle w:val="jlqj4b"/>
          <w:b/>
          <w:lang w:val="en"/>
        </w:rPr>
        <w:t xml:space="preserve"> billion </w:t>
      </w:r>
      <w:r w:rsidR="00BE23E7" w:rsidRPr="00A72C73">
        <w:rPr>
          <w:rStyle w:val="jlqj4b"/>
          <w:b/>
          <w:lang w:val="en"/>
        </w:rPr>
        <w:t xml:space="preserve">PLN </w:t>
      </w:r>
      <w:r w:rsidR="00CD4EC0" w:rsidRPr="00A72C73">
        <w:rPr>
          <w:rStyle w:val="jlqj4b"/>
          <w:b/>
          <w:lang w:val="en"/>
        </w:rPr>
        <w:t>(</w:t>
      </w:r>
      <w:r w:rsidR="00AD24B9">
        <w:rPr>
          <w:rStyle w:val="jlqj4b"/>
          <w:b/>
          <w:lang w:val="en"/>
        </w:rPr>
        <w:t>i</w:t>
      </w:r>
      <w:r w:rsidR="002A61C9" w:rsidRPr="00A72C73">
        <w:rPr>
          <w:rStyle w:val="jlqj4b"/>
          <w:b/>
          <w:lang w:val="en"/>
        </w:rPr>
        <w:t xml:space="preserve">ncrease </w:t>
      </w:r>
      <w:r w:rsidR="005907AF">
        <w:rPr>
          <w:rStyle w:val="jlqj4b"/>
          <w:b/>
          <w:lang w:val="en"/>
        </w:rPr>
        <w:t>by</w:t>
      </w:r>
      <w:r w:rsidR="002A61C9" w:rsidRPr="00A72C73">
        <w:rPr>
          <w:rStyle w:val="jlqj4b"/>
          <w:b/>
          <w:lang w:val="en"/>
        </w:rPr>
        <w:t xml:space="preserve"> 16.8</w:t>
      </w:r>
      <w:r w:rsidR="00CD4EC0" w:rsidRPr="00A72C73">
        <w:rPr>
          <w:rStyle w:val="jlqj4b"/>
          <w:b/>
          <w:lang w:val="en"/>
        </w:rPr>
        <w:t>% compared to the end of June of the previous year).</w:t>
      </w:r>
      <w:r w:rsidR="00CD4EC0" w:rsidRPr="00A72C73">
        <w:rPr>
          <w:rStyle w:val="viiyi"/>
          <w:b/>
          <w:lang w:val="en"/>
        </w:rPr>
        <w:t xml:space="preserve"> </w:t>
      </w:r>
      <w:r w:rsidR="00CD4EC0" w:rsidRPr="00A72C73">
        <w:rPr>
          <w:rStyle w:val="jlqj4b"/>
          <w:b/>
          <w:lang w:val="en"/>
        </w:rPr>
        <w:t>The value of fund</w:t>
      </w:r>
      <w:r w:rsidR="002A61C9" w:rsidRPr="00A72C73">
        <w:rPr>
          <w:rStyle w:val="jlqj4b"/>
          <w:b/>
          <w:lang w:val="en"/>
        </w:rPr>
        <w:t>s' investments in</w:t>
      </w:r>
      <w:r w:rsidR="00366F00" w:rsidRPr="00A72C73">
        <w:rPr>
          <w:rStyle w:val="jlqj4b"/>
          <w:b/>
          <w:lang w:val="en"/>
        </w:rPr>
        <w:t xml:space="preserve">creased to </w:t>
      </w:r>
      <w:r w:rsidR="002A61C9" w:rsidRPr="00A72C73">
        <w:rPr>
          <w:rStyle w:val="jlqj4b"/>
          <w:b/>
          <w:lang w:val="en"/>
        </w:rPr>
        <w:t>281.3</w:t>
      </w:r>
      <w:r w:rsidR="00CD4EC0" w:rsidRPr="00A72C73">
        <w:rPr>
          <w:rStyle w:val="jlqj4b"/>
          <w:b/>
          <w:lang w:val="en"/>
        </w:rPr>
        <w:t xml:space="preserve"> billion</w:t>
      </w:r>
      <w:r w:rsidR="00366F00" w:rsidRPr="00A72C73">
        <w:rPr>
          <w:rStyle w:val="jlqj4b"/>
          <w:b/>
          <w:lang w:val="en"/>
        </w:rPr>
        <w:t xml:space="preserve"> PLN</w:t>
      </w:r>
      <w:r w:rsidR="002A61C9" w:rsidRPr="00A72C73">
        <w:rPr>
          <w:rStyle w:val="jlqj4b"/>
          <w:b/>
          <w:lang w:val="en"/>
        </w:rPr>
        <w:t xml:space="preserve"> (by 5.7</w:t>
      </w:r>
      <w:r w:rsidR="00CD4EC0" w:rsidRPr="00A72C73">
        <w:rPr>
          <w:rStyle w:val="jlqj4b"/>
          <w:b/>
          <w:lang w:val="en"/>
        </w:rPr>
        <w:t>%).</w:t>
      </w:r>
    </w:p>
    <w:p w:rsidR="00946D1D" w:rsidRPr="00946D1D" w:rsidRDefault="00946D1D" w:rsidP="00946D1D">
      <w:pPr>
        <w:pStyle w:val="LID"/>
        <w:spacing w:after="20"/>
        <w:rPr>
          <w:noProof w:val="0"/>
          <w:szCs w:val="22"/>
          <w:lang w:val="en-US"/>
        </w:rPr>
      </w:pPr>
    </w:p>
    <w:p w:rsidR="00003437" w:rsidRPr="000744E8" w:rsidRDefault="00417A6E" w:rsidP="00D33CF4">
      <w:pPr>
        <w:pStyle w:val="LID"/>
        <w:rPr>
          <w:bCs/>
          <w:lang w:val="en-US"/>
        </w:rPr>
      </w:pPr>
      <w:r>
        <w:rPr>
          <w:spacing w:val="-2"/>
          <w:sz w:val="4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rightMargin">
                  <wp:posOffset>59055</wp:posOffset>
                </wp:positionH>
                <wp:positionV relativeFrom="paragraph">
                  <wp:posOffset>288925</wp:posOffset>
                </wp:positionV>
                <wp:extent cx="1647825" cy="1123950"/>
                <wp:effectExtent l="0" t="0" r="0" b="0"/>
                <wp:wrapTight wrapText="bothSides">
                  <wp:wrapPolygon edited="0">
                    <wp:start x="749" y="0"/>
                    <wp:lineTo x="749" y="21234"/>
                    <wp:lineTo x="20726" y="21234"/>
                    <wp:lineTo x="20726" y="0"/>
                    <wp:lineTo x="749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1EA" w:rsidRDefault="001D51EA" w:rsidP="001D51EA">
                            <w:pPr>
                              <w:rPr>
                                <w:rStyle w:val="jlqj4b"/>
                                <w:lang w:val="en"/>
                              </w:rPr>
                            </w:pPr>
                            <w:r>
                              <w:rPr>
                                <w:rStyle w:val="jlqj4b"/>
                                <w:lang w:val="en"/>
                              </w:rPr>
                              <w:t>The result on the operati</w:t>
                            </w:r>
                            <w:r w:rsidR="00AF5DE0">
                              <w:rPr>
                                <w:rStyle w:val="jlqj4b"/>
                                <w:lang w:val="en"/>
                              </w:rPr>
                              <w:t>ons of investment funds was posi</w:t>
                            </w:r>
                            <w:r>
                              <w:rPr>
                                <w:rStyle w:val="jlqj4b"/>
                                <w:lang w:val="en"/>
                              </w:rPr>
                              <w:t xml:space="preserve">tive at the end of the first </w:t>
                            </w:r>
                            <w:r w:rsidR="00AF5DE0">
                              <w:rPr>
                                <w:rStyle w:val="jlqj4b"/>
                                <w:lang w:val="en"/>
                              </w:rPr>
                              <w:t>half of 2021</w:t>
                            </w:r>
                            <w:r w:rsidR="004B1EC1">
                              <w:rPr>
                                <w:rStyle w:val="jlqj4b"/>
                                <w:lang w:val="en"/>
                              </w:rPr>
                              <w:t xml:space="preserve"> and amounted to</w:t>
                            </w:r>
                            <w:r w:rsidR="00AF5DE0">
                              <w:rPr>
                                <w:rStyle w:val="jlqj4b"/>
                                <w:lang w:val="en"/>
                              </w:rPr>
                              <w:t xml:space="preserve"> 10.5</w:t>
                            </w:r>
                            <w:r>
                              <w:rPr>
                                <w:rStyle w:val="jlqj4b"/>
                                <w:lang w:val="en"/>
                              </w:rPr>
                              <w:t xml:space="preserve"> billion</w:t>
                            </w:r>
                            <w:r w:rsidR="004B1EC1">
                              <w:rPr>
                                <w:rStyle w:val="jlqj4b"/>
                                <w:lang w:val="en"/>
                              </w:rPr>
                              <w:t xml:space="preserve"> PLN</w:t>
                            </w:r>
                            <w:r>
                              <w:rPr>
                                <w:rStyle w:val="jlqj4b"/>
                                <w:lang w:val="en"/>
                              </w:rPr>
                              <w:t>.</w:t>
                            </w:r>
                          </w:p>
                          <w:p w:rsidR="009D0C48" w:rsidRPr="009D0C48" w:rsidRDefault="009D0C48" w:rsidP="009D0C48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6C567C" w:rsidRPr="009E7E5D" w:rsidRDefault="006C567C" w:rsidP="006C567C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345A97" w:rsidRPr="000744E8" w:rsidRDefault="00345A97" w:rsidP="00345A9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0744E8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5pt;margin-top:22.75pt;width:129.75pt;height:88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" filled="f" stroked="f">
                <v:textbox>
                  <w:txbxContent>
                    <w:p w:rsidR="001D51EA" w:rsidRDefault="001D51EA" w:rsidP="001D51EA">
                      <w:pPr>
                        <w:rPr>
                          <w:rStyle w:val="jlqj4b"/>
                          <w:lang w:val="en"/>
                        </w:rPr>
                      </w:pPr>
                      <w:r>
                        <w:rPr>
                          <w:rStyle w:val="jlqj4b"/>
                          <w:lang w:val="en"/>
                        </w:rPr>
                        <w:t>The result on the operati</w:t>
                      </w:r>
                      <w:r w:rsidR="00AF5DE0">
                        <w:rPr>
                          <w:rStyle w:val="jlqj4b"/>
                          <w:lang w:val="en"/>
                        </w:rPr>
                        <w:t>ons of investment funds was posi</w:t>
                      </w:r>
                      <w:r>
                        <w:rPr>
                          <w:rStyle w:val="jlqj4b"/>
                          <w:lang w:val="en"/>
                        </w:rPr>
                        <w:t xml:space="preserve">tive at the end of the first </w:t>
                      </w:r>
                      <w:r w:rsidR="00AF5DE0">
                        <w:rPr>
                          <w:rStyle w:val="jlqj4b"/>
                          <w:lang w:val="en"/>
                        </w:rPr>
                        <w:t>half of 2021</w:t>
                      </w:r>
                      <w:r w:rsidR="004B1EC1">
                        <w:rPr>
                          <w:rStyle w:val="jlqj4b"/>
                          <w:lang w:val="en"/>
                        </w:rPr>
                        <w:t xml:space="preserve"> and amounted to</w:t>
                      </w:r>
                      <w:r w:rsidR="00AF5DE0">
                        <w:rPr>
                          <w:rStyle w:val="jlqj4b"/>
                          <w:lang w:val="en"/>
                        </w:rPr>
                        <w:t xml:space="preserve"> 10.5</w:t>
                      </w:r>
                      <w:r>
                        <w:rPr>
                          <w:rStyle w:val="jlqj4b"/>
                          <w:lang w:val="en"/>
                        </w:rPr>
                        <w:t xml:space="preserve"> billion</w:t>
                      </w:r>
                      <w:r w:rsidR="004B1EC1">
                        <w:rPr>
                          <w:rStyle w:val="jlqj4b"/>
                          <w:lang w:val="en"/>
                        </w:rPr>
                        <w:t xml:space="preserve"> PLN</w:t>
                      </w:r>
                      <w:r>
                        <w:rPr>
                          <w:rStyle w:val="jlqj4b"/>
                          <w:lang w:val="en"/>
                        </w:rPr>
                        <w:t>.</w:t>
                      </w:r>
                    </w:p>
                    <w:p w:rsidR="009D0C48" w:rsidRPr="009D0C48" w:rsidRDefault="009D0C48" w:rsidP="009D0C48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6C567C" w:rsidRPr="009E7E5D" w:rsidRDefault="006C567C" w:rsidP="006C567C">
                      <w:pPr>
                        <w:spacing w:after="0" w:line="240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345A97" w:rsidRPr="000744E8" w:rsidRDefault="00345A97" w:rsidP="00345A9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0744E8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11D70" w:rsidRPr="003B3875" w:rsidRDefault="00E11D70" w:rsidP="00E11D70">
      <w:pPr>
        <w:rPr>
          <w:spacing w:val="-2"/>
          <w:sz w:val="18"/>
          <w:shd w:val="clear" w:color="auto" w:fill="FFFFFF"/>
          <w:lang w:val="en-US"/>
        </w:rPr>
      </w:pPr>
      <w:r w:rsidRPr="00A72C73">
        <w:rPr>
          <w:b/>
          <w:spacing w:val="-2"/>
          <w:sz w:val="18"/>
          <w:shd w:val="clear" w:color="auto" w:fill="FFFFFF"/>
          <w:lang w:val="en-US"/>
        </w:rPr>
        <w:t xml:space="preserve">Table 1. Basic data of </w:t>
      </w:r>
      <w:r w:rsidR="008E11C5" w:rsidRPr="00A72C7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A72C73">
        <w:rPr>
          <w:b/>
          <w:spacing w:val="-2"/>
          <w:sz w:val="18"/>
          <w:shd w:val="clear" w:color="auto" w:fill="FFFFFF"/>
          <w:lang w:val="en-US"/>
        </w:rPr>
        <w:t>investment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E11D70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E11D70" w:rsidRPr="00C16562" w:rsidRDefault="0011784B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C16562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E11D70" w:rsidRPr="00C16562" w:rsidRDefault="00A633D6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16562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First half of </w:t>
            </w:r>
            <w:r w:rsidR="0017655B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:rsidR="00E11D70" w:rsidRPr="00C16562" w:rsidRDefault="0017655B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2021</w:t>
            </w:r>
          </w:p>
        </w:tc>
        <w:tc>
          <w:tcPr>
            <w:tcW w:w="1701" w:type="dxa"/>
            <w:vMerge w:val="restart"/>
            <w:vAlign w:val="center"/>
          </w:tcPr>
          <w:p w:rsidR="00E11D70" w:rsidRPr="00C16562" w:rsidRDefault="0017655B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2020</w:t>
            </w:r>
            <w:r w:rsidR="00E11D70" w:rsidRPr="00C16562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11D70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E11D70" w:rsidRPr="001A3D3F" w:rsidRDefault="00E11D70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E11D70" w:rsidRPr="001A3D3F" w:rsidRDefault="006907F9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>n mil</w:t>
            </w:r>
            <w:r w:rsidR="00B20267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="0011784B">
              <w:rPr>
                <w:rFonts w:ascii="Fira Sans" w:hAnsi="Fira Sans"/>
                <w:color w:val="000000" w:themeColor="text1"/>
                <w:sz w:val="16"/>
                <w:szCs w:val="16"/>
              </w:rPr>
              <w:t>ion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E11D70" w:rsidRPr="001A3D3F" w:rsidRDefault="00E11D70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072A4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072A4" w:rsidRPr="001A3D3F" w:rsidRDefault="005072A4" w:rsidP="0050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2A4" w:rsidRPr="001A3D3F" w:rsidRDefault="005072A4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348 938,8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5072A4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5072A4" w:rsidRPr="001A3D3F" w:rsidRDefault="005072A4" w:rsidP="0050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Investment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072A4" w:rsidRPr="001A3D3F" w:rsidRDefault="005072A4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281 258,4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5072A4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072A4" w:rsidRPr="001A3D3F" w:rsidRDefault="005072A4" w:rsidP="005072A4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Receivables</w:t>
            </w:r>
          </w:p>
        </w:tc>
        <w:tc>
          <w:tcPr>
            <w:tcW w:w="1701" w:type="dxa"/>
            <w:vAlign w:val="bottom"/>
          </w:tcPr>
          <w:p w:rsidR="005072A4" w:rsidRPr="001A3D3F" w:rsidRDefault="005072A4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48 439,5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312,0</w:t>
            </w:r>
          </w:p>
        </w:tc>
      </w:tr>
      <w:tr w:rsidR="005072A4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072A4" w:rsidRPr="001A3D3F" w:rsidRDefault="005072A4" w:rsidP="0050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Cash and cash equivalents </w:t>
            </w:r>
          </w:p>
        </w:tc>
        <w:tc>
          <w:tcPr>
            <w:tcW w:w="1701" w:type="dxa"/>
            <w:vAlign w:val="bottom"/>
          </w:tcPr>
          <w:p w:rsidR="005072A4" w:rsidRPr="001A3D3F" w:rsidRDefault="005072A4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11 960,2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11 568,5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</w:tr>
      <w:tr w:rsidR="005072A4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072A4" w:rsidRPr="001A3D3F" w:rsidRDefault="005072A4" w:rsidP="0050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Result of the operation</w:t>
            </w:r>
          </w:p>
        </w:tc>
        <w:tc>
          <w:tcPr>
            <w:tcW w:w="1701" w:type="dxa"/>
            <w:vAlign w:val="bottom"/>
          </w:tcPr>
          <w:p w:rsidR="005072A4" w:rsidRPr="001A3D3F" w:rsidRDefault="005072A4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10 518,3</w:t>
            </w:r>
          </w:p>
        </w:tc>
        <w:tc>
          <w:tcPr>
            <w:tcW w:w="1701" w:type="dxa"/>
            <w:vAlign w:val="bottom"/>
          </w:tcPr>
          <w:p w:rsidR="005072A4" w:rsidRPr="001A3D3F" w:rsidRDefault="00A95B68" w:rsidP="005072A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:rsidR="00C22105" w:rsidRPr="000744E8" w:rsidRDefault="00417A6E" w:rsidP="00074DD8">
      <w:pPr>
        <w:pStyle w:val="Nagwek1"/>
        <w:rPr>
          <w:lang w:val="en-US"/>
        </w:rPr>
      </w:pPr>
      <w:r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>
                <wp:simplePos x="0" y="0"/>
                <wp:positionH relativeFrom="page">
                  <wp:posOffset>5705475</wp:posOffset>
                </wp:positionH>
                <wp:positionV relativeFrom="paragraph">
                  <wp:posOffset>2512060</wp:posOffset>
                </wp:positionV>
                <wp:extent cx="1718310" cy="1073150"/>
                <wp:effectExtent l="0" t="0" r="0" b="0"/>
                <wp:wrapTight wrapText="bothSides">
                  <wp:wrapPolygon edited="0">
                    <wp:start x="718" y="0"/>
                    <wp:lineTo x="718" y="21089"/>
                    <wp:lineTo x="20834" y="21089"/>
                    <wp:lineTo x="20834" y="0"/>
                    <wp:lineTo x="718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DD0" w:rsidRPr="007C39DD" w:rsidRDefault="00536DD0" w:rsidP="007C39DD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C659C" w:rsidRPr="009E7E5D" w:rsidRDefault="007C659C" w:rsidP="007C659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C659C" w:rsidRPr="009E7E5D" w:rsidRDefault="007C659C" w:rsidP="007C659C">
                            <w:pPr>
                              <w:spacing w:after="0"/>
                              <w:rPr>
                                <w:rFonts w:eastAsia="Times New Roman" w:cs="Times New Roman"/>
                                <w:color w:val="2F5496" w:themeColor="accent5" w:themeShade="BF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28" type="#_x0000_t202" style="position:absolute;margin-left:449.25pt;margin-top:197.8pt;width:135.3pt;height:84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" filled="f" stroked="f">
                <v:textbox>
                  <w:txbxContent>
                    <w:p w:rsidR="00536DD0" w:rsidRPr="007C39DD" w:rsidRDefault="00536DD0" w:rsidP="007C39DD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7C659C" w:rsidRPr="009E7E5D" w:rsidRDefault="007C659C" w:rsidP="007C659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C659C" w:rsidRPr="009E7E5D" w:rsidRDefault="007C659C" w:rsidP="007C659C">
                      <w:pPr>
                        <w:spacing w:after="0"/>
                        <w:rPr>
                          <w:rFonts w:eastAsia="Times New Roman" w:cs="Times New Roman"/>
                          <w:color w:val="2F5496" w:themeColor="accent5" w:themeShade="BF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471C1" w:rsidRPr="00AD24B9" w:rsidRDefault="005471C1" w:rsidP="005471C1">
      <w:pPr>
        <w:rPr>
          <w:lang w:val="en-US"/>
        </w:rPr>
      </w:pPr>
      <w:r w:rsidRPr="00A72C73">
        <w:rPr>
          <w:rStyle w:val="jlqj4b"/>
          <w:lang w:val="en"/>
        </w:rPr>
        <w:t>At the end of the first half of 2021, according to the information of the Polish Financial Supervision Authority, a total of 679 financial statements of investment funds for the first half of 2021 were submitted</w:t>
      </w:r>
      <w:r w:rsidR="004C796C">
        <w:rPr>
          <w:rStyle w:val="jlqj4b"/>
          <w:lang w:val="en"/>
        </w:rPr>
        <w:t>. The number of reports  of  open-</w:t>
      </w:r>
      <w:r w:rsidRPr="00A72C73">
        <w:rPr>
          <w:rStyle w:val="jlqj4b"/>
          <w:lang w:val="en"/>
        </w:rPr>
        <w:t>end</w:t>
      </w:r>
      <w:r w:rsidR="004C796C">
        <w:rPr>
          <w:rStyle w:val="jlqj4b"/>
          <w:lang w:val="en"/>
        </w:rPr>
        <w:t xml:space="preserve"> </w:t>
      </w:r>
      <w:r w:rsidRPr="00A72C73">
        <w:rPr>
          <w:rStyle w:val="jlqj4b"/>
          <w:lang w:val="en"/>
        </w:rPr>
        <w:t>investment funds was 45, the number of reports of specialized open-end investment funds was 212. In</w:t>
      </w:r>
      <w:r w:rsidRPr="00A72C73">
        <w:rPr>
          <w:rStyle w:val="viiyi"/>
          <w:lang w:val="en"/>
        </w:rPr>
        <w:t xml:space="preserve"> </w:t>
      </w:r>
      <w:r w:rsidRPr="00A72C73">
        <w:rPr>
          <w:rStyle w:val="jlqj4b"/>
          <w:lang w:val="en"/>
        </w:rPr>
        <w:t>the group of closed-end investment funds, the number of reports was 422.</w:t>
      </w:r>
    </w:p>
    <w:p w:rsidR="00FA488B" w:rsidRPr="00A72C73" w:rsidRDefault="00FA488B" w:rsidP="00213AD8">
      <w:pPr>
        <w:rPr>
          <w:rStyle w:val="jlqj4b"/>
          <w:lang w:val="en"/>
        </w:rPr>
      </w:pPr>
    </w:p>
    <w:p w:rsidR="00FA488B" w:rsidRPr="00A72C73" w:rsidRDefault="00FA2F53" w:rsidP="00213AD8">
      <w:pPr>
        <w:rPr>
          <w:rStyle w:val="jlqj4b"/>
          <w:lang w:val="en"/>
        </w:rPr>
      </w:pPr>
      <w:r w:rsidRPr="00A72C73">
        <w:rPr>
          <w:rStyle w:val="jlqj4b"/>
          <w:lang w:val="en"/>
        </w:rPr>
        <w:t>As at June 30, 2021</w:t>
      </w:r>
      <w:r w:rsidR="00213AD8" w:rsidRPr="00A72C73">
        <w:rPr>
          <w:rStyle w:val="jlqj4b"/>
          <w:lang w:val="en"/>
        </w:rPr>
        <w:t>, the value of total assets accumulated by i</w:t>
      </w:r>
      <w:r w:rsidR="00C37A9C" w:rsidRPr="00A72C73">
        <w:rPr>
          <w:rStyle w:val="jlqj4b"/>
          <w:lang w:val="en"/>
        </w:rPr>
        <w:t xml:space="preserve">nvestment funds amounted to </w:t>
      </w:r>
      <w:r w:rsidRPr="00A72C73">
        <w:rPr>
          <w:rStyle w:val="jlqj4b"/>
          <w:lang w:val="en"/>
        </w:rPr>
        <w:t>348,938</w:t>
      </w:r>
      <w:r w:rsidR="00213AD8" w:rsidRPr="00A72C73">
        <w:rPr>
          <w:rStyle w:val="jlqj4b"/>
          <w:lang w:val="en"/>
        </w:rPr>
        <w:t xml:space="preserve">.8 million </w:t>
      </w:r>
      <w:r w:rsidR="00C37A9C" w:rsidRPr="00A72C73">
        <w:rPr>
          <w:rStyle w:val="jlqj4b"/>
          <w:lang w:val="en"/>
        </w:rPr>
        <w:t xml:space="preserve">PLN </w:t>
      </w:r>
      <w:r w:rsidR="004C796C">
        <w:rPr>
          <w:rStyle w:val="jlqj4b"/>
          <w:lang w:val="en"/>
        </w:rPr>
        <w:t>(</w:t>
      </w:r>
      <w:r w:rsidRPr="00A72C73">
        <w:rPr>
          <w:rStyle w:val="jlqj4b"/>
          <w:lang w:val="en"/>
        </w:rPr>
        <w:t>in</w:t>
      </w:r>
      <w:r w:rsidR="00213AD8" w:rsidRPr="00A72C73">
        <w:rPr>
          <w:rStyle w:val="jlqj4b"/>
          <w:lang w:val="en"/>
        </w:rPr>
        <w:t xml:space="preserve">crease </w:t>
      </w:r>
      <w:r w:rsidR="004C796C">
        <w:rPr>
          <w:rStyle w:val="jlqj4b"/>
          <w:lang w:val="en"/>
        </w:rPr>
        <w:t xml:space="preserve">by </w:t>
      </w:r>
      <w:r w:rsidR="004C796C" w:rsidRPr="00A72C73">
        <w:rPr>
          <w:rStyle w:val="jlqj4b"/>
          <w:lang w:val="en"/>
        </w:rPr>
        <w:t xml:space="preserve">16.8% </w:t>
      </w:r>
      <w:r w:rsidR="00213AD8" w:rsidRPr="00A72C73">
        <w:rPr>
          <w:rStyle w:val="jlqj4b"/>
          <w:lang w:val="en"/>
        </w:rPr>
        <w:t>compared to the</w:t>
      </w:r>
      <w:r w:rsidR="004C796C">
        <w:rPr>
          <w:rStyle w:val="jlqj4b"/>
          <w:lang w:val="en"/>
        </w:rPr>
        <w:t xml:space="preserve"> </w:t>
      </w:r>
      <w:r w:rsidR="00213AD8" w:rsidRPr="00A72C73">
        <w:rPr>
          <w:rStyle w:val="jlqj4b"/>
          <w:lang w:val="en"/>
        </w:rPr>
        <w:t xml:space="preserve"> first</w:t>
      </w:r>
      <w:r w:rsidRPr="00A72C73">
        <w:rPr>
          <w:rStyle w:val="jlqj4b"/>
          <w:lang w:val="en"/>
        </w:rPr>
        <w:t xml:space="preserve"> half of 2020</w:t>
      </w:r>
      <w:r w:rsidR="004158DE" w:rsidRPr="00A72C73">
        <w:rPr>
          <w:rStyle w:val="jlqj4b"/>
          <w:lang w:val="en"/>
        </w:rPr>
        <w:t>), including</w:t>
      </w:r>
      <w:r w:rsidR="00213AD8" w:rsidRPr="00A72C73">
        <w:rPr>
          <w:rStyle w:val="jlqj4b"/>
          <w:lang w:val="en"/>
        </w:rPr>
        <w:t>:</w:t>
      </w:r>
    </w:p>
    <w:p w:rsidR="009C6E37" w:rsidRPr="00A72C73" w:rsidRDefault="00213AD8" w:rsidP="00213AD8">
      <w:pPr>
        <w:pStyle w:val="Akapitzlist"/>
        <w:numPr>
          <w:ilvl w:val="0"/>
          <w:numId w:val="4"/>
        </w:numPr>
        <w:ind w:left="284" w:hanging="284"/>
        <w:rPr>
          <w:rStyle w:val="jlqj4b"/>
          <w:lang w:val="en"/>
        </w:rPr>
      </w:pPr>
      <w:r w:rsidRPr="00A72C73">
        <w:rPr>
          <w:rStyle w:val="jlqj4b"/>
          <w:lang w:val="en"/>
        </w:rPr>
        <w:t xml:space="preserve">closed-end investment funds </w:t>
      </w:r>
      <w:r w:rsidR="004158DE" w:rsidRPr="00A72C73">
        <w:rPr>
          <w:rStyle w:val="jlqj4b"/>
          <w:lang w:val="en"/>
        </w:rPr>
        <w:t xml:space="preserve">assets </w:t>
      </w:r>
      <w:r w:rsidR="00B64E5B" w:rsidRPr="00A72C73">
        <w:rPr>
          <w:rStyle w:val="jlqj4b"/>
          <w:lang w:val="en"/>
        </w:rPr>
        <w:t xml:space="preserve">amounted to </w:t>
      </w:r>
      <w:r w:rsidR="0054722A" w:rsidRPr="00A72C73">
        <w:rPr>
          <w:rStyle w:val="jlqj4b"/>
          <w:lang w:val="en"/>
        </w:rPr>
        <w:t>130,003.5</w:t>
      </w:r>
      <w:r w:rsidRPr="00A72C73">
        <w:rPr>
          <w:rStyle w:val="jlqj4b"/>
          <w:lang w:val="en"/>
        </w:rPr>
        <w:t xml:space="preserve"> million </w:t>
      </w:r>
      <w:r w:rsidR="00B64E5B" w:rsidRPr="00A72C73">
        <w:rPr>
          <w:rStyle w:val="jlqj4b"/>
          <w:lang w:val="en"/>
        </w:rPr>
        <w:t xml:space="preserve">PLN </w:t>
      </w:r>
      <w:r w:rsidR="003760AF" w:rsidRPr="00A72C73">
        <w:rPr>
          <w:rStyle w:val="jlqj4b"/>
          <w:lang w:val="en"/>
        </w:rPr>
        <w:t>(decrease by 5.5</w:t>
      </w:r>
      <w:r w:rsidRPr="00A72C73">
        <w:rPr>
          <w:rStyle w:val="jlqj4b"/>
          <w:lang w:val="en"/>
        </w:rPr>
        <w:t>%); the share of this g</w:t>
      </w:r>
      <w:r w:rsidR="00C63343" w:rsidRPr="00A72C73">
        <w:rPr>
          <w:rStyle w:val="jlqj4b"/>
          <w:lang w:val="en"/>
        </w:rPr>
        <w:t>roup of funds in total assets decreased from</w:t>
      </w:r>
      <w:r w:rsidRPr="00A72C73">
        <w:rPr>
          <w:rStyle w:val="jlqj4b"/>
          <w:lang w:val="en"/>
        </w:rPr>
        <w:t xml:space="preserve"> 46.1%</w:t>
      </w:r>
      <w:r w:rsidR="00C63343" w:rsidRPr="00A72C73">
        <w:rPr>
          <w:rStyle w:val="jlqj4b"/>
          <w:lang w:val="en"/>
        </w:rPr>
        <w:t xml:space="preserve"> to 37.3%</w:t>
      </w:r>
      <w:r w:rsidRPr="00A72C73">
        <w:rPr>
          <w:rStyle w:val="jlqj4b"/>
          <w:lang w:val="en"/>
        </w:rPr>
        <w:t>;</w:t>
      </w:r>
    </w:p>
    <w:p w:rsidR="009C6E37" w:rsidRPr="00A72C73" w:rsidRDefault="009C6E37" w:rsidP="009C6E37">
      <w:pPr>
        <w:pStyle w:val="Akapitzlist"/>
        <w:ind w:left="284"/>
        <w:rPr>
          <w:rStyle w:val="jlqj4b"/>
          <w:lang w:val="en"/>
        </w:rPr>
      </w:pPr>
    </w:p>
    <w:p w:rsidR="009C6E37" w:rsidRPr="00A72C73" w:rsidRDefault="00213AD8" w:rsidP="00213AD8">
      <w:pPr>
        <w:pStyle w:val="Akapitzlist"/>
        <w:numPr>
          <w:ilvl w:val="0"/>
          <w:numId w:val="4"/>
        </w:numPr>
        <w:ind w:left="284" w:hanging="284"/>
        <w:rPr>
          <w:rStyle w:val="jlqj4b"/>
          <w:lang w:val="en"/>
        </w:rPr>
      </w:pPr>
      <w:r w:rsidRPr="00A72C73">
        <w:rPr>
          <w:rStyle w:val="jlqj4b"/>
          <w:lang w:val="en"/>
        </w:rPr>
        <w:t xml:space="preserve">open-end investment funds </w:t>
      </w:r>
      <w:r w:rsidR="004158DE" w:rsidRPr="00A72C73">
        <w:rPr>
          <w:rStyle w:val="jlqj4b"/>
          <w:lang w:val="en"/>
        </w:rPr>
        <w:t xml:space="preserve">assets </w:t>
      </w:r>
      <w:r w:rsidR="00D70ACE" w:rsidRPr="00A72C73">
        <w:rPr>
          <w:rStyle w:val="jlqj4b"/>
          <w:lang w:val="en"/>
        </w:rPr>
        <w:t xml:space="preserve">reached the value of </w:t>
      </w:r>
      <w:r w:rsidR="00E56B2D" w:rsidRPr="00A72C73">
        <w:rPr>
          <w:rStyle w:val="jlqj4b"/>
          <w:lang w:val="en"/>
        </w:rPr>
        <w:t>139,908.2</w:t>
      </w:r>
      <w:r w:rsidRPr="00A72C73">
        <w:rPr>
          <w:rStyle w:val="jlqj4b"/>
          <w:lang w:val="en"/>
        </w:rPr>
        <w:t xml:space="preserve"> million </w:t>
      </w:r>
      <w:r w:rsidR="00D70ACE" w:rsidRPr="00A72C73">
        <w:rPr>
          <w:rStyle w:val="jlqj4b"/>
          <w:lang w:val="en"/>
        </w:rPr>
        <w:t xml:space="preserve">PLN </w:t>
      </w:r>
      <w:r w:rsidR="00E56B2D" w:rsidRPr="00A72C73">
        <w:rPr>
          <w:rStyle w:val="jlqj4b"/>
          <w:lang w:val="en"/>
        </w:rPr>
        <w:t>(increase by 30.0</w:t>
      </w:r>
      <w:r w:rsidRPr="00A72C73">
        <w:rPr>
          <w:rStyle w:val="jlqj4b"/>
          <w:lang w:val="en"/>
        </w:rPr>
        <w:t>%); the</w:t>
      </w:r>
      <w:r w:rsidR="00E56B2D" w:rsidRPr="00A72C73">
        <w:rPr>
          <w:rStyle w:val="jlqj4b"/>
          <w:lang w:val="en"/>
        </w:rPr>
        <w:t>ir share in total fund assets increased from 36.0% to 40.1</w:t>
      </w:r>
      <w:r w:rsidRPr="00A72C73">
        <w:rPr>
          <w:rStyle w:val="jlqj4b"/>
          <w:lang w:val="en"/>
        </w:rPr>
        <w:t>%;</w:t>
      </w:r>
    </w:p>
    <w:p w:rsidR="009C6E37" w:rsidRPr="00A72C73" w:rsidRDefault="009C6E37" w:rsidP="009C6E37">
      <w:pPr>
        <w:pStyle w:val="Akapitzlist"/>
        <w:rPr>
          <w:rStyle w:val="jlqj4b"/>
          <w:lang w:val="en"/>
        </w:rPr>
      </w:pPr>
    </w:p>
    <w:p w:rsidR="00B312F6" w:rsidRPr="00A72C73" w:rsidRDefault="00213AD8" w:rsidP="00566A0C">
      <w:pPr>
        <w:pStyle w:val="Akapitzlist"/>
        <w:numPr>
          <w:ilvl w:val="0"/>
          <w:numId w:val="4"/>
        </w:numPr>
        <w:ind w:left="284" w:hanging="284"/>
        <w:rPr>
          <w:lang w:val="en"/>
        </w:rPr>
      </w:pPr>
      <w:r w:rsidRPr="00A72C73">
        <w:rPr>
          <w:rStyle w:val="jlqj4b"/>
          <w:lang w:val="en"/>
        </w:rPr>
        <w:t xml:space="preserve">specialized open-end </w:t>
      </w:r>
      <w:r w:rsidR="007B3FBB" w:rsidRPr="00A72C73">
        <w:rPr>
          <w:rStyle w:val="jlqj4b"/>
          <w:lang w:val="en"/>
        </w:rPr>
        <w:t>investment funds amounted to</w:t>
      </w:r>
      <w:r w:rsidR="00EC079B" w:rsidRPr="00A72C73">
        <w:rPr>
          <w:rStyle w:val="jlqj4b"/>
          <w:lang w:val="en"/>
        </w:rPr>
        <w:t xml:space="preserve"> 79,027.2</w:t>
      </w:r>
      <w:r w:rsidRPr="00A72C73">
        <w:rPr>
          <w:rStyle w:val="jlqj4b"/>
          <w:lang w:val="en"/>
        </w:rPr>
        <w:t xml:space="preserve"> million </w:t>
      </w:r>
      <w:r w:rsidR="007B3FBB" w:rsidRPr="00A72C73">
        <w:rPr>
          <w:rStyle w:val="jlqj4b"/>
          <w:lang w:val="en"/>
        </w:rPr>
        <w:t xml:space="preserve">PLN </w:t>
      </w:r>
      <w:r w:rsidR="00EC079B" w:rsidRPr="00A72C73">
        <w:rPr>
          <w:rStyle w:val="jlqj4b"/>
          <w:lang w:val="en"/>
        </w:rPr>
        <w:t>(in</w:t>
      </w:r>
      <w:r w:rsidRPr="00A72C73">
        <w:rPr>
          <w:rStyle w:val="jlqj4b"/>
          <w:lang w:val="en"/>
        </w:rPr>
        <w:t>crease by 4</w:t>
      </w:r>
      <w:r w:rsidR="00EC079B" w:rsidRPr="00A72C73">
        <w:rPr>
          <w:rStyle w:val="jlqj4b"/>
          <w:lang w:val="en"/>
        </w:rPr>
        <w:t>7.5</w:t>
      </w:r>
      <w:r w:rsidRPr="00A72C73">
        <w:rPr>
          <w:rStyle w:val="jlqj4b"/>
          <w:lang w:val="en"/>
        </w:rPr>
        <w:t>%), their share</w:t>
      </w:r>
      <w:r w:rsidR="00EC079B" w:rsidRPr="00A72C73">
        <w:rPr>
          <w:rStyle w:val="jlqj4b"/>
          <w:lang w:val="en"/>
        </w:rPr>
        <w:t xml:space="preserve"> in total assets increased to 22.6% compared to 17.9</w:t>
      </w:r>
      <w:r w:rsidRPr="00A72C73">
        <w:rPr>
          <w:rStyle w:val="jlqj4b"/>
          <w:lang w:val="en"/>
        </w:rPr>
        <w:t>% a year ago.</w:t>
      </w:r>
    </w:p>
    <w:p w:rsidR="00FA488B" w:rsidRDefault="006309FF" w:rsidP="006309FF">
      <w:pPr>
        <w:rPr>
          <w:rStyle w:val="jlqj4b"/>
          <w:lang w:val="en"/>
        </w:rPr>
      </w:pPr>
      <w:r w:rsidRPr="00A72C73">
        <w:rPr>
          <w:rStyle w:val="jlqj4b"/>
          <w:lang w:val="en"/>
        </w:rPr>
        <w:t>The main item in the total assets of investment fund</w:t>
      </w:r>
      <w:r w:rsidR="00364240" w:rsidRPr="00A72C73">
        <w:rPr>
          <w:rStyle w:val="jlqj4b"/>
          <w:lang w:val="en"/>
        </w:rPr>
        <w:t>s were investment components</w:t>
      </w:r>
      <w:r w:rsidRPr="00A72C73">
        <w:rPr>
          <w:rStyle w:val="jlqj4b"/>
          <w:lang w:val="en"/>
        </w:rPr>
        <w:t xml:space="preserve"> listed on an active market, and their value at the </w:t>
      </w:r>
      <w:r w:rsidR="00364240" w:rsidRPr="00A72C73">
        <w:rPr>
          <w:rStyle w:val="jlqj4b"/>
          <w:lang w:val="en"/>
        </w:rPr>
        <w:t>end of June 2021</w:t>
      </w:r>
      <w:r w:rsidR="00B160F1" w:rsidRPr="00A72C73">
        <w:rPr>
          <w:rStyle w:val="jlqj4b"/>
          <w:lang w:val="en"/>
        </w:rPr>
        <w:t xml:space="preserve"> amounted to</w:t>
      </w:r>
      <w:r w:rsidR="00364240" w:rsidRPr="00A72C73">
        <w:rPr>
          <w:rStyle w:val="jlqj4b"/>
          <w:lang w:val="en"/>
        </w:rPr>
        <w:t xml:space="preserve"> 158,148.3</w:t>
      </w:r>
      <w:r w:rsidRPr="00A72C73">
        <w:rPr>
          <w:rStyle w:val="jlqj4b"/>
          <w:lang w:val="en"/>
        </w:rPr>
        <w:t xml:space="preserve"> million </w:t>
      </w:r>
      <w:r w:rsidR="00B160F1" w:rsidRPr="00A72C73">
        <w:rPr>
          <w:rStyle w:val="jlqj4b"/>
          <w:lang w:val="en"/>
        </w:rPr>
        <w:t xml:space="preserve">PLN </w:t>
      </w:r>
      <w:r w:rsidR="00364240" w:rsidRPr="00A72C73">
        <w:rPr>
          <w:rStyle w:val="jlqj4b"/>
          <w:lang w:val="en"/>
        </w:rPr>
        <w:t>and was higher by 24.7</w:t>
      </w:r>
      <w:r w:rsidR="00A147FD" w:rsidRPr="00A72C73">
        <w:rPr>
          <w:rStyle w:val="jlqj4b"/>
          <w:lang w:val="en"/>
        </w:rPr>
        <w:t>% compared to June 2020</w:t>
      </w:r>
      <w:r w:rsidRPr="00A72C73">
        <w:rPr>
          <w:rStyle w:val="jlqj4b"/>
          <w:lang w:val="en"/>
        </w:rPr>
        <w:t>. The share of this item</w:t>
      </w:r>
      <w:r w:rsidR="002D0871">
        <w:rPr>
          <w:rStyle w:val="jlqj4b"/>
          <w:lang w:val="en"/>
        </w:rPr>
        <w:t xml:space="preserve"> in total assets  in</w:t>
      </w:r>
      <w:r w:rsidR="00A147FD" w:rsidRPr="00A72C73">
        <w:rPr>
          <w:rStyle w:val="jlqj4b"/>
          <w:lang w:val="en"/>
        </w:rPr>
        <w:t>creased to 45.3% (compared to 42.4</w:t>
      </w:r>
      <w:r w:rsidRPr="00A72C73">
        <w:rPr>
          <w:rStyle w:val="jlqj4b"/>
          <w:lang w:val="en"/>
        </w:rPr>
        <w:t>% a year earlier).</w:t>
      </w:r>
    </w:p>
    <w:p w:rsidR="00FA488B" w:rsidRPr="00C14CB2" w:rsidRDefault="00B346FF" w:rsidP="006309FF">
      <w:pPr>
        <w:rPr>
          <w:rStyle w:val="jlqj4b"/>
          <w:lang w:val="en"/>
        </w:rPr>
      </w:pPr>
      <w:r w:rsidRPr="00C14CB2">
        <w:rPr>
          <w:rStyle w:val="jlqj4b"/>
          <w:lang w:val="en"/>
        </w:rPr>
        <w:lastRenderedPageBreak/>
        <w:t>In the first half of 2021</w:t>
      </w:r>
      <w:r w:rsidR="006309FF" w:rsidRPr="00C14CB2">
        <w:rPr>
          <w:rStyle w:val="jlqj4b"/>
          <w:lang w:val="en"/>
        </w:rPr>
        <w:t>, the receivables of i</w:t>
      </w:r>
      <w:r w:rsidR="004F3A2C" w:rsidRPr="00C14CB2">
        <w:rPr>
          <w:rStyle w:val="jlqj4b"/>
          <w:lang w:val="en"/>
        </w:rPr>
        <w:t xml:space="preserve">nvestment funds amounted to </w:t>
      </w:r>
      <w:r w:rsidR="001903C0" w:rsidRPr="00C14CB2">
        <w:rPr>
          <w:rStyle w:val="jlqj4b"/>
          <w:lang w:val="en"/>
        </w:rPr>
        <w:t>48,439.5</w:t>
      </w:r>
      <w:r w:rsidR="006309FF" w:rsidRPr="00C14CB2">
        <w:rPr>
          <w:rStyle w:val="jlqj4b"/>
          <w:lang w:val="en"/>
        </w:rPr>
        <w:t xml:space="preserve"> million </w:t>
      </w:r>
      <w:r w:rsidR="004F3A2C" w:rsidRPr="00C14CB2">
        <w:rPr>
          <w:rStyle w:val="jlqj4b"/>
          <w:lang w:val="en"/>
        </w:rPr>
        <w:t xml:space="preserve">PLN </w:t>
      </w:r>
      <w:r w:rsidR="006309FF" w:rsidRPr="00C14CB2">
        <w:rPr>
          <w:rStyle w:val="jlqj4b"/>
          <w:lang w:val="en"/>
        </w:rPr>
        <w:t>and were higher b</w:t>
      </w:r>
      <w:r w:rsidR="007E321D" w:rsidRPr="00C14CB2">
        <w:rPr>
          <w:rStyle w:val="jlqj4b"/>
          <w:lang w:val="en"/>
        </w:rPr>
        <w:t>y 212.0</w:t>
      </w:r>
      <w:r w:rsidR="006309FF" w:rsidRPr="00C14CB2">
        <w:rPr>
          <w:rStyle w:val="jlqj4b"/>
          <w:lang w:val="en"/>
        </w:rPr>
        <w:t xml:space="preserve">% </w:t>
      </w:r>
      <w:r w:rsidR="007E321D" w:rsidRPr="00C14CB2">
        <w:rPr>
          <w:rStyle w:val="jlqj4b"/>
          <w:lang w:val="en"/>
        </w:rPr>
        <w:t>compared to the end of June 2020</w:t>
      </w:r>
      <w:r w:rsidR="006309FF" w:rsidRPr="00C14CB2">
        <w:rPr>
          <w:rStyle w:val="jlqj4b"/>
          <w:lang w:val="en"/>
        </w:rPr>
        <w:t xml:space="preserve">. Liabilities </w:t>
      </w:r>
      <w:r w:rsidR="008C29E4" w:rsidRPr="00C14CB2">
        <w:rPr>
          <w:rStyle w:val="jlqj4b"/>
          <w:lang w:val="en"/>
        </w:rPr>
        <w:t xml:space="preserve">of investment funds reached </w:t>
      </w:r>
      <w:r w:rsidR="00BB7B83" w:rsidRPr="00C14CB2">
        <w:rPr>
          <w:rStyle w:val="jlqj4b"/>
          <w:lang w:val="en"/>
        </w:rPr>
        <w:t>21,420.3</w:t>
      </w:r>
      <w:r w:rsidR="006309FF" w:rsidRPr="00C14CB2">
        <w:rPr>
          <w:rStyle w:val="jlqj4b"/>
          <w:lang w:val="en"/>
        </w:rPr>
        <w:t xml:space="preserve"> million </w:t>
      </w:r>
      <w:r w:rsidR="008C29E4" w:rsidRPr="00C14CB2">
        <w:rPr>
          <w:rStyle w:val="jlqj4b"/>
          <w:lang w:val="en"/>
        </w:rPr>
        <w:t xml:space="preserve">PLN </w:t>
      </w:r>
      <w:r w:rsidR="00BB7B83" w:rsidRPr="00C14CB2">
        <w:rPr>
          <w:rStyle w:val="jlqj4b"/>
          <w:lang w:val="en"/>
        </w:rPr>
        <w:t>(increase by 16.2</w:t>
      </w:r>
      <w:r w:rsidR="006309FF" w:rsidRPr="00C14CB2">
        <w:rPr>
          <w:rStyle w:val="jlqj4b"/>
          <w:lang w:val="en"/>
        </w:rPr>
        <w:t>%). The largest liabilities in the amount of</w:t>
      </w:r>
      <w:r w:rsidR="00580E2D" w:rsidRPr="00C14CB2">
        <w:rPr>
          <w:rStyle w:val="jlqj4b"/>
          <w:lang w:val="en"/>
        </w:rPr>
        <w:t xml:space="preserve"> 14,380.0</w:t>
      </w:r>
      <w:r w:rsidR="0018615B" w:rsidRPr="00C14CB2">
        <w:rPr>
          <w:rStyle w:val="jlqj4b"/>
          <w:lang w:val="en"/>
        </w:rPr>
        <w:t xml:space="preserve"> million </w:t>
      </w:r>
      <w:r w:rsidR="008C29E4" w:rsidRPr="00C14CB2">
        <w:rPr>
          <w:rStyle w:val="jlqj4b"/>
          <w:lang w:val="en"/>
        </w:rPr>
        <w:t xml:space="preserve">PLN </w:t>
      </w:r>
      <w:r w:rsidR="0018615B" w:rsidRPr="00C14CB2">
        <w:rPr>
          <w:rStyle w:val="jlqj4b"/>
          <w:lang w:val="en"/>
        </w:rPr>
        <w:t>were registered</w:t>
      </w:r>
      <w:r w:rsidR="006309FF" w:rsidRPr="00C14CB2">
        <w:rPr>
          <w:rStyle w:val="jlqj4b"/>
          <w:lang w:val="en"/>
        </w:rPr>
        <w:t xml:space="preserve"> by open-end investme</w:t>
      </w:r>
      <w:r w:rsidR="00580E2D" w:rsidRPr="00C14CB2">
        <w:rPr>
          <w:rStyle w:val="jlqj4b"/>
          <w:lang w:val="en"/>
        </w:rPr>
        <w:t>nt funds, which accounted for 67.1</w:t>
      </w:r>
      <w:r w:rsidR="006309FF" w:rsidRPr="00C14CB2">
        <w:rPr>
          <w:rStyle w:val="jlqj4b"/>
          <w:lang w:val="en"/>
        </w:rPr>
        <w:t>% of the value of liabili</w:t>
      </w:r>
      <w:r w:rsidR="00580E2D" w:rsidRPr="00C14CB2">
        <w:rPr>
          <w:rStyle w:val="jlqj4b"/>
          <w:lang w:val="en"/>
        </w:rPr>
        <w:t>ties of all investment funds (58.3</w:t>
      </w:r>
      <w:r w:rsidR="006309FF" w:rsidRPr="00C14CB2">
        <w:rPr>
          <w:rStyle w:val="jlqj4b"/>
          <w:lang w:val="en"/>
        </w:rPr>
        <w:t xml:space="preserve">% the year before). </w:t>
      </w:r>
    </w:p>
    <w:p w:rsidR="006309FF" w:rsidRDefault="006309FF" w:rsidP="006309FF">
      <w:pPr>
        <w:rPr>
          <w:rStyle w:val="jlqj4b"/>
          <w:lang w:val="en"/>
        </w:rPr>
      </w:pPr>
      <w:r w:rsidRPr="00C14CB2">
        <w:rPr>
          <w:rStyle w:val="jlqj4b"/>
          <w:lang w:val="en"/>
        </w:rPr>
        <w:t>On June 30, 20</w:t>
      </w:r>
      <w:r w:rsidR="00D475D9" w:rsidRPr="00C14CB2">
        <w:rPr>
          <w:rStyle w:val="jlqj4b"/>
          <w:lang w:val="en"/>
        </w:rPr>
        <w:t>21</w:t>
      </w:r>
      <w:r w:rsidR="0059644D" w:rsidRPr="00C14CB2">
        <w:rPr>
          <w:rStyle w:val="jlqj4b"/>
          <w:lang w:val="en"/>
        </w:rPr>
        <w:t>, the net assets of the</w:t>
      </w:r>
      <w:r w:rsidR="007A2290" w:rsidRPr="00C14CB2">
        <w:rPr>
          <w:rStyle w:val="jlqj4b"/>
          <w:lang w:val="en"/>
        </w:rPr>
        <w:t xml:space="preserve"> funds amounted to </w:t>
      </w:r>
      <w:r w:rsidR="00D475D9" w:rsidRPr="00C14CB2">
        <w:rPr>
          <w:rStyle w:val="jlqj4b"/>
          <w:lang w:val="en"/>
        </w:rPr>
        <w:t>327,518.4</w:t>
      </w:r>
      <w:r w:rsidRPr="00C14CB2">
        <w:rPr>
          <w:rStyle w:val="jlqj4b"/>
          <w:lang w:val="en"/>
        </w:rPr>
        <w:t xml:space="preserve"> million</w:t>
      </w:r>
      <w:r w:rsidR="007A2290" w:rsidRPr="00C14CB2">
        <w:rPr>
          <w:rStyle w:val="jlqj4b"/>
          <w:lang w:val="en"/>
        </w:rPr>
        <w:t xml:space="preserve"> PLN</w:t>
      </w:r>
      <w:r w:rsidR="00C07260" w:rsidRPr="00C14CB2">
        <w:rPr>
          <w:rStyle w:val="jlqj4b"/>
          <w:lang w:val="en"/>
        </w:rPr>
        <w:t>, i.e. 16.8% high</w:t>
      </w:r>
      <w:r w:rsidRPr="00C14CB2">
        <w:rPr>
          <w:rStyle w:val="jlqj4b"/>
          <w:lang w:val="en"/>
        </w:rPr>
        <w:t xml:space="preserve">er than at the end of June </w:t>
      </w:r>
      <w:r w:rsidR="00C07260" w:rsidRPr="00C14CB2">
        <w:rPr>
          <w:rStyle w:val="jlqj4b"/>
          <w:lang w:val="en"/>
        </w:rPr>
        <w:t>2020</w:t>
      </w:r>
      <w:r w:rsidRPr="00C14CB2">
        <w:rPr>
          <w:rStyle w:val="jlqj4b"/>
          <w:lang w:val="en"/>
        </w:rPr>
        <w:t>. The net assets of the closed-end i</w:t>
      </w:r>
      <w:r w:rsidR="005C4AD9" w:rsidRPr="00C14CB2">
        <w:rPr>
          <w:rStyle w:val="jlqj4b"/>
          <w:lang w:val="en"/>
        </w:rPr>
        <w:t xml:space="preserve">nvestment funds amounted to </w:t>
      </w:r>
      <w:r w:rsidR="00EC7642" w:rsidRPr="00C14CB2">
        <w:rPr>
          <w:rStyle w:val="jlqj4b"/>
          <w:lang w:val="en"/>
        </w:rPr>
        <w:t>126,539.2 million PLN (4.4</w:t>
      </w:r>
      <w:r w:rsidRPr="00C14CB2">
        <w:rPr>
          <w:rStyle w:val="jlqj4b"/>
          <w:lang w:val="en"/>
        </w:rPr>
        <w:t>% lower than in the</w:t>
      </w:r>
      <w:r w:rsidR="00FA552A" w:rsidRPr="00C14CB2">
        <w:rPr>
          <w:rStyle w:val="jlqj4b"/>
          <w:lang w:val="en"/>
        </w:rPr>
        <w:t xml:space="preserve"> previous year), open-end investment</w:t>
      </w:r>
      <w:r w:rsidR="005C4AD9" w:rsidRPr="00C14CB2">
        <w:rPr>
          <w:rStyle w:val="jlqj4b"/>
          <w:lang w:val="en"/>
        </w:rPr>
        <w:t xml:space="preserve"> funds </w:t>
      </w:r>
      <w:r w:rsidR="002D0871">
        <w:rPr>
          <w:rStyle w:val="jlqj4b"/>
          <w:lang w:val="en"/>
        </w:rPr>
        <w:t xml:space="preserve">- to </w:t>
      </w:r>
      <w:r w:rsidR="00914DF1" w:rsidRPr="00C14CB2">
        <w:rPr>
          <w:rStyle w:val="jlqj4b"/>
          <w:lang w:val="en"/>
        </w:rPr>
        <w:t>125,528.2</w:t>
      </w:r>
      <w:r w:rsidRPr="00C14CB2">
        <w:rPr>
          <w:rStyle w:val="jlqj4b"/>
          <w:lang w:val="en"/>
        </w:rPr>
        <w:t xml:space="preserve"> million </w:t>
      </w:r>
      <w:r w:rsidR="005C4AD9" w:rsidRPr="00C14CB2">
        <w:rPr>
          <w:rStyle w:val="jlqj4b"/>
          <w:lang w:val="en"/>
        </w:rPr>
        <w:t xml:space="preserve">PLN </w:t>
      </w:r>
      <w:r w:rsidR="00914DF1" w:rsidRPr="00C14CB2">
        <w:rPr>
          <w:rStyle w:val="jlqj4b"/>
          <w:lang w:val="en"/>
        </w:rPr>
        <w:t>(29.5% high</w:t>
      </w:r>
      <w:r w:rsidRPr="00C14CB2">
        <w:rPr>
          <w:rStyle w:val="jlqj4b"/>
          <w:lang w:val="en"/>
        </w:rPr>
        <w:t>er), and specialized open-end funds</w:t>
      </w:r>
      <w:r w:rsidR="005C4AD9" w:rsidRPr="00C14CB2">
        <w:rPr>
          <w:rStyle w:val="jlqj4b"/>
          <w:lang w:val="en"/>
        </w:rPr>
        <w:t xml:space="preserve"> </w:t>
      </w:r>
      <w:r w:rsidR="002D0871">
        <w:rPr>
          <w:rStyle w:val="jlqj4b"/>
          <w:lang w:val="en"/>
        </w:rPr>
        <w:t xml:space="preserve"> to </w:t>
      </w:r>
      <w:r w:rsidR="009215EB" w:rsidRPr="00C14CB2">
        <w:rPr>
          <w:rStyle w:val="jlqj4b"/>
          <w:lang w:val="en"/>
        </w:rPr>
        <w:t>75,451.0</w:t>
      </w:r>
      <w:r w:rsidRPr="00C14CB2">
        <w:rPr>
          <w:rStyle w:val="jlqj4b"/>
          <w:lang w:val="en"/>
        </w:rPr>
        <w:t xml:space="preserve"> million </w:t>
      </w:r>
      <w:r w:rsidR="005C4AD9" w:rsidRPr="00C14CB2">
        <w:rPr>
          <w:rStyle w:val="jlqj4b"/>
          <w:lang w:val="en"/>
        </w:rPr>
        <w:t xml:space="preserve">PLN </w:t>
      </w:r>
      <w:r w:rsidR="009215EB" w:rsidRPr="00C14CB2">
        <w:rPr>
          <w:rStyle w:val="jlqj4b"/>
          <w:lang w:val="en"/>
        </w:rPr>
        <w:t>(in</w:t>
      </w:r>
      <w:r w:rsidRPr="00C14CB2">
        <w:rPr>
          <w:rStyle w:val="jlqj4b"/>
          <w:lang w:val="en"/>
        </w:rPr>
        <w:t xml:space="preserve">crease by </w:t>
      </w:r>
      <w:r w:rsidR="009215EB" w:rsidRPr="00C14CB2">
        <w:rPr>
          <w:rStyle w:val="jlqj4b"/>
          <w:lang w:val="en"/>
        </w:rPr>
        <w:t>47.6</w:t>
      </w:r>
      <w:r w:rsidRPr="00C14CB2">
        <w:rPr>
          <w:rStyle w:val="jlqj4b"/>
          <w:lang w:val="en"/>
        </w:rPr>
        <w:t>% ).</w:t>
      </w:r>
    </w:p>
    <w:p w:rsidR="00073E55" w:rsidRPr="00161F48" w:rsidRDefault="00073E55" w:rsidP="006309FF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2E3BE8" w:rsidRPr="000744E8" w:rsidRDefault="00050E9C" w:rsidP="002E3BE8">
      <w:pPr>
        <w:rPr>
          <w:shd w:val="clear" w:color="auto" w:fill="FFFFFF"/>
          <w:lang w:val="en-US"/>
        </w:rPr>
      </w:pPr>
      <w:r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298450</wp:posOffset>
                </wp:positionV>
                <wp:extent cx="1725295" cy="1333500"/>
                <wp:effectExtent l="0" t="0" r="0" b="0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CD0" w:rsidRDefault="00F21D04" w:rsidP="00BF3CD0">
                            <w:pPr>
                              <w:rPr>
                                <w:rStyle w:val="jlqj4b"/>
                                <w:lang w:val="en"/>
                              </w:rPr>
                            </w:pPr>
                            <w:r>
                              <w:rPr>
                                <w:rStyle w:val="jlqj4b"/>
                                <w:lang w:val="en"/>
                              </w:rPr>
                              <w:t>At th</w:t>
                            </w:r>
                            <w:r w:rsidR="006569DC">
                              <w:rPr>
                                <w:rStyle w:val="jlqj4b"/>
                                <w:lang w:val="en"/>
                              </w:rPr>
                              <w:t>e end of June 2021</w:t>
                            </w:r>
                            <w:r w:rsidR="00D156EB">
                              <w:rPr>
                                <w:rStyle w:val="jlqj4b"/>
                                <w:lang w:val="en"/>
                              </w:rPr>
                              <w:t xml:space="preserve">, </w:t>
                            </w:r>
                            <w:r w:rsidR="00BF3CD0">
                              <w:rPr>
                                <w:rStyle w:val="jlqj4b"/>
                                <w:lang w:val="en"/>
                              </w:rPr>
                              <w:t xml:space="preserve"> the investments of i</w:t>
                            </w:r>
                            <w:r w:rsidR="008E7442">
                              <w:rPr>
                                <w:rStyle w:val="jlqj4b"/>
                                <w:lang w:val="en"/>
                              </w:rPr>
                              <w:t xml:space="preserve">nvestment funds amounted to </w:t>
                            </w:r>
                            <w:r w:rsidR="006D171D">
                              <w:rPr>
                                <w:rStyle w:val="jlqj4b"/>
                                <w:lang w:val="en"/>
                              </w:rPr>
                              <w:t>281.3</w:t>
                            </w:r>
                            <w:r w:rsidR="00BF3CD0">
                              <w:rPr>
                                <w:rStyle w:val="jlqj4b"/>
                                <w:lang w:val="en"/>
                              </w:rPr>
                              <w:t xml:space="preserve"> billion</w:t>
                            </w:r>
                            <w:r w:rsidR="008E7442">
                              <w:rPr>
                                <w:rStyle w:val="jlqj4b"/>
                                <w:lang w:val="en"/>
                              </w:rPr>
                              <w:t xml:space="preserve"> PLN</w:t>
                            </w:r>
                            <w:r w:rsidR="00BF3CD0">
                              <w:rPr>
                                <w:rStyle w:val="jlqj4b"/>
                                <w:lang w:val="en"/>
                              </w:rPr>
                              <w:t>.</w:t>
                            </w:r>
                          </w:p>
                          <w:p w:rsidR="00F21D04" w:rsidRDefault="00F21D04" w:rsidP="00F21D04">
                            <w:pPr>
                              <w:rPr>
                                <w:rStyle w:val="jlqj4b"/>
                                <w:lang w:val="en"/>
                              </w:rPr>
                            </w:pPr>
                          </w:p>
                          <w:p w:rsidR="00EA548D" w:rsidRPr="00EA548D" w:rsidRDefault="00EA548D" w:rsidP="00EA548D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EA548D" w:rsidRPr="00EA548D" w:rsidRDefault="00EA548D" w:rsidP="00EA548D">
                            <w:pPr>
                              <w:pStyle w:val="LID"/>
                              <w:spacing w:after="20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noProof w:val="0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63AC3" w:rsidRPr="00EA548D" w:rsidRDefault="00363AC3" w:rsidP="00363AC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11EEC" w:rsidRPr="000744E8" w:rsidRDefault="00711EEC" w:rsidP="00711EE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11EEC" w:rsidRPr="000744E8" w:rsidRDefault="00711EEC" w:rsidP="00DC02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413.25pt;margin-top:23.5pt;width:135.85pt;height:1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" filled="f" stroked="f">
                <v:textbox>
                  <w:txbxContent>
                    <w:p w:rsidR="00BF3CD0" w:rsidRDefault="00F21D04" w:rsidP="00BF3CD0">
                      <w:pPr>
                        <w:rPr>
                          <w:rStyle w:val="jlqj4b"/>
                          <w:lang w:val="en"/>
                        </w:rPr>
                      </w:pPr>
                      <w:r>
                        <w:rPr>
                          <w:rStyle w:val="jlqj4b"/>
                          <w:lang w:val="en"/>
                        </w:rPr>
                        <w:t>At th</w:t>
                      </w:r>
                      <w:r w:rsidR="006569DC">
                        <w:rPr>
                          <w:rStyle w:val="jlqj4b"/>
                          <w:lang w:val="en"/>
                        </w:rPr>
                        <w:t>e end of June 2021</w:t>
                      </w:r>
                      <w:r w:rsidR="00D156EB">
                        <w:rPr>
                          <w:rStyle w:val="jlqj4b"/>
                          <w:lang w:val="en"/>
                        </w:rPr>
                        <w:t xml:space="preserve">, </w:t>
                      </w:r>
                      <w:r w:rsidR="00BF3CD0">
                        <w:rPr>
                          <w:rStyle w:val="jlqj4b"/>
                          <w:lang w:val="en"/>
                        </w:rPr>
                        <w:t xml:space="preserve"> the investments of i</w:t>
                      </w:r>
                      <w:r w:rsidR="008E7442">
                        <w:rPr>
                          <w:rStyle w:val="jlqj4b"/>
                          <w:lang w:val="en"/>
                        </w:rPr>
                        <w:t xml:space="preserve">nvestment funds amounted to </w:t>
                      </w:r>
                      <w:r w:rsidR="006D171D">
                        <w:rPr>
                          <w:rStyle w:val="jlqj4b"/>
                          <w:lang w:val="en"/>
                        </w:rPr>
                        <w:t>281.3</w:t>
                      </w:r>
                      <w:r w:rsidR="00BF3CD0">
                        <w:rPr>
                          <w:rStyle w:val="jlqj4b"/>
                          <w:lang w:val="en"/>
                        </w:rPr>
                        <w:t xml:space="preserve"> billion</w:t>
                      </w:r>
                      <w:r w:rsidR="008E7442">
                        <w:rPr>
                          <w:rStyle w:val="jlqj4b"/>
                          <w:lang w:val="en"/>
                        </w:rPr>
                        <w:t xml:space="preserve"> PLN</w:t>
                      </w:r>
                      <w:r w:rsidR="00BF3CD0">
                        <w:rPr>
                          <w:rStyle w:val="jlqj4b"/>
                          <w:lang w:val="en"/>
                        </w:rPr>
                        <w:t>.</w:t>
                      </w:r>
                    </w:p>
                    <w:p w:rsidR="00F21D04" w:rsidRDefault="00F21D04" w:rsidP="00F21D04">
                      <w:pPr>
                        <w:rPr>
                          <w:rStyle w:val="jlqj4b"/>
                          <w:lang w:val="en"/>
                        </w:rPr>
                      </w:pPr>
                    </w:p>
                    <w:p w:rsidR="00EA548D" w:rsidRPr="00EA548D" w:rsidRDefault="00EA548D" w:rsidP="00EA548D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EA548D" w:rsidRPr="00EA548D" w:rsidRDefault="00EA548D" w:rsidP="00EA548D">
                      <w:pPr>
                        <w:pStyle w:val="LID"/>
                        <w:spacing w:after="20"/>
                        <w:jc w:val="both"/>
                        <w:rPr>
                          <w:rFonts w:eastAsia="Times New Roman" w:cs="Times New Roman"/>
                          <w:b w:val="0"/>
                          <w:bCs/>
                          <w:noProof w:val="0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363AC3" w:rsidRPr="00EA548D" w:rsidRDefault="00363AC3" w:rsidP="00363AC3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11EEC" w:rsidRPr="000744E8" w:rsidRDefault="00711EEC" w:rsidP="00711EE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11EEC" w:rsidRPr="000744E8" w:rsidRDefault="00711EEC" w:rsidP="00DC02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85C9C" w:rsidRPr="003B3875" w:rsidRDefault="00185C9C" w:rsidP="00185C9C">
      <w:pPr>
        <w:rPr>
          <w:b/>
          <w:spacing w:val="-2"/>
          <w:sz w:val="18"/>
          <w:shd w:val="clear" w:color="auto" w:fill="FFFFFF"/>
          <w:lang w:val="en-US"/>
        </w:rPr>
      </w:pPr>
      <w:r w:rsidRPr="00C14CB2">
        <w:rPr>
          <w:b/>
          <w:spacing w:val="-2"/>
          <w:sz w:val="18"/>
          <w:shd w:val="clear" w:color="auto" w:fill="FFFFFF"/>
          <w:lang w:val="en-US"/>
        </w:rPr>
        <w:t>Table 2. Selected items from the balance sheet of investment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185C9C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185C9C" w:rsidRPr="00787151" w:rsidRDefault="004B6756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7871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185C9C" w:rsidRPr="00787151" w:rsidRDefault="004B4CB1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87151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First half of </w:t>
            </w:r>
            <w:r w:rsidR="0058039E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:rsidR="00185C9C" w:rsidRPr="00787151" w:rsidRDefault="0058039E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2021</w:t>
            </w:r>
          </w:p>
        </w:tc>
        <w:tc>
          <w:tcPr>
            <w:tcW w:w="1701" w:type="dxa"/>
            <w:vMerge w:val="restart"/>
            <w:vAlign w:val="center"/>
          </w:tcPr>
          <w:p w:rsidR="00185C9C" w:rsidRPr="00787151" w:rsidRDefault="0058039E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2020</w:t>
            </w:r>
            <w:r w:rsidR="00185C9C" w:rsidRPr="00787151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185C9C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185C9C" w:rsidRPr="001A3D3F" w:rsidRDefault="00185C9C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185C9C" w:rsidRPr="001A3D3F" w:rsidRDefault="001B1432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="00A9613B">
              <w:rPr>
                <w:rFonts w:ascii="Fira Sans" w:hAnsi="Fira Sans"/>
                <w:color w:val="000000" w:themeColor="text1"/>
                <w:sz w:val="16"/>
                <w:szCs w:val="16"/>
              </w:rPr>
              <w:t>n mi</w:t>
            </w:r>
            <w:r w:rsidR="007548DC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="00447C60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 w:rsidR="004B6756">
              <w:rPr>
                <w:rFonts w:ascii="Fira Sans" w:hAnsi="Fira Sans"/>
                <w:color w:val="000000" w:themeColor="text1"/>
                <w:sz w:val="16"/>
                <w:szCs w:val="16"/>
              </w:rPr>
              <w:t>ion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185C9C" w:rsidRPr="001A3D3F" w:rsidRDefault="00185C9C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8039E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8039E" w:rsidRPr="001A3D3F" w:rsidRDefault="0058039E" w:rsidP="0058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assets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348 938,8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58039E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58039E" w:rsidRPr="001A3D3F" w:rsidRDefault="0058039E" w:rsidP="0058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Receivables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48 439,5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312,0</w:t>
            </w:r>
          </w:p>
        </w:tc>
      </w:tr>
      <w:tr w:rsidR="0058039E" w:rsidRPr="001A3D3F" w:rsidTr="00216B15">
        <w:trPr>
          <w:trHeight w:hRule="exact" w:val="761"/>
        </w:trPr>
        <w:tc>
          <w:tcPr>
            <w:tcW w:w="2823" w:type="dxa"/>
            <w:vAlign w:val="center"/>
          </w:tcPr>
          <w:p w:rsidR="0058039E" w:rsidRPr="003B3875" w:rsidRDefault="0058039E" w:rsidP="0058039E">
            <w:pPr>
              <w:rPr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 xml:space="preserve">     </w:t>
            </w:r>
            <w:r w:rsidRPr="003B3875">
              <w:rPr>
                <w:lang w:val="en-US"/>
              </w:rPr>
              <w:t xml:space="preserve"> </w:t>
            </w:r>
            <w:r w:rsidRPr="003B3875">
              <w:rPr>
                <w:sz w:val="16"/>
                <w:szCs w:val="16"/>
                <w:lang w:val="en-US"/>
              </w:rPr>
              <w:t>Investment components not listed on an active market</w:t>
            </w:r>
          </w:p>
          <w:p w:rsidR="0058039E" w:rsidRPr="003B3875" w:rsidRDefault="0058039E" w:rsidP="005803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138 431,4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122 432,3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</w:tr>
      <w:tr w:rsidR="0058039E" w:rsidRPr="001A3D3F" w:rsidTr="00216B15">
        <w:trPr>
          <w:trHeight w:hRule="exact" w:val="802"/>
        </w:trPr>
        <w:tc>
          <w:tcPr>
            <w:tcW w:w="2823" w:type="dxa"/>
            <w:vAlign w:val="center"/>
          </w:tcPr>
          <w:p w:rsidR="0058039E" w:rsidRPr="003B3875" w:rsidRDefault="0058039E" w:rsidP="0058039E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 xml:space="preserve">      Investment components listed on an active market</w:t>
            </w:r>
          </w:p>
        </w:tc>
        <w:tc>
          <w:tcPr>
            <w:tcW w:w="1701" w:type="dxa"/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126 772,4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158 148,3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124,7</w:t>
            </w:r>
          </w:p>
        </w:tc>
      </w:tr>
      <w:tr w:rsidR="0058039E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8039E" w:rsidRPr="001A3D3F" w:rsidRDefault="0058039E" w:rsidP="0058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Liabilities</w:t>
            </w:r>
          </w:p>
        </w:tc>
        <w:tc>
          <w:tcPr>
            <w:tcW w:w="1701" w:type="dxa"/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18 428,6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21 420,3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</w:tr>
      <w:tr w:rsidR="0058039E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8039E" w:rsidRPr="001A3D3F" w:rsidRDefault="0058039E" w:rsidP="0058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 assets</w:t>
            </w:r>
          </w:p>
        </w:tc>
        <w:tc>
          <w:tcPr>
            <w:tcW w:w="1701" w:type="dxa"/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280 365,2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327 518,4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58039E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58039E" w:rsidRPr="001A3D3F" w:rsidRDefault="0058039E" w:rsidP="0058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Capital </w:t>
            </w:r>
          </w:p>
        </w:tc>
        <w:tc>
          <w:tcPr>
            <w:tcW w:w="1701" w:type="dxa"/>
            <w:vAlign w:val="bottom"/>
          </w:tcPr>
          <w:p w:rsidR="0058039E" w:rsidRPr="001A3D3F" w:rsidRDefault="0058039E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190 071,1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220 795,0</w:t>
            </w:r>
          </w:p>
        </w:tc>
        <w:tc>
          <w:tcPr>
            <w:tcW w:w="1701" w:type="dxa"/>
            <w:vAlign w:val="bottom"/>
          </w:tcPr>
          <w:p w:rsidR="0058039E" w:rsidRPr="001A3D3F" w:rsidRDefault="000842B9" w:rsidP="0058039E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</w:tr>
    </w:tbl>
    <w:p w:rsidR="00EE1CE5" w:rsidRDefault="00EE1CE5" w:rsidP="002E3BE8">
      <w:pPr>
        <w:rPr>
          <w:shd w:val="clear" w:color="auto" w:fill="FFFFFF"/>
          <w:lang w:val="en-US"/>
        </w:rPr>
      </w:pPr>
    </w:p>
    <w:p w:rsidR="00EE1462" w:rsidRDefault="00EE1462" w:rsidP="002E3BE8">
      <w:pPr>
        <w:rPr>
          <w:shd w:val="clear" w:color="auto" w:fill="FFFFFF"/>
          <w:lang w:val="en-US"/>
        </w:rPr>
      </w:pPr>
    </w:p>
    <w:p w:rsidR="002E38E1" w:rsidRPr="000D1FDC" w:rsidRDefault="002E38E1" w:rsidP="002E38E1">
      <w:pPr>
        <w:rPr>
          <w:rStyle w:val="jlqj4b"/>
          <w:lang w:val="en"/>
        </w:rPr>
      </w:pPr>
      <w:r w:rsidRPr="000D1FDC">
        <w:rPr>
          <w:rStyle w:val="jlqj4b"/>
          <w:lang w:val="en"/>
        </w:rPr>
        <w:t>The total value of investments of mutual funds at the e</w:t>
      </w:r>
      <w:r w:rsidR="0065716C" w:rsidRPr="000D1FDC">
        <w:rPr>
          <w:rStyle w:val="jlqj4b"/>
          <w:lang w:val="en"/>
        </w:rPr>
        <w:t>nd of June 2021 in</w:t>
      </w:r>
      <w:r w:rsidR="0078682E" w:rsidRPr="000D1FDC">
        <w:rPr>
          <w:rStyle w:val="jlqj4b"/>
          <w:lang w:val="en"/>
        </w:rPr>
        <w:t xml:space="preserve">creased to </w:t>
      </w:r>
      <w:r w:rsidR="0065716C" w:rsidRPr="000D1FDC">
        <w:rPr>
          <w:rStyle w:val="jlqj4b"/>
          <w:lang w:val="en"/>
        </w:rPr>
        <w:t xml:space="preserve"> 281</w:t>
      </w:r>
      <w:r w:rsidR="00933E17" w:rsidRPr="000D1FDC">
        <w:rPr>
          <w:rStyle w:val="jlqj4b"/>
          <w:lang w:val="en"/>
        </w:rPr>
        <w:t>,258.4</w:t>
      </w:r>
      <w:r w:rsidRPr="000D1FDC">
        <w:rPr>
          <w:rStyle w:val="jlqj4b"/>
          <w:lang w:val="en"/>
        </w:rPr>
        <w:t xml:space="preserve"> million </w:t>
      </w:r>
      <w:r w:rsidR="0078682E" w:rsidRPr="000D1FDC">
        <w:rPr>
          <w:rStyle w:val="jlqj4b"/>
          <w:lang w:val="en"/>
        </w:rPr>
        <w:t xml:space="preserve">PLN </w:t>
      </w:r>
      <w:r w:rsidR="00933E17" w:rsidRPr="000D1FDC">
        <w:rPr>
          <w:rStyle w:val="jlqj4b"/>
          <w:lang w:val="en"/>
        </w:rPr>
        <w:t>(by 5.7</w:t>
      </w:r>
      <w:r w:rsidRPr="000D1FDC">
        <w:rPr>
          <w:rStyle w:val="jlqj4b"/>
          <w:lang w:val="en"/>
        </w:rPr>
        <w:t>%).</w:t>
      </w:r>
      <w:r w:rsidRPr="000D1FDC">
        <w:rPr>
          <w:rStyle w:val="viiyi"/>
          <w:lang w:val="en"/>
        </w:rPr>
        <w:t xml:space="preserve"> </w:t>
      </w:r>
      <w:r w:rsidRPr="000D1FDC">
        <w:rPr>
          <w:rStyle w:val="jlqj4b"/>
          <w:lang w:val="en"/>
        </w:rPr>
        <w:t xml:space="preserve">The main component of investments were debt </w:t>
      </w:r>
      <w:r w:rsidR="00B16576" w:rsidRPr="000D1FDC">
        <w:rPr>
          <w:rStyle w:val="jlqj4b"/>
          <w:lang w:val="en"/>
        </w:rPr>
        <w:t xml:space="preserve">securities in the amount of </w:t>
      </w:r>
      <w:r w:rsidR="005C11A2" w:rsidRPr="000D1FDC">
        <w:rPr>
          <w:rStyle w:val="jlqj4b"/>
          <w:lang w:val="en"/>
        </w:rPr>
        <w:t>165,022.2</w:t>
      </w:r>
      <w:r w:rsidRPr="000D1FDC">
        <w:rPr>
          <w:rStyle w:val="jlqj4b"/>
          <w:lang w:val="en"/>
        </w:rPr>
        <w:t xml:space="preserve"> million </w:t>
      </w:r>
      <w:r w:rsidR="00B16576" w:rsidRPr="000D1FDC">
        <w:rPr>
          <w:rStyle w:val="jlqj4b"/>
          <w:lang w:val="en"/>
        </w:rPr>
        <w:t xml:space="preserve">PLN </w:t>
      </w:r>
      <w:r w:rsidR="005C11A2" w:rsidRPr="000D1FDC">
        <w:rPr>
          <w:rStyle w:val="jlqj4b"/>
          <w:lang w:val="en"/>
        </w:rPr>
        <w:t>(increase by 22.4</w:t>
      </w:r>
      <w:r w:rsidRPr="000D1FDC">
        <w:rPr>
          <w:rStyle w:val="jlqj4b"/>
          <w:lang w:val="en"/>
        </w:rPr>
        <w:t>%).</w:t>
      </w:r>
      <w:r w:rsidRPr="000D1FDC">
        <w:rPr>
          <w:rStyle w:val="viiyi"/>
          <w:lang w:val="en"/>
        </w:rPr>
        <w:t xml:space="preserve"> </w:t>
      </w:r>
      <w:r w:rsidRPr="000D1FDC">
        <w:rPr>
          <w:rStyle w:val="jlqj4b"/>
          <w:lang w:val="en"/>
        </w:rPr>
        <w:t>The value</w:t>
      </w:r>
      <w:r w:rsidR="00653142" w:rsidRPr="000D1FDC">
        <w:rPr>
          <w:rStyle w:val="jlqj4b"/>
          <w:lang w:val="en"/>
        </w:rPr>
        <w:t xml:space="preserve"> of the shares de</w:t>
      </w:r>
      <w:r w:rsidR="0056311C" w:rsidRPr="000D1FDC">
        <w:rPr>
          <w:rStyle w:val="jlqj4b"/>
          <w:lang w:val="en"/>
        </w:rPr>
        <w:t xml:space="preserve">creased to </w:t>
      </w:r>
      <w:r w:rsidR="00653142" w:rsidRPr="000D1FDC">
        <w:rPr>
          <w:rStyle w:val="jlqj4b"/>
          <w:lang w:val="en"/>
        </w:rPr>
        <w:t>54,422.6</w:t>
      </w:r>
      <w:r w:rsidRPr="000D1FDC">
        <w:rPr>
          <w:rStyle w:val="jlqj4b"/>
          <w:lang w:val="en"/>
        </w:rPr>
        <w:t xml:space="preserve"> million </w:t>
      </w:r>
      <w:r w:rsidR="0056311C" w:rsidRPr="000D1FDC">
        <w:rPr>
          <w:rStyle w:val="jlqj4b"/>
          <w:lang w:val="en"/>
        </w:rPr>
        <w:t xml:space="preserve">PLN </w:t>
      </w:r>
      <w:r w:rsidR="00653142" w:rsidRPr="000D1FDC">
        <w:rPr>
          <w:rStyle w:val="jlqj4b"/>
          <w:lang w:val="en"/>
        </w:rPr>
        <w:t>(by 24.9</w:t>
      </w:r>
      <w:r w:rsidRPr="000D1FDC">
        <w:rPr>
          <w:rStyle w:val="jlqj4b"/>
          <w:lang w:val="en"/>
        </w:rPr>
        <w:t>%).</w:t>
      </w:r>
      <w:r w:rsidRPr="000D1FDC">
        <w:rPr>
          <w:rStyle w:val="viiyi"/>
          <w:lang w:val="en"/>
        </w:rPr>
        <w:t xml:space="preserve"> </w:t>
      </w:r>
      <w:r w:rsidR="00912F50" w:rsidRPr="000D1FDC">
        <w:rPr>
          <w:rStyle w:val="jlqj4b"/>
          <w:lang w:val="en"/>
        </w:rPr>
        <w:t xml:space="preserve">Receivables amounted to </w:t>
      </w:r>
      <w:r w:rsidR="002E75E8" w:rsidRPr="000D1FDC">
        <w:rPr>
          <w:rStyle w:val="jlqj4b"/>
          <w:lang w:val="en"/>
        </w:rPr>
        <w:t>14,290</w:t>
      </w:r>
      <w:r w:rsidRPr="000D1FDC">
        <w:rPr>
          <w:rStyle w:val="jlqj4b"/>
          <w:lang w:val="en"/>
        </w:rPr>
        <w:t xml:space="preserve">.8 million </w:t>
      </w:r>
      <w:r w:rsidR="00912F50" w:rsidRPr="000D1FDC">
        <w:rPr>
          <w:rStyle w:val="jlqj4b"/>
          <w:lang w:val="en"/>
        </w:rPr>
        <w:t xml:space="preserve">PLN </w:t>
      </w:r>
      <w:r w:rsidR="002E75E8" w:rsidRPr="000D1FDC">
        <w:rPr>
          <w:rStyle w:val="jlqj4b"/>
          <w:lang w:val="en"/>
        </w:rPr>
        <w:t>(an decrease by 24.0</w:t>
      </w:r>
      <w:r w:rsidRPr="000D1FDC">
        <w:rPr>
          <w:rStyle w:val="jlqj4b"/>
          <w:lang w:val="en"/>
        </w:rPr>
        <w:t>%).</w:t>
      </w:r>
      <w:r w:rsidRPr="000D1FDC">
        <w:rPr>
          <w:rStyle w:val="viiyi"/>
          <w:lang w:val="en"/>
        </w:rPr>
        <w:t xml:space="preserve"> </w:t>
      </w:r>
      <w:r w:rsidR="00912F50" w:rsidRPr="000D1FDC">
        <w:rPr>
          <w:rStyle w:val="jlqj4b"/>
          <w:lang w:val="en"/>
        </w:rPr>
        <w:t xml:space="preserve">Deposits decreased to </w:t>
      </w:r>
      <w:r w:rsidR="00E34AC7" w:rsidRPr="000D1FDC">
        <w:rPr>
          <w:rStyle w:val="jlqj4b"/>
          <w:lang w:val="en"/>
        </w:rPr>
        <w:t>1,368.7</w:t>
      </w:r>
      <w:r w:rsidRPr="000D1FDC">
        <w:rPr>
          <w:rStyle w:val="jlqj4b"/>
          <w:lang w:val="en"/>
        </w:rPr>
        <w:t xml:space="preserve"> million </w:t>
      </w:r>
      <w:r w:rsidR="00912F50" w:rsidRPr="000D1FDC">
        <w:rPr>
          <w:rStyle w:val="jlqj4b"/>
          <w:lang w:val="en"/>
        </w:rPr>
        <w:t xml:space="preserve">PLN </w:t>
      </w:r>
      <w:r w:rsidR="00E34AC7" w:rsidRPr="000D1FDC">
        <w:rPr>
          <w:rStyle w:val="jlqj4b"/>
          <w:lang w:val="en"/>
        </w:rPr>
        <w:t>(by 20</w:t>
      </w:r>
      <w:r w:rsidRPr="000D1FDC">
        <w:rPr>
          <w:rStyle w:val="jlqj4b"/>
          <w:lang w:val="en"/>
        </w:rPr>
        <w:t>.7%).</w:t>
      </w:r>
    </w:p>
    <w:p w:rsidR="00EE1462" w:rsidRPr="000D1FDC" w:rsidRDefault="00EE1462" w:rsidP="00EE1462">
      <w:pPr>
        <w:pStyle w:val="LID"/>
        <w:spacing w:after="20"/>
        <w:rPr>
          <w:b w:val="0"/>
          <w:noProof w:val="0"/>
          <w:szCs w:val="22"/>
          <w:lang w:val="en-US"/>
        </w:rPr>
      </w:pPr>
    </w:p>
    <w:p w:rsidR="00981181" w:rsidRPr="000D1FDC" w:rsidRDefault="00981181" w:rsidP="00981181">
      <w:pPr>
        <w:pStyle w:val="LID"/>
        <w:spacing w:after="20"/>
        <w:jc w:val="both"/>
        <w:rPr>
          <w:b w:val="0"/>
          <w:noProof w:val="0"/>
          <w:szCs w:val="22"/>
          <w:lang w:val="en-US"/>
        </w:rPr>
      </w:pPr>
    </w:p>
    <w:p w:rsidR="005C57EB" w:rsidRPr="003B3875" w:rsidRDefault="005C57EB" w:rsidP="005C57EB">
      <w:pPr>
        <w:rPr>
          <w:b/>
          <w:spacing w:val="-2"/>
          <w:sz w:val="18"/>
          <w:shd w:val="clear" w:color="auto" w:fill="FFFFFF"/>
          <w:lang w:val="en-US"/>
        </w:rPr>
      </w:pPr>
      <w:r w:rsidRPr="000D1FDC">
        <w:rPr>
          <w:b/>
          <w:spacing w:val="-2"/>
          <w:sz w:val="18"/>
          <w:shd w:val="clear" w:color="auto" w:fill="FFFFFF"/>
          <w:lang w:val="en-US"/>
        </w:rPr>
        <w:t>Table 3. Value of  investment of  investment funds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5C57EB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5C57EB" w:rsidRPr="00F81468" w:rsidRDefault="00BE4CE8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F81468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5C57EB" w:rsidRPr="00F81468" w:rsidRDefault="006C7557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146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First half of </w:t>
            </w:r>
            <w:r w:rsidR="00322089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:rsidR="005C57EB" w:rsidRPr="00F81468" w:rsidRDefault="00322089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2021</w:t>
            </w:r>
          </w:p>
        </w:tc>
        <w:tc>
          <w:tcPr>
            <w:tcW w:w="1701" w:type="dxa"/>
            <w:vMerge w:val="restart"/>
            <w:vAlign w:val="center"/>
          </w:tcPr>
          <w:p w:rsidR="005C57EB" w:rsidRPr="00F81468" w:rsidRDefault="00322089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2020</w:t>
            </w:r>
            <w:r w:rsidR="005C57EB" w:rsidRPr="00F81468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C57EB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5C57EB" w:rsidRPr="001A3D3F" w:rsidRDefault="005C57EB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5C57EB" w:rsidRPr="001A3D3F" w:rsidRDefault="00BE4CE8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 mil</w:t>
            </w:r>
            <w:r w:rsidR="00BF5799">
              <w:rPr>
                <w:rFonts w:ascii="Fira Sans" w:hAnsi="Fira Sans"/>
                <w:color w:val="000000" w:themeColor="text1"/>
                <w:sz w:val="16"/>
                <w:szCs w:val="16"/>
              </w:rPr>
              <w:t>l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ion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5C57EB" w:rsidRPr="001A3D3F" w:rsidRDefault="005C57EB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4E0D4A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E0D4A" w:rsidRPr="001A3D3F" w:rsidRDefault="004E0D4A" w:rsidP="004E0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0D4A" w:rsidRPr="001A3D3F" w:rsidRDefault="004E0D4A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0D4A" w:rsidRPr="001A3D3F" w:rsidRDefault="00604407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281 258,4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E0D4A" w:rsidRPr="001A3D3F" w:rsidRDefault="000D0FA1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4E0D4A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4E0D4A" w:rsidRPr="001A3D3F" w:rsidRDefault="004E0D4A" w:rsidP="004E0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Shares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E0D4A" w:rsidRPr="001A3D3F" w:rsidRDefault="004E0D4A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72 425,3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E0D4A" w:rsidRPr="001A3D3F" w:rsidRDefault="00604407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54 422,6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E0D4A" w:rsidRPr="001A3D3F" w:rsidRDefault="000D0FA1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</w:tr>
      <w:tr w:rsidR="004E0D4A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4E0D4A" w:rsidRPr="001A3D3F" w:rsidRDefault="004E0D4A" w:rsidP="004E0D4A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Debt securities</w:t>
            </w:r>
          </w:p>
        </w:tc>
        <w:tc>
          <w:tcPr>
            <w:tcW w:w="1701" w:type="dxa"/>
            <w:vAlign w:val="bottom"/>
          </w:tcPr>
          <w:p w:rsidR="004E0D4A" w:rsidRPr="001A3D3F" w:rsidRDefault="004E0D4A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134 848,4</w:t>
            </w:r>
          </w:p>
        </w:tc>
        <w:tc>
          <w:tcPr>
            <w:tcW w:w="1701" w:type="dxa"/>
            <w:vAlign w:val="bottom"/>
          </w:tcPr>
          <w:p w:rsidR="004E0D4A" w:rsidRPr="001A3D3F" w:rsidRDefault="00604407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165 022,2</w:t>
            </w:r>
          </w:p>
        </w:tc>
        <w:tc>
          <w:tcPr>
            <w:tcW w:w="1701" w:type="dxa"/>
            <w:vAlign w:val="bottom"/>
          </w:tcPr>
          <w:p w:rsidR="004E0D4A" w:rsidRPr="001A3D3F" w:rsidRDefault="000D0FA1" w:rsidP="004E0D4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</w:tr>
      <w:tr w:rsidR="004D5EF4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4D5EF4" w:rsidRPr="001A3D3F" w:rsidRDefault="004D5EF4" w:rsidP="004D5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Receivables</w:t>
            </w:r>
          </w:p>
        </w:tc>
        <w:tc>
          <w:tcPr>
            <w:tcW w:w="1701" w:type="dxa"/>
            <w:vAlign w:val="bottom"/>
          </w:tcPr>
          <w:p w:rsidR="004D5EF4" w:rsidRPr="001A3D3F" w:rsidRDefault="004D5EF4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18 801,8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14 290,8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76,0</w:t>
            </w:r>
          </w:p>
        </w:tc>
      </w:tr>
      <w:tr w:rsidR="004D5EF4" w:rsidRPr="001A3D3F" w:rsidTr="00216B15">
        <w:trPr>
          <w:trHeight w:hRule="exact" w:val="1201"/>
        </w:trPr>
        <w:tc>
          <w:tcPr>
            <w:tcW w:w="2823" w:type="dxa"/>
            <w:vAlign w:val="center"/>
          </w:tcPr>
          <w:p w:rsidR="004D5EF4" w:rsidRPr="003B3875" w:rsidRDefault="004D5EF4" w:rsidP="004D5EF4">
            <w:pPr>
              <w:ind w:left="176"/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Shares issued by mutual investment institutions established abroad</w:t>
            </w:r>
          </w:p>
        </w:tc>
        <w:tc>
          <w:tcPr>
            <w:tcW w:w="1701" w:type="dxa"/>
            <w:vAlign w:val="bottom"/>
          </w:tcPr>
          <w:p w:rsidR="004D5EF4" w:rsidRPr="001A3D3F" w:rsidRDefault="004D5EF4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12 065,3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18 423,7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152,7</w:t>
            </w:r>
          </w:p>
        </w:tc>
      </w:tr>
      <w:tr w:rsidR="004D5EF4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4D5EF4" w:rsidRPr="001A3D3F" w:rsidRDefault="004D5EF4" w:rsidP="004D5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Deposits</w:t>
            </w:r>
          </w:p>
        </w:tc>
        <w:tc>
          <w:tcPr>
            <w:tcW w:w="1701" w:type="dxa"/>
            <w:vAlign w:val="bottom"/>
          </w:tcPr>
          <w:p w:rsidR="004D5EF4" w:rsidRPr="001A3D3F" w:rsidRDefault="004D5EF4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1 726,0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1 368,7</w:t>
            </w:r>
          </w:p>
        </w:tc>
        <w:tc>
          <w:tcPr>
            <w:tcW w:w="1701" w:type="dxa"/>
            <w:vAlign w:val="bottom"/>
          </w:tcPr>
          <w:p w:rsidR="004D5EF4" w:rsidRPr="001A3D3F" w:rsidRDefault="00AC586D" w:rsidP="004D5EF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79,3</w:t>
            </w:r>
          </w:p>
        </w:tc>
      </w:tr>
    </w:tbl>
    <w:p w:rsidR="00981181" w:rsidRDefault="00981181" w:rsidP="002E3BE8">
      <w:pPr>
        <w:rPr>
          <w:shd w:val="clear" w:color="auto" w:fill="FFFFFF"/>
          <w:lang w:val="en-US"/>
        </w:rPr>
      </w:pPr>
    </w:p>
    <w:p w:rsidR="002641A2" w:rsidRPr="00FF7EB4" w:rsidRDefault="002641A2" w:rsidP="002641A2">
      <w:pPr>
        <w:rPr>
          <w:rStyle w:val="jlqj4b"/>
          <w:lang w:val="en"/>
        </w:rPr>
      </w:pPr>
      <w:r w:rsidRPr="00FF7EB4">
        <w:rPr>
          <w:rStyle w:val="jlqj4b"/>
          <w:lang w:val="en"/>
        </w:rPr>
        <w:t>The inc</w:t>
      </w:r>
      <w:r w:rsidR="00DE19EC" w:rsidRPr="00FF7EB4">
        <w:rPr>
          <w:rStyle w:val="jlqj4b"/>
          <w:lang w:val="en"/>
        </w:rPr>
        <w:t>ome on investments of</w:t>
      </w:r>
      <w:r w:rsidRPr="00FF7EB4">
        <w:rPr>
          <w:rStyle w:val="jlqj4b"/>
          <w:lang w:val="en"/>
        </w:rPr>
        <w:t xml:space="preserve"> funds in the fir</w:t>
      </w:r>
      <w:r w:rsidR="00F369CF" w:rsidRPr="00FF7EB4">
        <w:rPr>
          <w:rStyle w:val="jlqj4b"/>
          <w:lang w:val="en"/>
        </w:rPr>
        <w:t>st half of 2021</w:t>
      </w:r>
      <w:r w:rsidR="00C66BA8" w:rsidRPr="00FF7EB4">
        <w:rPr>
          <w:rStyle w:val="jlqj4b"/>
          <w:lang w:val="en"/>
        </w:rPr>
        <w:t xml:space="preserve"> amounted to </w:t>
      </w:r>
      <w:r w:rsidR="00F369CF" w:rsidRPr="00FF7EB4">
        <w:rPr>
          <w:rStyle w:val="jlqj4b"/>
          <w:lang w:val="en"/>
        </w:rPr>
        <w:t>4,141.8</w:t>
      </w:r>
      <w:r w:rsidRPr="00FF7EB4">
        <w:rPr>
          <w:rStyle w:val="jlqj4b"/>
          <w:lang w:val="en"/>
        </w:rPr>
        <w:t xml:space="preserve"> million </w:t>
      </w:r>
      <w:r w:rsidR="00C66BA8" w:rsidRPr="00FF7EB4">
        <w:rPr>
          <w:rStyle w:val="jlqj4b"/>
          <w:lang w:val="en"/>
        </w:rPr>
        <w:t xml:space="preserve">PLN </w:t>
      </w:r>
      <w:r w:rsidR="00F369CF" w:rsidRPr="00FF7EB4">
        <w:rPr>
          <w:rStyle w:val="jlqj4b"/>
          <w:lang w:val="en"/>
        </w:rPr>
        <w:t>(8.5% less</w:t>
      </w:r>
      <w:r w:rsidRPr="00FF7EB4">
        <w:rPr>
          <w:rStyle w:val="jlqj4b"/>
          <w:lang w:val="en"/>
        </w:rPr>
        <w:t xml:space="preserve"> than in the previous year).</w:t>
      </w:r>
      <w:r w:rsidRPr="00FF7EB4">
        <w:rPr>
          <w:rStyle w:val="viiyi"/>
          <w:lang w:val="en"/>
        </w:rPr>
        <w:t xml:space="preserve"> </w:t>
      </w:r>
      <w:r w:rsidRPr="00FF7EB4">
        <w:rPr>
          <w:rStyle w:val="jlqj4b"/>
          <w:lang w:val="en"/>
        </w:rPr>
        <w:t>Their main item was interest income,</w:t>
      </w:r>
      <w:r w:rsidR="00D87B84" w:rsidRPr="00FF7EB4">
        <w:rPr>
          <w:rStyle w:val="jlqj4b"/>
          <w:lang w:val="en"/>
        </w:rPr>
        <w:t xml:space="preserve"> which reached the value of </w:t>
      </w:r>
      <w:r w:rsidR="00125074" w:rsidRPr="00FF7EB4">
        <w:rPr>
          <w:rStyle w:val="jlqj4b"/>
          <w:lang w:val="en"/>
        </w:rPr>
        <w:t>1,754</w:t>
      </w:r>
      <w:r w:rsidRPr="00FF7EB4">
        <w:rPr>
          <w:rStyle w:val="jlqj4b"/>
          <w:lang w:val="en"/>
        </w:rPr>
        <w:t xml:space="preserve">.5 million </w:t>
      </w:r>
      <w:r w:rsidR="00D87B84" w:rsidRPr="00FF7EB4">
        <w:rPr>
          <w:rStyle w:val="jlqj4b"/>
          <w:lang w:val="en"/>
        </w:rPr>
        <w:t xml:space="preserve">PLN </w:t>
      </w:r>
      <w:r w:rsidR="00125074" w:rsidRPr="00FF7EB4">
        <w:rPr>
          <w:rStyle w:val="jlqj4b"/>
          <w:lang w:val="en"/>
        </w:rPr>
        <w:t>and constituted 42.4</w:t>
      </w:r>
      <w:r w:rsidRPr="00FF7EB4">
        <w:rPr>
          <w:rStyle w:val="jlqj4b"/>
          <w:lang w:val="en"/>
        </w:rPr>
        <w:t>% of investment income.</w:t>
      </w:r>
      <w:r w:rsidRPr="00FF7EB4">
        <w:rPr>
          <w:rStyle w:val="viiyi"/>
          <w:lang w:val="en"/>
        </w:rPr>
        <w:t xml:space="preserve"> </w:t>
      </w:r>
      <w:r w:rsidRPr="00FF7EB4">
        <w:rPr>
          <w:rStyle w:val="jlqj4b"/>
          <w:lang w:val="en"/>
        </w:rPr>
        <w:t xml:space="preserve">Dividends and other </w:t>
      </w:r>
      <w:r w:rsidR="00825F16" w:rsidRPr="00FF7EB4">
        <w:rPr>
          <w:rStyle w:val="jlqj4b"/>
          <w:lang w:val="en"/>
        </w:rPr>
        <w:t xml:space="preserve">profit shares amounted to </w:t>
      </w:r>
      <w:r w:rsidR="0084711D" w:rsidRPr="00FF7EB4">
        <w:rPr>
          <w:rStyle w:val="jlqj4b"/>
          <w:lang w:val="en"/>
        </w:rPr>
        <w:t>498.9</w:t>
      </w:r>
      <w:r w:rsidRPr="00FF7EB4">
        <w:rPr>
          <w:rStyle w:val="jlqj4b"/>
          <w:lang w:val="en"/>
        </w:rPr>
        <w:t xml:space="preserve"> million </w:t>
      </w:r>
      <w:r w:rsidR="00825F16" w:rsidRPr="00FF7EB4">
        <w:rPr>
          <w:rStyle w:val="jlqj4b"/>
          <w:lang w:val="en"/>
        </w:rPr>
        <w:t>PLN (</w:t>
      </w:r>
      <w:r w:rsidR="0084711D" w:rsidRPr="00FF7EB4">
        <w:rPr>
          <w:rStyle w:val="jlqj4b"/>
          <w:lang w:val="en"/>
        </w:rPr>
        <w:t>456.4</w:t>
      </w:r>
      <w:r w:rsidRPr="00FF7EB4">
        <w:rPr>
          <w:rStyle w:val="jlqj4b"/>
          <w:lang w:val="en"/>
        </w:rPr>
        <w:t xml:space="preserve"> million </w:t>
      </w:r>
      <w:r w:rsidR="00825F16" w:rsidRPr="00FF7EB4">
        <w:rPr>
          <w:rStyle w:val="jlqj4b"/>
          <w:lang w:val="en"/>
        </w:rPr>
        <w:t xml:space="preserve">PLN </w:t>
      </w:r>
      <w:r w:rsidRPr="00FF7EB4">
        <w:rPr>
          <w:rStyle w:val="jlqj4b"/>
          <w:lang w:val="en"/>
        </w:rPr>
        <w:t>in the previous year).</w:t>
      </w:r>
      <w:r w:rsidRPr="00FF7EB4">
        <w:rPr>
          <w:rStyle w:val="viiyi"/>
          <w:lang w:val="en"/>
        </w:rPr>
        <w:t xml:space="preserve"> </w:t>
      </w:r>
      <w:r w:rsidRPr="00FF7EB4">
        <w:rPr>
          <w:rStyle w:val="jlqj4b"/>
          <w:lang w:val="en"/>
        </w:rPr>
        <w:t>Remuneration for fund manag</w:t>
      </w:r>
      <w:r w:rsidR="00825F16" w:rsidRPr="00FF7EB4">
        <w:rPr>
          <w:rStyle w:val="jlqj4b"/>
          <w:lang w:val="en"/>
        </w:rPr>
        <w:t xml:space="preserve">ement companies amounted to </w:t>
      </w:r>
      <w:r w:rsidR="00D52146" w:rsidRPr="00FF7EB4">
        <w:rPr>
          <w:rStyle w:val="jlqj4b"/>
          <w:lang w:val="en"/>
        </w:rPr>
        <w:t>1,746.5</w:t>
      </w:r>
      <w:r w:rsidRPr="00FF7EB4">
        <w:rPr>
          <w:rStyle w:val="jlqj4b"/>
          <w:lang w:val="en"/>
        </w:rPr>
        <w:t xml:space="preserve"> million</w:t>
      </w:r>
      <w:r w:rsidR="00825F16" w:rsidRPr="00FF7EB4">
        <w:rPr>
          <w:rStyle w:val="jlqj4b"/>
          <w:lang w:val="en"/>
        </w:rPr>
        <w:t xml:space="preserve"> PLN (</w:t>
      </w:r>
      <w:r w:rsidR="00D52146" w:rsidRPr="00FF7EB4">
        <w:rPr>
          <w:rStyle w:val="jlqj4b"/>
          <w:lang w:val="en"/>
        </w:rPr>
        <w:t>1,562.7</w:t>
      </w:r>
      <w:r w:rsidRPr="00FF7EB4">
        <w:rPr>
          <w:rStyle w:val="jlqj4b"/>
          <w:lang w:val="en"/>
        </w:rPr>
        <w:t xml:space="preserve"> million </w:t>
      </w:r>
      <w:r w:rsidR="00825F16" w:rsidRPr="00FF7EB4">
        <w:rPr>
          <w:rStyle w:val="jlqj4b"/>
          <w:lang w:val="en"/>
        </w:rPr>
        <w:t xml:space="preserve">PLN </w:t>
      </w:r>
      <w:r w:rsidRPr="00FF7EB4">
        <w:rPr>
          <w:rStyle w:val="jlqj4b"/>
          <w:lang w:val="en"/>
        </w:rPr>
        <w:t>the year before).</w:t>
      </w:r>
      <w:r w:rsidRPr="00FF7EB4">
        <w:rPr>
          <w:rStyle w:val="viiyi"/>
          <w:lang w:val="en"/>
        </w:rPr>
        <w:t xml:space="preserve"> </w:t>
      </w:r>
      <w:r w:rsidRPr="00FF7EB4">
        <w:rPr>
          <w:rStyle w:val="jlqj4b"/>
          <w:lang w:val="en"/>
        </w:rPr>
        <w:t xml:space="preserve">Net costs of investment funds, after taking into account the costs covered </w:t>
      </w:r>
      <w:r w:rsidR="00825F16" w:rsidRPr="00FF7EB4">
        <w:rPr>
          <w:rStyle w:val="jlqj4b"/>
          <w:lang w:val="en"/>
        </w:rPr>
        <w:t xml:space="preserve">by the society, amounted to </w:t>
      </w:r>
      <w:r w:rsidR="00DE4B0F" w:rsidRPr="00FF7EB4">
        <w:rPr>
          <w:rStyle w:val="jlqj4b"/>
          <w:lang w:val="en"/>
        </w:rPr>
        <w:t>2,557.4</w:t>
      </w:r>
      <w:r w:rsidRPr="00FF7EB4">
        <w:rPr>
          <w:rStyle w:val="jlqj4b"/>
          <w:lang w:val="en"/>
        </w:rPr>
        <w:t xml:space="preserve"> million </w:t>
      </w:r>
      <w:r w:rsidR="00825F16" w:rsidRPr="00FF7EB4">
        <w:rPr>
          <w:rStyle w:val="jlqj4b"/>
          <w:lang w:val="en"/>
        </w:rPr>
        <w:t xml:space="preserve">PLN </w:t>
      </w:r>
      <w:r w:rsidR="00DE4B0F" w:rsidRPr="00FF7EB4">
        <w:rPr>
          <w:rStyle w:val="jlqj4b"/>
          <w:lang w:val="en"/>
        </w:rPr>
        <w:t>and were 0.1</w:t>
      </w:r>
      <w:r w:rsidRPr="00FF7EB4">
        <w:rPr>
          <w:rStyle w:val="jlqj4b"/>
          <w:lang w:val="en"/>
        </w:rPr>
        <w:t>% lower than in the previous year.</w:t>
      </w:r>
    </w:p>
    <w:p w:rsidR="002641A2" w:rsidRDefault="002C36E8" w:rsidP="002641A2">
      <w:pPr>
        <w:rPr>
          <w:rStyle w:val="jlqj4b"/>
          <w:lang w:val="en"/>
        </w:rPr>
      </w:pPr>
      <w:r w:rsidRPr="00FF7EB4">
        <w:rPr>
          <w:rStyle w:val="jlqj4b"/>
          <w:lang w:val="en"/>
        </w:rPr>
        <w:t>In the first half of 2021, investment funds showed a posi</w:t>
      </w:r>
      <w:r w:rsidR="002641A2" w:rsidRPr="00FF7EB4">
        <w:rPr>
          <w:rStyle w:val="jlqj4b"/>
          <w:lang w:val="en"/>
        </w:rPr>
        <w:t>tive result on o</w:t>
      </w:r>
      <w:r w:rsidR="00DE2DF3" w:rsidRPr="00FF7EB4">
        <w:rPr>
          <w:rStyle w:val="jlqj4b"/>
          <w:lang w:val="en"/>
        </w:rPr>
        <w:t>perations in the amount of</w:t>
      </w:r>
      <w:r w:rsidR="00866830" w:rsidRPr="00FF7EB4">
        <w:rPr>
          <w:rStyle w:val="jlqj4b"/>
          <w:lang w:val="en"/>
        </w:rPr>
        <w:t xml:space="preserve"> </w:t>
      </w:r>
      <w:r w:rsidR="00A7173C" w:rsidRPr="00FF7EB4">
        <w:rPr>
          <w:rStyle w:val="jlqj4b"/>
          <w:lang w:val="en"/>
        </w:rPr>
        <w:t>10,518.3</w:t>
      </w:r>
      <w:r w:rsidR="002641A2" w:rsidRPr="00FF7EB4">
        <w:rPr>
          <w:rStyle w:val="jlqj4b"/>
          <w:lang w:val="en"/>
        </w:rPr>
        <w:t xml:space="preserve"> million </w:t>
      </w:r>
      <w:r w:rsidR="00DE2DF3" w:rsidRPr="00FF7EB4">
        <w:rPr>
          <w:rStyle w:val="jlqj4b"/>
          <w:lang w:val="en"/>
        </w:rPr>
        <w:t>PLN (</w:t>
      </w:r>
      <w:r w:rsidR="00A7173C" w:rsidRPr="00FF7EB4">
        <w:rPr>
          <w:rStyle w:val="jlqj4b"/>
          <w:lang w:val="en"/>
        </w:rPr>
        <w:t>loss of 2,293.7</w:t>
      </w:r>
      <w:r w:rsidR="002641A2" w:rsidRPr="00FF7EB4">
        <w:rPr>
          <w:rStyle w:val="jlqj4b"/>
          <w:lang w:val="en"/>
        </w:rPr>
        <w:t xml:space="preserve"> million </w:t>
      </w:r>
      <w:r w:rsidR="00DE2DF3" w:rsidRPr="00FF7EB4">
        <w:rPr>
          <w:rStyle w:val="jlqj4b"/>
          <w:lang w:val="en"/>
        </w:rPr>
        <w:t xml:space="preserve">PLN </w:t>
      </w:r>
      <w:r w:rsidR="002641A2" w:rsidRPr="00FF7EB4">
        <w:rPr>
          <w:rStyle w:val="jlqj4b"/>
          <w:lang w:val="en"/>
        </w:rPr>
        <w:t>a year earlier), including the result on ope</w:t>
      </w:r>
      <w:r w:rsidR="00101E9C" w:rsidRPr="00FF7EB4">
        <w:rPr>
          <w:rStyle w:val="jlqj4b"/>
          <w:lang w:val="en"/>
        </w:rPr>
        <w:t>rations of closed-end funds</w:t>
      </w:r>
      <w:r w:rsidR="002641A2" w:rsidRPr="00FF7EB4">
        <w:rPr>
          <w:rStyle w:val="jlqj4b"/>
          <w:lang w:val="en"/>
        </w:rPr>
        <w:t xml:space="preserve"> </w:t>
      </w:r>
      <w:r w:rsidR="00FE6663" w:rsidRPr="00FF7EB4">
        <w:rPr>
          <w:rStyle w:val="jlqj4b"/>
          <w:lang w:val="en"/>
        </w:rPr>
        <w:t>5,575.9</w:t>
      </w:r>
      <w:r w:rsidR="002641A2" w:rsidRPr="00FF7EB4">
        <w:rPr>
          <w:rStyle w:val="jlqj4b"/>
          <w:lang w:val="en"/>
        </w:rPr>
        <w:t xml:space="preserve"> million</w:t>
      </w:r>
      <w:r w:rsidR="00101E9C" w:rsidRPr="00FF7EB4">
        <w:rPr>
          <w:rStyle w:val="jlqj4b"/>
          <w:lang w:val="en"/>
        </w:rPr>
        <w:t xml:space="preserve"> PLN</w:t>
      </w:r>
      <w:r w:rsidR="002641A2" w:rsidRPr="00FF7EB4">
        <w:rPr>
          <w:rStyle w:val="jlqj4b"/>
          <w:lang w:val="en"/>
        </w:rPr>
        <w:t xml:space="preserve"> (</w:t>
      </w:r>
      <w:r w:rsidR="00101E9C" w:rsidRPr="00FF7EB4">
        <w:rPr>
          <w:rStyle w:val="jlqj4b"/>
          <w:lang w:val="en"/>
        </w:rPr>
        <w:t xml:space="preserve">a year </w:t>
      </w:r>
      <w:r w:rsidR="002641A2" w:rsidRPr="00FF7EB4">
        <w:rPr>
          <w:rStyle w:val="jlqj4b"/>
          <w:lang w:val="en"/>
        </w:rPr>
        <w:t xml:space="preserve">before </w:t>
      </w:r>
      <w:r w:rsidR="00426BE3" w:rsidRPr="00FF7EB4">
        <w:rPr>
          <w:rStyle w:val="jlqj4b"/>
          <w:lang w:val="en"/>
        </w:rPr>
        <w:t xml:space="preserve">loss of </w:t>
      </w:r>
      <w:r w:rsidR="00AC6833" w:rsidRPr="00FF7EB4">
        <w:rPr>
          <w:rStyle w:val="jlqj4b"/>
          <w:lang w:val="en"/>
        </w:rPr>
        <w:t>1,423.7</w:t>
      </w:r>
      <w:r w:rsidR="002641A2" w:rsidRPr="00FF7EB4">
        <w:rPr>
          <w:rStyle w:val="jlqj4b"/>
          <w:lang w:val="en"/>
        </w:rPr>
        <w:t xml:space="preserve"> million</w:t>
      </w:r>
      <w:r w:rsidR="00101E9C" w:rsidRPr="00FF7EB4">
        <w:rPr>
          <w:rStyle w:val="jlqj4b"/>
          <w:lang w:val="en"/>
        </w:rPr>
        <w:t xml:space="preserve"> PLN), open-end funds</w:t>
      </w:r>
      <w:r w:rsidR="002641A2" w:rsidRPr="00FF7EB4">
        <w:rPr>
          <w:rStyle w:val="jlqj4b"/>
          <w:lang w:val="en"/>
        </w:rPr>
        <w:t xml:space="preserve"> </w:t>
      </w:r>
      <w:r w:rsidR="00CE4E5F" w:rsidRPr="00FF7EB4">
        <w:rPr>
          <w:rStyle w:val="jlqj4b"/>
          <w:lang w:val="en"/>
        </w:rPr>
        <w:t>2,958.8</w:t>
      </w:r>
      <w:r w:rsidR="002641A2" w:rsidRPr="00FF7EB4">
        <w:rPr>
          <w:rStyle w:val="jlqj4b"/>
          <w:lang w:val="en"/>
        </w:rPr>
        <w:t xml:space="preserve"> million </w:t>
      </w:r>
      <w:r w:rsidR="00101E9C" w:rsidRPr="00FF7EB4">
        <w:rPr>
          <w:rStyle w:val="jlqj4b"/>
          <w:lang w:val="en"/>
        </w:rPr>
        <w:t>PLN (the year before</w:t>
      </w:r>
      <w:r w:rsidR="00397230" w:rsidRPr="00FF7EB4">
        <w:rPr>
          <w:rStyle w:val="jlqj4b"/>
          <w:lang w:val="en"/>
        </w:rPr>
        <w:t xml:space="preserve"> loss of 563.4</w:t>
      </w:r>
      <w:r w:rsidR="002641A2" w:rsidRPr="00FF7EB4">
        <w:rPr>
          <w:rStyle w:val="jlqj4b"/>
          <w:lang w:val="en"/>
        </w:rPr>
        <w:t xml:space="preserve"> million</w:t>
      </w:r>
      <w:r w:rsidR="00101E9C" w:rsidRPr="00FF7EB4">
        <w:rPr>
          <w:rStyle w:val="jlqj4b"/>
          <w:lang w:val="en"/>
        </w:rPr>
        <w:t xml:space="preserve"> PLN</w:t>
      </w:r>
      <w:r w:rsidR="002641A2" w:rsidRPr="00FF7EB4">
        <w:rPr>
          <w:rStyle w:val="jlqj4b"/>
          <w:lang w:val="en"/>
        </w:rPr>
        <w:t>) and</w:t>
      </w:r>
      <w:r w:rsidR="00101E9C" w:rsidRPr="00FF7EB4">
        <w:rPr>
          <w:rStyle w:val="jlqj4b"/>
          <w:lang w:val="en"/>
        </w:rPr>
        <w:t xml:space="preserve"> specialized open-end  funds</w:t>
      </w:r>
      <w:r w:rsidR="00A25AEC" w:rsidRPr="00FF7EB4">
        <w:rPr>
          <w:rStyle w:val="jlqj4b"/>
          <w:lang w:val="en"/>
        </w:rPr>
        <w:t xml:space="preserve"> </w:t>
      </w:r>
      <w:r w:rsidR="00D725AE" w:rsidRPr="00FF7EB4">
        <w:rPr>
          <w:rStyle w:val="jlqj4b"/>
          <w:lang w:val="en"/>
        </w:rPr>
        <w:t>1,983</w:t>
      </w:r>
      <w:r w:rsidR="002641A2" w:rsidRPr="00FF7EB4">
        <w:rPr>
          <w:rStyle w:val="jlqj4b"/>
          <w:lang w:val="en"/>
        </w:rPr>
        <w:t xml:space="preserve">.5 million </w:t>
      </w:r>
      <w:r w:rsidR="00101E9C" w:rsidRPr="00FF7EB4">
        <w:rPr>
          <w:rStyle w:val="jlqj4b"/>
          <w:lang w:val="en"/>
        </w:rPr>
        <w:t xml:space="preserve">PLN </w:t>
      </w:r>
      <w:r w:rsidR="002641A2" w:rsidRPr="00FF7EB4">
        <w:rPr>
          <w:rStyle w:val="jlqj4b"/>
          <w:lang w:val="en"/>
        </w:rPr>
        <w:t>(the y</w:t>
      </w:r>
      <w:r w:rsidR="00101E9C" w:rsidRPr="00FF7EB4">
        <w:rPr>
          <w:rStyle w:val="jlqj4b"/>
          <w:lang w:val="en"/>
        </w:rPr>
        <w:t>ear before</w:t>
      </w:r>
      <w:r w:rsidR="00EB0FAC" w:rsidRPr="00FF7EB4">
        <w:rPr>
          <w:rStyle w:val="jlqj4b"/>
          <w:lang w:val="en"/>
        </w:rPr>
        <w:t xml:space="preserve"> loss of 306.5</w:t>
      </w:r>
      <w:r w:rsidR="002641A2" w:rsidRPr="00FF7EB4">
        <w:rPr>
          <w:rStyle w:val="jlqj4b"/>
          <w:lang w:val="en"/>
        </w:rPr>
        <w:t xml:space="preserve"> million</w:t>
      </w:r>
      <w:r w:rsidR="002641A2" w:rsidRPr="00FF7EB4">
        <w:rPr>
          <w:rStyle w:val="viiyi"/>
          <w:lang w:val="en"/>
        </w:rPr>
        <w:t xml:space="preserve"> </w:t>
      </w:r>
      <w:r w:rsidR="002641A2" w:rsidRPr="00FF7EB4">
        <w:rPr>
          <w:rStyle w:val="jlqj4b"/>
          <w:lang w:val="en"/>
        </w:rPr>
        <w:t>PLN).</w:t>
      </w:r>
    </w:p>
    <w:p w:rsidR="00981181" w:rsidRPr="00866830" w:rsidRDefault="00981181" w:rsidP="00981181">
      <w:pPr>
        <w:pStyle w:val="LID"/>
        <w:spacing w:after="20"/>
        <w:rPr>
          <w:b w:val="0"/>
          <w:noProof w:val="0"/>
          <w:szCs w:val="22"/>
          <w:lang w:val="en"/>
        </w:rPr>
      </w:pPr>
    </w:p>
    <w:p w:rsidR="00F24C51" w:rsidRPr="003B3875" w:rsidRDefault="00C75006" w:rsidP="00F24C51">
      <w:pPr>
        <w:pStyle w:val="HTML-wstpniesformatowany"/>
        <w:rPr>
          <w:lang w:val="en-US"/>
        </w:rPr>
      </w:pPr>
      <w:r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55BE67BE" wp14:editId="049EBE3E">
                <wp:simplePos x="0" y="0"/>
                <wp:positionH relativeFrom="column">
                  <wp:posOffset>5248275</wp:posOffset>
                </wp:positionH>
                <wp:positionV relativeFrom="paragraph">
                  <wp:posOffset>100330</wp:posOffset>
                </wp:positionV>
                <wp:extent cx="1725295" cy="1333500"/>
                <wp:effectExtent l="0" t="0" r="0" b="0"/>
                <wp:wrapTight wrapText="bothSides">
                  <wp:wrapPolygon edited="0">
                    <wp:start x="715" y="0"/>
                    <wp:lineTo x="715" y="21291"/>
                    <wp:lineTo x="20749" y="21291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2B9" w:rsidRPr="00AD24B9" w:rsidRDefault="003410D5" w:rsidP="003912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jlqj4b"/>
                                <w:lang w:val="en"/>
                              </w:rPr>
                              <w:t>In the first half of 2021</w:t>
                            </w:r>
                            <w:r w:rsidR="003912B9">
                              <w:rPr>
                                <w:rStyle w:val="jlqj4b"/>
                                <w:lang w:val="en"/>
                              </w:rPr>
                              <w:t xml:space="preserve">, the income from investments of </w:t>
                            </w:r>
                            <w:r w:rsidR="00570083">
                              <w:rPr>
                                <w:rStyle w:val="jlqj4b"/>
                                <w:lang w:val="en"/>
                              </w:rPr>
                              <w:t>investment funds amounted to</w:t>
                            </w:r>
                            <w:r>
                              <w:rPr>
                                <w:rStyle w:val="jlqj4b"/>
                                <w:lang w:val="en"/>
                              </w:rPr>
                              <w:t xml:space="preserve"> 4.1</w:t>
                            </w:r>
                            <w:r w:rsidR="003912B9">
                              <w:rPr>
                                <w:rStyle w:val="jlqj4b"/>
                                <w:lang w:val="en"/>
                              </w:rPr>
                              <w:t xml:space="preserve"> billion</w:t>
                            </w:r>
                            <w:r w:rsidR="00570083">
                              <w:rPr>
                                <w:rStyle w:val="jlqj4b"/>
                                <w:lang w:val="en"/>
                              </w:rPr>
                              <w:t xml:space="preserve"> PLN</w:t>
                            </w:r>
                            <w:r w:rsidR="003912B9">
                              <w:rPr>
                                <w:rStyle w:val="jlqj4b"/>
                                <w:lang w:val="en"/>
                              </w:rPr>
                              <w:t>.</w:t>
                            </w:r>
                          </w:p>
                          <w:p w:rsidR="00C75006" w:rsidRDefault="00C75006" w:rsidP="00C75006">
                            <w:pPr>
                              <w:rPr>
                                <w:rStyle w:val="jlqj4b"/>
                                <w:lang w:val="en"/>
                              </w:rPr>
                            </w:pPr>
                          </w:p>
                          <w:p w:rsidR="00C75006" w:rsidRDefault="00C75006" w:rsidP="00C75006">
                            <w:pPr>
                              <w:rPr>
                                <w:rStyle w:val="jlqj4b"/>
                                <w:lang w:val="en"/>
                              </w:rPr>
                            </w:pPr>
                          </w:p>
                          <w:p w:rsidR="00C75006" w:rsidRPr="00EA548D" w:rsidRDefault="00C75006" w:rsidP="00C75006">
                            <w:pPr>
                              <w:pStyle w:val="HTML-wstpniesformatowany"/>
                              <w:rPr>
                                <w:rFonts w:ascii="Fira Sans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75006" w:rsidRPr="00EA548D" w:rsidRDefault="00C75006" w:rsidP="00C75006">
                            <w:pPr>
                              <w:pStyle w:val="LID"/>
                              <w:spacing w:after="20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noProof w:val="0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75006" w:rsidRPr="00EA548D" w:rsidRDefault="00C75006" w:rsidP="00C7500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C75006" w:rsidRPr="000744E8" w:rsidRDefault="00C75006" w:rsidP="00C7500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C75006" w:rsidRPr="000744E8" w:rsidRDefault="00C75006" w:rsidP="00C75006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E67BE" id="Pole tekstowe 7" o:spid="_x0000_s1030" type="#_x0000_t202" style="position:absolute;margin-left:413.25pt;margin-top:7.9pt;width:135.85pt;height:10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" filled="f" stroked="f">
                <v:textbox>
                  <w:txbxContent>
                    <w:p w:rsidR="003912B9" w:rsidRDefault="003410D5" w:rsidP="003912B9">
                      <w:r>
                        <w:rPr>
                          <w:rStyle w:val="jlqj4b"/>
                          <w:lang w:val="en"/>
                        </w:rPr>
                        <w:t>In the first half of 2021</w:t>
                      </w:r>
                      <w:r w:rsidR="003912B9">
                        <w:rPr>
                          <w:rStyle w:val="jlqj4b"/>
                          <w:lang w:val="en"/>
                        </w:rPr>
                        <w:t xml:space="preserve">, the income from investments of </w:t>
                      </w:r>
                      <w:r w:rsidR="00570083">
                        <w:rPr>
                          <w:rStyle w:val="jlqj4b"/>
                          <w:lang w:val="en"/>
                        </w:rPr>
                        <w:t>investment funds amounted to</w:t>
                      </w:r>
                      <w:r>
                        <w:rPr>
                          <w:rStyle w:val="jlqj4b"/>
                          <w:lang w:val="en"/>
                        </w:rPr>
                        <w:t xml:space="preserve"> </w:t>
                      </w:r>
                      <w:r>
                        <w:rPr>
                          <w:rStyle w:val="jlqj4b"/>
                          <w:lang w:val="en"/>
                        </w:rPr>
                        <w:t>4.1</w:t>
                      </w:r>
                      <w:bookmarkStart w:id="1" w:name="_GoBack"/>
                      <w:bookmarkEnd w:id="1"/>
                      <w:r w:rsidR="003912B9">
                        <w:rPr>
                          <w:rStyle w:val="jlqj4b"/>
                          <w:lang w:val="en"/>
                        </w:rPr>
                        <w:t xml:space="preserve"> billion</w:t>
                      </w:r>
                      <w:r w:rsidR="00570083">
                        <w:rPr>
                          <w:rStyle w:val="jlqj4b"/>
                          <w:lang w:val="en"/>
                        </w:rPr>
                        <w:t xml:space="preserve"> PLN</w:t>
                      </w:r>
                      <w:r w:rsidR="003912B9">
                        <w:rPr>
                          <w:rStyle w:val="jlqj4b"/>
                          <w:lang w:val="en"/>
                        </w:rPr>
                        <w:t>.</w:t>
                      </w:r>
                    </w:p>
                    <w:p w:rsidR="00C75006" w:rsidRDefault="00C75006" w:rsidP="00C75006">
                      <w:pPr>
                        <w:rPr>
                          <w:rStyle w:val="jlqj4b"/>
                          <w:lang w:val="en"/>
                        </w:rPr>
                      </w:pPr>
                    </w:p>
                    <w:p w:rsidR="00C75006" w:rsidRDefault="00C75006" w:rsidP="00C75006">
                      <w:pPr>
                        <w:rPr>
                          <w:rStyle w:val="jlqj4b"/>
                          <w:lang w:val="en"/>
                        </w:rPr>
                      </w:pPr>
                    </w:p>
                    <w:p w:rsidR="00C75006" w:rsidRPr="00EA548D" w:rsidRDefault="00C75006" w:rsidP="00C75006">
                      <w:pPr>
                        <w:pStyle w:val="HTML-wstpniesformatowany"/>
                        <w:rPr>
                          <w:rFonts w:ascii="Fira Sans" w:hAnsi="Fira Sans"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C75006" w:rsidRPr="00EA548D" w:rsidRDefault="00C75006" w:rsidP="00C75006">
                      <w:pPr>
                        <w:pStyle w:val="LID"/>
                        <w:spacing w:after="20"/>
                        <w:jc w:val="both"/>
                        <w:rPr>
                          <w:rFonts w:eastAsia="Times New Roman" w:cs="Times New Roman"/>
                          <w:b w:val="0"/>
                          <w:bCs/>
                          <w:noProof w:val="0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C75006" w:rsidRPr="00EA548D" w:rsidRDefault="00C75006" w:rsidP="00C75006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C75006" w:rsidRPr="000744E8" w:rsidRDefault="00C75006" w:rsidP="00C75006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C75006" w:rsidRPr="000744E8" w:rsidRDefault="00C75006" w:rsidP="00C75006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24C51" w:rsidRPr="003B3875">
        <w:rPr>
          <w:lang w:val="en-US"/>
        </w:rPr>
        <w:t xml:space="preserve"> </w:t>
      </w:r>
    </w:p>
    <w:p w:rsidR="00F24C51" w:rsidRPr="003B3875" w:rsidRDefault="00417A6E" w:rsidP="00F24C51">
      <w:pPr>
        <w:spacing w:after="20"/>
        <w:jc w:val="both"/>
        <w:rPr>
          <w:lang w:val="en-US" w:eastAsia="pl-PL"/>
        </w:rPr>
      </w:pPr>
      <w:r w:rsidRPr="00E1575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669290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C51" w:rsidRPr="00D616D2" w:rsidRDefault="00F24C51" w:rsidP="00F24C5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31" type="#_x0000_t202" style="position:absolute;left:0;text-align:left;margin-left:411.75pt;margin-top:52.7pt;width:135.85pt;height:70.1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" filled="f" stroked="f">
                <v:textbox>
                  <w:txbxContent>
                    <w:p w:rsidR="00F24C51" w:rsidRPr="00D616D2" w:rsidRDefault="00F24C51" w:rsidP="00F24C5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24C51" w:rsidRPr="00E1575F">
        <w:rPr>
          <w:b/>
          <w:spacing w:val="-2"/>
          <w:sz w:val="18"/>
          <w:shd w:val="clear" w:color="auto" w:fill="FFFFFF"/>
          <w:lang w:val="en-US"/>
        </w:rPr>
        <w:t>Table 4. Selected</w:t>
      </w:r>
      <w:r w:rsidR="002055B8" w:rsidRPr="00E1575F">
        <w:rPr>
          <w:b/>
          <w:spacing w:val="-2"/>
          <w:sz w:val="18"/>
          <w:shd w:val="clear" w:color="auto" w:fill="FFFFFF"/>
          <w:lang w:val="en-US"/>
        </w:rPr>
        <w:t xml:space="preserve"> items from the profit and loss account</w:t>
      </w:r>
      <w:r w:rsidR="00F24C51" w:rsidRPr="00E1575F">
        <w:rPr>
          <w:b/>
          <w:spacing w:val="-2"/>
          <w:sz w:val="18"/>
          <w:shd w:val="clear" w:color="auto" w:fill="FFFFFF"/>
          <w:lang w:val="en-US"/>
        </w:rPr>
        <w:t xml:space="preserve"> of investment funds</w:t>
      </w:r>
      <w:r w:rsidR="00F47E4D" w:rsidRPr="00E1575F">
        <w:rPr>
          <w:b/>
          <w:spacing w:val="-2"/>
          <w:sz w:val="18"/>
          <w:shd w:val="clear" w:color="auto" w:fill="FFFFFF"/>
          <w:lang w:val="en-US"/>
        </w:rPr>
        <w:t xml:space="preserve"> operation</w:t>
      </w:r>
      <w:r w:rsidR="00F47E4D" w:rsidRPr="003B3875">
        <w:rPr>
          <w:b/>
          <w:spacing w:val="-2"/>
          <w:sz w:val="18"/>
          <w:shd w:val="clear" w:color="auto" w:fill="FFFFFF"/>
          <w:lang w:val="en-US"/>
        </w:rPr>
        <w:t>s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F24C51" w:rsidRPr="001A3D3F" w:rsidTr="00216B15">
        <w:trPr>
          <w:trHeight w:val="57"/>
        </w:trPr>
        <w:tc>
          <w:tcPr>
            <w:tcW w:w="2823" w:type="dxa"/>
            <w:vMerge w:val="restart"/>
            <w:vAlign w:val="center"/>
          </w:tcPr>
          <w:p w:rsidR="00F24C51" w:rsidRPr="00917660" w:rsidRDefault="002810F6" w:rsidP="00216B1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17660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1701" w:type="dxa"/>
            <w:vAlign w:val="center"/>
          </w:tcPr>
          <w:p w:rsidR="00F24C51" w:rsidRPr="00917660" w:rsidRDefault="00B67C54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First half of </w:t>
            </w:r>
            <w:r w:rsidR="00F24C51"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F24C51" w:rsidRPr="00917660" w:rsidRDefault="00B67C54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2020</w:t>
            </w:r>
          </w:p>
        </w:tc>
        <w:tc>
          <w:tcPr>
            <w:tcW w:w="1701" w:type="dxa"/>
            <w:vMerge w:val="restart"/>
            <w:vAlign w:val="center"/>
          </w:tcPr>
          <w:p w:rsidR="00F24C51" w:rsidRPr="00917660" w:rsidRDefault="00B67C54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>First half of 2019</w:t>
            </w:r>
            <w:r w:rsidR="00F24C51" w:rsidRPr="00917660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24C51" w:rsidRPr="001A3D3F" w:rsidTr="00216B15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F24C51" w:rsidRPr="001A3D3F" w:rsidRDefault="00F24C51" w:rsidP="00216B15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F24C51" w:rsidRPr="001A3D3F" w:rsidRDefault="002810F6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 million PLN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F24C51" w:rsidRPr="001A3D3F" w:rsidRDefault="00F24C51" w:rsidP="00216B15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642192" w:rsidRPr="001A3D3F" w:rsidTr="00216B15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42192" w:rsidRPr="001A3D3F" w:rsidRDefault="00642192" w:rsidP="00642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Investment income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4 528,2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4 141,8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</w:tr>
      <w:tr w:rsidR="00642192" w:rsidRPr="001A3D3F" w:rsidTr="00216B15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642192" w:rsidRPr="001A3D3F" w:rsidRDefault="00642192" w:rsidP="006421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 costs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2 619,8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2 573,4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</w:tr>
      <w:tr w:rsidR="00642192" w:rsidRPr="001A3D3F" w:rsidTr="00216B15">
        <w:trPr>
          <w:trHeight w:hRule="exact" w:val="769"/>
        </w:trPr>
        <w:tc>
          <w:tcPr>
            <w:tcW w:w="2823" w:type="dxa"/>
            <w:vAlign w:val="center"/>
          </w:tcPr>
          <w:p w:rsidR="00642192" w:rsidRPr="003B3875" w:rsidRDefault="00642192" w:rsidP="00642192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Realized profit/loss on sale of investment</w:t>
            </w:r>
          </w:p>
        </w:tc>
        <w:tc>
          <w:tcPr>
            <w:tcW w:w="1701" w:type="dxa"/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-1 525,1</w:t>
            </w:r>
          </w:p>
        </w:tc>
        <w:tc>
          <w:tcPr>
            <w:tcW w:w="1701" w:type="dxa"/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3 679,7</w:t>
            </w:r>
          </w:p>
        </w:tc>
        <w:tc>
          <w:tcPr>
            <w:tcW w:w="1701" w:type="dxa"/>
            <w:vAlign w:val="bottom"/>
          </w:tcPr>
          <w:p w:rsidR="00642192" w:rsidRPr="001A3D3F" w:rsidRDefault="00363321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  <w:tr w:rsidR="00642192" w:rsidRPr="001A3D3F" w:rsidTr="00216B15">
        <w:trPr>
          <w:trHeight w:hRule="exact" w:val="510"/>
        </w:trPr>
        <w:tc>
          <w:tcPr>
            <w:tcW w:w="2823" w:type="dxa"/>
            <w:vAlign w:val="center"/>
          </w:tcPr>
          <w:p w:rsidR="00642192" w:rsidRPr="003B3875" w:rsidRDefault="00642192" w:rsidP="00642192">
            <w:pPr>
              <w:rPr>
                <w:sz w:val="16"/>
                <w:szCs w:val="16"/>
                <w:lang w:val="en-US"/>
              </w:rPr>
            </w:pPr>
            <w:r w:rsidRPr="003B3875">
              <w:rPr>
                <w:sz w:val="16"/>
                <w:szCs w:val="16"/>
                <w:lang w:val="en-US"/>
              </w:rPr>
              <w:t>The result of the operation</w:t>
            </w:r>
          </w:p>
        </w:tc>
        <w:tc>
          <w:tcPr>
            <w:tcW w:w="1701" w:type="dxa"/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10 518,3</w:t>
            </w:r>
          </w:p>
        </w:tc>
        <w:tc>
          <w:tcPr>
            <w:tcW w:w="1701" w:type="dxa"/>
            <w:vAlign w:val="bottom"/>
          </w:tcPr>
          <w:p w:rsidR="00642192" w:rsidRPr="001A3D3F" w:rsidRDefault="00642192" w:rsidP="0064219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:rsidR="00981181" w:rsidRPr="000744E8" w:rsidRDefault="00981181" w:rsidP="002E3BE8">
      <w:pPr>
        <w:rPr>
          <w:shd w:val="clear" w:color="auto" w:fill="FFFFFF"/>
          <w:lang w:val="en-US"/>
        </w:rPr>
      </w:pPr>
    </w:p>
    <w:p w:rsidR="00EE1CE5" w:rsidRPr="000744E8" w:rsidRDefault="00EE1CE5" w:rsidP="002E3BE8">
      <w:pPr>
        <w:rPr>
          <w:shd w:val="clear" w:color="auto" w:fill="FFFFFF"/>
          <w:lang w:val="en-US"/>
        </w:rPr>
      </w:pPr>
    </w:p>
    <w:p w:rsidR="00EE1CE5" w:rsidRPr="000744E8" w:rsidRDefault="00EE1CE5" w:rsidP="002E3BE8">
      <w:pPr>
        <w:rPr>
          <w:shd w:val="clear" w:color="auto" w:fill="FFFFFF"/>
          <w:lang w:val="en-US"/>
        </w:rPr>
      </w:pPr>
    </w:p>
    <w:p w:rsidR="000E08CA" w:rsidRPr="00F67906" w:rsidRDefault="00F67906" w:rsidP="00F67906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F67906">
        <w:rPr>
          <w:rStyle w:val="tlid-translation"/>
          <w:lang w:val="en-US"/>
        </w:rPr>
        <w:t>This news releases has been</w:t>
      </w:r>
      <w:r w:rsidR="004D25B8">
        <w:rPr>
          <w:rStyle w:val="tlid-translation"/>
          <w:lang w:val="en-US"/>
        </w:rPr>
        <w:t xml:space="preserve"> prepared on data received on 15/09</w:t>
      </w:r>
      <w:r w:rsidRPr="00F67906">
        <w:rPr>
          <w:rStyle w:val="tlid-translation"/>
          <w:lang w:val="en-US"/>
        </w:rPr>
        <w:t>/2021 from t</w:t>
      </w:r>
      <w:r>
        <w:rPr>
          <w:rStyle w:val="tlid-translation"/>
          <w:lang w:val="en-US"/>
        </w:rPr>
        <w:t xml:space="preserve">he Polish Financial Supervision </w:t>
      </w:r>
      <w:r w:rsidRPr="00F67906">
        <w:rPr>
          <w:rStyle w:val="tlid-translation"/>
          <w:lang w:val="en-US"/>
        </w:rPr>
        <w:t>Authority.</w:t>
      </w:r>
    </w:p>
    <w:p w:rsidR="00EE1CE5" w:rsidRPr="000744E8" w:rsidRDefault="00EE1CE5" w:rsidP="002E3BE8">
      <w:pPr>
        <w:rPr>
          <w:shd w:val="clear" w:color="auto" w:fill="FFFFFF"/>
          <w:lang w:val="en-US"/>
        </w:rPr>
      </w:pPr>
    </w:p>
    <w:p w:rsidR="00EE1CE5" w:rsidRPr="009E7E5D" w:rsidRDefault="00EE1CE5" w:rsidP="00EE1CE5">
      <w:pPr>
        <w:jc w:val="both"/>
        <w:rPr>
          <w:rStyle w:val="tlid-translation"/>
          <w:lang w:val="en-US"/>
        </w:rPr>
      </w:pPr>
      <w:r w:rsidRPr="009E7E5D">
        <w:rPr>
          <w:rStyle w:val="tlid-translation"/>
          <w:lang w:val="en-US"/>
        </w:rPr>
        <w:t xml:space="preserve">In case of </w:t>
      </w:r>
      <w:r w:rsidR="00F024EC" w:rsidRPr="009E7E5D">
        <w:rPr>
          <w:rStyle w:val="tlid-translation"/>
          <w:lang w:val="en-US"/>
        </w:rPr>
        <w:t xml:space="preserve">Statistics Poland data </w:t>
      </w:r>
      <w:r w:rsidRPr="009E7E5D">
        <w:rPr>
          <w:rStyle w:val="tlid-translation"/>
          <w:lang w:val="en-US"/>
        </w:rPr>
        <w:t>quoting, please provide information: "Sour</w:t>
      </w:r>
      <w:r>
        <w:rPr>
          <w:rStyle w:val="tlid-translation"/>
          <w:lang w:val="en-US"/>
        </w:rPr>
        <w:t>ce of data: Statistics Poland"</w:t>
      </w:r>
      <w:r w:rsidR="00C60D69">
        <w:rPr>
          <w:rStyle w:val="tlid-translation"/>
          <w:lang w:val="en-US"/>
        </w:rPr>
        <w:t xml:space="preserve"> </w:t>
      </w:r>
      <w:r w:rsidRPr="009E7E5D">
        <w:rPr>
          <w:rStyle w:val="tlid-translation"/>
          <w:lang w:val="en-US"/>
        </w:rPr>
        <w:t>and in case of publishing calculations made on data published by Statistics Poland, please include the following disclaimer: "Own study based on figures from Statistics Poland".</w:t>
      </w:r>
    </w:p>
    <w:p w:rsidR="00EE1CE5" w:rsidRPr="000744E8" w:rsidRDefault="00EE1CE5" w:rsidP="002E3BE8">
      <w:pPr>
        <w:rPr>
          <w:shd w:val="clear" w:color="auto" w:fill="FFFFFF"/>
          <w:lang w:val="en-US"/>
        </w:rPr>
      </w:pPr>
    </w:p>
    <w:p w:rsidR="00C034BC" w:rsidRPr="000744E8" w:rsidRDefault="00C034BC" w:rsidP="00B72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hd w:val="clear" w:color="auto" w:fill="FFFFFF"/>
          <w:lang w:val="en-US"/>
        </w:rPr>
        <w:sectPr w:rsidR="00C034BC" w:rsidRPr="000744E8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765B99" w:rsidRPr="000744E8" w:rsidRDefault="00765B99" w:rsidP="00E76D26">
      <w:pPr>
        <w:rPr>
          <w:sz w:val="18"/>
          <w:lang w:val="en-US"/>
        </w:rPr>
        <w:sectPr w:rsidR="00765B99" w:rsidRPr="000744E8" w:rsidSect="00B72F9E"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0744E8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5907AF" w:rsidTr="009A5961">
        <w:trPr>
          <w:trHeight w:val="1506"/>
        </w:trPr>
        <w:tc>
          <w:tcPr>
            <w:tcW w:w="4195" w:type="dxa"/>
          </w:tcPr>
          <w:p w:rsidR="0025563A" w:rsidRPr="000744E8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FA4729" w:rsidRPr="000744E8" w:rsidRDefault="006A0213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Macroeconomic Studies and Finance 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br/>
              <w:t xml:space="preserve">Statistics </w:t>
            </w:r>
            <w:r w:rsidR="00FA4729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FA4729" w:rsidRPr="000744E8" w:rsidRDefault="00FA4729" w:rsidP="00FA4729">
            <w:pPr>
              <w:spacing w:before="0" w:after="0" w:line="276" w:lineRule="auto"/>
              <w:ind w:left="-108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Director </w:t>
            </w:r>
            <w:r w:rsidR="00AD40D1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Mirosław</w:t>
            </w:r>
            <w:r w:rsidR="009A5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D40D1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Błażej</w:t>
            </w:r>
          </w:p>
          <w:p w:rsidR="00F418D1" w:rsidRPr="008F3638" w:rsidRDefault="00F418D1" w:rsidP="00F418D1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22) </w:t>
            </w:r>
            <w:r w:rsidR="00AD40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6083773</w:t>
            </w:r>
          </w:p>
          <w:p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728" w:type="dxa"/>
          </w:tcPr>
          <w:p w:rsidR="00AC3FCE" w:rsidRPr="000744E8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0744E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4B381A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0F5A7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</w:p>
          <w:p w:rsidR="000470AA" w:rsidRPr="000744E8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o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f Statistic</w:t>
            </w:r>
            <w:r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0744E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FA4729" w:rsidRPr="000744E8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744E8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0744E8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F418D1" w:rsidRPr="008F3638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744E8" w:rsidRDefault="000470AA" w:rsidP="000470AA">
      <w:pPr>
        <w:rPr>
          <w:sz w:val="20"/>
          <w:lang w:val="en-US"/>
        </w:rPr>
      </w:pPr>
    </w:p>
    <w:p w:rsidR="000470AA" w:rsidRPr="000744E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907AF" w:rsidTr="00A24587">
        <w:trPr>
          <w:trHeight w:val="610"/>
        </w:trPr>
        <w:tc>
          <w:tcPr>
            <w:tcW w:w="2721" w:type="pct"/>
            <w:vMerge w:val="restart"/>
          </w:tcPr>
          <w:p w:rsidR="000470AA" w:rsidRPr="000744E8" w:rsidRDefault="001D2736" w:rsidP="00A24587">
            <w:pPr>
              <w:rPr>
                <w:b/>
                <w:sz w:val="20"/>
                <w:lang w:val="en-US"/>
              </w:rPr>
            </w:pPr>
            <w:r w:rsidRPr="000744E8">
              <w:rPr>
                <w:b/>
                <w:sz w:val="20"/>
                <w:lang w:val="en-US"/>
              </w:rPr>
              <w:t>Press Office</w:t>
            </w:r>
          </w:p>
          <w:p w:rsidR="00F418D1" w:rsidRPr="000744E8" w:rsidRDefault="00F418D1" w:rsidP="00F418D1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744E8">
              <w:rPr>
                <w:sz w:val="20"/>
                <w:lang w:val="en-US"/>
              </w:rPr>
              <w:t xml:space="preserve">608 34 91, 608 38 04 </w:t>
            </w:r>
          </w:p>
          <w:p w:rsidR="000470AA" w:rsidRPr="000744E8" w:rsidRDefault="000470AA" w:rsidP="00A24587">
            <w:pPr>
              <w:rPr>
                <w:sz w:val="18"/>
                <w:lang w:val="en-US"/>
              </w:rPr>
            </w:pPr>
            <w:r w:rsidRPr="000744E8">
              <w:rPr>
                <w:b/>
                <w:sz w:val="20"/>
                <w:lang w:val="en-US"/>
              </w:rPr>
              <w:t>e-mail:</w:t>
            </w:r>
            <w:r w:rsidR="003B3875">
              <w:rPr>
                <w:b/>
                <w:sz w:val="20"/>
                <w:lang w:val="en-US"/>
              </w:rPr>
              <w:t xml:space="preserve"> </w:t>
            </w:r>
            <w:hyperlink r:id="rId16" w:history="1">
              <w:r w:rsidRPr="000744E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 w:rsidRPr="000744E8">
              <w:rPr>
                <w:sz w:val="20"/>
                <w:lang w:val="en-US"/>
              </w:rPr>
              <w:t>www.stat.gov.pl</w:t>
            </w:r>
            <w:r w:rsidR="001D2736" w:rsidRPr="000744E8">
              <w:rPr>
                <w:sz w:val="20"/>
                <w:lang w:val="en-US"/>
              </w:rPr>
              <w:t>/en/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Pr="000744E8" w:rsidRDefault="000470AA" w:rsidP="00A24587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744E8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:rsidTr="00A24587">
        <w:trPr>
          <w:trHeight w:val="436"/>
        </w:trPr>
        <w:tc>
          <w:tcPr>
            <w:tcW w:w="2721" w:type="pct"/>
            <w:vMerge/>
          </w:tcPr>
          <w:p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417A6E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338DC" w:rsidRPr="000744E8" w:rsidRDefault="00D338DC" w:rsidP="00D338D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D338DC" w:rsidRPr="00A84D60" w:rsidRDefault="006F2348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0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 – Financial Results of Investment Funds and Investment Funds Companies</w:t>
                              </w:r>
                            </w:hyperlink>
                          </w:p>
                          <w:p w:rsidR="00AB6D25" w:rsidRPr="000744E8" w:rsidRDefault="00AB6D25" w:rsidP="00AB6D25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  <w:lang w:val="en-US"/>
                              </w:rPr>
                            </w:pPr>
                          </w:p>
                          <w:p w:rsidR="00673C26" w:rsidRPr="000744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AB6D25" w:rsidRPr="000744E8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0744E8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:rsidR="00D338DC" w:rsidRPr="00A84D60" w:rsidRDefault="006F2348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Investment Fund</w:t>
                              </w:r>
                            </w:hyperlink>
                          </w:p>
                          <w:p w:rsidR="00D338DC" w:rsidRPr="00A84D60" w:rsidRDefault="006F2348" w:rsidP="00D338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D338DC" w:rsidRPr="00A84D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Investment Fund Company</w:t>
                              </w:r>
                            </w:hyperlink>
                          </w:p>
                          <w:p w:rsidR="00DB4CC6" w:rsidRPr="00E72B1C" w:rsidRDefault="00DB4CC6" w:rsidP="00DB4CC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505A92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D338DC" w:rsidRPr="000744E8" w:rsidRDefault="00D338DC" w:rsidP="00D338D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D338DC" w:rsidRPr="00A84D60" w:rsidRDefault="00731AAD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3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 – Financial Results of Investment Funds and Investment Funds Companies</w:t>
                        </w:r>
                      </w:hyperlink>
                    </w:p>
                    <w:p w:rsidR="00AB6D25" w:rsidRPr="000744E8" w:rsidRDefault="00AB6D25" w:rsidP="00AB6D25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  <w:lang w:val="en-US"/>
                        </w:rPr>
                      </w:pPr>
                    </w:p>
                    <w:p w:rsidR="00673C26" w:rsidRPr="000744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AB6D25" w:rsidRPr="000744E8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0744E8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:rsidR="00D338DC" w:rsidRPr="00A84D60" w:rsidRDefault="00731AAD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4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Investment Fund</w:t>
                        </w:r>
                      </w:hyperlink>
                    </w:p>
                    <w:p w:rsidR="00D338DC" w:rsidRPr="00A84D60" w:rsidRDefault="00731AAD" w:rsidP="00D338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D338DC" w:rsidRPr="00A84D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Investment Fund Company</w:t>
                        </w:r>
                      </w:hyperlink>
                    </w:p>
                    <w:p w:rsidR="00DB4CC6" w:rsidRPr="00E72B1C" w:rsidRDefault="00DB4CC6" w:rsidP="00DB4CC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505A92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348" w:rsidRDefault="006F2348" w:rsidP="000662E2">
      <w:pPr>
        <w:spacing w:after="0" w:line="240" w:lineRule="auto"/>
      </w:pPr>
      <w:r>
        <w:separator/>
      </w:r>
    </w:p>
  </w:endnote>
  <w:endnote w:type="continuationSeparator" w:id="0">
    <w:p w:rsidR="006F2348" w:rsidRDefault="006F23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076485"/>
      <w:docPartObj>
        <w:docPartGallery w:val="Page Numbers (Bottom of Page)"/>
        <w:docPartUnique/>
      </w:docPartObj>
    </w:sdtPr>
    <w:sdtEndPr/>
    <w:sdtContent>
      <w:p w:rsidR="00EB556D" w:rsidRDefault="00773ACC" w:rsidP="003B18B6">
        <w:pPr>
          <w:pStyle w:val="Stopka"/>
          <w:jc w:val="center"/>
        </w:pPr>
        <w:r>
          <w:fldChar w:fldCharType="begin"/>
        </w:r>
        <w:r w:rsidR="00541E6E">
          <w:instrText>PAGE   \* MERGEFORMAT</w:instrText>
        </w:r>
        <w:r>
          <w:fldChar w:fldCharType="separate"/>
        </w:r>
        <w:r w:rsidR="006B38E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EB556D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773ACC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6B38E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348" w:rsidRDefault="006F2348" w:rsidP="000662E2">
      <w:pPr>
        <w:spacing w:after="0" w:line="240" w:lineRule="auto"/>
      </w:pPr>
      <w:r>
        <w:separator/>
      </w:r>
    </w:p>
  </w:footnote>
  <w:footnote w:type="continuationSeparator" w:id="0">
    <w:p w:rsidR="006F2348" w:rsidRDefault="006F234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417A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63D9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2" name="Obraz 2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7A6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417A6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D673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417A6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24D8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F6D6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F24D8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F6D6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9F585C"/>
    <w:multiLevelType w:val="hybridMultilevel"/>
    <w:tmpl w:val="3430A30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884E1A"/>
    <w:multiLevelType w:val="hybridMultilevel"/>
    <w:tmpl w:val="1A30FB52"/>
    <w:lvl w:ilvl="0" w:tplc="6DB65E86">
      <w:start w:val="1"/>
      <w:numFmt w:val="bullet"/>
      <w:lvlText w:val="─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D782D9C"/>
    <w:multiLevelType w:val="hybridMultilevel"/>
    <w:tmpl w:val="EE26ED60"/>
    <w:lvl w:ilvl="0" w:tplc="AD8A1744">
      <w:numFmt w:val="bullet"/>
      <w:lvlText w:val="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53"/>
    <w:rsid w:val="00001C5B"/>
    <w:rsid w:val="000021D3"/>
    <w:rsid w:val="00003437"/>
    <w:rsid w:val="00003D68"/>
    <w:rsid w:val="00004288"/>
    <w:rsid w:val="0000709F"/>
    <w:rsid w:val="000108B8"/>
    <w:rsid w:val="000152F5"/>
    <w:rsid w:val="00015516"/>
    <w:rsid w:val="00040151"/>
    <w:rsid w:val="0004582E"/>
    <w:rsid w:val="000470AA"/>
    <w:rsid w:val="00050E9C"/>
    <w:rsid w:val="00057CA1"/>
    <w:rsid w:val="00057E5D"/>
    <w:rsid w:val="00064439"/>
    <w:rsid w:val="00065270"/>
    <w:rsid w:val="000662E2"/>
    <w:rsid w:val="00066883"/>
    <w:rsid w:val="000670DE"/>
    <w:rsid w:val="00072ADA"/>
    <w:rsid w:val="00073E55"/>
    <w:rsid w:val="000744E8"/>
    <w:rsid w:val="00074DD8"/>
    <w:rsid w:val="0007786A"/>
    <w:rsid w:val="000806F7"/>
    <w:rsid w:val="00080863"/>
    <w:rsid w:val="000842B9"/>
    <w:rsid w:val="000845F3"/>
    <w:rsid w:val="0008514C"/>
    <w:rsid w:val="0009036F"/>
    <w:rsid w:val="00093C74"/>
    <w:rsid w:val="000A490C"/>
    <w:rsid w:val="000B0065"/>
    <w:rsid w:val="000B0727"/>
    <w:rsid w:val="000C0DD6"/>
    <w:rsid w:val="000C135D"/>
    <w:rsid w:val="000C1856"/>
    <w:rsid w:val="000D0E94"/>
    <w:rsid w:val="000D0FA1"/>
    <w:rsid w:val="000D1D43"/>
    <w:rsid w:val="000D1EAB"/>
    <w:rsid w:val="000D1FDC"/>
    <w:rsid w:val="000D225C"/>
    <w:rsid w:val="000D2A5C"/>
    <w:rsid w:val="000D4173"/>
    <w:rsid w:val="000E08CA"/>
    <w:rsid w:val="000E0918"/>
    <w:rsid w:val="000E4204"/>
    <w:rsid w:val="000E7435"/>
    <w:rsid w:val="000F5A7A"/>
    <w:rsid w:val="000F7829"/>
    <w:rsid w:val="001011C3"/>
    <w:rsid w:val="00101666"/>
    <w:rsid w:val="00101E9C"/>
    <w:rsid w:val="00110D87"/>
    <w:rsid w:val="00111869"/>
    <w:rsid w:val="00114DB9"/>
    <w:rsid w:val="00116087"/>
    <w:rsid w:val="0011784B"/>
    <w:rsid w:val="00125074"/>
    <w:rsid w:val="00130296"/>
    <w:rsid w:val="00133DB0"/>
    <w:rsid w:val="00135B14"/>
    <w:rsid w:val="00140CEE"/>
    <w:rsid w:val="00140D6B"/>
    <w:rsid w:val="001423B6"/>
    <w:rsid w:val="0014351A"/>
    <w:rsid w:val="001448A7"/>
    <w:rsid w:val="00146621"/>
    <w:rsid w:val="00162325"/>
    <w:rsid w:val="00162E0C"/>
    <w:rsid w:val="0017655B"/>
    <w:rsid w:val="0017758F"/>
    <w:rsid w:val="00184508"/>
    <w:rsid w:val="00185C9C"/>
    <w:rsid w:val="0018615B"/>
    <w:rsid w:val="001903C0"/>
    <w:rsid w:val="001951DA"/>
    <w:rsid w:val="00196ECA"/>
    <w:rsid w:val="001B01FA"/>
    <w:rsid w:val="001B1432"/>
    <w:rsid w:val="001B28F3"/>
    <w:rsid w:val="001C3269"/>
    <w:rsid w:val="001C63E6"/>
    <w:rsid w:val="001C7430"/>
    <w:rsid w:val="001D1DB4"/>
    <w:rsid w:val="001D2736"/>
    <w:rsid w:val="001D2C42"/>
    <w:rsid w:val="001D51EA"/>
    <w:rsid w:val="001E1986"/>
    <w:rsid w:val="001F33C7"/>
    <w:rsid w:val="001F7C01"/>
    <w:rsid w:val="002055B8"/>
    <w:rsid w:val="00213AD8"/>
    <w:rsid w:val="0022163F"/>
    <w:rsid w:val="00221B75"/>
    <w:rsid w:val="00223A05"/>
    <w:rsid w:val="00223CE0"/>
    <w:rsid w:val="00232648"/>
    <w:rsid w:val="0025563A"/>
    <w:rsid w:val="002574F9"/>
    <w:rsid w:val="002619F1"/>
    <w:rsid w:val="00262720"/>
    <w:rsid w:val="00262B61"/>
    <w:rsid w:val="002641A2"/>
    <w:rsid w:val="00267794"/>
    <w:rsid w:val="0027009D"/>
    <w:rsid w:val="00276811"/>
    <w:rsid w:val="002774EF"/>
    <w:rsid w:val="002800E4"/>
    <w:rsid w:val="002810F6"/>
    <w:rsid w:val="00282699"/>
    <w:rsid w:val="002926DF"/>
    <w:rsid w:val="00294E5A"/>
    <w:rsid w:val="00296697"/>
    <w:rsid w:val="002A4C82"/>
    <w:rsid w:val="002A6113"/>
    <w:rsid w:val="002A61C9"/>
    <w:rsid w:val="002B0472"/>
    <w:rsid w:val="002B6B12"/>
    <w:rsid w:val="002B71EA"/>
    <w:rsid w:val="002C187F"/>
    <w:rsid w:val="002C36E8"/>
    <w:rsid w:val="002C58F1"/>
    <w:rsid w:val="002D0871"/>
    <w:rsid w:val="002D5D08"/>
    <w:rsid w:val="002E38E1"/>
    <w:rsid w:val="002E3BE8"/>
    <w:rsid w:val="002E6140"/>
    <w:rsid w:val="002E6985"/>
    <w:rsid w:val="002E71B6"/>
    <w:rsid w:val="002E75E8"/>
    <w:rsid w:val="002F77C8"/>
    <w:rsid w:val="00301F71"/>
    <w:rsid w:val="00304F22"/>
    <w:rsid w:val="00306C7C"/>
    <w:rsid w:val="00322089"/>
    <w:rsid w:val="00322EDD"/>
    <w:rsid w:val="00325FAD"/>
    <w:rsid w:val="00330635"/>
    <w:rsid w:val="00331527"/>
    <w:rsid w:val="00332320"/>
    <w:rsid w:val="003410D5"/>
    <w:rsid w:val="00345A97"/>
    <w:rsid w:val="00347D72"/>
    <w:rsid w:val="00354FCD"/>
    <w:rsid w:val="00357611"/>
    <w:rsid w:val="003625C6"/>
    <w:rsid w:val="00363321"/>
    <w:rsid w:val="00363AC3"/>
    <w:rsid w:val="00364240"/>
    <w:rsid w:val="00366F00"/>
    <w:rsid w:val="00367237"/>
    <w:rsid w:val="0037077F"/>
    <w:rsid w:val="00372411"/>
    <w:rsid w:val="00373882"/>
    <w:rsid w:val="00375B23"/>
    <w:rsid w:val="003760AF"/>
    <w:rsid w:val="00382849"/>
    <w:rsid w:val="003843DB"/>
    <w:rsid w:val="00386E9A"/>
    <w:rsid w:val="00387F7B"/>
    <w:rsid w:val="003912B9"/>
    <w:rsid w:val="00391300"/>
    <w:rsid w:val="00393761"/>
    <w:rsid w:val="00397230"/>
    <w:rsid w:val="00397D18"/>
    <w:rsid w:val="003A1B36"/>
    <w:rsid w:val="003A2056"/>
    <w:rsid w:val="003B1454"/>
    <w:rsid w:val="003B18B6"/>
    <w:rsid w:val="003B3875"/>
    <w:rsid w:val="003B40E5"/>
    <w:rsid w:val="003C59E0"/>
    <w:rsid w:val="003C6C8D"/>
    <w:rsid w:val="003D4F95"/>
    <w:rsid w:val="003D5C6E"/>
    <w:rsid w:val="003D5F42"/>
    <w:rsid w:val="003D60A9"/>
    <w:rsid w:val="003D726C"/>
    <w:rsid w:val="003E16C3"/>
    <w:rsid w:val="003F3CB3"/>
    <w:rsid w:val="003F4C97"/>
    <w:rsid w:val="003F4FFD"/>
    <w:rsid w:val="003F5BD9"/>
    <w:rsid w:val="003F759B"/>
    <w:rsid w:val="003F7A34"/>
    <w:rsid w:val="003F7FE6"/>
    <w:rsid w:val="00400193"/>
    <w:rsid w:val="00407CF2"/>
    <w:rsid w:val="00413C70"/>
    <w:rsid w:val="00413C93"/>
    <w:rsid w:val="004158DE"/>
    <w:rsid w:val="00417A6E"/>
    <w:rsid w:val="004212E7"/>
    <w:rsid w:val="0042446D"/>
    <w:rsid w:val="00426BE3"/>
    <w:rsid w:val="00427BF8"/>
    <w:rsid w:val="00431C02"/>
    <w:rsid w:val="00435518"/>
    <w:rsid w:val="00437395"/>
    <w:rsid w:val="00445047"/>
    <w:rsid w:val="00447C60"/>
    <w:rsid w:val="00451A79"/>
    <w:rsid w:val="00455A5A"/>
    <w:rsid w:val="00463E39"/>
    <w:rsid w:val="004657FC"/>
    <w:rsid w:val="00466D03"/>
    <w:rsid w:val="004733F6"/>
    <w:rsid w:val="00474E69"/>
    <w:rsid w:val="00487050"/>
    <w:rsid w:val="004918FA"/>
    <w:rsid w:val="0049621B"/>
    <w:rsid w:val="004A2418"/>
    <w:rsid w:val="004A4833"/>
    <w:rsid w:val="004B1EC1"/>
    <w:rsid w:val="004B381A"/>
    <w:rsid w:val="004B4CB1"/>
    <w:rsid w:val="004B6756"/>
    <w:rsid w:val="004C109C"/>
    <w:rsid w:val="004C1895"/>
    <w:rsid w:val="004C6347"/>
    <w:rsid w:val="004C6D40"/>
    <w:rsid w:val="004C796C"/>
    <w:rsid w:val="004D0C49"/>
    <w:rsid w:val="004D25B8"/>
    <w:rsid w:val="004D29CF"/>
    <w:rsid w:val="004D5EF4"/>
    <w:rsid w:val="004E0D4A"/>
    <w:rsid w:val="004E4411"/>
    <w:rsid w:val="004F0C3C"/>
    <w:rsid w:val="004F2AC8"/>
    <w:rsid w:val="004F3A2C"/>
    <w:rsid w:val="004F63FC"/>
    <w:rsid w:val="00505A92"/>
    <w:rsid w:val="005067F4"/>
    <w:rsid w:val="005072A4"/>
    <w:rsid w:val="005134BB"/>
    <w:rsid w:val="005144F4"/>
    <w:rsid w:val="00515328"/>
    <w:rsid w:val="005203F1"/>
    <w:rsid w:val="00521BC3"/>
    <w:rsid w:val="00524721"/>
    <w:rsid w:val="00531743"/>
    <w:rsid w:val="005319D6"/>
    <w:rsid w:val="00533632"/>
    <w:rsid w:val="00536DD0"/>
    <w:rsid w:val="00541E6E"/>
    <w:rsid w:val="0054251F"/>
    <w:rsid w:val="005471C1"/>
    <w:rsid w:val="0054722A"/>
    <w:rsid w:val="005508B0"/>
    <w:rsid w:val="005520D8"/>
    <w:rsid w:val="00552916"/>
    <w:rsid w:val="00553E19"/>
    <w:rsid w:val="00556CF1"/>
    <w:rsid w:val="0055716A"/>
    <w:rsid w:val="0056311C"/>
    <w:rsid w:val="005649D0"/>
    <w:rsid w:val="00566A0C"/>
    <w:rsid w:val="00570083"/>
    <w:rsid w:val="005762A7"/>
    <w:rsid w:val="0058039E"/>
    <w:rsid w:val="00580E2D"/>
    <w:rsid w:val="00581CBD"/>
    <w:rsid w:val="005867EC"/>
    <w:rsid w:val="005907AF"/>
    <w:rsid w:val="005916D7"/>
    <w:rsid w:val="005922C7"/>
    <w:rsid w:val="0059644D"/>
    <w:rsid w:val="005A2B1D"/>
    <w:rsid w:val="005A698C"/>
    <w:rsid w:val="005B0D19"/>
    <w:rsid w:val="005B704A"/>
    <w:rsid w:val="005C11A2"/>
    <w:rsid w:val="005C1E18"/>
    <w:rsid w:val="005C33C7"/>
    <w:rsid w:val="005C4AD9"/>
    <w:rsid w:val="005C57EB"/>
    <w:rsid w:val="005C6631"/>
    <w:rsid w:val="005D54A4"/>
    <w:rsid w:val="005E0799"/>
    <w:rsid w:val="005E49FD"/>
    <w:rsid w:val="005F0BEC"/>
    <w:rsid w:val="005F5A80"/>
    <w:rsid w:val="00602473"/>
    <w:rsid w:val="00604407"/>
    <w:rsid w:val="006044FF"/>
    <w:rsid w:val="00605926"/>
    <w:rsid w:val="00606FE1"/>
    <w:rsid w:val="00607CC5"/>
    <w:rsid w:val="00613D1D"/>
    <w:rsid w:val="00617934"/>
    <w:rsid w:val="00630505"/>
    <w:rsid w:val="006309FF"/>
    <w:rsid w:val="00633014"/>
    <w:rsid w:val="0063437B"/>
    <w:rsid w:val="00641C79"/>
    <w:rsid w:val="00642192"/>
    <w:rsid w:val="0064472D"/>
    <w:rsid w:val="00653142"/>
    <w:rsid w:val="0065657F"/>
    <w:rsid w:val="006569DC"/>
    <w:rsid w:val="0065716C"/>
    <w:rsid w:val="00660E51"/>
    <w:rsid w:val="00663999"/>
    <w:rsid w:val="006673CA"/>
    <w:rsid w:val="0067030C"/>
    <w:rsid w:val="00673C26"/>
    <w:rsid w:val="006812AF"/>
    <w:rsid w:val="0068327D"/>
    <w:rsid w:val="006907F9"/>
    <w:rsid w:val="00694AF0"/>
    <w:rsid w:val="00695EFB"/>
    <w:rsid w:val="006A0213"/>
    <w:rsid w:val="006A4686"/>
    <w:rsid w:val="006B0E9E"/>
    <w:rsid w:val="006B1AD5"/>
    <w:rsid w:val="006B38EB"/>
    <w:rsid w:val="006B3BED"/>
    <w:rsid w:val="006B5AE4"/>
    <w:rsid w:val="006C567C"/>
    <w:rsid w:val="006C7557"/>
    <w:rsid w:val="006D1120"/>
    <w:rsid w:val="006D1507"/>
    <w:rsid w:val="006D171D"/>
    <w:rsid w:val="006D3CE0"/>
    <w:rsid w:val="006D3ED3"/>
    <w:rsid w:val="006D4054"/>
    <w:rsid w:val="006D4EA6"/>
    <w:rsid w:val="006E02EC"/>
    <w:rsid w:val="006F2348"/>
    <w:rsid w:val="006F3422"/>
    <w:rsid w:val="006F65A6"/>
    <w:rsid w:val="006F6D6B"/>
    <w:rsid w:val="00711EEC"/>
    <w:rsid w:val="00712DC6"/>
    <w:rsid w:val="00713A0E"/>
    <w:rsid w:val="00714AEC"/>
    <w:rsid w:val="007211B1"/>
    <w:rsid w:val="00731AAD"/>
    <w:rsid w:val="0073223E"/>
    <w:rsid w:val="00733213"/>
    <w:rsid w:val="007379EE"/>
    <w:rsid w:val="00741F80"/>
    <w:rsid w:val="007453DB"/>
    <w:rsid w:val="00746187"/>
    <w:rsid w:val="00752FE3"/>
    <w:rsid w:val="007548DC"/>
    <w:rsid w:val="00756ED3"/>
    <w:rsid w:val="0076254F"/>
    <w:rsid w:val="00765B99"/>
    <w:rsid w:val="00770D01"/>
    <w:rsid w:val="00770EF8"/>
    <w:rsid w:val="00773ACC"/>
    <w:rsid w:val="007801F5"/>
    <w:rsid w:val="00783CA4"/>
    <w:rsid w:val="007842FB"/>
    <w:rsid w:val="00786124"/>
    <w:rsid w:val="0078682E"/>
    <w:rsid w:val="00787151"/>
    <w:rsid w:val="00790841"/>
    <w:rsid w:val="0079514B"/>
    <w:rsid w:val="007A2290"/>
    <w:rsid w:val="007A2DC1"/>
    <w:rsid w:val="007A399B"/>
    <w:rsid w:val="007A496F"/>
    <w:rsid w:val="007B3FBB"/>
    <w:rsid w:val="007C30E0"/>
    <w:rsid w:val="007C39DD"/>
    <w:rsid w:val="007C4F2E"/>
    <w:rsid w:val="007C659C"/>
    <w:rsid w:val="007C7A53"/>
    <w:rsid w:val="007D3319"/>
    <w:rsid w:val="007D335D"/>
    <w:rsid w:val="007D5D20"/>
    <w:rsid w:val="007E321D"/>
    <w:rsid w:val="007E3314"/>
    <w:rsid w:val="007E4B03"/>
    <w:rsid w:val="007F324B"/>
    <w:rsid w:val="00805400"/>
    <w:rsid w:val="0080553C"/>
    <w:rsid w:val="00805B46"/>
    <w:rsid w:val="00805F1C"/>
    <w:rsid w:val="00825DC2"/>
    <w:rsid w:val="00825F16"/>
    <w:rsid w:val="0082726E"/>
    <w:rsid w:val="00831F47"/>
    <w:rsid w:val="00834AD3"/>
    <w:rsid w:val="00834DF5"/>
    <w:rsid w:val="00843795"/>
    <w:rsid w:val="0084711D"/>
    <w:rsid w:val="00847683"/>
    <w:rsid w:val="00847F0F"/>
    <w:rsid w:val="008513C3"/>
    <w:rsid w:val="00852448"/>
    <w:rsid w:val="008565F7"/>
    <w:rsid w:val="008636C5"/>
    <w:rsid w:val="00866830"/>
    <w:rsid w:val="0086760D"/>
    <w:rsid w:val="0088258A"/>
    <w:rsid w:val="00886332"/>
    <w:rsid w:val="00886A7D"/>
    <w:rsid w:val="00894DFD"/>
    <w:rsid w:val="00895FF8"/>
    <w:rsid w:val="008A26D9"/>
    <w:rsid w:val="008A7B88"/>
    <w:rsid w:val="008B001E"/>
    <w:rsid w:val="008C0C29"/>
    <w:rsid w:val="008C29E4"/>
    <w:rsid w:val="008E0DCD"/>
    <w:rsid w:val="008E11C5"/>
    <w:rsid w:val="008E7442"/>
    <w:rsid w:val="008F0F38"/>
    <w:rsid w:val="008F3638"/>
    <w:rsid w:val="008F4441"/>
    <w:rsid w:val="008F6F31"/>
    <w:rsid w:val="008F74DF"/>
    <w:rsid w:val="009012D1"/>
    <w:rsid w:val="009127BA"/>
    <w:rsid w:val="00912F50"/>
    <w:rsid w:val="00914DF1"/>
    <w:rsid w:val="00915AA6"/>
    <w:rsid w:val="00917660"/>
    <w:rsid w:val="009215EB"/>
    <w:rsid w:val="00922021"/>
    <w:rsid w:val="009227A6"/>
    <w:rsid w:val="00923638"/>
    <w:rsid w:val="009242B8"/>
    <w:rsid w:val="00924E2E"/>
    <w:rsid w:val="00933E17"/>
    <w:rsid w:val="00933EC1"/>
    <w:rsid w:val="00942BA2"/>
    <w:rsid w:val="00946D1D"/>
    <w:rsid w:val="00950D8E"/>
    <w:rsid w:val="009530DB"/>
    <w:rsid w:val="00953676"/>
    <w:rsid w:val="0095512A"/>
    <w:rsid w:val="00962473"/>
    <w:rsid w:val="009677CC"/>
    <w:rsid w:val="009705EE"/>
    <w:rsid w:val="009720FB"/>
    <w:rsid w:val="00974637"/>
    <w:rsid w:val="00977927"/>
    <w:rsid w:val="00981181"/>
    <w:rsid w:val="0098135C"/>
    <w:rsid w:val="0098156A"/>
    <w:rsid w:val="00985CF5"/>
    <w:rsid w:val="009909A4"/>
    <w:rsid w:val="00991BAC"/>
    <w:rsid w:val="009937B0"/>
    <w:rsid w:val="009A581F"/>
    <w:rsid w:val="009A5961"/>
    <w:rsid w:val="009A6EA0"/>
    <w:rsid w:val="009B5A69"/>
    <w:rsid w:val="009C0B60"/>
    <w:rsid w:val="009C1335"/>
    <w:rsid w:val="009C1AB2"/>
    <w:rsid w:val="009C6E37"/>
    <w:rsid w:val="009C7251"/>
    <w:rsid w:val="009D0C48"/>
    <w:rsid w:val="009E0985"/>
    <w:rsid w:val="009E2E91"/>
    <w:rsid w:val="009E5A64"/>
    <w:rsid w:val="009F7758"/>
    <w:rsid w:val="00A139F5"/>
    <w:rsid w:val="00A147FD"/>
    <w:rsid w:val="00A15F16"/>
    <w:rsid w:val="00A24587"/>
    <w:rsid w:val="00A25AEC"/>
    <w:rsid w:val="00A30006"/>
    <w:rsid w:val="00A310D0"/>
    <w:rsid w:val="00A34F2F"/>
    <w:rsid w:val="00A365F4"/>
    <w:rsid w:val="00A37DBC"/>
    <w:rsid w:val="00A47D80"/>
    <w:rsid w:val="00A53132"/>
    <w:rsid w:val="00A5590F"/>
    <w:rsid w:val="00A563F2"/>
    <w:rsid w:val="00A566E8"/>
    <w:rsid w:val="00A61128"/>
    <w:rsid w:val="00A633D6"/>
    <w:rsid w:val="00A67511"/>
    <w:rsid w:val="00A7173C"/>
    <w:rsid w:val="00A72C73"/>
    <w:rsid w:val="00A810F9"/>
    <w:rsid w:val="00A84D60"/>
    <w:rsid w:val="00A86ECC"/>
    <w:rsid w:val="00A86FCC"/>
    <w:rsid w:val="00A94074"/>
    <w:rsid w:val="00A95B68"/>
    <w:rsid w:val="00A9613B"/>
    <w:rsid w:val="00AA48E1"/>
    <w:rsid w:val="00AA710D"/>
    <w:rsid w:val="00AB14A0"/>
    <w:rsid w:val="00AB5DFF"/>
    <w:rsid w:val="00AB6D25"/>
    <w:rsid w:val="00AC3FCE"/>
    <w:rsid w:val="00AC586D"/>
    <w:rsid w:val="00AC65D0"/>
    <w:rsid w:val="00AC6833"/>
    <w:rsid w:val="00AD24B9"/>
    <w:rsid w:val="00AD40D1"/>
    <w:rsid w:val="00AD617F"/>
    <w:rsid w:val="00AE2C62"/>
    <w:rsid w:val="00AE2D4B"/>
    <w:rsid w:val="00AE4F99"/>
    <w:rsid w:val="00AF4B1B"/>
    <w:rsid w:val="00AF5DE0"/>
    <w:rsid w:val="00B04721"/>
    <w:rsid w:val="00B04B80"/>
    <w:rsid w:val="00B12859"/>
    <w:rsid w:val="00B1321E"/>
    <w:rsid w:val="00B14952"/>
    <w:rsid w:val="00B160F1"/>
    <w:rsid w:val="00B16576"/>
    <w:rsid w:val="00B20267"/>
    <w:rsid w:val="00B2764F"/>
    <w:rsid w:val="00B30ABB"/>
    <w:rsid w:val="00B312F6"/>
    <w:rsid w:val="00B31E5A"/>
    <w:rsid w:val="00B346FF"/>
    <w:rsid w:val="00B3634C"/>
    <w:rsid w:val="00B4554E"/>
    <w:rsid w:val="00B521D5"/>
    <w:rsid w:val="00B6254C"/>
    <w:rsid w:val="00B64E5B"/>
    <w:rsid w:val="00B653AB"/>
    <w:rsid w:val="00B65F9E"/>
    <w:rsid w:val="00B66B19"/>
    <w:rsid w:val="00B67C54"/>
    <w:rsid w:val="00B72F9E"/>
    <w:rsid w:val="00B73F22"/>
    <w:rsid w:val="00B914E9"/>
    <w:rsid w:val="00B91519"/>
    <w:rsid w:val="00B956EE"/>
    <w:rsid w:val="00BA2BA1"/>
    <w:rsid w:val="00BA381D"/>
    <w:rsid w:val="00BB1508"/>
    <w:rsid w:val="00BB4EF5"/>
    <w:rsid w:val="00BB4F09"/>
    <w:rsid w:val="00BB6A91"/>
    <w:rsid w:val="00BB7B83"/>
    <w:rsid w:val="00BC1A9C"/>
    <w:rsid w:val="00BC39B4"/>
    <w:rsid w:val="00BD2D71"/>
    <w:rsid w:val="00BD38C3"/>
    <w:rsid w:val="00BD4E33"/>
    <w:rsid w:val="00BD6AFB"/>
    <w:rsid w:val="00BE13B8"/>
    <w:rsid w:val="00BE23E7"/>
    <w:rsid w:val="00BE4CE8"/>
    <w:rsid w:val="00BE5F33"/>
    <w:rsid w:val="00BF300F"/>
    <w:rsid w:val="00BF3CD0"/>
    <w:rsid w:val="00BF53A8"/>
    <w:rsid w:val="00BF5799"/>
    <w:rsid w:val="00BF7A9F"/>
    <w:rsid w:val="00C030DE"/>
    <w:rsid w:val="00C034BC"/>
    <w:rsid w:val="00C06732"/>
    <w:rsid w:val="00C07260"/>
    <w:rsid w:val="00C14CB2"/>
    <w:rsid w:val="00C16562"/>
    <w:rsid w:val="00C22105"/>
    <w:rsid w:val="00C244B6"/>
    <w:rsid w:val="00C35C90"/>
    <w:rsid w:val="00C3702F"/>
    <w:rsid w:val="00C37A9C"/>
    <w:rsid w:val="00C41F7D"/>
    <w:rsid w:val="00C42943"/>
    <w:rsid w:val="00C502EA"/>
    <w:rsid w:val="00C56F2C"/>
    <w:rsid w:val="00C60D69"/>
    <w:rsid w:val="00C62DBF"/>
    <w:rsid w:val="00C63343"/>
    <w:rsid w:val="00C64A37"/>
    <w:rsid w:val="00C66BA8"/>
    <w:rsid w:val="00C71415"/>
    <w:rsid w:val="00C7158E"/>
    <w:rsid w:val="00C71E0A"/>
    <w:rsid w:val="00C7250B"/>
    <w:rsid w:val="00C7346B"/>
    <w:rsid w:val="00C75006"/>
    <w:rsid w:val="00C77C0E"/>
    <w:rsid w:val="00C91687"/>
    <w:rsid w:val="00C9209D"/>
    <w:rsid w:val="00C924A8"/>
    <w:rsid w:val="00C945FE"/>
    <w:rsid w:val="00C96FAA"/>
    <w:rsid w:val="00C97A04"/>
    <w:rsid w:val="00CA107B"/>
    <w:rsid w:val="00CA2132"/>
    <w:rsid w:val="00CA484D"/>
    <w:rsid w:val="00CA4FB6"/>
    <w:rsid w:val="00CB41A7"/>
    <w:rsid w:val="00CC368C"/>
    <w:rsid w:val="00CC739E"/>
    <w:rsid w:val="00CD0C21"/>
    <w:rsid w:val="00CD35A7"/>
    <w:rsid w:val="00CD40B3"/>
    <w:rsid w:val="00CD4EC0"/>
    <w:rsid w:val="00CD58B7"/>
    <w:rsid w:val="00CE3269"/>
    <w:rsid w:val="00CE3AE7"/>
    <w:rsid w:val="00CE4E5F"/>
    <w:rsid w:val="00CE6DFE"/>
    <w:rsid w:val="00CF4099"/>
    <w:rsid w:val="00D00796"/>
    <w:rsid w:val="00D0492E"/>
    <w:rsid w:val="00D10F83"/>
    <w:rsid w:val="00D12408"/>
    <w:rsid w:val="00D156EB"/>
    <w:rsid w:val="00D160CE"/>
    <w:rsid w:val="00D261A2"/>
    <w:rsid w:val="00D30555"/>
    <w:rsid w:val="00D3302D"/>
    <w:rsid w:val="00D338DC"/>
    <w:rsid w:val="00D33CF4"/>
    <w:rsid w:val="00D4156C"/>
    <w:rsid w:val="00D41AED"/>
    <w:rsid w:val="00D475D9"/>
    <w:rsid w:val="00D5107C"/>
    <w:rsid w:val="00D52146"/>
    <w:rsid w:val="00D55758"/>
    <w:rsid w:val="00D616D2"/>
    <w:rsid w:val="00D63B5F"/>
    <w:rsid w:val="00D64203"/>
    <w:rsid w:val="00D6487A"/>
    <w:rsid w:val="00D6572B"/>
    <w:rsid w:val="00D6652C"/>
    <w:rsid w:val="00D675E6"/>
    <w:rsid w:val="00D70ACE"/>
    <w:rsid w:val="00D70EF7"/>
    <w:rsid w:val="00D725AE"/>
    <w:rsid w:val="00D8363D"/>
    <w:rsid w:val="00D8397C"/>
    <w:rsid w:val="00D85984"/>
    <w:rsid w:val="00D87B84"/>
    <w:rsid w:val="00D931B8"/>
    <w:rsid w:val="00D942FA"/>
    <w:rsid w:val="00D94EED"/>
    <w:rsid w:val="00D96026"/>
    <w:rsid w:val="00DA4463"/>
    <w:rsid w:val="00DA7C1C"/>
    <w:rsid w:val="00DB147A"/>
    <w:rsid w:val="00DB1B7A"/>
    <w:rsid w:val="00DB4907"/>
    <w:rsid w:val="00DB4CC6"/>
    <w:rsid w:val="00DC02DB"/>
    <w:rsid w:val="00DC185F"/>
    <w:rsid w:val="00DC557A"/>
    <w:rsid w:val="00DC6708"/>
    <w:rsid w:val="00DD0A47"/>
    <w:rsid w:val="00DD0D3C"/>
    <w:rsid w:val="00DE19EC"/>
    <w:rsid w:val="00DE2DF3"/>
    <w:rsid w:val="00DE4B0F"/>
    <w:rsid w:val="00E01436"/>
    <w:rsid w:val="00E045BD"/>
    <w:rsid w:val="00E1029D"/>
    <w:rsid w:val="00E107FB"/>
    <w:rsid w:val="00E11D70"/>
    <w:rsid w:val="00E1575F"/>
    <w:rsid w:val="00E1595C"/>
    <w:rsid w:val="00E17B77"/>
    <w:rsid w:val="00E23337"/>
    <w:rsid w:val="00E259EA"/>
    <w:rsid w:val="00E31ACC"/>
    <w:rsid w:val="00E32061"/>
    <w:rsid w:val="00E341FB"/>
    <w:rsid w:val="00E34AC7"/>
    <w:rsid w:val="00E3783E"/>
    <w:rsid w:val="00E42FF9"/>
    <w:rsid w:val="00E4714C"/>
    <w:rsid w:val="00E51AEB"/>
    <w:rsid w:val="00E522A7"/>
    <w:rsid w:val="00E54452"/>
    <w:rsid w:val="00E56B2D"/>
    <w:rsid w:val="00E57D05"/>
    <w:rsid w:val="00E61ADF"/>
    <w:rsid w:val="00E64FC0"/>
    <w:rsid w:val="00E664C5"/>
    <w:rsid w:val="00E671A2"/>
    <w:rsid w:val="00E73765"/>
    <w:rsid w:val="00E75666"/>
    <w:rsid w:val="00E76D26"/>
    <w:rsid w:val="00E84408"/>
    <w:rsid w:val="00E970B8"/>
    <w:rsid w:val="00E973A9"/>
    <w:rsid w:val="00E97A00"/>
    <w:rsid w:val="00EA548D"/>
    <w:rsid w:val="00EB0FAC"/>
    <w:rsid w:val="00EB1390"/>
    <w:rsid w:val="00EB2C71"/>
    <w:rsid w:val="00EB41FB"/>
    <w:rsid w:val="00EB4340"/>
    <w:rsid w:val="00EB4C27"/>
    <w:rsid w:val="00EB556D"/>
    <w:rsid w:val="00EB5A7D"/>
    <w:rsid w:val="00EB63FC"/>
    <w:rsid w:val="00EB6F31"/>
    <w:rsid w:val="00EB7003"/>
    <w:rsid w:val="00EC079B"/>
    <w:rsid w:val="00EC3076"/>
    <w:rsid w:val="00EC7642"/>
    <w:rsid w:val="00ED55C0"/>
    <w:rsid w:val="00ED682B"/>
    <w:rsid w:val="00ED6C96"/>
    <w:rsid w:val="00EE144A"/>
    <w:rsid w:val="00EE1462"/>
    <w:rsid w:val="00EE1CE5"/>
    <w:rsid w:val="00EE41D5"/>
    <w:rsid w:val="00EE669E"/>
    <w:rsid w:val="00EE76E6"/>
    <w:rsid w:val="00EF300F"/>
    <w:rsid w:val="00F024EC"/>
    <w:rsid w:val="00F037A4"/>
    <w:rsid w:val="00F05B0E"/>
    <w:rsid w:val="00F06B26"/>
    <w:rsid w:val="00F07C01"/>
    <w:rsid w:val="00F17477"/>
    <w:rsid w:val="00F21D04"/>
    <w:rsid w:val="00F24C51"/>
    <w:rsid w:val="00F24D82"/>
    <w:rsid w:val="00F27C8F"/>
    <w:rsid w:val="00F32749"/>
    <w:rsid w:val="00F32FEF"/>
    <w:rsid w:val="00F369CF"/>
    <w:rsid w:val="00F37172"/>
    <w:rsid w:val="00F416C8"/>
    <w:rsid w:val="00F418D1"/>
    <w:rsid w:val="00F439FA"/>
    <w:rsid w:val="00F4477E"/>
    <w:rsid w:val="00F47038"/>
    <w:rsid w:val="00F47563"/>
    <w:rsid w:val="00F47E4D"/>
    <w:rsid w:val="00F630F3"/>
    <w:rsid w:val="00F65C9A"/>
    <w:rsid w:val="00F670E8"/>
    <w:rsid w:val="00F67906"/>
    <w:rsid w:val="00F67D8F"/>
    <w:rsid w:val="00F80028"/>
    <w:rsid w:val="00F802BE"/>
    <w:rsid w:val="00F81468"/>
    <w:rsid w:val="00F85591"/>
    <w:rsid w:val="00F86024"/>
    <w:rsid w:val="00F8611A"/>
    <w:rsid w:val="00F91D06"/>
    <w:rsid w:val="00F94CCE"/>
    <w:rsid w:val="00F96A87"/>
    <w:rsid w:val="00FA2F53"/>
    <w:rsid w:val="00FA4729"/>
    <w:rsid w:val="00FA488B"/>
    <w:rsid w:val="00FA4DC1"/>
    <w:rsid w:val="00FA5128"/>
    <w:rsid w:val="00FA5405"/>
    <w:rsid w:val="00FA552A"/>
    <w:rsid w:val="00FB42D4"/>
    <w:rsid w:val="00FB5906"/>
    <w:rsid w:val="00FB762F"/>
    <w:rsid w:val="00FC2AED"/>
    <w:rsid w:val="00FC553B"/>
    <w:rsid w:val="00FD4C0A"/>
    <w:rsid w:val="00FD5EA7"/>
    <w:rsid w:val="00FD670D"/>
    <w:rsid w:val="00FE6663"/>
    <w:rsid w:val="00FE7252"/>
    <w:rsid w:val="00FE787D"/>
    <w:rsid w:val="00FF59E7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1107D-7E3E-45B7-9364-62BFE7C3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tlid-translation">
    <w:name w:val="tlid-translation"/>
    <w:basedOn w:val="Domylnaczcionkaakapitu"/>
    <w:rsid w:val="00A6751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7B88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Siatkatabelijasna10">
    <w:name w:val="Siatka tabeli — jasna1"/>
    <w:basedOn w:val="Standardowy"/>
    <w:uiPriority w:val="40"/>
    <w:rsid w:val="00765B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0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BEC"/>
    <w:rPr>
      <w:rFonts w:ascii="Fira Sans" w:hAnsi="Fira San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7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2726E"/>
    <w:rPr>
      <w:color w:val="954F72" w:themeColor="followedHyperlink"/>
      <w:u w:val="single"/>
    </w:rPr>
  </w:style>
  <w:style w:type="character" w:customStyle="1" w:styleId="viiyi">
    <w:name w:val="viiyi"/>
    <w:basedOn w:val="Domylnaczcionkaakapitu"/>
    <w:rsid w:val="00CD4EC0"/>
  </w:style>
  <w:style w:type="character" w:customStyle="1" w:styleId="jlqj4b">
    <w:name w:val="jlqj4b"/>
    <w:basedOn w:val="Domylnaczcionkaakapitu"/>
    <w:rsid w:val="00CD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25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metainformacje/slownik-pojec/pojecia-stosowane-w-statystyce-publicznej/1526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s://stat.gov.pl/metainformacje/slownik-pojec/pojecia-stosowane-w-statystyce-publicznej/164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bdm.stat.gov.pl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metainformacje/slownik-pojec/pojecia-stosowane-w-statystyce-publicznej/1526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bdm.stat.gov.pl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metainformacje/slownik-pojec/pojecia-stosowane-w-statystyce-publicznej/1646,pojecie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STAT\KULCZYCKAJ</Osoba>
    <NazwaPliku xmlns="8C029B3F-2CC4-4A59-AF0D-A90575FA3373">financial_results_of_investment_funds_in_I part 2021(1).docx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BA3E5-2A0D-4538-8951-EDD7888D3BCE}"/>
</file>

<file path=customXml/itemProps2.xml><?xml version="1.0" encoding="utf-8"?>
<ds:datastoreItem xmlns:ds="http://schemas.openxmlformats.org/officeDocument/2006/customXml" ds:itemID="{9A5BBAB6-5F41-42A6-ABC0-F18899749704}"/>
</file>

<file path=customXml/itemProps3.xml><?xml version="1.0" encoding="utf-8"?>
<ds:datastoreItem xmlns:ds="http://schemas.openxmlformats.org/officeDocument/2006/customXml" ds:itemID="{B5F0E656-3F48-456D-ADAD-AD4F5D248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2017-11-07T13:05:00Z</cp:lastPrinted>
  <dcterms:created xsi:type="dcterms:W3CDTF">2021-11-18T13:01:00Z</dcterms:created>
  <dcterms:modified xsi:type="dcterms:W3CDTF">2021-11-18T13:01:00Z</dcterms:modified>
</cp:coreProperties>
</file>