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856" w:rsidRPr="009E7E5D" w:rsidRDefault="000C1856" w:rsidP="000C1856">
      <w:pPr>
        <w:spacing w:after="0" w:line="240" w:lineRule="auto"/>
        <w:rPr>
          <w:rFonts w:ascii="Fira Sans Extra Condensed" w:eastAsia="Times New Roman" w:hAnsi="Fira Sans Extra Condensed" w:cs="Times New Roman"/>
          <w:b/>
          <w:sz w:val="40"/>
          <w:szCs w:val="40"/>
          <w:lang w:val="en-US" w:eastAsia="pl-PL"/>
        </w:rPr>
      </w:pPr>
      <w:r w:rsidRPr="009E7E5D">
        <w:rPr>
          <w:rFonts w:ascii="Fira Sans Extra Condensed" w:eastAsia="Times New Roman" w:hAnsi="Fira Sans Extra Condensed" w:cs="Times New Roman"/>
          <w:b/>
          <w:sz w:val="40"/>
          <w:szCs w:val="40"/>
          <w:lang w:val="en-US" w:eastAsia="pl-PL"/>
        </w:rPr>
        <w:t>Financial</w:t>
      </w:r>
      <w:r w:rsidR="00D675E6">
        <w:rPr>
          <w:rFonts w:ascii="Fira Sans Extra Condensed" w:eastAsia="Times New Roman" w:hAnsi="Fira Sans Extra Condensed" w:cs="Times New Roman"/>
          <w:b/>
          <w:sz w:val="40"/>
          <w:szCs w:val="40"/>
          <w:lang w:val="en-US" w:eastAsia="pl-PL"/>
        </w:rPr>
        <w:t xml:space="preserve"> results of investment funds </w:t>
      </w:r>
      <w:r w:rsidR="00A2551F">
        <w:rPr>
          <w:rFonts w:ascii="Fira Sans Extra Condensed" w:eastAsia="Times New Roman" w:hAnsi="Fira Sans Extra Condensed" w:cs="Times New Roman"/>
          <w:b/>
          <w:sz w:val="40"/>
          <w:szCs w:val="40"/>
          <w:lang w:val="en-US" w:eastAsia="pl-PL"/>
        </w:rPr>
        <w:t xml:space="preserve">in </w:t>
      </w:r>
      <w:r w:rsidR="00A2551F" w:rsidRPr="00634F03">
        <w:rPr>
          <w:rFonts w:ascii="Fira Sans Extra Condensed" w:eastAsia="Times New Roman" w:hAnsi="Fira Sans Extra Condensed" w:cs="Times New Roman"/>
          <w:b/>
          <w:sz w:val="40"/>
          <w:szCs w:val="40"/>
          <w:lang w:val="en-US" w:eastAsia="pl-PL"/>
        </w:rPr>
        <w:t>2020</w:t>
      </w:r>
    </w:p>
    <w:p w:rsidR="0098135C" w:rsidRPr="000744E8" w:rsidRDefault="0098135C" w:rsidP="00074DD8">
      <w:pPr>
        <w:pStyle w:val="tytuinformacji"/>
        <w:rPr>
          <w:shd w:val="clear" w:color="auto" w:fill="FFFFFF"/>
          <w:lang w:val="en-US"/>
        </w:rPr>
      </w:pPr>
    </w:p>
    <w:p w:rsidR="00393761" w:rsidRPr="000744E8" w:rsidRDefault="00393761" w:rsidP="00074DD8">
      <w:pPr>
        <w:pStyle w:val="tytuinformacji"/>
        <w:rPr>
          <w:sz w:val="32"/>
          <w:lang w:val="en-US"/>
        </w:rPr>
      </w:pPr>
    </w:p>
    <w:p w:rsidR="00946D1D" w:rsidRPr="00946D1D" w:rsidRDefault="009C129A" w:rsidP="00946D1D">
      <w:pPr>
        <w:pStyle w:val="LID"/>
        <w:spacing w:after="20"/>
        <w:rPr>
          <w:noProof w:val="0"/>
          <w:szCs w:val="22"/>
          <w:lang w:val="en-US"/>
        </w:rPr>
      </w:pPr>
      <w:r w:rsidRPr="00634F03">
        <w:rPr>
          <w:szCs w:val="2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1828800" cy="1194435"/>
                <wp:effectExtent l="0" t="0" r="0" b="571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44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352DCE" w:rsidRDefault="009C129A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3375" cy="333375"/>
                                  <wp:effectExtent l="0" t="0" r="9525" b="9525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B3875" w:rsidRPr="00352DCE">
                              <w:rPr>
                                <w:rFonts w:asciiTheme="minorHAnsi" w:hAnsiTheme="minorHAnsi"/>
                                <w:color w:val="001D77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="00661BCF" w:rsidRPr="00352DCE">
                              <w:rPr>
                                <w:rFonts w:ascii="Fira Sans SemiBold" w:hAnsi="Fira Sans SemiBold"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101,0</w:t>
                            </w:r>
                            <w:r w:rsidR="00262720" w:rsidRPr="00352DCE">
                              <w:rPr>
                                <w:rFonts w:ascii="Fira Sans SemiBold" w:hAnsi="Fira Sans SemiBold"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%</w:t>
                            </w:r>
                          </w:p>
                          <w:p w:rsidR="009C0B60" w:rsidRPr="009C0B60" w:rsidRDefault="009C0B60" w:rsidP="003B3875">
                            <w:pPr>
                              <w:pStyle w:val="HTML-wstpniesformatowany"/>
                              <w:spacing w:before="120"/>
                              <w:rPr>
                                <w:rFonts w:ascii="Fira Sans" w:eastAsiaTheme="minorHAnsi" w:hAnsi="Fira Sans" w:cstheme="minorBidi"/>
                                <w:sz w:val="19"/>
                                <w:szCs w:val="22"/>
                                <w:lang w:val="en-US"/>
                              </w:rPr>
                            </w:pPr>
                            <w:r w:rsidRPr="009C0B60">
                              <w:rPr>
                                <w:rFonts w:ascii="Fira Sans" w:eastAsiaTheme="minorHAnsi" w:hAnsi="Fira Sans" w:cstheme="minorBidi"/>
                                <w:sz w:val="19"/>
                                <w:szCs w:val="22"/>
                                <w:lang w:val="en-US"/>
                              </w:rPr>
                              <w:t>Dynamics of the value of investment funds' assets</w:t>
                            </w:r>
                          </w:p>
                          <w:p w:rsidR="00933EC1" w:rsidRPr="000744E8" w:rsidRDefault="00933EC1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pt;width:2in;height:94.0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" fillcolor="#001d77" stroked="f">
                <v:textbox>
                  <w:txbxContent>
                    <w:p w:rsidR="00933EC1" w:rsidRPr="00352DCE" w:rsidRDefault="009C129A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3375" cy="333375"/>
                            <wp:effectExtent l="0" t="0" r="9525" b="9525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B3875" w:rsidRPr="00352DCE">
                        <w:rPr>
                          <w:rFonts w:asciiTheme="minorHAnsi" w:hAnsiTheme="minorHAnsi"/>
                          <w:color w:val="001D77"/>
                          <w:sz w:val="22"/>
                          <w:lang w:val="en-US"/>
                        </w:rPr>
                        <w:t xml:space="preserve"> </w:t>
                      </w:r>
                      <w:r w:rsidR="00661BCF" w:rsidRPr="00352DCE">
                        <w:rPr>
                          <w:rFonts w:ascii="Fira Sans SemiBold" w:hAnsi="Fira Sans SemiBold"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101,0</w:t>
                      </w:r>
                      <w:r w:rsidR="00262720" w:rsidRPr="00352DCE">
                        <w:rPr>
                          <w:rFonts w:ascii="Fira Sans SemiBold" w:hAnsi="Fira Sans SemiBold"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%</w:t>
                      </w:r>
                    </w:p>
                    <w:p w:rsidR="009C0B60" w:rsidRPr="009C0B60" w:rsidRDefault="009C0B60" w:rsidP="003B3875">
                      <w:pPr>
                        <w:pStyle w:val="HTML-wstpniesformatowany"/>
                        <w:spacing w:before="120"/>
                        <w:rPr>
                          <w:rFonts w:ascii="Fira Sans" w:eastAsiaTheme="minorHAnsi" w:hAnsi="Fira Sans" w:cstheme="minorBidi"/>
                          <w:sz w:val="19"/>
                          <w:szCs w:val="22"/>
                          <w:lang w:val="en-US"/>
                        </w:rPr>
                      </w:pPr>
                      <w:r w:rsidRPr="009C0B60">
                        <w:rPr>
                          <w:rFonts w:ascii="Fira Sans" w:eastAsiaTheme="minorHAnsi" w:hAnsi="Fira Sans" w:cstheme="minorBidi"/>
                          <w:sz w:val="19"/>
                          <w:szCs w:val="22"/>
                          <w:lang w:val="en-US"/>
                        </w:rPr>
                        <w:t>Dynamics of the value of investment funds' assets</w:t>
                      </w:r>
                    </w:p>
                    <w:p w:rsidR="00933EC1" w:rsidRPr="000744E8" w:rsidRDefault="00933EC1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6D1D" w:rsidRPr="00634F03">
        <w:rPr>
          <w:noProof w:val="0"/>
          <w:szCs w:val="22"/>
          <w:lang w:val="en-US"/>
        </w:rPr>
        <w:t>The value of total assets collected by investment funds at the end of D</w:t>
      </w:r>
      <w:r w:rsidR="001777E8">
        <w:rPr>
          <w:noProof w:val="0"/>
          <w:szCs w:val="22"/>
          <w:lang w:val="en-US"/>
        </w:rPr>
        <w:t>ecember 2020</w:t>
      </w:r>
      <w:r w:rsidR="003602A6" w:rsidRPr="00634F03">
        <w:rPr>
          <w:noProof w:val="0"/>
          <w:szCs w:val="22"/>
          <w:lang w:val="en-US"/>
        </w:rPr>
        <w:t xml:space="preserve"> amounted to PLN 317.3 billion (an increase by 1.0</w:t>
      </w:r>
      <w:r w:rsidR="00946D1D" w:rsidRPr="00634F03">
        <w:rPr>
          <w:noProof w:val="0"/>
          <w:szCs w:val="22"/>
          <w:lang w:val="en-US"/>
        </w:rPr>
        <w:t>% compared to the previous year).</w:t>
      </w:r>
      <w:r w:rsidR="0046336C" w:rsidRPr="00634F03">
        <w:rPr>
          <w:noProof w:val="0"/>
          <w:szCs w:val="22"/>
          <w:lang w:val="en-US"/>
        </w:rPr>
        <w:t xml:space="preserve"> In 2020</w:t>
      </w:r>
      <w:r w:rsidR="00946D1D" w:rsidRPr="00634F03">
        <w:rPr>
          <w:noProof w:val="0"/>
          <w:szCs w:val="22"/>
          <w:lang w:val="en-US"/>
        </w:rPr>
        <w:t>, investment funds achieved a positive result on op</w:t>
      </w:r>
      <w:r w:rsidR="0046336C" w:rsidRPr="00634F03">
        <w:rPr>
          <w:noProof w:val="0"/>
          <w:szCs w:val="22"/>
          <w:lang w:val="en-US"/>
        </w:rPr>
        <w:t>erations in the amount of PLN 10.0 billion (PLN 3.4</w:t>
      </w:r>
      <w:r w:rsidR="00946D1D" w:rsidRPr="00634F03">
        <w:rPr>
          <w:noProof w:val="0"/>
          <w:szCs w:val="22"/>
          <w:lang w:val="en-US"/>
        </w:rPr>
        <w:t xml:space="preserve"> billion</w:t>
      </w:r>
      <w:r w:rsidR="00541FE6" w:rsidRPr="00634F03">
        <w:rPr>
          <w:noProof w:val="0"/>
          <w:szCs w:val="22"/>
          <w:lang w:val="en-US"/>
        </w:rPr>
        <w:t xml:space="preserve"> less</w:t>
      </w:r>
      <w:r w:rsidR="00946D1D" w:rsidRPr="00634F03">
        <w:rPr>
          <w:noProof w:val="0"/>
          <w:szCs w:val="22"/>
          <w:lang w:val="en-US"/>
        </w:rPr>
        <w:t xml:space="preserve"> than in the previous year). The va</w:t>
      </w:r>
      <w:r w:rsidR="00263562" w:rsidRPr="00634F03">
        <w:rPr>
          <w:noProof w:val="0"/>
          <w:szCs w:val="22"/>
          <w:lang w:val="en-US"/>
        </w:rPr>
        <w:t>lue of the funds' investments decreased to PLN 253.3 billion (by 10.2</w:t>
      </w:r>
      <w:r w:rsidR="00946D1D" w:rsidRPr="00634F03">
        <w:rPr>
          <w:noProof w:val="0"/>
          <w:szCs w:val="22"/>
          <w:lang w:val="en-US"/>
        </w:rPr>
        <w:t>%).</w:t>
      </w:r>
    </w:p>
    <w:p w:rsidR="00003437" w:rsidRPr="000744E8" w:rsidRDefault="009C129A" w:rsidP="00D33CF4">
      <w:pPr>
        <w:pStyle w:val="LID"/>
        <w:rPr>
          <w:bCs/>
          <w:lang w:val="en-US"/>
        </w:rPr>
      </w:pPr>
      <w:r>
        <w:rPr>
          <w:spacing w:val="-2"/>
          <w:sz w:val="40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rightMargin">
                  <wp:posOffset>173355</wp:posOffset>
                </wp:positionH>
                <wp:positionV relativeFrom="paragraph">
                  <wp:posOffset>288925</wp:posOffset>
                </wp:positionV>
                <wp:extent cx="1657350" cy="1043305"/>
                <wp:effectExtent l="0" t="0" r="0" b="4445"/>
                <wp:wrapTight wrapText="bothSides">
                  <wp:wrapPolygon edited="0">
                    <wp:start x="745" y="0"/>
                    <wp:lineTo x="745" y="21298"/>
                    <wp:lineTo x="20607" y="21298"/>
                    <wp:lineTo x="20607" y="0"/>
                    <wp:lineTo x="745" y="0"/>
                  </wp:wrapPolygon>
                </wp:wrapTight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043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C48" w:rsidRPr="009D0C48" w:rsidRDefault="006B205B" w:rsidP="009D0C48">
                            <w:pPr>
                              <w:pStyle w:val="HTML-wstpniesformatowany"/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 2020</w:t>
                            </w:r>
                            <w:r w:rsidR="009D0C48" w:rsidRPr="009D0C48"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, the value of total assets of inve</w:t>
                            </w:r>
                            <w:r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stment funds amounted to PLN 317</w:t>
                            </w:r>
                            <w:r w:rsidR="00827CF4"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.3</w:t>
                            </w:r>
                            <w:r w:rsidR="009D0C48" w:rsidRPr="009D0C48"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billion.</w:t>
                            </w:r>
                          </w:p>
                          <w:p w:rsidR="006C567C" w:rsidRPr="009E7E5D" w:rsidRDefault="006C567C" w:rsidP="006C567C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345A97" w:rsidRPr="000744E8" w:rsidRDefault="00345A97" w:rsidP="00345A9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D616D2" w:rsidRPr="000744E8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.65pt;margin-top:22.75pt;width:130.5pt;height:82.1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" filled="f" stroked="f">
                <v:textbox>
                  <w:txbxContent>
                    <w:p w:rsidR="009D0C48" w:rsidRPr="009D0C48" w:rsidRDefault="006B205B" w:rsidP="009D0C48">
                      <w:pPr>
                        <w:pStyle w:val="HTML-wstpniesformatowany"/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In 2020</w:t>
                      </w:r>
                      <w:r w:rsidR="009D0C48" w:rsidRPr="009D0C48"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, the value of total assets of inve</w:t>
                      </w:r>
                      <w:r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stment funds amounted to PLN 317</w:t>
                      </w:r>
                      <w:r w:rsidR="00827CF4"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.3</w:t>
                      </w:r>
                      <w:r w:rsidR="009D0C48" w:rsidRPr="009D0C48"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billion.</w:t>
                      </w:r>
                    </w:p>
                    <w:p w:rsidR="006C567C" w:rsidRPr="009E7E5D" w:rsidRDefault="006C567C" w:rsidP="006C567C">
                      <w:pPr>
                        <w:spacing w:after="0" w:line="240" w:lineRule="aut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345A97" w:rsidRPr="000744E8" w:rsidRDefault="00345A97" w:rsidP="00345A9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D616D2" w:rsidRPr="000744E8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E11D70" w:rsidRPr="003B3875" w:rsidRDefault="00E11D70" w:rsidP="00E11D70">
      <w:pPr>
        <w:rPr>
          <w:spacing w:val="-2"/>
          <w:sz w:val="18"/>
          <w:shd w:val="clear" w:color="auto" w:fill="FFFFFF"/>
          <w:lang w:val="en-US"/>
        </w:rPr>
      </w:pPr>
      <w:r w:rsidRPr="003B3875">
        <w:rPr>
          <w:b/>
          <w:spacing w:val="-2"/>
          <w:sz w:val="18"/>
          <w:shd w:val="clear" w:color="auto" w:fill="FFFFFF"/>
          <w:lang w:val="en-US"/>
        </w:rPr>
        <w:t xml:space="preserve">Table 1. Basic data of </w:t>
      </w:r>
      <w:r w:rsidR="008E11C5" w:rsidRPr="003B3875">
        <w:rPr>
          <w:b/>
          <w:spacing w:val="-2"/>
          <w:sz w:val="18"/>
          <w:shd w:val="clear" w:color="auto" w:fill="FFFFFF"/>
          <w:lang w:val="en-US"/>
        </w:rPr>
        <w:t xml:space="preserve"> </w:t>
      </w:r>
      <w:r w:rsidRPr="003B3875">
        <w:rPr>
          <w:b/>
          <w:spacing w:val="-2"/>
          <w:sz w:val="18"/>
          <w:shd w:val="clear" w:color="auto" w:fill="FFFFFF"/>
          <w:lang w:val="en-US"/>
        </w:rPr>
        <w:t>investment funds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E11D70" w:rsidRPr="001A3D3F" w:rsidTr="00216B15">
        <w:trPr>
          <w:trHeight w:val="57"/>
        </w:trPr>
        <w:tc>
          <w:tcPr>
            <w:tcW w:w="2823" w:type="dxa"/>
            <w:vMerge w:val="restart"/>
            <w:vAlign w:val="center"/>
          </w:tcPr>
          <w:p w:rsidR="00E11D70" w:rsidRPr="001A3D3F" w:rsidRDefault="0011784B" w:rsidP="00216B1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1701" w:type="dxa"/>
            <w:vAlign w:val="center"/>
          </w:tcPr>
          <w:p w:rsidR="00E11D70" w:rsidRPr="001A3D3F" w:rsidRDefault="00E11D70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1360A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vAlign w:val="center"/>
          </w:tcPr>
          <w:p w:rsidR="00E11D70" w:rsidRPr="001A3D3F" w:rsidRDefault="00C1360A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701" w:type="dxa"/>
            <w:vMerge w:val="restart"/>
            <w:vAlign w:val="center"/>
          </w:tcPr>
          <w:p w:rsidR="00E11D70" w:rsidRPr="001A3D3F" w:rsidRDefault="00C1360A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2019</w:t>
            </w:r>
            <w:r w:rsidR="00E11D70"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E11D70" w:rsidRPr="001A3D3F" w:rsidTr="00216B15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E11D70" w:rsidRPr="001A3D3F" w:rsidRDefault="00E11D70" w:rsidP="00216B15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E11D70" w:rsidRPr="001A3D3F" w:rsidRDefault="006907F9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="0011784B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n </w:t>
            </w:r>
            <w:proofErr w:type="spellStart"/>
            <w:r w:rsidR="0011784B">
              <w:rPr>
                <w:rFonts w:ascii="Fira Sans" w:hAnsi="Fira Sans"/>
                <w:color w:val="000000" w:themeColor="text1"/>
                <w:sz w:val="16"/>
                <w:szCs w:val="16"/>
              </w:rPr>
              <w:t>mil</w:t>
            </w:r>
            <w:r w:rsidR="00B20267">
              <w:rPr>
                <w:rFonts w:ascii="Fira Sans" w:hAnsi="Fira Sans"/>
                <w:color w:val="000000" w:themeColor="text1"/>
                <w:sz w:val="16"/>
                <w:szCs w:val="16"/>
              </w:rPr>
              <w:t>l</w:t>
            </w:r>
            <w:r w:rsidR="0011784B">
              <w:rPr>
                <w:rFonts w:ascii="Fira Sans" w:hAnsi="Fira Sans"/>
                <w:color w:val="000000" w:themeColor="text1"/>
                <w:sz w:val="16"/>
                <w:szCs w:val="16"/>
              </w:rPr>
              <w:t>ion</w:t>
            </w:r>
            <w:proofErr w:type="spellEnd"/>
            <w:r w:rsidR="0011784B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PLN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E11D70" w:rsidRPr="001A3D3F" w:rsidRDefault="00E11D70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C1360A" w:rsidRPr="001A3D3F" w:rsidTr="00216B15">
        <w:trPr>
          <w:trHeight w:hRule="exact" w:val="510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C1360A" w:rsidRPr="001A3D3F" w:rsidRDefault="00C1360A" w:rsidP="00C136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Total </w:t>
            </w:r>
            <w:proofErr w:type="spellStart"/>
            <w:r>
              <w:rPr>
                <w:sz w:val="16"/>
                <w:szCs w:val="16"/>
              </w:rPr>
              <w:t>assets</w:t>
            </w:r>
            <w:proofErr w:type="spellEnd"/>
            <w:r w:rsidRPr="001A3D3F">
              <w:rPr>
                <w:sz w:val="16"/>
                <w:szCs w:val="16"/>
              </w:rPr>
              <w:t>: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C1360A" w:rsidRPr="001A3D3F" w:rsidRDefault="00C1360A" w:rsidP="00C1360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314 191,2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C1360A" w:rsidRPr="001A3D3F" w:rsidRDefault="00EA54BB" w:rsidP="00C1360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317 303,2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C1360A" w:rsidRPr="001A3D3F" w:rsidRDefault="00EA54BB" w:rsidP="00C1360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101,0</w:t>
            </w:r>
          </w:p>
        </w:tc>
      </w:tr>
      <w:tr w:rsidR="00C1360A" w:rsidRPr="001A3D3F" w:rsidTr="00216B15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C1360A" w:rsidRPr="001A3D3F" w:rsidRDefault="00C1360A" w:rsidP="00C136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proofErr w:type="spellStart"/>
            <w:r>
              <w:rPr>
                <w:sz w:val="16"/>
                <w:szCs w:val="16"/>
              </w:rPr>
              <w:t>Investment</w:t>
            </w:r>
            <w:r w:rsidR="00E16AB6">
              <w:rPr>
                <w:sz w:val="16"/>
                <w:szCs w:val="16"/>
              </w:rPr>
              <w:t>s</w:t>
            </w:r>
            <w:proofErr w:type="spellEnd"/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C1360A" w:rsidRPr="001A3D3F" w:rsidRDefault="00C1360A" w:rsidP="00C1360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281 987,4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C1360A" w:rsidRPr="001A3D3F" w:rsidRDefault="00EA54BB" w:rsidP="00C1360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253 302,7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C1360A" w:rsidRPr="001A3D3F" w:rsidRDefault="00EA54BB" w:rsidP="00C1360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89,8</w:t>
            </w:r>
          </w:p>
        </w:tc>
      </w:tr>
      <w:tr w:rsidR="00C1360A" w:rsidRPr="001A3D3F" w:rsidTr="00216B15">
        <w:trPr>
          <w:trHeight w:hRule="exact" w:val="510"/>
        </w:trPr>
        <w:tc>
          <w:tcPr>
            <w:tcW w:w="2823" w:type="dxa"/>
            <w:vAlign w:val="center"/>
          </w:tcPr>
          <w:p w:rsidR="00C1360A" w:rsidRPr="001A3D3F" w:rsidRDefault="00C1360A" w:rsidP="00C1360A">
            <w:pPr>
              <w:ind w:left="176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Receivables</w:t>
            </w:r>
            <w:proofErr w:type="spellEnd"/>
          </w:p>
        </w:tc>
        <w:tc>
          <w:tcPr>
            <w:tcW w:w="1701" w:type="dxa"/>
            <w:vAlign w:val="bottom"/>
          </w:tcPr>
          <w:p w:rsidR="00C1360A" w:rsidRPr="001A3D3F" w:rsidRDefault="00C1360A" w:rsidP="00C1360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14 449,2</w:t>
            </w:r>
          </w:p>
        </w:tc>
        <w:tc>
          <w:tcPr>
            <w:tcW w:w="1701" w:type="dxa"/>
            <w:vAlign w:val="bottom"/>
          </w:tcPr>
          <w:p w:rsidR="00C1360A" w:rsidRPr="001A3D3F" w:rsidRDefault="00EA54BB" w:rsidP="00C1360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46 609,1</w:t>
            </w:r>
          </w:p>
        </w:tc>
        <w:tc>
          <w:tcPr>
            <w:tcW w:w="1701" w:type="dxa"/>
            <w:vAlign w:val="bottom"/>
          </w:tcPr>
          <w:p w:rsidR="00C1360A" w:rsidRPr="001A3D3F" w:rsidRDefault="00EA54BB" w:rsidP="00C1360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322,6</w:t>
            </w:r>
          </w:p>
        </w:tc>
      </w:tr>
      <w:tr w:rsidR="00C1360A" w:rsidRPr="001A3D3F" w:rsidTr="00216B15">
        <w:trPr>
          <w:trHeight w:hRule="exact" w:val="510"/>
        </w:trPr>
        <w:tc>
          <w:tcPr>
            <w:tcW w:w="2823" w:type="dxa"/>
            <w:vAlign w:val="center"/>
          </w:tcPr>
          <w:p w:rsidR="00C1360A" w:rsidRPr="001A3D3F" w:rsidRDefault="00C1360A" w:rsidP="00C136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Cash and </w:t>
            </w:r>
            <w:proofErr w:type="spellStart"/>
            <w:r>
              <w:rPr>
                <w:sz w:val="16"/>
                <w:szCs w:val="16"/>
              </w:rPr>
              <w:t>cash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equivalents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C1360A" w:rsidRPr="001A3D3F" w:rsidRDefault="00C1360A" w:rsidP="00C1360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10 328,0</w:t>
            </w:r>
          </w:p>
        </w:tc>
        <w:tc>
          <w:tcPr>
            <w:tcW w:w="1701" w:type="dxa"/>
            <w:vAlign w:val="bottom"/>
          </w:tcPr>
          <w:p w:rsidR="00C1360A" w:rsidRPr="001A3D3F" w:rsidRDefault="00EA54BB" w:rsidP="00C1360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10 185,8</w:t>
            </w:r>
          </w:p>
        </w:tc>
        <w:tc>
          <w:tcPr>
            <w:tcW w:w="1701" w:type="dxa"/>
            <w:vAlign w:val="bottom"/>
          </w:tcPr>
          <w:p w:rsidR="00C1360A" w:rsidRPr="001A3D3F" w:rsidRDefault="00EA54BB" w:rsidP="00C1360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98,6</w:t>
            </w:r>
          </w:p>
        </w:tc>
      </w:tr>
      <w:tr w:rsidR="00C1360A" w:rsidRPr="001A3D3F" w:rsidTr="00216B15">
        <w:trPr>
          <w:trHeight w:hRule="exact" w:val="510"/>
        </w:trPr>
        <w:tc>
          <w:tcPr>
            <w:tcW w:w="2823" w:type="dxa"/>
            <w:vAlign w:val="center"/>
          </w:tcPr>
          <w:p w:rsidR="00C1360A" w:rsidRPr="001A3D3F" w:rsidRDefault="00C1360A" w:rsidP="00C1360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Result</w:t>
            </w:r>
            <w:proofErr w:type="spellEnd"/>
            <w:r>
              <w:rPr>
                <w:sz w:val="16"/>
                <w:szCs w:val="16"/>
              </w:rPr>
              <w:t xml:space="preserve"> of the </w:t>
            </w:r>
            <w:proofErr w:type="spellStart"/>
            <w:r>
              <w:rPr>
                <w:sz w:val="16"/>
                <w:szCs w:val="16"/>
              </w:rPr>
              <w:t>operation</w:t>
            </w:r>
            <w:proofErr w:type="spellEnd"/>
          </w:p>
        </w:tc>
        <w:tc>
          <w:tcPr>
            <w:tcW w:w="1701" w:type="dxa"/>
            <w:vAlign w:val="bottom"/>
          </w:tcPr>
          <w:p w:rsidR="00C1360A" w:rsidRPr="001A3D3F" w:rsidRDefault="00C1360A" w:rsidP="00C1360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13 379,3</w:t>
            </w:r>
          </w:p>
        </w:tc>
        <w:tc>
          <w:tcPr>
            <w:tcW w:w="1701" w:type="dxa"/>
            <w:vAlign w:val="bottom"/>
          </w:tcPr>
          <w:p w:rsidR="00C1360A" w:rsidRPr="001A3D3F" w:rsidRDefault="00EA54BB" w:rsidP="00C1360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9 968,2</w:t>
            </w:r>
          </w:p>
        </w:tc>
        <w:tc>
          <w:tcPr>
            <w:tcW w:w="1701" w:type="dxa"/>
            <w:vAlign w:val="bottom"/>
          </w:tcPr>
          <w:p w:rsidR="00C1360A" w:rsidRPr="001A3D3F" w:rsidRDefault="00EA54BB" w:rsidP="00C1360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74,5</w:t>
            </w:r>
          </w:p>
        </w:tc>
      </w:tr>
    </w:tbl>
    <w:p w:rsidR="008F0F38" w:rsidRPr="00161F48" w:rsidRDefault="009C129A" w:rsidP="00352DCE">
      <w:pPr>
        <w:pStyle w:val="Nagwek1"/>
        <w:rPr>
          <w:b/>
          <w:szCs w:val="22"/>
          <w:lang w:val="en-US"/>
        </w:rPr>
      </w:pPr>
      <w:r w:rsidRPr="00BE7D32">
        <w:rPr>
          <w:rFonts w:ascii="Fira Sans" w:eastAsiaTheme="minorHAnsi" w:hAnsi="Fira Sans" w:cstheme="minorBidi"/>
          <w:bCs w:val="0"/>
          <w:noProof/>
          <w:color w:val="auto"/>
          <w:szCs w:val="22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>
                <wp:simplePos x="0" y="0"/>
                <wp:positionH relativeFrom="page">
                  <wp:posOffset>5704840</wp:posOffset>
                </wp:positionH>
                <wp:positionV relativeFrom="paragraph">
                  <wp:posOffset>3280410</wp:posOffset>
                </wp:positionV>
                <wp:extent cx="1718310" cy="1158875"/>
                <wp:effectExtent l="0" t="0" r="0" b="3175"/>
                <wp:wrapTight wrapText="bothSides">
                  <wp:wrapPolygon edited="0">
                    <wp:start x="718" y="0"/>
                    <wp:lineTo x="718" y="21304"/>
                    <wp:lineTo x="20834" y="21304"/>
                    <wp:lineTo x="20834" y="0"/>
                    <wp:lineTo x="718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1158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DD0" w:rsidRPr="007C39DD" w:rsidRDefault="00536DD0" w:rsidP="007C39DD">
                            <w:pPr>
                              <w:pStyle w:val="HTML-wstpniesformatowany"/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C39DD"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result on the operations of mutual funds was </w:t>
                            </w:r>
                            <w:r w:rsidR="006673B7"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positive and amounted to PLN 10.0</w:t>
                            </w:r>
                            <w:r w:rsidRPr="007C39DD"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billion.</w:t>
                            </w:r>
                          </w:p>
                          <w:p w:rsidR="007C659C" w:rsidRPr="009E7E5D" w:rsidRDefault="007C659C" w:rsidP="007C659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C659C" w:rsidRPr="009E7E5D" w:rsidRDefault="007C659C" w:rsidP="007C659C">
                            <w:pPr>
                              <w:spacing w:after="0"/>
                              <w:rPr>
                                <w:rFonts w:eastAsia="Times New Roman" w:cs="Times New Roman"/>
                                <w:color w:val="2F5496" w:themeColor="accent5" w:themeShade="BF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2" o:spid="_x0000_s1028" type="#_x0000_t202" style="position:absolute;margin-left:449.2pt;margin-top:258.3pt;width:135.3pt;height:91.2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" filled="f" stroked="f">
                <v:textbox>
                  <w:txbxContent>
                    <w:p w:rsidR="00536DD0" w:rsidRPr="007C39DD" w:rsidRDefault="00536DD0" w:rsidP="007C39DD">
                      <w:pPr>
                        <w:pStyle w:val="HTML-wstpniesformatowany"/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7C39DD"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result on the operations of mutual funds was </w:t>
                      </w:r>
                      <w:r w:rsidR="006673B7"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positive and amounted to PLN 10.0</w:t>
                      </w:r>
                      <w:r w:rsidRPr="007C39DD"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billion.</w:t>
                      </w:r>
                    </w:p>
                    <w:p w:rsidR="007C659C" w:rsidRPr="009E7E5D" w:rsidRDefault="007C659C" w:rsidP="007C659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C659C" w:rsidRPr="009E7E5D" w:rsidRDefault="007C659C" w:rsidP="007C659C">
                      <w:pPr>
                        <w:spacing w:after="0"/>
                        <w:rPr>
                          <w:rFonts w:eastAsia="Times New Roman" w:cs="Times New Roman"/>
                          <w:color w:val="2F5496" w:themeColor="accent5" w:themeShade="BF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34A1E" w:rsidRPr="00BE7D32">
        <w:rPr>
          <w:rFonts w:ascii="Fira Sans" w:eastAsiaTheme="minorHAnsi" w:hAnsi="Fira Sans" w:cstheme="minorBidi"/>
          <w:bCs w:val="0"/>
          <w:color w:val="auto"/>
          <w:szCs w:val="22"/>
          <w:lang w:val="en-US"/>
        </w:rPr>
        <w:t>At the end of 2020</w:t>
      </w:r>
      <w:r w:rsidR="008F0F38" w:rsidRPr="00BE7D32">
        <w:rPr>
          <w:rFonts w:ascii="Fira Sans" w:eastAsiaTheme="minorHAnsi" w:hAnsi="Fira Sans" w:cstheme="minorBidi"/>
          <w:bCs w:val="0"/>
          <w:color w:val="auto"/>
          <w:szCs w:val="22"/>
          <w:lang w:val="en-US"/>
        </w:rPr>
        <w:t>, according to the information on the submitted financial state</w:t>
      </w:r>
      <w:r w:rsidR="00634A1E" w:rsidRPr="00BE7D32">
        <w:rPr>
          <w:rFonts w:ascii="Fira Sans" w:eastAsiaTheme="minorHAnsi" w:hAnsi="Fira Sans" w:cstheme="minorBidi"/>
          <w:bCs w:val="0"/>
          <w:color w:val="auto"/>
          <w:szCs w:val="22"/>
          <w:lang w:val="en-US"/>
        </w:rPr>
        <w:t>ments, there were a total of 737</w:t>
      </w:r>
      <w:r w:rsidR="008F0F38" w:rsidRPr="00BE7D32">
        <w:rPr>
          <w:rFonts w:ascii="Fira Sans" w:eastAsiaTheme="minorHAnsi" w:hAnsi="Fira Sans" w:cstheme="minorBidi"/>
          <w:bCs w:val="0"/>
          <w:color w:val="auto"/>
          <w:szCs w:val="22"/>
          <w:lang w:val="en-US"/>
        </w:rPr>
        <w:t xml:space="preserve"> investment funds. The number of open-end </w:t>
      </w:r>
      <w:r w:rsidR="00634A1E" w:rsidRPr="00BE7D32">
        <w:rPr>
          <w:rFonts w:ascii="Fira Sans" w:eastAsiaTheme="minorHAnsi" w:hAnsi="Fira Sans" w:cstheme="minorBidi"/>
          <w:bCs w:val="0"/>
          <w:color w:val="auto"/>
          <w:szCs w:val="22"/>
          <w:lang w:val="en-US"/>
        </w:rPr>
        <w:t>investment funds was 47</w:t>
      </w:r>
      <w:r w:rsidR="00065615" w:rsidRPr="00BE7D32">
        <w:rPr>
          <w:rFonts w:ascii="Fira Sans" w:eastAsiaTheme="minorHAnsi" w:hAnsi="Fira Sans" w:cstheme="minorBidi"/>
          <w:bCs w:val="0"/>
          <w:color w:val="auto"/>
          <w:szCs w:val="22"/>
          <w:lang w:val="en-US"/>
        </w:rPr>
        <w:t xml:space="preserve"> (46 a</w:t>
      </w:r>
      <w:r w:rsidR="008F0F38" w:rsidRPr="00BE7D32">
        <w:rPr>
          <w:rFonts w:ascii="Fira Sans" w:eastAsiaTheme="minorHAnsi" w:hAnsi="Fira Sans" w:cstheme="minorBidi"/>
          <w:bCs w:val="0"/>
          <w:color w:val="auto"/>
          <w:szCs w:val="22"/>
          <w:lang w:val="en-US"/>
        </w:rPr>
        <w:t xml:space="preserve"> year before), the number of specialized </w:t>
      </w:r>
      <w:r w:rsidR="004C49A3" w:rsidRPr="00BE7D32">
        <w:rPr>
          <w:rFonts w:ascii="Fira Sans" w:eastAsiaTheme="minorHAnsi" w:hAnsi="Fira Sans" w:cstheme="minorBidi"/>
          <w:bCs w:val="0"/>
          <w:color w:val="auto"/>
          <w:szCs w:val="22"/>
          <w:lang w:val="en-US"/>
        </w:rPr>
        <w:t>open-end investment funds was 68 (66</w:t>
      </w:r>
      <w:r w:rsidR="008F0F38" w:rsidRPr="00BE7D32">
        <w:rPr>
          <w:rFonts w:ascii="Fira Sans" w:eastAsiaTheme="minorHAnsi" w:hAnsi="Fira Sans" w:cstheme="minorBidi"/>
          <w:bCs w:val="0"/>
          <w:color w:val="auto"/>
          <w:szCs w:val="22"/>
          <w:lang w:val="en-US"/>
        </w:rPr>
        <w:t xml:space="preserve"> a year earlier). In the group of closed-end investment funds, the nu</w:t>
      </w:r>
      <w:r w:rsidR="00445172" w:rsidRPr="00BE7D32">
        <w:rPr>
          <w:rFonts w:ascii="Fira Sans" w:eastAsiaTheme="minorHAnsi" w:hAnsi="Fira Sans" w:cstheme="minorBidi"/>
          <w:bCs w:val="0"/>
          <w:color w:val="auto"/>
          <w:szCs w:val="22"/>
          <w:lang w:val="en-US"/>
        </w:rPr>
        <w:t>mber of funds decreased from 699 to 622</w:t>
      </w:r>
      <w:r w:rsidR="00BE7D32" w:rsidRPr="00BE7D32">
        <w:rPr>
          <w:szCs w:val="22"/>
          <w:lang w:val="en-US"/>
        </w:rPr>
        <w:t>.</w:t>
      </w:r>
    </w:p>
    <w:p w:rsidR="008F0F38" w:rsidRPr="00BE7D32" w:rsidRDefault="008F0F38" w:rsidP="003F4FFD">
      <w:pPr>
        <w:pStyle w:val="LID"/>
        <w:spacing w:after="20"/>
        <w:rPr>
          <w:b w:val="0"/>
          <w:noProof w:val="0"/>
          <w:szCs w:val="22"/>
          <w:lang w:val="en-US"/>
        </w:rPr>
      </w:pPr>
      <w:r w:rsidRPr="00BE7D32">
        <w:rPr>
          <w:b w:val="0"/>
          <w:noProof w:val="0"/>
          <w:szCs w:val="22"/>
          <w:lang w:val="en-US"/>
        </w:rPr>
        <w:t>A</w:t>
      </w:r>
      <w:r w:rsidR="001C63E6" w:rsidRPr="00BE7D32">
        <w:rPr>
          <w:b w:val="0"/>
          <w:noProof w:val="0"/>
          <w:szCs w:val="22"/>
          <w:lang w:val="en-US"/>
        </w:rPr>
        <w:t>t December</w:t>
      </w:r>
      <w:r w:rsidR="00F76E98" w:rsidRPr="00BE7D32">
        <w:rPr>
          <w:b w:val="0"/>
          <w:noProof w:val="0"/>
          <w:szCs w:val="22"/>
          <w:lang w:val="en-US"/>
        </w:rPr>
        <w:t xml:space="preserve"> 2020</w:t>
      </w:r>
      <w:r w:rsidRPr="00BE7D32">
        <w:rPr>
          <w:b w:val="0"/>
          <w:noProof w:val="0"/>
          <w:szCs w:val="22"/>
          <w:lang w:val="en-US"/>
        </w:rPr>
        <w:t>, the value of total assets collected by inve</w:t>
      </w:r>
      <w:r w:rsidR="00F76E98" w:rsidRPr="00BE7D32">
        <w:rPr>
          <w:b w:val="0"/>
          <w:noProof w:val="0"/>
          <w:szCs w:val="22"/>
          <w:lang w:val="en-US"/>
        </w:rPr>
        <w:t>stment funds amounted to PLN 3</w:t>
      </w:r>
      <w:r w:rsidR="001B75F5">
        <w:rPr>
          <w:b w:val="0"/>
          <w:noProof w:val="0"/>
          <w:szCs w:val="22"/>
          <w:lang w:val="en-US"/>
        </w:rPr>
        <w:t>17,303.2 million (an increase of</w:t>
      </w:r>
      <w:r w:rsidR="00F76E98" w:rsidRPr="00BE7D32">
        <w:rPr>
          <w:b w:val="0"/>
          <w:noProof w:val="0"/>
          <w:szCs w:val="22"/>
          <w:lang w:val="en-US"/>
        </w:rPr>
        <w:t xml:space="preserve"> 1.0% compared to 2019</w:t>
      </w:r>
      <w:r w:rsidRPr="00BE7D32">
        <w:rPr>
          <w:b w:val="0"/>
          <w:noProof w:val="0"/>
          <w:szCs w:val="22"/>
          <w:lang w:val="en-US"/>
        </w:rPr>
        <w:t>), including assets:</w:t>
      </w:r>
    </w:p>
    <w:p w:rsidR="008F0F38" w:rsidRPr="00BE7D32" w:rsidRDefault="008F0F38" w:rsidP="003F4FFD">
      <w:pPr>
        <w:pStyle w:val="LID"/>
        <w:numPr>
          <w:ilvl w:val="0"/>
          <w:numId w:val="3"/>
        </w:numPr>
        <w:spacing w:after="20"/>
        <w:rPr>
          <w:b w:val="0"/>
          <w:noProof w:val="0"/>
          <w:szCs w:val="22"/>
          <w:lang w:val="en-US"/>
        </w:rPr>
      </w:pPr>
      <w:r w:rsidRPr="00BE7D32">
        <w:rPr>
          <w:b w:val="0"/>
          <w:noProof w:val="0"/>
          <w:szCs w:val="22"/>
          <w:lang w:val="en-US"/>
        </w:rPr>
        <w:t>closed-end inve</w:t>
      </w:r>
      <w:r w:rsidR="00503963" w:rsidRPr="00BE7D32">
        <w:rPr>
          <w:b w:val="0"/>
          <w:noProof w:val="0"/>
          <w:szCs w:val="22"/>
          <w:lang w:val="en-US"/>
        </w:rPr>
        <w:t>stment funds amounted to PLN 129,351.3</w:t>
      </w:r>
      <w:r w:rsidRPr="00BE7D32">
        <w:rPr>
          <w:b w:val="0"/>
          <w:noProof w:val="0"/>
          <w:szCs w:val="22"/>
          <w:lang w:val="en-US"/>
        </w:rPr>
        <w:t xml:space="preserve"> million (decrease by 1</w:t>
      </w:r>
      <w:r w:rsidR="00503963" w:rsidRPr="00BE7D32">
        <w:rPr>
          <w:b w:val="0"/>
          <w:noProof w:val="0"/>
          <w:szCs w:val="22"/>
          <w:lang w:val="en-US"/>
        </w:rPr>
        <w:t>0.7</w:t>
      </w:r>
      <w:r w:rsidRPr="00BE7D32">
        <w:rPr>
          <w:b w:val="0"/>
          <w:noProof w:val="0"/>
          <w:szCs w:val="22"/>
          <w:lang w:val="en-US"/>
        </w:rPr>
        <w:t>%); the share of this group of funds in t</w:t>
      </w:r>
      <w:r w:rsidR="000C4C9D" w:rsidRPr="00BE7D32">
        <w:rPr>
          <w:b w:val="0"/>
          <w:noProof w:val="0"/>
          <w:szCs w:val="22"/>
          <w:lang w:val="en-US"/>
        </w:rPr>
        <w:t>otal assets decreased from 46.1% to 40.8</w:t>
      </w:r>
      <w:r w:rsidRPr="00BE7D32">
        <w:rPr>
          <w:b w:val="0"/>
          <w:noProof w:val="0"/>
          <w:szCs w:val="22"/>
          <w:lang w:val="en-US"/>
        </w:rPr>
        <w:t>%;</w:t>
      </w:r>
    </w:p>
    <w:p w:rsidR="008F0F38" w:rsidRPr="00BE7D32" w:rsidRDefault="008F0F38" w:rsidP="003F4FFD">
      <w:pPr>
        <w:pStyle w:val="LID"/>
        <w:numPr>
          <w:ilvl w:val="0"/>
          <w:numId w:val="3"/>
        </w:numPr>
        <w:spacing w:after="20"/>
        <w:rPr>
          <w:b w:val="0"/>
          <w:noProof w:val="0"/>
          <w:szCs w:val="22"/>
          <w:lang w:val="en-US"/>
        </w:rPr>
      </w:pPr>
      <w:r w:rsidRPr="00BE7D32">
        <w:rPr>
          <w:b w:val="0"/>
          <w:noProof w:val="0"/>
          <w:szCs w:val="22"/>
          <w:lang w:val="en-US"/>
        </w:rPr>
        <w:t>open-end investment fu</w:t>
      </w:r>
      <w:r w:rsidR="00152782" w:rsidRPr="00BE7D32">
        <w:rPr>
          <w:b w:val="0"/>
          <w:noProof w:val="0"/>
          <w:szCs w:val="22"/>
          <w:lang w:val="en-US"/>
        </w:rPr>
        <w:t>nds reached the value of PLN 123,394.8 million (increase by 2.8</w:t>
      </w:r>
      <w:r w:rsidRPr="00BE7D32">
        <w:rPr>
          <w:b w:val="0"/>
          <w:noProof w:val="0"/>
          <w:szCs w:val="22"/>
          <w:lang w:val="en-US"/>
        </w:rPr>
        <w:t>%); their share in tot</w:t>
      </w:r>
      <w:r w:rsidR="00B578C2" w:rsidRPr="00BE7D32">
        <w:rPr>
          <w:b w:val="0"/>
          <w:noProof w:val="0"/>
          <w:szCs w:val="22"/>
          <w:lang w:val="en-US"/>
        </w:rPr>
        <w:t>al fund assets increased from 38.2% to 38.9</w:t>
      </w:r>
      <w:r w:rsidRPr="00BE7D32">
        <w:rPr>
          <w:b w:val="0"/>
          <w:noProof w:val="0"/>
          <w:szCs w:val="22"/>
          <w:lang w:val="en-US"/>
        </w:rPr>
        <w:t>%;</w:t>
      </w:r>
    </w:p>
    <w:p w:rsidR="008F0F38" w:rsidRPr="00BE7D32" w:rsidRDefault="008F0F38" w:rsidP="003F4FFD">
      <w:pPr>
        <w:pStyle w:val="LID"/>
        <w:numPr>
          <w:ilvl w:val="0"/>
          <w:numId w:val="3"/>
        </w:numPr>
        <w:spacing w:after="20"/>
        <w:rPr>
          <w:b w:val="0"/>
          <w:noProof w:val="0"/>
          <w:szCs w:val="22"/>
          <w:lang w:val="en-US"/>
        </w:rPr>
      </w:pPr>
      <w:r w:rsidRPr="00BE7D32">
        <w:rPr>
          <w:b w:val="0"/>
          <w:noProof w:val="0"/>
          <w:szCs w:val="22"/>
          <w:lang w:val="en-US"/>
        </w:rPr>
        <w:t>specialist open-end investm</w:t>
      </w:r>
      <w:r w:rsidR="00C369D1" w:rsidRPr="00BE7D32">
        <w:rPr>
          <w:b w:val="0"/>
          <w:noProof w:val="0"/>
          <w:szCs w:val="22"/>
          <w:lang w:val="en-US"/>
        </w:rPr>
        <w:t>ent funds amounted to PLN 64,557.0 million (increase by 30.9</w:t>
      </w:r>
      <w:r w:rsidRPr="00BE7D32">
        <w:rPr>
          <w:b w:val="0"/>
          <w:noProof w:val="0"/>
          <w:szCs w:val="22"/>
          <w:lang w:val="en-US"/>
        </w:rPr>
        <w:t>%)</w:t>
      </w:r>
      <w:r w:rsidR="00813E65" w:rsidRPr="00BE7D32">
        <w:rPr>
          <w:b w:val="0"/>
          <w:noProof w:val="0"/>
          <w:szCs w:val="22"/>
          <w:lang w:val="en-US"/>
        </w:rPr>
        <w:t>, their share in total assets increased to 20.3% compared to 15.7</w:t>
      </w:r>
      <w:r w:rsidRPr="00BE7D32">
        <w:rPr>
          <w:b w:val="0"/>
          <w:noProof w:val="0"/>
          <w:szCs w:val="22"/>
          <w:lang w:val="en-US"/>
        </w:rPr>
        <w:t>% the year before.</w:t>
      </w:r>
    </w:p>
    <w:p w:rsidR="00BD38C3" w:rsidRPr="00BE7D32" w:rsidRDefault="00BD38C3" w:rsidP="00BD38C3">
      <w:pPr>
        <w:pStyle w:val="LID"/>
        <w:spacing w:after="20"/>
        <w:rPr>
          <w:b w:val="0"/>
          <w:noProof w:val="0"/>
          <w:szCs w:val="22"/>
          <w:lang w:val="en-US"/>
        </w:rPr>
      </w:pPr>
      <w:r w:rsidRPr="00BE7D32">
        <w:rPr>
          <w:b w:val="0"/>
          <w:noProof w:val="0"/>
          <w:szCs w:val="22"/>
          <w:lang w:val="en-US"/>
        </w:rPr>
        <w:t>The main item in the total assets of investment fund</w:t>
      </w:r>
      <w:r w:rsidR="00756585" w:rsidRPr="00BE7D32">
        <w:rPr>
          <w:b w:val="0"/>
          <w:noProof w:val="0"/>
          <w:szCs w:val="22"/>
          <w:lang w:val="en-US"/>
        </w:rPr>
        <w:t>s were investment components</w:t>
      </w:r>
      <w:r w:rsidRPr="00BE7D32">
        <w:rPr>
          <w:b w:val="0"/>
          <w:noProof w:val="0"/>
          <w:szCs w:val="22"/>
          <w:lang w:val="en-US"/>
        </w:rPr>
        <w:t xml:space="preserve"> listed on an active market; their v</w:t>
      </w:r>
      <w:r w:rsidR="00756585" w:rsidRPr="00BE7D32">
        <w:rPr>
          <w:b w:val="0"/>
          <w:noProof w:val="0"/>
          <w:szCs w:val="22"/>
          <w:lang w:val="en-US"/>
        </w:rPr>
        <w:t>alue at the end of December 2020 amounted to PLN 149,559.1</w:t>
      </w:r>
      <w:r w:rsidRPr="00BE7D32">
        <w:rPr>
          <w:b w:val="0"/>
          <w:noProof w:val="0"/>
          <w:szCs w:val="22"/>
          <w:lang w:val="en-US"/>
        </w:rPr>
        <w:t xml:space="preserve"> million </w:t>
      </w:r>
      <w:r w:rsidR="00756393" w:rsidRPr="00BE7D32">
        <w:rPr>
          <w:b w:val="0"/>
          <w:noProof w:val="0"/>
          <w:szCs w:val="22"/>
          <w:lang w:val="en-US"/>
        </w:rPr>
        <w:t>and was high</w:t>
      </w:r>
      <w:r w:rsidRPr="00BE7D32">
        <w:rPr>
          <w:b w:val="0"/>
          <w:noProof w:val="0"/>
          <w:szCs w:val="22"/>
          <w:lang w:val="en-US"/>
        </w:rPr>
        <w:t>er by 1</w:t>
      </w:r>
      <w:r w:rsidR="00756393" w:rsidRPr="00BE7D32">
        <w:rPr>
          <w:b w:val="0"/>
          <w:noProof w:val="0"/>
          <w:szCs w:val="22"/>
          <w:lang w:val="en-US"/>
        </w:rPr>
        <w:t>3.1% compared to December 2019</w:t>
      </w:r>
      <w:r w:rsidRPr="00BE7D32">
        <w:rPr>
          <w:b w:val="0"/>
          <w:noProof w:val="0"/>
          <w:szCs w:val="22"/>
          <w:lang w:val="en-US"/>
        </w:rPr>
        <w:t xml:space="preserve">. The share of this item </w:t>
      </w:r>
      <w:r w:rsidR="00756393" w:rsidRPr="00BE7D32">
        <w:rPr>
          <w:b w:val="0"/>
          <w:noProof w:val="0"/>
          <w:szCs w:val="22"/>
          <w:lang w:val="en-US"/>
        </w:rPr>
        <w:t>in total assets amounted to 47.1</w:t>
      </w:r>
      <w:r w:rsidRPr="00BE7D32">
        <w:rPr>
          <w:b w:val="0"/>
          <w:noProof w:val="0"/>
          <w:szCs w:val="22"/>
          <w:lang w:val="en-US"/>
        </w:rPr>
        <w:t xml:space="preserve">% </w:t>
      </w:r>
      <w:r w:rsidR="00756393" w:rsidRPr="00BE7D32">
        <w:rPr>
          <w:b w:val="0"/>
          <w:noProof w:val="0"/>
          <w:szCs w:val="22"/>
          <w:lang w:val="en-US"/>
        </w:rPr>
        <w:t>(by 5 percentage point more</w:t>
      </w:r>
      <w:r w:rsidRPr="00BE7D32">
        <w:rPr>
          <w:b w:val="0"/>
          <w:noProof w:val="0"/>
          <w:szCs w:val="22"/>
          <w:lang w:val="en-US"/>
        </w:rPr>
        <w:t xml:space="preserve"> than in the previous year).</w:t>
      </w:r>
    </w:p>
    <w:p w:rsidR="00BD38C3" w:rsidRPr="00161F48" w:rsidRDefault="00824046" w:rsidP="00BD38C3">
      <w:pPr>
        <w:pStyle w:val="LID"/>
        <w:spacing w:after="20"/>
        <w:rPr>
          <w:b w:val="0"/>
          <w:noProof w:val="0"/>
          <w:szCs w:val="22"/>
          <w:lang w:val="en-US"/>
        </w:rPr>
      </w:pPr>
      <w:r w:rsidRPr="00BE7D32">
        <w:rPr>
          <w:b w:val="0"/>
          <w:noProof w:val="0"/>
          <w:szCs w:val="22"/>
          <w:lang w:val="en-US"/>
        </w:rPr>
        <w:t>In 2020</w:t>
      </w:r>
      <w:r w:rsidR="00BD38C3" w:rsidRPr="00BE7D32">
        <w:rPr>
          <w:b w:val="0"/>
          <w:noProof w:val="0"/>
          <w:szCs w:val="22"/>
          <w:lang w:val="en-US"/>
        </w:rPr>
        <w:t>, investment funds</w:t>
      </w:r>
      <w:r w:rsidRPr="00BE7D32">
        <w:rPr>
          <w:b w:val="0"/>
          <w:noProof w:val="0"/>
          <w:szCs w:val="22"/>
          <w:lang w:val="en-US"/>
        </w:rPr>
        <w:t>' receivables amounted to PLN 46,609.1 million and were 222.6% higher than at the end of 2019</w:t>
      </w:r>
      <w:r w:rsidR="00BD38C3" w:rsidRPr="00BE7D32">
        <w:rPr>
          <w:b w:val="0"/>
          <w:noProof w:val="0"/>
          <w:szCs w:val="22"/>
          <w:lang w:val="en-US"/>
        </w:rPr>
        <w:t>.</w:t>
      </w:r>
    </w:p>
    <w:p w:rsidR="00352DCE" w:rsidRDefault="00352DCE" w:rsidP="00BD38C3">
      <w:pPr>
        <w:pStyle w:val="LID"/>
        <w:spacing w:after="20"/>
        <w:rPr>
          <w:b w:val="0"/>
          <w:noProof w:val="0"/>
          <w:szCs w:val="22"/>
          <w:highlight w:val="yellow"/>
          <w:lang w:val="en-US"/>
        </w:rPr>
      </w:pPr>
    </w:p>
    <w:p w:rsidR="00BD38C3" w:rsidRPr="00DA19B5" w:rsidRDefault="00BD38C3" w:rsidP="00BD38C3">
      <w:pPr>
        <w:pStyle w:val="LID"/>
        <w:spacing w:after="20"/>
        <w:rPr>
          <w:b w:val="0"/>
          <w:noProof w:val="0"/>
          <w:szCs w:val="22"/>
          <w:lang w:val="en-US"/>
        </w:rPr>
      </w:pPr>
      <w:r w:rsidRPr="00DA19B5">
        <w:rPr>
          <w:b w:val="0"/>
          <w:noProof w:val="0"/>
          <w:szCs w:val="22"/>
          <w:lang w:val="en-US"/>
        </w:rPr>
        <w:t>Liabilities of</w:t>
      </w:r>
      <w:r w:rsidR="00D7223B" w:rsidRPr="00DA19B5">
        <w:rPr>
          <w:b w:val="0"/>
          <w:noProof w:val="0"/>
          <w:szCs w:val="22"/>
          <w:lang w:val="en-US"/>
        </w:rPr>
        <w:t xml:space="preserve"> investment funds reached PLN 14,741.5 million (down </w:t>
      </w:r>
      <w:r w:rsidR="00D9060C">
        <w:rPr>
          <w:b w:val="0"/>
          <w:noProof w:val="0"/>
          <w:szCs w:val="22"/>
          <w:lang w:val="en-US"/>
        </w:rPr>
        <w:t xml:space="preserve">by </w:t>
      </w:r>
      <w:r w:rsidR="00D7223B" w:rsidRPr="00DA19B5">
        <w:rPr>
          <w:b w:val="0"/>
          <w:noProof w:val="0"/>
          <w:szCs w:val="22"/>
          <w:lang w:val="en-US"/>
        </w:rPr>
        <w:t>15.6</w:t>
      </w:r>
      <w:r w:rsidRPr="00DA19B5">
        <w:rPr>
          <w:b w:val="0"/>
          <w:noProof w:val="0"/>
          <w:szCs w:val="22"/>
          <w:lang w:val="en-US"/>
        </w:rPr>
        <w:t>%). The largest lia</w:t>
      </w:r>
      <w:r w:rsidR="007A0B98" w:rsidRPr="00DA19B5">
        <w:rPr>
          <w:b w:val="0"/>
          <w:noProof w:val="0"/>
          <w:szCs w:val="22"/>
          <w:lang w:val="en-US"/>
        </w:rPr>
        <w:t>bilities in the amount of PLN 8,419.2</w:t>
      </w:r>
      <w:r w:rsidRPr="00DA19B5">
        <w:rPr>
          <w:b w:val="0"/>
          <w:noProof w:val="0"/>
          <w:szCs w:val="22"/>
          <w:lang w:val="en-US"/>
        </w:rPr>
        <w:t xml:space="preserve"> million were shown by open-end investme</w:t>
      </w:r>
      <w:r w:rsidR="007A0B98" w:rsidRPr="00DA19B5">
        <w:rPr>
          <w:b w:val="0"/>
          <w:noProof w:val="0"/>
          <w:szCs w:val="22"/>
          <w:lang w:val="en-US"/>
        </w:rPr>
        <w:t>nt funds, which accounted for 57</w:t>
      </w:r>
      <w:r w:rsidRPr="00DA19B5">
        <w:rPr>
          <w:b w:val="0"/>
          <w:noProof w:val="0"/>
          <w:szCs w:val="22"/>
          <w:lang w:val="en-US"/>
        </w:rPr>
        <w:t>.1% of the value of liabili</w:t>
      </w:r>
      <w:r w:rsidR="007A0B98" w:rsidRPr="00DA19B5">
        <w:rPr>
          <w:b w:val="0"/>
          <w:noProof w:val="0"/>
          <w:szCs w:val="22"/>
          <w:lang w:val="en-US"/>
        </w:rPr>
        <w:t>ties of all investment funds (58.1</w:t>
      </w:r>
      <w:r w:rsidRPr="00DA19B5">
        <w:rPr>
          <w:b w:val="0"/>
          <w:noProof w:val="0"/>
          <w:szCs w:val="22"/>
          <w:lang w:val="en-US"/>
        </w:rPr>
        <w:t>% the year before).</w:t>
      </w:r>
    </w:p>
    <w:p w:rsidR="00073E55" w:rsidRDefault="00B8632F" w:rsidP="00073E55">
      <w:pPr>
        <w:pStyle w:val="LID"/>
        <w:spacing w:after="20"/>
        <w:rPr>
          <w:b w:val="0"/>
          <w:noProof w:val="0"/>
          <w:szCs w:val="22"/>
          <w:lang w:val="en-US"/>
        </w:rPr>
      </w:pPr>
      <w:r w:rsidRPr="00DA19B5">
        <w:rPr>
          <w:b w:val="0"/>
          <w:noProof w:val="0"/>
          <w:szCs w:val="22"/>
          <w:lang w:val="en-US"/>
        </w:rPr>
        <w:t>On December 31, 2020</w:t>
      </w:r>
      <w:r w:rsidR="00073E55" w:rsidRPr="00DA19B5">
        <w:rPr>
          <w:b w:val="0"/>
          <w:noProof w:val="0"/>
          <w:szCs w:val="22"/>
          <w:lang w:val="en-US"/>
        </w:rPr>
        <w:t>, the net assets of the funds amounted</w:t>
      </w:r>
      <w:r w:rsidRPr="00DA19B5">
        <w:rPr>
          <w:b w:val="0"/>
          <w:noProof w:val="0"/>
          <w:szCs w:val="22"/>
          <w:lang w:val="en-US"/>
        </w:rPr>
        <w:t xml:space="preserve"> to PLN 302,561</w:t>
      </w:r>
      <w:r w:rsidR="00073E55" w:rsidRPr="00DA19B5">
        <w:rPr>
          <w:b w:val="0"/>
          <w:noProof w:val="0"/>
          <w:szCs w:val="22"/>
          <w:lang w:val="en-US"/>
        </w:rPr>
        <w:t>.7 million, i.e.</w:t>
      </w:r>
      <w:r w:rsidR="00A372F1" w:rsidRPr="00DA19B5">
        <w:rPr>
          <w:b w:val="0"/>
          <w:noProof w:val="0"/>
          <w:szCs w:val="22"/>
          <w:lang w:val="en-US"/>
        </w:rPr>
        <w:t xml:space="preserve"> </w:t>
      </w:r>
      <w:r w:rsidR="00802749">
        <w:rPr>
          <w:b w:val="0"/>
          <w:noProof w:val="0"/>
          <w:szCs w:val="22"/>
          <w:lang w:val="en-US"/>
        </w:rPr>
        <w:t xml:space="preserve">they were </w:t>
      </w:r>
      <w:r w:rsidR="00A372F1" w:rsidRPr="00DA19B5">
        <w:rPr>
          <w:b w:val="0"/>
          <w:noProof w:val="0"/>
          <w:szCs w:val="22"/>
          <w:lang w:val="en-US"/>
        </w:rPr>
        <w:t>2.0% higher than at the end of 2019</w:t>
      </w:r>
      <w:r w:rsidR="00073E55" w:rsidRPr="00DA19B5">
        <w:rPr>
          <w:b w:val="0"/>
          <w:noProof w:val="0"/>
          <w:szCs w:val="22"/>
          <w:lang w:val="en-US"/>
        </w:rPr>
        <w:t>. The net assets of closed-end inve</w:t>
      </w:r>
      <w:r w:rsidR="00A372F1" w:rsidRPr="00DA19B5">
        <w:rPr>
          <w:b w:val="0"/>
          <w:noProof w:val="0"/>
          <w:szCs w:val="22"/>
          <w:lang w:val="en-US"/>
        </w:rPr>
        <w:t>stment funds amounted to PLN 125,354.1</w:t>
      </w:r>
      <w:r w:rsidR="00073E55" w:rsidRPr="00DA19B5">
        <w:rPr>
          <w:b w:val="0"/>
          <w:noProof w:val="0"/>
          <w:szCs w:val="22"/>
          <w:lang w:val="en-US"/>
        </w:rPr>
        <w:t xml:space="preserve"> million ( by </w:t>
      </w:r>
      <w:r w:rsidR="00A372F1" w:rsidRPr="00DA19B5">
        <w:rPr>
          <w:b w:val="0"/>
          <w:noProof w:val="0"/>
          <w:szCs w:val="22"/>
          <w:lang w:val="en-US"/>
        </w:rPr>
        <w:t>1</w:t>
      </w:r>
      <w:r w:rsidR="00073E55" w:rsidRPr="00DA19B5">
        <w:rPr>
          <w:b w:val="0"/>
          <w:noProof w:val="0"/>
          <w:szCs w:val="22"/>
          <w:lang w:val="en-US"/>
        </w:rPr>
        <w:t>0.1% lower than in the previous year), open-end investment</w:t>
      </w:r>
      <w:r w:rsidR="008717A2" w:rsidRPr="00DA19B5">
        <w:rPr>
          <w:b w:val="0"/>
          <w:noProof w:val="0"/>
          <w:szCs w:val="22"/>
          <w:lang w:val="en-US"/>
        </w:rPr>
        <w:t xml:space="preserve"> funds PLN 114</w:t>
      </w:r>
      <w:r w:rsidR="00495709" w:rsidRPr="00DA19B5">
        <w:rPr>
          <w:b w:val="0"/>
          <w:noProof w:val="0"/>
          <w:szCs w:val="22"/>
          <w:lang w:val="en-US"/>
        </w:rPr>
        <w:t>,</w:t>
      </w:r>
      <w:r w:rsidR="008717A2" w:rsidRPr="00DA19B5">
        <w:rPr>
          <w:b w:val="0"/>
          <w:noProof w:val="0"/>
          <w:szCs w:val="22"/>
          <w:lang w:val="en-US"/>
        </w:rPr>
        <w:t>975.7 million (higher by 4.7</w:t>
      </w:r>
      <w:r w:rsidR="00073E55" w:rsidRPr="00DA19B5">
        <w:rPr>
          <w:b w:val="0"/>
          <w:noProof w:val="0"/>
          <w:szCs w:val="22"/>
          <w:lang w:val="en-US"/>
        </w:rPr>
        <w:t>%), and s</w:t>
      </w:r>
      <w:r w:rsidR="0018443C" w:rsidRPr="00DA19B5">
        <w:rPr>
          <w:b w:val="0"/>
          <w:noProof w:val="0"/>
          <w:szCs w:val="22"/>
          <w:lang w:val="en-US"/>
        </w:rPr>
        <w:t>pecialized open-end funds PLN 62,231.9 million (higher by 31.3</w:t>
      </w:r>
      <w:r w:rsidR="00073E55" w:rsidRPr="00DA19B5">
        <w:rPr>
          <w:b w:val="0"/>
          <w:noProof w:val="0"/>
          <w:szCs w:val="22"/>
          <w:lang w:val="en-US"/>
        </w:rPr>
        <w:t>%).</w:t>
      </w:r>
    </w:p>
    <w:p w:rsidR="00352DCE" w:rsidRDefault="00352DCE" w:rsidP="00073E55">
      <w:pPr>
        <w:pStyle w:val="LID"/>
        <w:spacing w:after="20"/>
        <w:rPr>
          <w:b w:val="0"/>
          <w:noProof w:val="0"/>
          <w:szCs w:val="22"/>
          <w:lang w:val="en-US"/>
        </w:rPr>
      </w:pPr>
    </w:p>
    <w:p w:rsidR="00185C9C" w:rsidRPr="00B14D4E" w:rsidRDefault="00702E99" w:rsidP="00185C9C">
      <w:pPr>
        <w:rPr>
          <w:shd w:val="clear" w:color="auto" w:fill="FFFFFF"/>
          <w:lang w:val="en-US"/>
        </w:rPr>
      </w:pPr>
      <w:r w:rsidRPr="00243555">
        <w:rPr>
          <w:noProof/>
          <w:color w:val="212492"/>
          <w:spacing w:val="-2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>
                <wp:simplePos x="0" y="0"/>
                <wp:positionH relativeFrom="column">
                  <wp:posOffset>5247640</wp:posOffset>
                </wp:positionH>
                <wp:positionV relativeFrom="paragraph">
                  <wp:posOffset>219710</wp:posOffset>
                </wp:positionV>
                <wp:extent cx="1725295" cy="1012825"/>
                <wp:effectExtent l="0" t="0" r="0" b="0"/>
                <wp:wrapTight wrapText="bothSides">
                  <wp:wrapPolygon edited="0">
                    <wp:start x="715" y="0"/>
                    <wp:lineTo x="715" y="21126"/>
                    <wp:lineTo x="20749" y="21126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12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48D" w:rsidRPr="00EA548D" w:rsidRDefault="00174E9C" w:rsidP="00EA548D">
                            <w:pPr>
                              <w:pStyle w:val="HTML-wstpniesformatowany"/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r w:rsidR="00EA548D" w:rsidRPr="00EA548D"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he </w:t>
                            </w:r>
                            <w:r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income from </w:t>
                            </w:r>
                            <w:r w:rsidR="00EA548D" w:rsidRPr="00EA548D"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invest</w:t>
                            </w:r>
                            <w:r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ments of investment funds decreased by 11,7%</w:t>
                            </w:r>
                            <w:r w:rsidR="00EA548D" w:rsidRPr="00EA548D"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:rsidR="00EA548D" w:rsidRPr="00EA548D" w:rsidRDefault="00EA548D" w:rsidP="00EA548D">
                            <w:pPr>
                              <w:pStyle w:val="LID"/>
                              <w:spacing w:after="20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noProof w:val="0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363AC3" w:rsidRPr="00EA548D" w:rsidRDefault="00363AC3" w:rsidP="00363AC3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11EEC" w:rsidRPr="000744E8" w:rsidRDefault="00711EEC" w:rsidP="00711EE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11EEC" w:rsidRPr="000744E8" w:rsidRDefault="00711EEC" w:rsidP="00DC02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29" type="#_x0000_t202" style="position:absolute;margin-left:413.2pt;margin-top:17.3pt;width:135.85pt;height:79.7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" filled="f" stroked="f">
                <v:textbox>
                  <w:txbxContent>
                    <w:p w:rsidR="00EA548D" w:rsidRPr="00EA548D" w:rsidRDefault="00174E9C" w:rsidP="00EA548D">
                      <w:pPr>
                        <w:pStyle w:val="HTML-wstpniesformatowany"/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T</w:t>
                      </w:r>
                      <w:r w:rsidR="00EA548D" w:rsidRPr="00EA548D"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he </w:t>
                      </w:r>
                      <w:r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income from </w:t>
                      </w:r>
                      <w:r w:rsidR="00EA548D" w:rsidRPr="00EA548D"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invest</w:t>
                      </w:r>
                      <w:r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ments of investment funds decreased by 11,7%</w:t>
                      </w:r>
                      <w:r w:rsidR="00EA548D" w:rsidRPr="00EA548D"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:rsidR="00EA548D" w:rsidRPr="00EA548D" w:rsidRDefault="00EA548D" w:rsidP="00EA548D">
                      <w:pPr>
                        <w:pStyle w:val="LID"/>
                        <w:spacing w:after="20"/>
                        <w:jc w:val="both"/>
                        <w:rPr>
                          <w:rFonts w:eastAsia="Times New Roman" w:cs="Times New Roman"/>
                          <w:b w:val="0"/>
                          <w:bCs/>
                          <w:noProof w:val="0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363AC3" w:rsidRPr="00EA548D" w:rsidRDefault="00363AC3" w:rsidP="00363AC3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11EEC" w:rsidRPr="000744E8" w:rsidRDefault="00711EEC" w:rsidP="00711EE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11EEC" w:rsidRPr="000744E8" w:rsidRDefault="00711EEC" w:rsidP="00DC02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85C9C" w:rsidRPr="003B3875">
        <w:rPr>
          <w:b/>
          <w:spacing w:val="-2"/>
          <w:sz w:val="18"/>
          <w:shd w:val="clear" w:color="auto" w:fill="FFFFFF"/>
          <w:lang w:val="en-US"/>
        </w:rPr>
        <w:t>Table 2. Selected items from the balance sheet of investment funds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185C9C" w:rsidRPr="001A3D3F" w:rsidTr="00216B15">
        <w:trPr>
          <w:trHeight w:val="57"/>
        </w:trPr>
        <w:tc>
          <w:tcPr>
            <w:tcW w:w="2823" w:type="dxa"/>
            <w:vMerge w:val="restart"/>
            <w:vAlign w:val="center"/>
          </w:tcPr>
          <w:p w:rsidR="00185C9C" w:rsidRPr="001A3D3F" w:rsidRDefault="004B6756" w:rsidP="00216B1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1701" w:type="dxa"/>
            <w:vAlign w:val="center"/>
          </w:tcPr>
          <w:p w:rsidR="00185C9C" w:rsidRPr="001A3D3F" w:rsidRDefault="00185C9C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D46712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vAlign w:val="center"/>
          </w:tcPr>
          <w:p w:rsidR="00185C9C" w:rsidRPr="001A3D3F" w:rsidRDefault="00D46712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701" w:type="dxa"/>
            <w:vMerge w:val="restart"/>
            <w:vAlign w:val="center"/>
          </w:tcPr>
          <w:p w:rsidR="00185C9C" w:rsidRPr="001A3D3F" w:rsidRDefault="00D46712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2019</w:t>
            </w:r>
            <w:r w:rsidR="00185C9C"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185C9C" w:rsidRPr="001A3D3F" w:rsidTr="00216B15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185C9C" w:rsidRPr="001A3D3F" w:rsidRDefault="00185C9C" w:rsidP="00216B15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185C9C" w:rsidRPr="001A3D3F" w:rsidRDefault="001B1432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="004B6756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n </w:t>
            </w:r>
            <w:proofErr w:type="spellStart"/>
            <w:r w:rsidR="004B6756">
              <w:rPr>
                <w:rFonts w:ascii="Fira Sans" w:hAnsi="Fira Sans"/>
                <w:color w:val="000000" w:themeColor="text1"/>
                <w:sz w:val="16"/>
                <w:szCs w:val="16"/>
              </w:rPr>
              <w:t>mil</w:t>
            </w:r>
            <w:r w:rsidR="00447C60">
              <w:rPr>
                <w:rFonts w:ascii="Fira Sans" w:hAnsi="Fira Sans"/>
                <w:color w:val="000000" w:themeColor="text1"/>
                <w:sz w:val="16"/>
                <w:szCs w:val="16"/>
              </w:rPr>
              <w:t>l</w:t>
            </w:r>
            <w:r w:rsidR="004B6756">
              <w:rPr>
                <w:rFonts w:ascii="Fira Sans" w:hAnsi="Fira Sans"/>
                <w:color w:val="000000" w:themeColor="text1"/>
                <w:sz w:val="16"/>
                <w:szCs w:val="16"/>
              </w:rPr>
              <w:t>ion</w:t>
            </w:r>
            <w:proofErr w:type="spellEnd"/>
            <w:r w:rsidR="004B6756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PLN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185C9C" w:rsidRPr="001A3D3F" w:rsidRDefault="00185C9C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D46712" w:rsidRPr="001A3D3F" w:rsidTr="00216B15">
        <w:trPr>
          <w:trHeight w:hRule="exact" w:val="510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46712" w:rsidRPr="001A3D3F" w:rsidRDefault="00D46712" w:rsidP="00D467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Total </w:t>
            </w:r>
            <w:proofErr w:type="spellStart"/>
            <w:r>
              <w:rPr>
                <w:sz w:val="16"/>
                <w:szCs w:val="16"/>
              </w:rPr>
              <w:t>assets</w:t>
            </w:r>
            <w:proofErr w:type="spellEnd"/>
            <w:r w:rsidRPr="001A3D3F">
              <w:rPr>
                <w:sz w:val="16"/>
                <w:szCs w:val="16"/>
              </w:rPr>
              <w:t>: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D46712" w:rsidRPr="001A3D3F" w:rsidRDefault="00D46712" w:rsidP="00D4671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314 191,2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D46712" w:rsidRPr="001A3D3F" w:rsidRDefault="00D01036" w:rsidP="00D4671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317 303,2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D46712" w:rsidRPr="001A3D3F" w:rsidRDefault="00CC2B6C" w:rsidP="00D4671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101,0</w:t>
            </w:r>
          </w:p>
        </w:tc>
      </w:tr>
      <w:tr w:rsidR="00D46712" w:rsidRPr="001A3D3F" w:rsidTr="00216B15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D46712" w:rsidRPr="001A3D3F" w:rsidRDefault="00D46712" w:rsidP="00D467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proofErr w:type="spellStart"/>
            <w:r>
              <w:rPr>
                <w:sz w:val="16"/>
                <w:szCs w:val="16"/>
              </w:rPr>
              <w:t>Receivables</w:t>
            </w:r>
            <w:proofErr w:type="spellEnd"/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D46712" w:rsidRPr="001A3D3F" w:rsidRDefault="00D46712" w:rsidP="00D4671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14 449,2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D46712" w:rsidRPr="001A3D3F" w:rsidRDefault="00D01036" w:rsidP="00D4671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46 609,1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D46712" w:rsidRPr="001A3D3F" w:rsidRDefault="00CC2B6C" w:rsidP="00D4671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322,6</w:t>
            </w:r>
          </w:p>
        </w:tc>
      </w:tr>
      <w:tr w:rsidR="00D46712" w:rsidRPr="001A3D3F" w:rsidTr="00216B15">
        <w:trPr>
          <w:trHeight w:hRule="exact" w:val="761"/>
        </w:trPr>
        <w:tc>
          <w:tcPr>
            <w:tcW w:w="2823" w:type="dxa"/>
            <w:vAlign w:val="center"/>
          </w:tcPr>
          <w:p w:rsidR="00D46712" w:rsidRPr="003B3875" w:rsidRDefault="00D46712" w:rsidP="00352DCE">
            <w:pPr>
              <w:ind w:left="176" w:hanging="176"/>
              <w:rPr>
                <w:lang w:val="en-US"/>
              </w:rPr>
            </w:pPr>
            <w:r w:rsidRPr="003B3875">
              <w:rPr>
                <w:sz w:val="16"/>
                <w:szCs w:val="16"/>
                <w:lang w:val="en-US"/>
              </w:rPr>
              <w:t xml:space="preserve">     </w:t>
            </w:r>
            <w:r w:rsidRPr="003B3875">
              <w:rPr>
                <w:lang w:val="en-US"/>
              </w:rPr>
              <w:t xml:space="preserve"> </w:t>
            </w:r>
            <w:r w:rsidRPr="003B3875">
              <w:rPr>
                <w:sz w:val="16"/>
                <w:szCs w:val="16"/>
                <w:lang w:val="en-US"/>
              </w:rPr>
              <w:t>Investment components not listed on an active market</w:t>
            </w:r>
          </w:p>
          <w:p w:rsidR="00D46712" w:rsidRPr="003B3875" w:rsidRDefault="00D46712" w:rsidP="00D4671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bottom"/>
          </w:tcPr>
          <w:p w:rsidR="00D46712" w:rsidRPr="001A3D3F" w:rsidRDefault="00D46712" w:rsidP="00D4671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148 783,5</w:t>
            </w:r>
          </w:p>
        </w:tc>
        <w:tc>
          <w:tcPr>
            <w:tcW w:w="1701" w:type="dxa"/>
            <w:vAlign w:val="bottom"/>
          </w:tcPr>
          <w:p w:rsidR="00D46712" w:rsidRPr="001A3D3F" w:rsidRDefault="00D01036" w:rsidP="00D4671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103 837,0</w:t>
            </w:r>
          </w:p>
        </w:tc>
        <w:tc>
          <w:tcPr>
            <w:tcW w:w="1701" w:type="dxa"/>
            <w:vAlign w:val="bottom"/>
          </w:tcPr>
          <w:p w:rsidR="00D46712" w:rsidRPr="001A3D3F" w:rsidRDefault="00CC2B6C" w:rsidP="00D4671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69,8</w:t>
            </w:r>
          </w:p>
        </w:tc>
      </w:tr>
      <w:tr w:rsidR="00D46712" w:rsidRPr="001A3D3F" w:rsidTr="00216B15">
        <w:trPr>
          <w:trHeight w:hRule="exact" w:val="802"/>
        </w:trPr>
        <w:tc>
          <w:tcPr>
            <w:tcW w:w="2823" w:type="dxa"/>
            <w:vAlign w:val="center"/>
          </w:tcPr>
          <w:p w:rsidR="00D46712" w:rsidRPr="003B3875" w:rsidRDefault="00D46712" w:rsidP="00352DCE">
            <w:pPr>
              <w:ind w:left="176" w:hanging="176"/>
              <w:rPr>
                <w:sz w:val="16"/>
                <w:szCs w:val="16"/>
                <w:lang w:val="en-US"/>
              </w:rPr>
            </w:pPr>
            <w:r w:rsidRPr="003B3875">
              <w:rPr>
                <w:sz w:val="16"/>
                <w:szCs w:val="16"/>
                <w:lang w:val="en-US"/>
              </w:rPr>
              <w:t xml:space="preserve">      Investment components listed on an active market</w:t>
            </w:r>
          </w:p>
        </w:tc>
        <w:tc>
          <w:tcPr>
            <w:tcW w:w="1701" w:type="dxa"/>
            <w:vAlign w:val="bottom"/>
          </w:tcPr>
          <w:p w:rsidR="00D46712" w:rsidRPr="001A3D3F" w:rsidRDefault="00D46712" w:rsidP="00D4671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132 207,5</w:t>
            </w:r>
          </w:p>
        </w:tc>
        <w:tc>
          <w:tcPr>
            <w:tcW w:w="1701" w:type="dxa"/>
            <w:vAlign w:val="bottom"/>
          </w:tcPr>
          <w:p w:rsidR="00D46712" w:rsidRPr="001A3D3F" w:rsidRDefault="00D01036" w:rsidP="00D4671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149 559,1</w:t>
            </w:r>
          </w:p>
        </w:tc>
        <w:tc>
          <w:tcPr>
            <w:tcW w:w="1701" w:type="dxa"/>
            <w:vAlign w:val="bottom"/>
          </w:tcPr>
          <w:p w:rsidR="00D46712" w:rsidRPr="001A3D3F" w:rsidRDefault="00CC2B6C" w:rsidP="00D4671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113,1</w:t>
            </w:r>
          </w:p>
        </w:tc>
      </w:tr>
      <w:tr w:rsidR="00D46712" w:rsidRPr="001A3D3F" w:rsidTr="00216B15">
        <w:trPr>
          <w:trHeight w:hRule="exact" w:val="510"/>
        </w:trPr>
        <w:tc>
          <w:tcPr>
            <w:tcW w:w="2823" w:type="dxa"/>
            <w:vAlign w:val="center"/>
          </w:tcPr>
          <w:p w:rsidR="00D46712" w:rsidRPr="001A3D3F" w:rsidRDefault="00D46712" w:rsidP="00D4671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Liabilities</w:t>
            </w:r>
            <w:proofErr w:type="spellEnd"/>
          </w:p>
        </w:tc>
        <w:tc>
          <w:tcPr>
            <w:tcW w:w="1701" w:type="dxa"/>
            <w:vAlign w:val="bottom"/>
          </w:tcPr>
          <w:p w:rsidR="00D46712" w:rsidRPr="001A3D3F" w:rsidRDefault="00D46712" w:rsidP="00D4671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17 460,5</w:t>
            </w:r>
          </w:p>
        </w:tc>
        <w:tc>
          <w:tcPr>
            <w:tcW w:w="1701" w:type="dxa"/>
            <w:vAlign w:val="bottom"/>
          </w:tcPr>
          <w:p w:rsidR="00D46712" w:rsidRPr="001A3D3F" w:rsidRDefault="00D01036" w:rsidP="00D4671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14 741,5</w:t>
            </w:r>
          </w:p>
        </w:tc>
        <w:tc>
          <w:tcPr>
            <w:tcW w:w="1701" w:type="dxa"/>
            <w:vAlign w:val="bottom"/>
          </w:tcPr>
          <w:p w:rsidR="00D46712" w:rsidRPr="001A3D3F" w:rsidRDefault="00CC2B6C" w:rsidP="00D4671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84,4</w:t>
            </w:r>
          </w:p>
        </w:tc>
      </w:tr>
      <w:tr w:rsidR="00D46712" w:rsidRPr="001A3D3F" w:rsidTr="00216B15">
        <w:trPr>
          <w:trHeight w:hRule="exact" w:val="510"/>
        </w:trPr>
        <w:tc>
          <w:tcPr>
            <w:tcW w:w="2823" w:type="dxa"/>
            <w:vAlign w:val="center"/>
          </w:tcPr>
          <w:p w:rsidR="00D46712" w:rsidRPr="001A3D3F" w:rsidRDefault="00D46712" w:rsidP="00D467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Net </w:t>
            </w:r>
            <w:proofErr w:type="spellStart"/>
            <w:r>
              <w:rPr>
                <w:sz w:val="16"/>
                <w:szCs w:val="16"/>
              </w:rPr>
              <w:t>assets</w:t>
            </w:r>
            <w:proofErr w:type="spellEnd"/>
          </w:p>
        </w:tc>
        <w:tc>
          <w:tcPr>
            <w:tcW w:w="1701" w:type="dxa"/>
            <w:vAlign w:val="bottom"/>
          </w:tcPr>
          <w:p w:rsidR="00D46712" w:rsidRPr="001A3D3F" w:rsidRDefault="00D46712" w:rsidP="00D4671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296 730,7</w:t>
            </w:r>
          </w:p>
        </w:tc>
        <w:tc>
          <w:tcPr>
            <w:tcW w:w="1701" w:type="dxa"/>
            <w:vAlign w:val="bottom"/>
          </w:tcPr>
          <w:p w:rsidR="00D46712" w:rsidRPr="001A3D3F" w:rsidRDefault="00D01036" w:rsidP="00D4671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302 561,7</w:t>
            </w:r>
          </w:p>
        </w:tc>
        <w:tc>
          <w:tcPr>
            <w:tcW w:w="1701" w:type="dxa"/>
            <w:vAlign w:val="bottom"/>
          </w:tcPr>
          <w:p w:rsidR="00D46712" w:rsidRPr="001A3D3F" w:rsidRDefault="00CC2B6C" w:rsidP="00D4671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102,0</w:t>
            </w:r>
          </w:p>
        </w:tc>
      </w:tr>
      <w:tr w:rsidR="00D46712" w:rsidRPr="001A3D3F" w:rsidTr="00216B15">
        <w:trPr>
          <w:trHeight w:hRule="exact" w:val="510"/>
        </w:trPr>
        <w:tc>
          <w:tcPr>
            <w:tcW w:w="2823" w:type="dxa"/>
            <w:vAlign w:val="center"/>
          </w:tcPr>
          <w:p w:rsidR="00D46712" w:rsidRPr="001A3D3F" w:rsidRDefault="00D46712" w:rsidP="00D467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Capital </w:t>
            </w:r>
          </w:p>
        </w:tc>
        <w:tc>
          <w:tcPr>
            <w:tcW w:w="1701" w:type="dxa"/>
            <w:vAlign w:val="bottom"/>
          </w:tcPr>
          <w:p w:rsidR="00D46712" w:rsidRPr="001A3D3F" w:rsidRDefault="00D46712" w:rsidP="00D4671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205 520,3</w:t>
            </w:r>
          </w:p>
        </w:tc>
        <w:tc>
          <w:tcPr>
            <w:tcW w:w="1701" w:type="dxa"/>
            <w:vAlign w:val="bottom"/>
          </w:tcPr>
          <w:p w:rsidR="00D46712" w:rsidRPr="001A3D3F" w:rsidRDefault="00D01036" w:rsidP="00D4671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201 375,7</w:t>
            </w:r>
          </w:p>
        </w:tc>
        <w:tc>
          <w:tcPr>
            <w:tcW w:w="1701" w:type="dxa"/>
            <w:vAlign w:val="bottom"/>
          </w:tcPr>
          <w:p w:rsidR="00D46712" w:rsidRPr="001A3D3F" w:rsidRDefault="00CC2B6C" w:rsidP="00D4671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98,0</w:t>
            </w:r>
          </w:p>
        </w:tc>
      </w:tr>
    </w:tbl>
    <w:p w:rsidR="00352DCE" w:rsidRDefault="00352DCE" w:rsidP="00B14D4E">
      <w:pPr>
        <w:pStyle w:val="LID"/>
        <w:spacing w:after="20"/>
        <w:rPr>
          <w:b w:val="0"/>
          <w:noProof w:val="0"/>
          <w:szCs w:val="22"/>
          <w:highlight w:val="yellow"/>
          <w:lang w:val="en-US"/>
        </w:rPr>
      </w:pPr>
    </w:p>
    <w:p w:rsidR="00981181" w:rsidRDefault="00EE1462" w:rsidP="00B14D4E">
      <w:pPr>
        <w:pStyle w:val="LID"/>
        <w:spacing w:after="20"/>
        <w:rPr>
          <w:b w:val="0"/>
          <w:noProof w:val="0"/>
          <w:szCs w:val="22"/>
          <w:lang w:val="en-US"/>
        </w:rPr>
      </w:pPr>
      <w:r w:rsidRPr="00B4574B">
        <w:rPr>
          <w:b w:val="0"/>
          <w:noProof w:val="0"/>
          <w:szCs w:val="22"/>
          <w:lang w:val="en-US"/>
        </w:rPr>
        <w:t>The value of investment</w:t>
      </w:r>
      <w:r w:rsidR="006F4481">
        <w:rPr>
          <w:b w:val="0"/>
          <w:noProof w:val="0"/>
          <w:szCs w:val="22"/>
          <w:lang w:val="en-US"/>
        </w:rPr>
        <w:t>s</w:t>
      </w:r>
      <w:r w:rsidRPr="00B4574B">
        <w:rPr>
          <w:b w:val="0"/>
          <w:noProof w:val="0"/>
          <w:szCs w:val="22"/>
          <w:lang w:val="en-US"/>
        </w:rPr>
        <w:t xml:space="preserve"> at the end of December </w:t>
      </w:r>
      <w:r w:rsidR="00C46D27" w:rsidRPr="00B4574B">
        <w:rPr>
          <w:b w:val="0"/>
          <w:noProof w:val="0"/>
          <w:szCs w:val="22"/>
          <w:lang w:val="en-US"/>
        </w:rPr>
        <w:t>2020 decreased to PLN 253,302.7</w:t>
      </w:r>
      <w:r w:rsidR="009116C6" w:rsidRPr="00B4574B">
        <w:rPr>
          <w:b w:val="0"/>
          <w:noProof w:val="0"/>
          <w:szCs w:val="22"/>
          <w:lang w:val="en-US"/>
        </w:rPr>
        <w:t xml:space="preserve"> million (by 10.2</w:t>
      </w:r>
      <w:r w:rsidRPr="00B4574B">
        <w:rPr>
          <w:b w:val="0"/>
          <w:noProof w:val="0"/>
          <w:szCs w:val="22"/>
          <w:lang w:val="en-US"/>
        </w:rPr>
        <w:t>%). Debt securities had the highest value, i</w:t>
      </w:r>
      <w:r w:rsidR="00375B23" w:rsidRPr="00B4574B">
        <w:rPr>
          <w:b w:val="0"/>
          <w:noProof w:val="0"/>
          <w:szCs w:val="22"/>
          <w:lang w:val="en-US"/>
        </w:rPr>
        <w:t>.</w:t>
      </w:r>
      <w:r w:rsidRPr="00B4574B">
        <w:rPr>
          <w:b w:val="0"/>
          <w:noProof w:val="0"/>
          <w:szCs w:val="22"/>
          <w:lang w:val="en-US"/>
        </w:rPr>
        <w:t>e</w:t>
      </w:r>
      <w:r w:rsidR="00375B23" w:rsidRPr="00B4574B">
        <w:rPr>
          <w:b w:val="0"/>
          <w:noProof w:val="0"/>
          <w:szCs w:val="22"/>
          <w:lang w:val="en-US"/>
        </w:rPr>
        <w:t>.</w:t>
      </w:r>
      <w:r w:rsidR="009116C6" w:rsidRPr="00B4574B">
        <w:rPr>
          <w:b w:val="0"/>
          <w:noProof w:val="0"/>
          <w:szCs w:val="22"/>
          <w:lang w:val="en-US"/>
        </w:rPr>
        <w:t xml:space="preserve"> PLN 150,031.4 million (an increase of 5.5</w:t>
      </w:r>
      <w:r w:rsidRPr="00B4574B">
        <w:rPr>
          <w:b w:val="0"/>
          <w:noProof w:val="0"/>
          <w:szCs w:val="22"/>
          <w:lang w:val="en-US"/>
        </w:rPr>
        <w:t>%). The value o</w:t>
      </w:r>
      <w:r w:rsidR="003238A5" w:rsidRPr="00B4574B">
        <w:rPr>
          <w:b w:val="0"/>
          <w:noProof w:val="0"/>
          <w:szCs w:val="22"/>
          <w:lang w:val="en-US"/>
        </w:rPr>
        <w:t>f the shares decreased to PLN 44,619.4</w:t>
      </w:r>
      <w:r w:rsidRPr="00B4574B">
        <w:rPr>
          <w:b w:val="0"/>
          <w:noProof w:val="0"/>
          <w:szCs w:val="22"/>
          <w:lang w:val="en-US"/>
        </w:rPr>
        <w:t xml:space="preserve"> million (by </w:t>
      </w:r>
      <w:r w:rsidR="003238A5" w:rsidRPr="00B4574B">
        <w:rPr>
          <w:b w:val="0"/>
          <w:noProof w:val="0"/>
          <w:szCs w:val="22"/>
          <w:lang w:val="en-US"/>
        </w:rPr>
        <w:t>40.6</w:t>
      </w:r>
      <w:r w:rsidRPr="00B4574B">
        <w:rPr>
          <w:b w:val="0"/>
          <w:noProof w:val="0"/>
          <w:szCs w:val="22"/>
          <w:lang w:val="en-US"/>
        </w:rPr>
        <w:t>%). Receivables amounted</w:t>
      </w:r>
      <w:r w:rsidR="006D3BC2" w:rsidRPr="00B4574B">
        <w:rPr>
          <w:b w:val="0"/>
          <w:noProof w:val="0"/>
          <w:szCs w:val="22"/>
          <w:lang w:val="en-US"/>
        </w:rPr>
        <w:t xml:space="preserve"> to PLN 15,142.7 million (decrease of 17.2</w:t>
      </w:r>
      <w:r w:rsidRPr="00B4574B">
        <w:rPr>
          <w:b w:val="0"/>
          <w:noProof w:val="0"/>
          <w:szCs w:val="22"/>
          <w:lang w:val="en-US"/>
        </w:rPr>
        <w:t>%). Investments in participation units issued by non-resident collective investment</w:t>
      </w:r>
      <w:r w:rsidR="007E7FED" w:rsidRPr="00B4574B">
        <w:rPr>
          <w:b w:val="0"/>
          <w:noProof w:val="0"/>
          <w:szCs w:val="22"/>
          <w:lang w:val="en-US"/>
        </w:rPr>
        <w:t xml:space="preserve"> institutions amounted to PLN 15,100.4 million. Shares in companies decreased to PLN 15,671.1 million (by 5.3%). Deposits decreased to PLN 970.8</w:t>
      </w:r>
      <w:r w:rsidRPr="00B4574B">
        <w:rPr>
          <w:b w:val="0"/>
          <w:noProof w:val="0"/>
          <w:szCs w:val="22"/>
          <w:lang w:val="en-US"/>
        </w:rPr>
        <w:t xml:space="preserve"> million </w:t>
      </w:r>
      <w:r w:rsidR="00B32849" w:rsidRPr="00B4574B">
        <w:rPr>
          <w:b w:val="0"/>
          <w:noProof w:val="0"/>
          <w:szCs w:val="22"/>
          <w:lang w:val="en-US"/>
        </w:rPr>
        <w:t>(by 76.1</w:t>
      </w:r>
      <w:r w:rsidRPr="00B4574B">
        <w:rPr>
          <w:b w:val="0"/>
          <w:noProof w:val="0"/>
          <w:szCs w:val="22"/>
          <w:lang w:val="en-US"/>
        </w:rPr>
        <w:t>%). The share of debt securities and s</w:t>
      </w:r>
      <w:r w:rsidR="00B32849" w:rsidRPr="00B4574B">
        <w:rPr>
          <w:b w:val="0"/>
          <w:noProof w:val="0"/>
          <w:szCs w:val="22"/>
          <w:lang w:val="en-US"/>
        </w:rPr>
        <w:t>hares in total investment was 59.2% and 17</w:t>
      </w:r>
      <w:r w:rsidRPr="00B4574B">
        <w:rPr>
          <w:b w:val="0"/>
          <w:noProof w:val="0"/>
          <w:szCs w:val="22"/>
          <w:lang w:val="en-US"/>
        </w:rPr>
        <w:t>.</w:t>
      </w:r>
      <w:r w:rsidR="00B32849" w:rsidRPr="00B4574B">
        <w:rPr>
          <w:b w:val="0"/>
          <w:noProof w:val="0"/>
          <w:szCs w:val="22"/>
          <w:lang w:val="en-US"/>
        </w:rPr>
        <w:t>6%, respectively, compared t</w:t>
      </w:r>
      <w:r w:rsidR="006F4481">
        <w:rPr>
          <w:b w:val="0"/>
          <w:noProof w:val="0"/>
          <w:szCs w:val="22"/>
          <w:lang w:val="en-US"/>
        </w:rPr>
        <w:t>o 50.4% and 26.6%,</w:t>
      </w:r>
      <w:r w:rsidR="00B32849" w:rsidRPr="00B4574B">
        <w:rPr>
          <w:b w:val="0"/>
          <w:noProof w:val="0"/>
          <w:szCs w:val="22"/>
          <w:lang w:val="en-US"/>
        </w:rPr>
        <w:t xml:space="preserve"> in 2019</w:t>
      </w:r>
      <w:r w:rsidRPr="00B4574B">
        <w:rPr>
          <w:b w:val="0"/>
          <w:noProof w:val="0"/>
          <w:szCs w:val="22"/>
          <w:lang w:val="en-US"/>
        </w:rPr>
        <w:t>.</w:t>
      </w:r>
    </w:p>
    <w:p w:rsidR="00352DCE" w:rsidRDefault="00352DCE" w:rsidP="00B14D4E">
      <w:pPr>
        <w:pStyle w:val="LID"/>
        <w:spacing w:after="20"/>
        <w:rPr>
          <w:b w:val="0"/>
          <w:noProof w:val="0"/>
          <w:szCs w:val="22"/>
          <w:lang w:val="en-US"/>
        </w:rPr>
      </w:pPr>
    </w:p>
    <w:p w:rsidR="00352DCE" w:rsidRDefault="00352DCE" w:rsidP="00B14D4E">
      <w:pPr>
        <w:pStyle w:val="LID"/>
        <w:spacing w:after="20"/>
        <w:rPr>
          <w:b w:val="0"/>
          <w:noProof w:val="0"/>
          <w:szCs w:val="22"/>
          <w:lang w:val="en-US"/>
        </w:rPr>
      </w:pPr>
    </w:p>
    <w:p w:rsidR="00352DCE" w:rsidRDefault="00352DCE" w:rsidP="00B14D4E">
      <w:pPr>
        <w:pStyle w:val="LID"/>
        <w:spacing w:after="20"/>
        <w:rPr>
          <w:b w:val="0"/>
          <w:noProof w:val="0"/>
          <w:szCs w:val="22"/>
          <w:lang w:val="en-US"/>
        </w:rPr>
      </w:pPr>
    </w:p>
    <w:p w:rsidR="00352DCE" w:rsidRDefault="00352DCE" w:rsidP="00B14D4E">
      <w:pPr>
        <w:pStyle w:val="LID"/>
        <w:spacing w:after="20"/>
        <w:rPr>
          <w:b w:val="0"/>
          <w:noProof w:val="0"/>
          <w:szCs w:val="22"/>
          <w:lang w:val="en-US"/>
        </w:rPr>
      </w:pPr>
    </w:p>
    <w:p w:rsidR="00352DCE" w:rsidRDefault="00352DCE" w:rsidP="00B14D4E">
      <w:pPr>
        <w:pStyle w:val="LID"/>
        <w:spacing w:after="20"/>
        <w:rPr>
          <w:b w:val="0"/>
          <w:noProof w:val="0"/>
          <w:szCs w:val="22"/>
          <w:lang w:val="en-US"/>
        </w:rPr>
      </w:pPr>
    </w:p>
    <w:p w:rsidR="00352DCE" w:rsidRDefault="00352DCE" w:rsidP="00B14D4E">
      <w:pPr>
        <w:pStyle w:val="LID"/>
        <w:spacing w:after="20"/>
        <w:rPr>
          <w:b w:val="0"/>
          <w:noProof w:val="0"/>
          <w:szCs w:val="22"/>
          <w:lang w:val="en-US"/>
        </w:rPr>
      </w:pPr>
    </w:p>
    <w:p w:rsidR="00352DCE" w:rsidRDefault="00352DCE" w:rsidP="00B14D4E">
      <w:pPr>
        <w:pStyle w:val="LID"/>
        <w:spacing w:after="20"/>
        <w:rPr>
          <w:b w:val="0"/>
          <w:noProof w:val="0"/>
          <w:szCs w:val="22"/>
          <w:lang w:val="en-US"/>
        </w:rPr>
      </w:pPr>
    </w:p>
    <w:p w:rsidR="00352DCE" w:rsidRDefault="00352DCE" w:rsidP="00B14D4E">
      <w:pPr>
        <w:pStyle w:val="LID"/>
        <w:spacing w:after="20"/>
        <w:rPr>
          <w:b w:val="0"/>
          <w:noProof w:val="0"/>
          <w:szCs w:val="22"/>
          <w:lang w:val="en-US"/>
        </w:rPr>
      </w:pPr>
    </w:p>
    <w:p w:rsidR="00352DCE" w:rsidRDefault="00352DCE" w:rsidP="00B14D4E">
      <w:pPr>
        <w:pStyle w:val="LID"/>
        <w:spacing w:after="20"/>
        <w:rPr>
          <w:b w:val="0"/>
          <w:noProof w:val="0"/>
          <w:szCs w:val="22"/>
          <w:lang w:val="en-US"/>
        </w:rPr>
      </w:pPr>
    </w:p>
    <w:p w:rsidR="00352DCE" w:rsidRDefault="00352DCE" w:rsidP="00B14D4E">
      <w:pPr>
        <w:pStyle w:val="LID"/>
        <w:spacing w:after="20"/>
        <w:rPr>
          <w:b w:val="0"/>
          <w:noProof w:val="0"/>
          <w:szCs w:val="22"/>
          <w:lang w:val="en-US"/>
        </w:rPr>
      </w:pPr>
    </w:p>
    <w:p w:rsidR="00352DCE" w:rsidRDefault="00352DCE" w:rsidP="00B14D4E">
      <w:pPr>
        <w:pStyle w:val="LID"/>
        <w:spacing w:after="20"/>
        <w:rPr>
          <w:b w:val="0"/>
          <w:noProof w:val="0"/>
          <w:szCs w:val="22"/>
          <w:lang w:val="en-US"/>
        </w:rPr>
      </w:pPr>
    </w:p>
    <w:p w:rsidR="005C57EB" w:rsidRPr="003B3875" w:rsidRDefault="005C57EB" w:rsidP="005C57EB">
      <w:pPr>
        <w:rPr>
          <w:b/>
          <w:spacing w:val="-2"/>
          <w:sz w:val="18"/>
          <w:shd w:val="clear" w:color="auto" w:fill="FFFFFF"/>
          <w:lang w:val="en-US"/>
        </w:rPr>
      </w:pPr>
      <w:r w:rsidRPr="003B3875">
        <w:rPr>
          <w:b/>
          <w:spacing w:val="-2"/>
          <w:sz w:val="18"/>
          <w:shd w:val="clear" w:color="auto" w:fill="FFFFFF"/>
          <w:lang w:val="en-US"/>
        </w:rPr>
        <w:t>Table 3. Value of  investment of  investment</w:t>
      </w:r>
      <w:r w:rsidR="001A1C55">
        <w:rPr>
          <w:b/>
          <w:spacing w:val="-2"/>
          <w:sz w:val="18"/>
          <w:shd w:val="clear" w:color="auto" w:fill="FFFFFF"/>
          <w:lang w:val="en-US"/>
        </w:rPr>
        <w:t>s</w:t>
      </w:r>
      <w:r w:rsidRPr="003B3875">
        <w:rPr>
          <w:b/>
          <w:spacing w:val="-2"/>
          <w:sz w:val="18"/>
          <w:shd w:val="clear" w:color="auto" w:fill="FFFFFF"/>
          <w:lang w:val="en-US"/>
        </w:rPr>
        <w:t xml:space="preserve"> funds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5C57EB" w:rsidRPr="001A3D3F" w:rsidTr="00216B15">
        <w:trPr>
          <w:trHeight w:val="57"/>
        </w:trPr>
        <w:tc>
          <w:tcPr>
            <w:tcW w:w="2823" w:type="dxa"/>
            <w:vMerge w:val="restart"/>
            <w:vAlign w:val="center"/>
          </w:tcPr>
          <w:p w:rsidR="005C57EB" w:rsidRPr="001A3D3F" w:rsidRDefault="00BE4CE8" w:rsidP="00216B1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1701" w:type="dxa"/>
            <w:vAlign w:val="center"/>
          </w:tcPr>
          <w:p w:rsidR="005C57EB" w:rsidRPr="001A3D3F" w:rsidRDefault="005C57EB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9F7B6D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vAlign w:val="center"/>
          </w:tcPr>
          <w:p w:rsidR="005C57EB" w:rsidRPr="001A3D3F" w:rsidRDefault="009F7B6D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701" w:type="dxa"/>
            <w:vMerge w:val="restart"/>
            <w:vAlign w:val="center"/>
          </w:tcPr>
          <w:p w:rsidR="005C57EB" w:rsidRPr="001A3D3F" w:rsidRDefault="009F7B6D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2019</w:t>
            </w:r>
            <w:r w:rsidR="005C57EB"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5C57EB" w:rsidRPr="001A3D3F" w:rsidTr="00216B15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5C57EB" w:rsidRPr="001A3D3F" w:rsidRDefault="005C57EB" w:rsidP="00216B15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5C57EB" w:rsidRPr="001A3D3F" w:rsidRDefault="00BE4CE8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in milion PLN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5C57EB" w:rsidRPr="001A3D3F" w:rsidRDefault="005C57EB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5C57EB" w:rsidRPr="001A3D3F" w:rsidTr="00216B15">
        <w:trPr>
          <w:trHeight w:hRule="exact" w:val="510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5C57EB" w:rsidRPr="001A3D3F" w:rsidRDefault="009677CC" w:rsidP="00216B1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Investment</w:t>
            </w:r>
            <w:r w:rsidR="001A1C55">
              <w:rPr>
                <w:sz w:val="16"/>
                <w:szCs w:val="16"/>
              </w:rPr>
              <w:t>s</w:t>
            </w:r>
            <w:proofErr w:type="spellEnd"/>
            <w:r w:rsidR="005C57EB" w:rsidRPr="001A3D3F">
              <w:rPr>
                <w:sz w:val="16"/>
                <w:szCs w:val="16"/>
              </w:rPr>
              <w:t>: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C57EB" w:rsidRPr="001A3D3F" w:rsidRDefault="009F7B6D" w:rsidP="00216B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281 987,4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C57EB" w:rsidRPr="001A3D3F" w:rsidRDefault="00010197" w:rsidP="00216B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253 302,7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C57EB" w:rsidRPr="001A3D3F" w:rsidRDefault="00010197" w:rsidP="00216B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89,8</w:t>
            </w:r>
          </w:p>
        </w:tc>
      </w:tr>
      <w:tr w:rsidR="00DB2076" w:rsidRPr="001A3D3F" w:rsidTr="00216B15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DB2076" w:rsidRPr="001A3D3F" w:rsidRDefault="00DB2076" w:rsidP="00DB2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proofErr w:type="spellStart"/>
            <w:r>
              <w:rPr>
                <w:sz w:val="16"/>
                <w:szCs w:val="16"/>
              </w:rPr>
              <w:t>Shares</w:t>
            </w:r>
            <w:proofErr w:type="spellEnd"/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DB2076" w:rsidRPr="001A3D3F" w:rsidRDefault="00DB2076" w:rsidP="00DB207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75 082,3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DB2076" w:rsidRPr="001A3D3F" w:rsidRDefault="00C57E18" w:rsidP="00DB207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44 619,4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DB2076" w:rsidRPr="001A3D3F" w:rsidRDefault="00E94F93" w:rsidP="00DB207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59,4</w:t>
            </w:r>
          </w:p>
        </w:tc>
      </w:tr>
      <w:tr w:rsidR="00DB2076" w:rsidRPr="001A3D3F" w:rsidTr="00216B15">
        <w:trPr>
          <w:trHeight w:hRule="exact" w:val="510"/>
        </w:trPr>
        <w:tc>
          <w:tcPr>
            <w:tcW w:w="2823" w:type="dxa"/>
            <w:vAlign w:val="center"/>
          </w:tcPr>
          <w:p w:rsidR="00DB2076" w:rsidRPr="001A3D3F" w:rsidRDefault="00DB2076" w:rsidP="00DB2076">
            <w:pPr>
              <w:ind w:left="176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Debt</w:t>
            </w:r>
            <w:proofErr w:type="spellEnd"/>
            <w:r>
              <w:rPr>
                <w:sz w:val="16"/>
                <w:szCs w:val="16"/>
              </w:rPr>
              <w:t xml:space="preserve"> securities</w:t>
            </w:r>
          </w:p>
        </w:tc>
        <w:tc>
          <w:tcPr>
            <w:tcW w:w="1701" w:type="dxa"/>
            <w:vAlign w:val="bottom"/>
          </w:tcPr>
          <w:p w:rsidR="00DB2076" w:rsidRPr="001A3D3F" w:rsidRDefault="00DB2076" w:rsidP="00DB207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142 237,6</w:t>
            </w:r>
          </w:p>
        </w:tc>
        <w:tc>
          <w:tcPr>
            <w:tcW w:w="1701" w:type="dxa"/>
            <w:vAlign w:val="bottom"/>
          </w:tcPr>
          <w:p w:rsidR="00DB2076" w:rsidRPr="001A3D3F" w:rsidRDefault="00C57E18" w:rsidP="00DB207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150 031,4</w:t>
            </w:r>
          </w:p>
        </w:tc>
        <w:tc>
          <w:tcPr>
            <w:tcW w:w="1701" w:type="dxa"/>
            <w:vAlign w:val="bottom"/>
          </w:tcPr>
          <w:p w:rsidR="00DB2076" w:rsidRPr="001A3D3F" w:rsidRDefault="00E94F93" w:rsidP="00DB207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105,5</w:t>
            </w:r>
          </w:p>
        </w:tc>
      </w:tr>
      <w:tr w:rsidR="00DB2076" w:rsidRPr="001A3D3F" w:rsidTr="00216B15">
        <w:trPr>
          <w:trHeight w:hRule="exact" w:val="510"/>
        </w:trPr>
        <w:tc>
          <w:tcPr>
            <w:tcW w:w="2823" w:type="dxa"/>
            <w:vAlign w:val="center"/>
          </w:tcPr>
          <w:p w:rsidR="00DB2076" w:rsidRPr="001A3D3F" w:rsidRDefault="00DB2076" w:rsidP="00DB2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proofErr w:type="spellStart"/>
            <w:r>
              <w:rPr>
                <w:sz w:val="16"/>
                <w:szCs w:val="16"/>
              </w:rPr>
              <w:t>Receivables</w:t>
            </w:r>
            <w:proofErr w:type="spellEnd"/>
          </w:p>
        </w:tc>
        <w:tc>
          <w:tcPr>
            <w:tcW w:w="1701" w:type="dxa"/>
            <w:vAlign w:val="bottom"/>
          </w:tcPr>
          <w:p w:rsidR="00DB2076" w:rsidRPr="001A3D3F" w:rsidRDefault="00DB2076" w:rsidP="00DB207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18 279,3</w:t>
            </w:r>
          </w:p>
        </w:tc>
        <w:tc>
          <w:tcPr>
            <w:tcW w:w="1701" w:type="dxa"/>
            <w:vAlign w:val="bottom"/>
          </w:tcPr>
          <w:p w:rsidR="00DB2076" w:rsidRPr="001A3D3F" w:rsidRDefault="00C57E18" w:rsidP="00DB207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15 142,7</w:t>
            </w:r>
          </w:p>
        </w:tc>
        <w:tc>
          <w:tcPr>
            <w:tcW w:w="1701" w:type="dxa"/>
            <w:vAlign w:val="bottom"/>
          </w:tcPr>
          <w:p w:rsidR="00DB2076" w:rsidRPr="001A3D3F" w:rsidRDefault="00E94F93" w:rsidP="00DB207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82,8</w:t>
            </w:r>
          </w:p>
        </w:tc>
      </w:tr>
      <w:tr w:rsidR="00DB2076" w:rsidRPr="001A3D3F" w:rsidTr="00461CA1">
        <w:trPr>
          <w:trHeight w:hRule="exact" w:val="1050"/>
        </w:trPr>
        <w:tc>
          <w:tcPr>
            <w:tcW w:w="2823" w:type="dxa"/>
            <w:vAlign w:val="center"/>
          </w:tcPr>
          <w:p w:rsidR="00DB2076" w:rsidRPr="003B3875" w:rsidRDefault="00DB2076" w:rsidP="00DB2076">
            <w:pPr>
              <w:ind w:left="176"/>
              <w:rPr>
                <w:sz w:val="16"/>
                <w:szCs w:val="16"/>
                <w:lang w:val="en-US"/>
              </w:rPr>
            </w:pPr>
            <w:r w:rsidRPr="003B3875">
              <w:rPr>
                <w:sz w:val="16"/>
                <w:szCs w:val="16"/>
                <w:lang w:val="en-US"/>
              </w:rPr>
              <w:t>Shares issued by mutual investment institutions established abroad</w:t>
            </w:r>
          </w:p>
        </w:tc>
        <w:tc>
          <w:tcPr>
            <w:tcW w:w="1701" w:type="dxa"/>
            <w:vAlign w:val="bottom"/>
          </w:tcPr>
          <w:p w:rsidR="00DB2076" w:rsidRPr="001A3D3F" w:rsidRDefault="00DB2076" w:rsidP="00DB207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13 229,9</w:t>
            </w:r>
          </w:p>
        </w:tc>
        <w:tc>
          <w:tcPr>
            <w:tcW w:w="1701" w:type="dxa"/>
            <w:vAlign w:val="bottom"/>
          </w:tcPr>
          <w:p w:rsidR="00DB2076" w:rsidRPr="001A3D3F" w:rsidRDefault="00C57E18" w:rsidP="00DB207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15 100,4</w:t>
            </w:r>
          </w:p>
        </w:tc>
        <w:tc>
          <w:tcPr>
            <w:tcW w:w="1701" w:type="dxa"/>
            <w:vAlign w:val="bottom"/>
          </w:tcPr>
          <w:p w:rsidR="00DB2076" w:rsidRPr="001A3D3F" w:rsidRDefault="00E94F93" w:rsidP="00DB207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114,1</w:t>
            </w:r>
          </w:p>
        </w:tc>
      </w:tr>
      <w:tr w:rsidR="00DB2076" w:rsidRPr="001A3D3F" w:rsidTr="00216B15">
        <w:trPr>
          <w:trHeight w:hRule="exact" w:val="510"/>
        </w:trPr>
        <w:tc>
          <w:tcPr>
            <w:tcW w:w="2823" w:type="dxa"/>
            <w:vAlign w:val="center"/>
          </w:tcPr>
          <w:p w:rsidR="00DB2076" w:rsidRPr="001A3D3F" w:rsidRDefault="00DB2076" w:rsidP="00DB2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proofErr w:type="spellStart"/>
            <w:r>
              <w:rPr>
                <w:sz w:val="16"/>
                <w:szCs w:val="16"/>
              </w:rPr>
              <w:t>Deposits</w:t>
            </w:r>
            <w:proofErr w:type="spellEnd"/>
          </w:p>
        </w:tc>
        <w:tc>
          <w:tcPr>
            <w:tcW w:w="1701" w:type="dxa"/>
            <w:vAlign w:val="bottom"/>
          </w:tcPr>
          <w:p w:rsidR="00DB2076" w:rsidRPr="001A3D3F" w:rsidRDefault="00DB2076" w:rsidP="00DB207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4 069,9</w:t>
            </w:r>
          </w:p>
        </w:tc>
        <w:tc>
          <w:tcPr>
            <w:tcW w:w="1701" w:type="dxa"/>
            <w:vAlign w:val="bottom"/>
          </w:tcPr>
          <w:p w:rsidR="00DB2076" w:rsidRPr="001A3D3F" w:rsidRDefault="00C57E18" w:rsidP="00DB207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970,8</w:t>
            </w:r>
          </w:p>
        </w:tc>
        <w:tc>
          <w:tcPr>
            <w:tcW w:w="1701" w:type="dxa"/>
            <w:vAlign w:val="bottom"/>
          </w:tcPr>
          <w:p w:rsidR="00DB2076" w:rsidRPr="001A3D3F" w:rsidRDefault="00E94F93" w:rsidP="00DB207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23,9</w:t>
            </w:r>
          </w:p>
        </w:tc>
      </w:tr>
    </w:tbl>
    <w:p w:rsidR="00F24C51" w:rsidRPr="003B3875" w:rsidRDefault="00E4582B" w:rsidP="00352DCE">
      <w:pPr>
        <w:pStyle w:val="LID"/>
        <w:spacing w:after="20"/>
        <w:rPr>
          <w:lang w:val="en-US"/>
        </w:rPr>
      </w:pPr>
      <w:r>
        <w:rPr>
          <w:b w:val="0"/>
          <w:spacing w:val="-2"/>
          <w:highlight w:val="yellow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>
                <wp:simplePos x="0" y="0"/>
                <wp:positionH relativeFrom="column">
                  <wp:posOffset>5231130</wp:posOffset>
                </wp:positionH>
                <wp:positionV relativeFrom="paragraph">
                  <wp:posOffset>3917950</wp:posOffset>
                </wp:positionV>
                <wp:extent cx="1725295" cy="830580"/>
                <wp:effectExtent l="0" t="0" r="0" b="0"/>
                <wp:wrapTight wrapText="bothSides">
                  <wp:wrapPolygon edited="0">
                    <wp:start x="715" y="0"/>
                    <wp:lineTo x="715" y="20807"/>
                    <wp:lineTo x="20749" y="20807"/>
                    <wp:lineTo x="20749" y="0"/>
                    <wp:lineTo x="715" y="0"/>
                  </wp:wrapPolygon>
                </wp:wrapTight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C51" w:rsidRPr="00D616D2" w:rsidRDefault="00E4582B" w:rsidP="00F24C5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share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of securities in the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structure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investments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increased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from 50.4% to 59.2%.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0" o:spid="_x0000_s1030" type="#_x0000_t202" style="position:absolute;margin-left:411.9pt;margin-top:308.5pt;width:135.85pt;height:65.4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" filled="f" stroked="f">
                <v:textbox>
                  <w:txbxContent>
                    <w:p w:rsidR="00F24C51" w:rsidRPr="00D616D2" w:rsidRDefault="00E4582B" w:rsidP="00F24C5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The </w:t>
                      </w:r>
                      <w:proofErr w:type="spellStart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share</w:t>
                      </w:r>
                      <w:proofErr w:type="spellEnd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of securities in the </w:t>
                      </w:r>
                      <w:proofErr w:type="spellStart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structure</w:t>
                      </w:r>
                      <w:proofErr w:type="spellEnd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investments</w:t>
                      </w:r>
                      <w:proofErr w:type="spellEnd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increased</w:t>
                      </w:r>
                      <w:proofErr w:type="spellEnd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from 50.4% to 59.2%.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B26EC">
        <w:rPr>
          <w:b w:val="0"/>
          <w:noProof w:val="0"/>
          <w:szCs w:val="22"/>
          <w:lang w:val="en-US"/>
        </w:rPr>
        <w:t>The investment income of</w:t>
      </w:r>
      <w:r w:rsidR="00981181" w:rsidRPr="00311B97">
        <w:rPr>
          <w:b w:val="0"/>
          <w:noProof w:val="0"/>
          <w:szCs w:val="22"/>
          <w:lang w:val="en-US"/>
        </w:rPr>
        <w:t xml:space="preserve"> investment </w:t>
      </w:r>
      <w:r w:rsidR="007A16D2" w:rsidRPr="00311B97">
        <w:rPr>
          <w:b w:val="0"/>
          <w:noProof w:val="0"/>
          <w:szCs w:val="22"/>
          <w:lang w:val="en-US"/>
        </w:rPr>
        <w:t>funds in 2020 amounted to PLN 8,221.7 million (11.7</w:t>
      </w:r>
      <w:r w:rsidR="00981181" w:rsidRPr="00311B97">
        <w:rPr>
          <w:b w:val="0"/>
          <w:noProof w:val="0"/>
          <w:szCs w:val="22"/>
          <w:lang w:val="en-US"/>
        </w:rPr>
        <w:t xml:space="preserve">% less than in the </w:t>
      </w:r>
      <w:r w:rsidR="00AB26EC">
        <w:rPr>
          <w:b w:val="0"/>
          <w:noProof w:val="0"/>
          <w:szCs w:val="22"/>
          <w:lang w:val="en-US"/>
        </w:rPr>
        <w:t>previous year). The</w:t>
      </w:r>
      <w:r w:rsidR="00981181" w:rsidRPr="00311B97">
        <w:rPr>
          <w:b w:val="0"/>
          <w:noProof w:val="0"/>
          <w:szCs w:val="22"/>
          <w:lang w:val="en-US"/>
        </w:rPr>
        <w:t xml:space="preserve"> main item was interest income, which amounted to PLN</w:t>
      </w:r>
      <w:r w:rsidR="00296C3D">
        <w:rPr>
          <w:b w:val="0"/>
          <w:noProof w:val="0"/>
          <w:szCs w:val="22"/>
          <w:lang w:val="en-US"/>
        </w:rPr>
        <w:t xml:space="preserve"> 4,072.0 million and accoun</w:t>
      </w:r>
      <w:r w:rsidR="005623C4" w:rsidRPr="00311B97">
        <w:rPr>
          <w:b w:val="0"/>
          <w:noProof w:val="0"/>
          <w:szCs w:val="22"/>
          <w:lang w:val="en-US"/>
        </w:rPr>
        <w:t>ted</w:t>
      </w:r>
      <w:r w:rsidR="00296C3D">
        <w:rPr>
          <w:b w:val="0"/>
          <w:noProof w:val="0"/>
          <w:szCs w:val="22"/>
          <w:lang w:val="en-US"/>
        </w:rPr>
        <w:t xml:space="preserve"> for</w:t>
      </w:r>
      <w:r w:rsidR="005623C4" w:rsidRPr="00311B97">
        <w:rPr>
          <w:b w:val="0"/>
          <w:noProof w:val="0"/>
          <w:szCs w:val="22"/>
          <w:lang w:val="en-US"/>
        </w:rPr>
        <w:t xml:space="preserve"> 49.5</w:t>
      </w:r>
      <w:r w:rsidR="00981181" w:rsidRPr="00311B97">
        <w:rPr>
          <w:b w:val="0"/>
          <w:noProof w:val="0"/>
          <w:szCs w:val="22"/>
          <w:lang w:val="en-US"/>
        </w:rPr>
        <w:t>% of investment income. Dividends and other profit shares amounted to PLN 1,</w:t>
      </w:r>
      <w:r w:rsidR="005623C4" w:rsidRPr="00311B97">
        <w:rPr>
          <w:b w:val="0"/>
          <w:noProof w:val="0"/>
          <w:szCs w:val="22"/>
          <w:lang w:val="en-US"/>
        </w:rPr>
        <w:t>109.0 million (PLN 1,544.3</w:t>
      </w:r>
      <w:r w:rsidR="00981181" w:rsidRPr="00311B97">
        <w:rPr>
          <w:b w:val="0"/>
          <w:noProof w:val="0"/>
          <w:szCs w:val="22"/>
          <w:lang w:val="en-US"/>
        </w:rPr>
        <w:t xml:space="preserve"> million in the previous year). Remuneration for fund management</w:t>
      </w:r>
      <w:r w:rsidR="00FD798D" w:rsidRPr="00311B97">
        <w:rPr>
          <w:b w:val="0"/>
          <w:noProof w:val="0"/>
          <w:szCs w:val="22"/>
          <w:lang w:val="en-US"/>
        </w:rPr>
        <w:t xml:space="preserve"> companies amounted to PLN 3,317.9 million (by 2.0</w:t>
      </w:r>
      <w:r w:rsidR="00981181" w:rsidRPr="00311B97">
        <w:rPr>
          <w:b w:val="0"/>
          <w:noProof w:val="0"/>
          <w:szCs w:val="22"/>
          <w:lang w:val="en-US"/>
        </w:rPr>
        <w:t>% less than in the previous year). Net costs of investment funds, after taking into account the costs covered by the</w:t>
      </w:r>
      <w:r w:rsidR="006D767D" w:rsidRPr="00311B97">
        <w:rPr>
          <w:b w:val="0"/>
          <w:noProof w:val="0"/>
          <w:szCs w:val="22"/>
          <w:lang w:val="en-US"/>
        </w:rPr>
        <w:t xml:space="preserve"> fund, amounted to PLN 6,237.4 million and were higher by 14.9</w:t>
      </w:r>
      <w:r w:rsidR="00981181" w:rsidRPr="00311B97">
        <w:rPr>
          <w:b w:val="0"/>
          <w:noProof w:val="0"/>
          <w:szCs w:val="22"/>
          <w:lang w:val="en-US"/>
        </w:rPr>
        <w:t>% than a year earlier. In</w:t>
      </w:r>
      <w:r w:rsidR="00CA6F63" w:rsidRPr="00311B97">
        <w:rPr>
          <w:b w:val="0"/>
          <w:noProof w:val="0"/>
          <w:szCs w:val="22"/>
          <w:lang w:val="en-US"/>
        </w:rPr>
        <w:t xml:space="preserve"> 2020</w:t>
      </w:r>
      <w:r w:rsidR="00981181" w:rsidRPr="00311B97">
        <w:rPr>
          <w:b w:val="0"/>
          <w:noProof w:val="0"/>
          <w:szCs w:val="22"/>
          <w:lang w:val="en-US"/>
        </w:rPr>
        <w:t>, investment funds showed a positive result on op</w:t>
      </w:r>
      <w:r w:rsidR="00CA6F63" w:rsidRPr="00311B97">
        <w:rPr>
          <w:b w:val="0"/>
          <w:noProof w:val="0"/>
          <w:szCs w:val="22"/>
          <w:lang w:val="en-US"/>
        </w:rPr>
        <w:t>erations in the amount of PLN 9,968.2 million (25.5% less than in 2019</w:t>
      </w:r>
      <w:r w:rsidR="00981181" w:rsidRPr="00311B97">
        <w:rPr>
          <w:b w:val="0"/>
          <w:noProof w:val="0"/>
          <w:szCs w:val="22"/>
          <w:lang w:val="en-US"/>
        </w:rPr>
        <w:t>), including the result on operations of closed-end funds of</w:t>
      </w:r>
      <w:r w:rsidR="004F5EE6" w:rsidRPr="00311B97">
        <w:rPr>
          <w:b w:val="0"/>
          <w:noProof w:val="0"/>
          <w:szCs w:val="22"/>
          <w:lang w:val="en-US"/>
        </w:rPr>
        <w:t xml:space="preserve"> PLN 2,948.1</w:t>
      </w:r>
      <w:r w:rsidR="00981181" w:rsidRPr="00311B97">
        <w:rPr>
          <w:b w:val="0"/>
          <w:noProof w:val="0"/>
          <w:szCs w:val="22"/>
          <w:lang w:val="en-US"/>
        </w:rPr>
        <w:t xml:space="preserve"> million (</w:t>
      </w:r>
      <w:r w:rsidR="00B3634C" w:rsidRPr="00311B97">
        <w:rPr>
          <w:b w:val="0"/>
          <w:noProof w:val="0"/>
          <w:szCs w:val="22"/>
          <w:lang w:val="en-US"/>
        </w:rPr>
        <w:t xml:space="preserve">PLN </w:t>
      </w:r>
      <w:r w:rsidR="004F5EE6" w:rsidRPr="00311B97">
        <w:rPr>
          <w:b w:val="0"/>
          <w:noProof w:val="0"/>
          <w:szCs w:val="22"/>
          <w:lang w:val="en-US"/>
        </w:rPr>
        <w:t>7,185.8</w:t>
      </w:r>
      <w:r w:rsidR="00981181" w:rsidRPr="00311B97">
        <w:rPr>
          <w:b w:val="0"/>
          <w:noProof w:val="0"/>
          <w:szCs w:val="22"/>
          <w:lang w:val="en-US"/>
        </w:rPr>
        <w:t xml:space="preserve"> million in </w:t>
      </w:r>
      <w:r w:rsidR="00B3634C" w:rsidRPr="00311B97">
        <w:rPr>
          <w:b w:val="0"/>
          <w:noProof w:val="0"/>
          <w:szCs w:val="22"/>
          <w:lang w:val="en-US"/>
        </w:rPr>
        <w:t>the previous year</w:t>
      </w:r>
      <w:r w:rsidR="004F5EE6" w:rsidRPr="00311B97">
        <w:rPr>
          <w:b w:val="0"/>
          <w:noProof w:val="0"/>
          <w:szCs w:val="22"/>
          <w:lang w:val="en-US"/>
        </w:rPr>
        <w:t>), open-end funds PLN 4,964.9</w:t>
      </w:r>
      <w:r w:rsidR="00961EE3" w:rsidRPr="00311B97">
        <w:rPr>
          <w:b w:val="0"/>
          <w:noProof w:val="0"/>
          <w:szCs w:val="22"/>
          <w:lang w:val="en-US"/>
        </w:rPr>
        <w:t xml:space="preserve"> million (PLN 4,160.1</w:t>
      </w:r>
      <w:r w:rsidR="00981181" w:rsidRPr="00311B97">
        <w:rPr>
          <w:b w:val="0"/>
          <w:noProof w:val="0"/>
          <w:szCs w:val="22"/>
          <w:lang w:val="en-US"/>
        </w:rPr>
        <w:t xml:space="preserve"> million in the previous year) and </w:t>
      </w:r>
      <w:proofErr w:type="spellStart"/>
      <w:r w:rsidR="00981181" w:rsidRPr="00311B97">
        <w:rPr>
          <w:b w:val="0"/>
          <w:noProof w:val="0"/>
          <w:szCs w:val="22"/>
          <w:lang w:val="en-US"/>
        </w:rPr>
        <w:t>spec</w:t>
      </w:r>
      <w:r w:rsidR="00961EE3" w:rsidRPr="00311B97">
        <w:rPr>
          <w:b w:val="0"/>
          <w:noProof w:val="0"/>
          <w:szCs w:val="22"/>
          <w:lang w:val="en-US"/>
        </w:rPr>
        <w:t>ialised</w:t>
      </w:r>
      <w:proofErr w:type="spellEnd"/>
      <w:r w:rsidR="00961EE3" w:rsidRPr="00311B97">
        <w:rPr>
          <w:b w:val="0"/>
          <w:noProof w:val="0"/>
          <w:szCs w:val="22"/>
          <w:lang w:val="en-US"/>
        </w:rPr>
        <w:t xml:space="preserve"> open-end funds PLN 2,055.2 million (PLN 2,033.5</w:t>
      </w:r>
      <w:r w:rsidR="00981181" w:rsidRPr="00311B97">
        <w:rPr>
          <w:b w:val="0"/>
          <w:noProof w:val="0"/>
          <w:szCs w:val="22"/>
          <w:lang w:val="en-US"/>
        </w:rPr>
        <w:t xml:space="preserve"> m</w:t>
      </w:r>
      <w:r w:rsidR="00961EE3" w:rsidRPr="00311B97">
        <w:rPr>
          <w:b w:val="0"/>
          <w:noProof w:val="0"/>
          <w:szCs w:val="22"/>
          <w:lang w:val="en-US"/>
        </w:rPr>
        <w:t>illion at the end of 2019</w:t>
      </w:r>
      <w:r w:rsidR="00981181" w:rsidRPr="00311B97">
        <w:rPr>
          <w:b w:val="0"/>
          <w:noProof w:val="0"/>
          <w:szCs w:val="22"/>
          <w:lang w:val="en-US"/>
        </w:rPr>
        <w:t>).</w:t>
      </w:r>
      <w:r w:rsidR="00F24C51" w:rsidRPr="003B3875">
        <w:rPr>
          <w:lang w:val="en-US"/>
        </w:rPr>
        <w:t xml:space="preserve"> </w:t>
      </w:r>
    </w:p>
    <w:p w:rsidR="00F24C51" w:rsidRPr="003B3875" w:rsidRDefault="00F24C51" w:rsidP="00F24C51">
      <w:pPr>
        <w:spacing w:after="20"/>
        <w:jc w:val="both"/>
        <w:rPr>
          <w:lang w:val="en-US" w:eastAsia="pl-PL"/>
        </w:rPr>
      </w:pPr>
      <w:r w:rsidRPr="003B3875">
        <w:rPr>
          <w:b/>
          <w:spacing w:val="-2"/>
          <w:sz w:val="18"/>
          <w:shd w:val="clear" w:color="auto" w:fill="FFFFFF"/>
          <w:lang w:val="en-US"/>
        </w:rPr>
        <w:t>Table 4. Selected</w:t>
      </w:r>
      <w:r w:rsidR="002055B8" w:rsidRPr="003B3875">
        <w:rPr>
          <w:b/>
          <w:spacing w:val="-2"/>
          <w:sz w:val="18"/>
          <w:shd w:val="clear" w:color="auto" w:fill="FFFFFF"/>
          <w:lang w:val="en-US"/>
        </w:rPr>
        <w:t xml:space="preserve"> items from the profit and loss account</w:t>
      </w:r>
      <w:r w:rsidRPr="003B3875">
        <w:rPr>
          <w:b/>
          <w:spacing w:val="-2"/>
          <w:sz w:val="18"/>
          <w:shd w:val="clear" w:color="auto" w:fill="FFFFFF"/>
          <w:lang w:val="en-US"/>
        </w:rPr>
        <w:t xml:space="preserve"> of investment funds</w:t>
      </w:r>
      <w:r w:rsidR="00F47E4D" w:rsidRPr="003B3875">
        <w:rPr>
          <w:b/>
          <w:spacing w:val="-2"/>
          <w:sz w:val="18"/>
          <w:shd w:val="clear" w:color="auto" w:fill="FFFFFF"/>
          <w:lang w:val="en-US"/>
        </w:rPr>
        <w:t xml:space="preserve"> operations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F24C51" w:rsidRPr="001A3D3F" w:rsidTr="00216B15">
        <w:trPr>
          <w:trHeight w:val="57"/>
        </w:trPr>
        <w:tc>
          <w:tcPr>
            <w:tcW w:w="2823" w:type="dxa"/>
            <w:vMerge w:val="restart"/>
            <w:vAlign w:val="center"/>
          </w:tcPr>
          <w:p w:rsidR="00F24C51" w:rsidRPr="001A3D3F" w:rsidRDefault="002810F6" w:rsidP="00216B1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1701" w:type="dxa"/>
            <w:vAlign w:val="center"/>
          </w:tcPr>
          <w:p w:rsidR="00F24C51" w:rsidRPr="001A3D3F" w:rsidRDefault="00F24C51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A33B03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vAlign w:val="center"/>
          </w:tcPr>
          <w:p w:rsidR="00F24C51" w:rsidRPr="001A3D3F" w:rsidRDefault="00A33B03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701" w:type="dxa"/>
            <w:vMerge w:val="restart"/>
            <w:vAlign w:val="center"/>
          </w:tcPr>
          <w:p w:rsidR="00F24C51" w:rsidRPr="001A3D3F" w:rsidRDefault="00A33B03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2019</w:t>
            </w:r>
            <w:r w:rsidR="00F24C51"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24C51" w:rsidRPr="001A3D3F" w:rsidTr="00216B15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F24C51" w:rsidRPr="001A3D3F" w:rsidRDefault="00F24C51" w:rsidP="00216B15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F24C51" w:rsidRPr="001A3D3F" w:rsidRDefault="002810F6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in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million</w:t>
            </w:r>
            <w:proofErr w:type="spellEnd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PLN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F24C51" w:rsidRPr="001A3D3F" w:rsidRDefault="00F24C51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A33B03" w:rsidRPr="001A3D3F" w:rsidTr="00216B15">
        <w:trPr>
          <w:trHeight w:hRule="exact" w:val="510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A33B03" w:rsidRPr="001A3D3F" w:rsidRDefault="00A33B03" w:rsidP="00A33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Investment </w:t>
            </w:r>
            <w:proofErr w:type="spellStart"/>
            <w:r>
              <w:rPr>
                <w:sz w:val="16"/>
                <w:szCs w:val="16"/>
              </w:rPr>
              <w:t>income</w:t>
            </w:r>
            <w:proofErr w:type="spellEnd"/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A33B03" w:rsidRPr="001A3D3F" w:rsidRDefault="00A33B03" w:rsidP="00A33B0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9 313,1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A33B03" w:rsidRPr="001A3D3F" w:rsidRDefault="00A67155" w:rsidP="00A33B0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8 221,7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A33B03" w:rsidRPr="001A3D3F" w:rsidRDefault="00E8628A" w:rsidP="00A33B0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88,3</w:t>
            </w:r>
          </w:p>
        </w:tc>
      </w:tr>
      <w:tr w:rsidR="00A33B03" w:rsidRPr="001A3D3F" w:rsidTr="00216B15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A33B03" w:rsidRPr="001A3D3F" w:rsidRDefault="00A33B03" w:rsidP="00A33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Fund </w:t>
            </w:r>
            <w:proofErr w:type="spellStart"/>
            <w:r>
              <w:rPr>
                <w:sz w:val="16"/>
                <w:szCs w:val="16"/>
              </w:rPr>
              <w:t>costs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A33B03" w:rsidRPr="001A3D3F" w:rsidRDefault="00A33B03" w:rsidP="00A33B0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5 454,2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A33B03" w:rsidRPr="001A3D3F" w:rsidRDefault="00A67155" w:rsidP="00A33B0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6 268,0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A33B03" w:rsidRPr="001A3D3F" w:rsidRDefault="00E8628A" w:rsidP="00A33B0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114,9</w:t>
            </w:r>
          </w:p>
        </w:tc>
      </w:tr>
      <w:tr w:rsidR="00A33B03" w:rsidRPr="001A3D3F" w:rsidTr="00216B15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A33B03" w:rsidRDefault="00A33B03" w:rsidP="00A33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Fund </w:t>
            </w:r>
            <w:proofErr w:type="spellStart"/>
            <w:r>
              <w:rPr>
                <w:sz w:val="16"/>
                <w:szCs w:val="16"/>
              </w:rPr>
              <w:t>salary</w:t>
            </w:r>
            <w:proofErr w:type="spellEnd"/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A33B03" w:rsidRDefault="00A33B03" w:rsidP="00A33B0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3 386,8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A33B03" w:rsidRDefault="00A67155" w:rsidP="00A33B0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3 317,9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A33B03" w:rsidRDefault="00E8628A" w:rsidP="00A33B0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98,0</w:t>
            </w:r>
          </w:p>
        </w:tc>
      </w:tr>
      <w:tr w:rsidR="00A33B03" w:rsidRPr="001A3D3F" w:rsidTr="00216B15">
        <w:trPr>
          <w:trHeight w:hRule="exact" w:val="769"/>
        </w:trPr>
        <w:tc>
          <w:tcPr>
            <w:tcW w:w="2823" w:type="dxa"/>
            <w:vAlign w:val="center"/>
          </w:tcPr>
          <w:p w:rsidR="00A33B03" w:rsidRPr="003B3875" w:rsidRDefault="00A33B03" w:rsidP="00A33B03">
            <w:pPr>
              <w:rPr>
                <w:sz w:val="16"/>
                <w:szCs w:val="16"/>
                <w:lang w:val="en-US"/>
              </w:rPr>
            </w:pPr>
            <w:r w:rsidRPr="003B3875">
              <w:rPr>
                <w:sz w:val="16"/>
                <w:szCs w:val="16"/>
                <w:lang w:val="en-US"/>
              </w:rPr>
              <w:t>Realized profit/loss on sale of investment</w:t>
            </w:r>
            <w:r w:rsidR="00A42936">
              <w:rPr>
                <w:sz w:val="16"/>
                <w:szCs w:val="16"/>
                <w:lang w:val="en-US"/>
              </w:rPr>
              <w:t>s</w:t>
            </w:r>
          </w:p>
        </w:tc>
        <w:tc>
          <w:tcPr>
            <w:tcW w:w="1701" w:type="dxa"/>
            <w:vAlign w:val="bottom"/>
          </w:tcPr>
          <w:p w:rsidR="00A33B03" w:rsidRPr="001A3D3F" w:rsidRDefault="00A33B03" w:rsidP="00A33B0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3 059,8</w:t>
            </w:r>
          </w:p>
        </w:tc>
        <w:tc>
          <w:tcPr>
            <w:tcW w:w="1701" w:type="dxa"/>
            <w:vAlign w:val="bottom"/>
          </w:tcPr>
          <w:p w:rsidR="00A33B03" w:rsidRPr="001A3D3F" w:rsidRDefault="00A67155" w:rsidP="00A33B0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24 380,7</w:t>
            </w:r>
          </w:p>
        </w:tc>
        <w:tc>
          <w:tcPr>
            <w:tcW w:w="1701" w:type="dxa"/>
            <w:vAlign w:val="bottom"/>
          </w:tcPr>
          <w:p w:rsidR="00A33B03" w:rsidRPr="001A3D3F" w:rsidRDefault="00E8628A" w:rsidP="00A33B0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796,8</w:t>
            </w:r>
          </w:p>
        </w:tc>
      </w:tr>
      <w:tr w:rsidR="00A33B03" w:rsidRPr="001A3D3F" w:rsidTr="00216B15">
        <w:trPr>
          <w:trHeight w:hRule="exact" w:val="782"/>
        </w:trPr>
        <w:tc>
          <w:tcPr>
            <w:tcW w:w="2823" w:type="dxa"/>
            <w:vAlign w:val="center"/>
          </w:tcPr>
          <w:p w:rsidR="00A33B03" w:rsidRPr="003B3875" w:rsidRDefault="00A33B03" w:rsidP="00A33B03">
            <w:pPr>
              <w:rPr>
                <w:sz w:val="16"/>
                <w:szCs w:val="16"/>
                <w:lang w:val="en-US"/>
              </w:rPr>
            </w:pPr>
            <w:r w:rsidRPr="003B3875">
              <w:rPr>
                <w:sz w:val="16"/>
                <w:szCs w:val="16"/>
                <w:lang w:val="en-US"/>
              </w:rPr>
              <w:t xml:space="preserve">Increase/decrease in unrealized profit/loss on investment valuation </w:t>
            </w:r>
          </w:p>
        </w:tc>
        <w:tc>
          <w:tcPr>
            <w:tcW w:w="1701" w:type="dxa"/>
            <w:vAlign w:val="bottom"/>
          </w:tcPr>
          <w:p w:rsidR="00A33B03" w:rsidRPr="001A3D3F" w:rsidRDefault="00A33B03" w:rsidP="00A33B0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6 435,9</w:t>
            </w:r>
          </w:p>
        </w:tc>
        <w:tc>
          <w:tcPr>
            <w:tcW w:w="1701" w:type="dxa"/>
            <w:vAlign w:val="bottom"/>
          </w:tcPr>
          <w:p w:rsidR="00A33B03" w:rsidRPr="001A3D3F" w:rsidRDefault="00A67155" w:rsidP="00A33B0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-16 396,8</w:t>
            </w:r>
          </w:p>
        </w:tc>
        <w:tc>
          <w:tcPr>
            <w:tcW w:w="1701" w:type="dxa"/>
            <w:vAlign w:val="bottom"/>
          </w:tcPr>
          <w:p w:rsidR="00A33B03" w:rsidRPr="001A3D3F" w:rsidRDefault="00E8628A" w:rsidP="00A33B0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</w:p>
        </w:tc>
      </w:tr>
      <w:tr w:rsidR="00A33B03" w:rsidRPr="001A3D3F" w:rsidTr="00216B15">
        <w:trPr>
          <w:trHeight w:hRule="exact" w:val="510"/>
        </w:trPr>
        <w:tc>
          <w:tcPr>
            <w:tcW w:w="2823" w:type="dxa"/>
            <w:vAlign w:val="center"/>
          </w:tcPr>
          <w:p w:rsidR="00A33B03" w:rsidRPr="003B3875" w:rsidRDefault="00A33B03" w:rsidP="00A33B03">
            <w:pPr>
              <w:rPr>
                <w:sz w:val="16"/>
                <w:szCs w:val="16"/>
                <w:lang w:val="en-US"/>
              </w:rPr>
            </w:pPr>
            <w:r w:rsidRPr="003B3875">
              <w:rPr>
                <w:sz w:val="16"/>
                <w:szCs w:val="16"/>
                <w:lang w:val="en-US"/>
              </w:rPr>
              <w:t>The result of the operation</w:t>
            </w:r>
          </w:p>
        </w:tc>
        <w:tc>
          <w:tcPr>
            <w:tcW w:w="1701" w:type="dxa"/>
            <w:vAlign w:val="bottom"/>
          </w:tcPr>
          <w:p w:rsidR="00A33B03" w:rsidRPr="001A3D3F" w:rsidRDefault="00A33B03" w:rsidP="00A33B0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13 379,3</w:t>
            </w:r>
          </w:p>
        </w:tc>
        <w:tc>
          <w:tcPr>
            <w:tcW w:w="1701" w:type="dxa"/>
            <w:vAlign w:val="bottom"/>
          </w:tcPr>
          <w:p w:rsidR="00A33B03" w:rsidRPr="001A3D3F" w:rsidRDefault="00A67155" w:rsidP="00A33B0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9 968,2</w:t>
            </w:r>
          </w:p>
        </w:tc>
        <w:tc>
          <w:tcPr>
            <w:tcW w:w="1701" w:type="dxa"/>
            <w:vAlign w:val="bottom"/>
          </w:tcPr>
          <w:p w:rsidR="00A33B03" w:rsidRPr="001A3D3F" w:rsidRDefault="00E8628A" w:rsidP="00A33B0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74,5</w:t>
            </w:r>
          </w:p>
        </w:tc>
      </w:tr>
    </w:tbl>
    <w:p w:rsidR="00EE1CE5" w:rsidRPr="009E7E5D" w:rsidRDefault="00EE1CE5" w:rsidP="00EE1CE5">
      <w:pPr>
        <w:jc w:val="both"/>
        <w:rPr>
          <w:rStyle w:val="tlid-translation"/>
          <w:lang w:val="en-US"/>
        </w:rPr>
      </w:pPr>
      <w:r w:rsidRPr="009E7E5D">
        <w:rPr>
          <w:rStyle w:val="tlid-translation"/>
          <w:lang w:val="en-US"/>
        </w:rPr>
        <w:t>In case of quoting Statistics Poland data, please provide information: "Sour</w:t>
      </w:r>
      <w:r>
        <w:rPr>
          <w:rStyle w:val="tlid-translation"/>
          <w:lang w:val="en-US"/>
        </w:rPr>
        <w:t>ce of data: Statistics Poland"</w:t>
      </w:r>
      <w:r w:rsidR="00C36D69">
        <w:rPr>
          <w:rStyle w:val="tlid-translation"/>
          <w:lang w:val="en-US"/>
        </w:rPr>
        <w:t xml:space="preserve"> </w:t>
      </w:r>
      <w:r w:rsidRPr="009E7E5D">
        <w:rPr>
          <w:rStyle w:val="tlid-translation"/>
          <w:lang w:val="en-US"/>
        </w:rPr>
        <w:t>and in case of publishing calculations made on data published by Statistics Poland, please include the following disclaimer: "Own study based on figures from Statistics Poland".</w:t>
      </w:r>
    </w:p>
    <w:p w:rsidR="00EE1CE5" w:rsidRPr="000744E8" w:rsidRDefault="00EE1CE5" w:rsidP="002E3BE8">
      <w:pPr>
        <w:rPr>
          <w:shd w:val="clear" w:color="auto" w:fill="FFFFFF"/>
          <w:lang w:val="en-US"/>
        </w:rPr>
      </w:pPr>
    </w:p>
    <w:p w:rsidR="00C034BC" w:rsidRPr="000744E8" w:rsidRDefault="00C034BC" w:rsidP="00B72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hd w:val="clear" w:color="auto" w:fill="FFFFFF"/>
          <w:lang w:val="en-US"/>
        </w:rPr>
        <w:sectPr w:rsidR="00C034BC" w:rsidRPr="000744E8" w:rsidSect="003B18B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765B99" w:rsidRPr="000744E8" w:rsidRDefault="00765B99" w:rsidP="00E76D26">
      <w:pPr>
        <w:rPr>
          <w:sz w:val="18"/>
          <w:lang w:val="en-US"/>
        </w:rPr>
        <w:sectPr w:rsidR="00765B99" w:rsidRPr="000744E8" w:rsidSect="00B72F9E">
          <w:type w:val="continuous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0744E8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95"/>
        <w:gridCol w:w="3728"/>
      </w:tblGrid>
      <w:tr w:rsidR="000470AA" w:rsidRPr="00352DCE" w:rsidTr="009A5961">
        <w:trPr>
          <w:trHeight w:val="1506"/>
        </w:trPr>
        <w:tc>
          <w:tcPr>
            <w:tcW w:w="4195" w:type="dxa"/>
          </w:tcPr>
          <w:p w:rsidR="0025563A" w:rsidRPr="000744E8" w:rsidRDefault="001D2736" w:rsidP="0025563A">
            <w:pPr>
              <w:spacing w:before="0" w:after="0" w:line="276" w:lineRule="auto"/>
              <w:ind w:left="-108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744E8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0744E8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:rsidR="00FA4729" w:rsidRPr="000744E8" w:rsidRDefault="006A0213" w:rsidP="00FA4729">
            <w:pPr>
              <w:spacing w:before="0" w:after="0" w:line="276" w:lineRule="auto"/>
              <w:ind w:left="-108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Macroeconomic Studies and Finance </w:t>
            </w:r>
            <w:r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br/>
              <w:t xml:space="preserve">Statistics </w:t>
            </w:r>
            <w:r w:rsidR="00FA4729"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:rsidR="00FA4729" w:rsidRPr="000744E8" w:rsidRDefault="00FA4729" w:rsidP="00FA4729">
            <w:pPr>
              <w:spacing w:before="0" w:after="0" w:line="276" w:lineRule="auto"/>
              <w:ind w:left="-108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Director </w:t>
            </w:r>
            <w:r w:rsidR="00AD40D1"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t>Mirosław</w:t>
            </w:r>
            <w:r w:rsidR="00903AE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 w:rsidR="00AD40D1"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t>Błażej</w:t>
            </w:r>
            <w:proofErr w:type="spellEnd"/>
          </w:p>
          <w:p w:rsidR="00F418D1" w:rsidRPr="008F3638" w:rsidRDefault="00F418D1" w:rsidP="00F418D1">
            <w:pPr>
              <w:pStyle w:val="Nagwek3"/>
              <w:spacing w:before="0" w:line="240" w:lineRule="auto"/>
              <w:ind w:left="-108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(+48 22) </w:t>
            </w:r>
            <w:r w:rsidR="00AD40D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6083773</w:t>
            </w:r>
          </w:p>
          <w:p w:rsidR="000470AA" w:rsidRPr="00A24587" w:rsidRDefault="000470AA" w:rsidP="009A5961">
            <w:pPr>
              <w:pStyle w:val="Nagwek3"/>
              <w:spacing w:before="0" w:line="240" w:lineRule="auto"/>
              <w:ind w:left="-108"/>
              <w:rPr>
                <w:rFonts w:ascii="Fira Sans" w:hAnsi="Fira Sans"/>
                <w:b/>
                <w:color w:val="000000" w:themeColor="text1"/>
                <w:sz w:val="20"/>
                <w:szCs w:val="20"/>
                <w:lang w:val="fi-FI"/>
              </w:rPr>
            </w:pPr>
          </w:p>
        </w:tc>
        <w:tc>
          <w:tcPr>
            <w:tcW w:w="3728" w:type="dxa"/>
          </w:tcPr>
          <w:p w:rsidR="00AC3FCE" w:rsidRPr="000744E8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0744E8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0744E8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0744E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4B381A"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AC3FCE"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="00903AE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</w:p>
          <w:p w:rsidR="000470AA" w:rsidRPr="000744E8" w:rsidRDefault="002D5D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t>o</w:t>
            </w:r>
            <w:r w:rsidR="00AC3FCE"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t>f Statistic</w:t>
            </w:r>
            <w:r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AC3FCE"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:rsidR="00FA4729" w:rsidRPr="000744E8" w:rsidRDefault="00FA4729" w:rsidP="00FA472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744E8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</w:t>
            </w:r>
            <w:r w:rsidRPr="000744E8">
              <w:rPr>
                <w:rFonts w:ascii="Fira Sans" w:hAnsi="Fira Sans" w:cs="Arial"/>
                <w:b/>
                <w:color w:val="auto"/>
                <w:sz w:val="20"/>
                <w:szCs w:val="28"/>
                <w:lang w:val="en-US"/>
              </w:rPr>
              <w:t xml:space="preserve"> Banaszek</w:t>
            </w:r>
          </w:p>
          <w:p w:rsidR="00F418D1" w:rsidRPr="008F3638" w:rsidRDefault="00F418D1" w:rsidP="00F418D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744E8" w:rsidRDefault="000470AA" w:rsidP="000470AA">
      <w:pPr>
        <w:rPr>
          <w:sz w:val="20"/>
          <w:lang w:val="en-US"/>
        </w:rPr>
      </w:pPr>
    </w:p>
    <w:p w:rsidR="000470AA" w:rsidRPr="000744E8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352DCE" w:rsidTr="00A24587">
        <w:trPr>
          <w:trHeight w:val="610"/>
        </w:trPr>
        <w:tc>
          <w:tcPr>
            <w:tcW w:w="2721" w:type="pct"/>
            <w:vMerge w:val="restart"/>
          </w:tcPr>
          <w:p w:rsidR="000470AA" w:rsidRPr="000744E8" w:rsidRDefault="001D2736" w:rsidP="00A24587">
            <w:pPr>
              <w:rPr>
                <w:b/>
                <w:sz w:val="20"/>
                <w:lang w:val="en-US"/>
              </w:rPr>
            </w:pPr>
            <w:r w:rsidRPr="000744E8">
              <w:rPr>
                <w:b/>
                <w:sz w:val="20"/>
                <w:lang w:val="en-US"/>
              </w:rPr>
              <w:t>Press Office</w:t>
            </w:r>
          </w:p>
          <w:p w:rsidR="00F418D1" w:rsidRPr="000744E8" w:rsidRDefault="00F418D1" w:rsidP="00F418D1">
            <w:pPr>
              <w:rPr>
                <w:sz w:val="20"/>
                <w:lang w:val="en-US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0744E8">
              <w:rPr>
                <w:sz w:val="20"/>
                <w:lang w:val="en-US"/>
              </w:rPr>
              <w:t xml:space="preserve">608 34 91, 608 38 04 </w:t>
            </w:r>
          </w:p>
          <w:p w:rsidR="000470AA" w:rsidRPr="000744E8" w:rsidRDefault="000470AA" w:rsidP="00A24587">
            <w:pPr>
              <w:rPr>
                <w:sz w:val="18"/>
                <w:lang w:val="en-US"/>
              </w:rPr>
            </w:pPr>
            <w:r w:rsidRPr="000744E8">
              <w:rPr>
                <w:b/>
                <w:sz w:val="20"/>
                <w:lang w:val="en-US"/>
              </w:rPr>
              <w:t>e-mail:</w:t>
            </w:r>
            <w:r w:rsidR="003B3875">
              <w:rPr>
                <w:b/>
                <w:sz w:val="20"/>
                <w:lang w:val="en-US"/>
              </w:rPr>
              <w:t xml:space="preserve"> </w:t>
            </w:r>
            <w:hyperlink r:id="rId15" w:history="1">
              <w:r w:rsidRPr="000744E8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0744E8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744E8" w:rsidRDefault="000470AA" w:rsidP="000470AA">
            <w:pPr>
              <w:rPr>
                <w:sz w:val="18"/>
                <w:lang w:val="en-US"/>
              </w:rPr>
            </w:pPr>
            <w:r w:rsidRPr="000744E8">
              <w:rPr>
                <w:sz w:val="20"/>
                <w:lang w:val="en-US"/>
              </w:rPr>
              <w:t>www.stat.gov.pl</w:t>
            </w:r>
            <w:r w:rsidR="001D2736" w:rsidRPr="000744E8">
              <w:rPr>
                <w:sz w:val="20"/>
                <w:lang w:val="en-US"/>
              </w:rPr>
              <w:t>/en/</w:t>
            </w:r>
          </w:p>
        </w:tc>
      </w:tr>
      <w:tr w:rsidR="000470AA" w:rsidTr="00A24587">
        <w:trPr>
          <w:trHeight w:val="436"/>
        </w:trPr>
        <w:tc>
          <w:tcPr>
            <w:tcW w:w="2721" w:type="pct"/>
            <w:vMerge/>
          </w:tcPr>
          <w:p w:rsidR="000470AA" w:rsidRPr="000744E8" w:rsidRDefault="000470AA" w:rsidP="00A24587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0744E8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:rsidTr="00A24587">
        <w:trPr>
          <w:trHeight w:val="436"/>
        </w:trPr>
        <w:tc>
          <w:tcPr>
            <w:tcW w:w="2721" w:type="pct"/>
            <w:vMerge/>
          </w:tcPr>
          <w:p w:rsidR="000470AA" w:rsidRDefault="000470AA" w:rsidP="00A2458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9C129A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D338DC" w:rsidRPr="000744E8" w:rsidRDefault="00D338DC" w:rsidP="00D338DC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744E8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:rsidR="00D338DC" w:rsidRPr="00A84D60" w:rsidRDefault="0004278C" w:rsidP="00D338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19" w:history="1">
                              <w:r w:rsidR="00D338DC" w:rsidRPr="00A84D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 – Financial Results of Investment Funds and Investment Funds Companies</w:t>
                              </w:r>
                            </w:hyperlink>
                          </w:p>
                          <w:p w:rsidR="00AB6D25" w:rsidRPr="000744E8" w:rsidRDefault="00AB6D25" w:rsidP="00AB6D25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auto"/>
                                <w:u w:val="none"/>
                                <w:lang w:val="en-US"/>
                              </w:rPr>
                            </w:pPr>
                          </w:p>
                          <w:p w:rsidR="00673C26" w:rsidRPr="000744E8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AB6D25" w:rsidRPr="000744E8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744E8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0744E8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0744E8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:rsidR="00D338DC" w:rsidRPr="00A84D60" w:rsidRDefault="0004278C" w:rsidP="00D338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0" w:history="1">
                              <w:r w:rsidR="00D338DC" w:rsidRPr="00A84D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Investment Fund</w:t>
                              </w:r>
                            </w:hyperlink>
                          </w:p>
                          <w:p w:rsidR="00D338DC" w:rsidRPr="00A84D60" w:rsidRDefault="0004278C" w:rsidP="00D338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D338DC" w:rsidRPr="00A84D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Investment Fund Company</w:t>
                              </w:r>
                            </w:hyperlink>
                          </w:p>
                          <w:p w:rsidR="00DB4CC6" w:rsidRPr="00E72B1C" w:rsidRDefault="00DB4CC6" w:rsidP="00DB4CC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Pr="00505A92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D338DC" w:rsidRPr="000744E8" w:rsidRDefault="00D338DC" w:rsidP="00D338DC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744E8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:rsidR="00D338DC" w:rsidRPr="00A84D60" w:rsidRDefault="0004278C" w:rsidP="00D338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2" w:history="1">
                        <w:r w:rsidR="00D338DC" w:rsidRPr="00A84D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 – Financial Results of Investment Funds and Investment Funds Companies</w:t>
                        </w:r>
                      </w:hyperlink>
                    </w:p>
                    <w:p w:rsidR="00AB6D25" w:rsidRPr="000744E8" w:rsidRDefault="00AB6D25" w:rsidP="00AB6D25">
                      <w:pPr>
                        <w:rPr>
                          <w:rStyle w:val="Hipercze"/>
                          <w:rFonts w:cstheme="minorBidi"/>
                          <w:b/>
                          <w:color w:val="auto"/>
                          <w:u w:val="none"/>
                          <w:lang w:val="en-US"/>
                        </w:rPr>
                      </w:pPr>
                    </w:p>
                    <w:p w:rsidR="00673C26" w:rsidRPr="000744E8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AB6D25" w:rsidRPr="000744E8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744E8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0744E8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0744E8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:rsidR="00D338DC" w:rsidRPr="00A84D60" w:rsidRDefault="0004278C" w:rsidP="00D338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3" w:history="1">
                        <w:r w:rsidR="00D338DC" w:rsidRPr="00A84D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Investment Fund</w:t>
                        </w:r>
                      </w:hyperlink>
                    </w:p>
                    <w:p w:rsidR="00D338DC" w:rsidRPr="00A84D60" w:rsidRDefault="0004278C" w:rsidP="00D338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4" w:history="1">
                        <w:r w:rsidR="00D338DC" w:rsidRPr="00A84D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Investment Fund Company</w:t>
                        </w:r>
                      </w:hyperlink>
                    </w:p>
                    <w:p w:rsidR="00DB4CC6" w:rsidRPr="00E72B1C" w:rsidRDefault="00DB4CC6" w:rsidP="00DB4CC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Pr="00505A92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25"/>
      <w:footerReference w:type="default" r:id="rId2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78C" w:rsidRDefault="0004278C" w:rsidP="000662E2">
      <w:pPr>
        <w:spacing w:after="0" w:line="240" w:lineRule="auto"/>
      </w:pPr>
      <w:r>
        <w:separator/>
      </w:r>
    </w:p>
  </w:endnote>
  <w:endnote w:type="continuationSeparator" w:id="0">
    <w:p w:rsidR="0004278C" w:rsidRDefault="0004278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orbe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Extra Condensed">
    <w:altName w:val="Corbel"/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8076485"/>
      <w:docPartObj>
        <w:docPartGallery w:val="Page Numbers (Bottom of Page)"/>
        <w:docPartUnique/>
      </w:docPartObj>
    </w:sdtPr>
    <w:sdtEndPr/>
    <w:sdtContent>
      <w:p w:rsidR="00EB556D" w:rsidRDefault="00773ACC" w:rsidP="003B18B6">
        <w:pPr>
          <w:pStyle w:val="Stopka"/>
          <w:jc w:val="center"/>
        </w:pPr>
        <w:r>
          <w:fldChar w:fldCharType="begin"/>
        </w:r>
        <w:r w:rsidR="00541E6E">
          <w:instrText>PAGE   \* MERGEFORMAT</w:instrText>
        </w:r>
        <w:r>
          <w:fldChar w:fldCharType="separate"/>
        </w:r>
        <w:r w:rsidR="00E4582B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56D" w:rsidRDefault="00EB556D" w:rsidP="003B18B6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8B6" w:rsidRDefault="00773ACC" w:rsidP="003B18B6">
    <w:pPr>
      <w:pStyle w:val="Stopka"/>
      <w:jc w:val="center"/>
    </w:pPr>
    <w:r>
      <w:fldChar w:fldCharType="begin"/>
    </w:r>
    <w:r w:rsidR="003B18B6">
      <w:instrText>PAGE   \* MERGEFORMAT</w:instrText>
    </w:r>
    <w:r>
      <w:fldChar w:fldCharType="separate"/>
    </w:r>
    <w:r w:rsidR="00E4582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78C" w:rsidRDefault="0004278C" w:rsidP="000662E2">
      <w:pPr>
        <w:spacing w:after="0" w:line="240" w:lineRule="auto"/>
      </w:pPr>
      <w:r>
        <w:separator/>
      </w:r>
    </w:p>
  </w:footnote>
  <w:footnote w:type="continuationSeparator" w:id="0">
    <w:p w:rsidR="0004278C" w:rsidRDefault="0004278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2E2" w:rsidRDefault="009C129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780FB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437" w:rsidRDefault="00D3055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5800" cy="744855"/>
          <wp:effectExtent l="0" t="0" r="0" b="0"/>
          <wp:wrapSquare wrapText="bothSides"/>
          <wp:docPr id="2" name="Obraz 2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C129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9C129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E5884B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  <w:p w:rsidR="001C7430" w:rsidRDefault="001C7430">
    <w:pPr>
      <w:pStyle w:val="Nagwek"/>
      <w:rPr>
        <w:noProof/>
        <w:lang w:eastAsia="pl-PL"/>
      </w:rPr>
    </w:pPr>
  </w:p>
  <w:p w:rsidR="001C7430" w:rsidRDefault="001C7430">
    <w:pPr>
      <w:pStyle w:val="Nagwek"/>
      <w:rPr>
        <w:noProof/>
        <w:lang w:eastAsia="pl-PL"/>
      </w:rPr>
    </w:pPr>
  </w:p>
  <w:p w:rsidR="00F32749" w:rsidRDefault="009C129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EE02E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07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F6D6B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EE02E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07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F6D6B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3pt;visibility:visible;mso-wrap-style:square" o:bullet="t">
        <v:imagedata r:id="rId1" o:title=""/>
      </v:shape>
    </w:pict>
  </w:numPicBullet>
  <w:numPicBullet w:numPicBulletId="1">
    <w:pict>
      <v:shape id="_x0000_i1029" type="#_x0000_t75" style="width:123pt;height:12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9F585C"/>
    <w:multiLevelType w:val="hybridMultilevel"/>
    <w:tmpl w:val="3430A30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853"/>
    <w:rsid w:val="00001C5B"/>
    <w:rsid w:val="00003437"/>
    <w:rsid w:val="00003D68"/>
    <w:rsid w:val="00004288"/>
    <w:rsid w:val="0000709F"/>
    <w:rsid w:val="00010197"/>
    <w:rsid w:val="000108B8"/>
    <w:rsid w:val="000152F5"/>
    <w:rsid w:val="00040151"/>
    <w:rsid w:val="0004278C"/>
    <w:rsid w:val="0004582E"/>
    <w:rsid w:val="000470AA"/>
    <w:rsid w:val="00052CE6"/>
    <w:rsid w:val="00057CA1"/>
    <w:rsid w:val="00057E5D"/>
    <w:rsid w:val="00064439"/>
    <w:rsid w:val="00065615"/>
    <w:rsid w:val="000662E2"/>
    <w:rsid w:val="00066883"/>
    <w:rsid w:val="000670DE"/>
    <w:rsid w:val="00073E55"/>
    <w:rsid w:val="000744E8"/>
    <w:rsid w:val="00074DD8"/>
    <w:rsid w:val="0007786A"/>
    <w:rsid w:val="000806F7"/>
    <w:rsid w:val="00080863"/>
    <w:rsid w:val="000845F3"/>
    <w:rsid w:val="0008514C"/>
    <w:rsid w:val="0009036F"/>
    <w:rsid w:val="00093C74"/>
    <w:rsid w:val="000A490C"/>
    <w:rsid w:val="000B0727"/>
    <w:rsid w:val="000B50A6"/>
    <w:rsid w:val="000C0DD6"/>
    <w:rsid w:val="000C135D"/>
    <w:rsid w:val="000C1856"/>
    <w:rsid w:val="000C1EA0"/>
    <w:rsid w:val="000C4C9D"/>
    <w:rsid w:val="000D1D43"/>
    <w:rsid w:val="000D1EAB"/>
    <w:rsid w:val="000D225C"/>
    <w:rsid w:val="000D2A5C"/>
    <w:rsid w:val="000D4173"/>
    <w:rsid w:val="000E0918"/>
    <w:rsid w:val="000E7435"/>
    <w:rsid w:val="001011C3"/>
    <w:rsid w:val="00101666"/>
    <w:rsid w:val="00110D87"/>
    <w:rsid w:val="00111869"/>
    <w:rsid w:val="00114DB9"/>
    <w:rsid w:val="00116087"/>
    <w:rsid w:val="0011784B"/>
    <w:rsid w:val="00130296"/>
    <w:rsid w:val="00135B14"/>
    <w:rsid w:val="00140147"/>
    <w:rsid w:val="00140CEE"/>
    <w:rsid w:val="001423B6"/>
    <w:rsid w:val="0014351A"/>
    <w:rsid w:val="001448A7"/>
    <w:rsid w:val="00146621"/>
    <w:rsid w:val="00152782"/>
    <w:rsid w:val="00162325"/>
    <w:rsid w:val="00162E0C"/>
    <w:rsid w:val="00174E9C"/>
    <w:rsid w:val="001777E8"/>
    <w:rsid w:val="0018443C"/>
    <w:rsid w:val="00184508"/>
    <w:rsid w:val="00185C9C"/>
    <w:rsid w:val="001951DA"/>
    <w:rsid w:val="00196ECA"/>
    <w:rsid w:val="001A1C55"/>
    <w:rsid w:val="001B01FA"/>
    <w:rsid w:val="001B1432"/>
    <w:rsid w:val="001B28F3"/>
    <w:rsid w:val="001B6C6A"/>
    <w:rsid w:val="001B75F5"/>
    <w:rsid w:val="001C3269"/>
    <w:rsid w:val="001C63E6"/>
    <w:rsid w:val="001C7430"/>
    <w:rsid w:val="001D1DB4"/>
    <w:rsid w:val="001D2736"/>
    <w:rsid w:val="001E1986"/>
    <w:rsid w:val="001E26C8"/>
    <w:rsid w:val="001F33C7"/>
    <w:rsid w:val="001F4BA0"/>
    <w:rsid w:val="001F7C01"/>
    <w:rsid w:val="002055B8"/>
    <w:rsid w:val="0022163F"/>
    <w:rsid w:val="00223CE0"/>
    <w:rsid w:val="00232648"/>
    <w:rsid w:val="00243555"/>
    <w:rsid w:val="0025563A"/>
    <w:rsid w:val="00255EB8"/>
    <w:rsid w:val="002574F9"/>
    <w:rsid w:val="00262720"/>
    <w:rsid w:val="00262B61"/>
    <w:rsid w:val="00263562"/>
    <w:rsid w:val="00267794"/>
    <w:rsid w:val="0027009D"/>
    <w:rsid w:val="00276811"/>
    <w:rsid w:val="002774EF"/>
    <w:rsid w:val="002800E4"/>
    <w:rsid w:val="002810F6"/>
    <w:rsid w:val="00282699"/>
    <w:rsid w:val="0028308A"/>
    <w:rsid w:val="002926DF"/>
    <w:rsid w:val="00294E5A"/>
    <w:rsid w:val="00296697"/>
    <w:rsid w:val="00296C3D"/>
    <w:rsid w:val="00297E31"/>
    <w:rsid w:val="002A4C82"/>
    <w:rsid w:val="002A6113"/>
    <w:rsid w:val="002B0472"/>
    <w:rsid w:val="002B6B12"/>
    <w:rsid w:val="002B73E8"/>
    <w:rsid w:val="002C187F"/>
    <w:rsid w:val="002C58F1"/>
    <w:rsid w:val="002D5D08"/>
    <w:rsid w:val="002D5E23"/>
    <w:rsid w:val="002E3BE8"/>
    <w:rsid w:val="002E6140"/>
    <w:rsid w:val="002E6985"/>
    <w:rsid w:val="002E71B6"/>
    <w:rsid w:val="002F77C8"/>
    <w:rsid w:val="00301F71"/>
    <w:rsid w:val="00304F22"/>
    <w:rsid w:val="00305183"/>
    <w:rsid w:val="00305CA7"/>
    <w:rsid w:val="00306C7C"/>
    <w:rsid w:val="00311B97"/>
    <w:rsid w:val="00322EDD"/>
    <w:rsid w:val="003238A5"/>
    <w:rsid w:val="00325FAD"/>
    <w:rsid w:val="00331527"/>
    <w:rsid w:val="00332320"/>
    <w:rsid w:val="00345A97"/>
    <w:rsid w:val="00347D72"/>
    <w:rsid w:val="00352DCE"/>
    <w:rsid w:val="00354FCD"/>
    <w:rsid w:val="00357611"/>
    <w:rsid w:val="003602A6"/>
    <w:rsid w:val="003625C6"/>
    <w:rsid w:val="00363AC3"/>
    <w:rsid w:val="00366622"/>
    <w:rsid w:val="00367237"/>
    <w:rsid w:val="0037077F"/>
    <w:rsid w:val="00372411"/>
    <w:rsid w:val="00373882"/>
    <w:rsid w:val="00375B23"/>
    <w:rsid w:val="00375D81"/>
    <w:rsid w:val="00382849"/>
    <w:rsid w:val="003843DB"/>
    <w:rsid w:val="00387F7B"/>
    <w:rsid w:val="00391300"/>
    <w:rsid w:val="00393761"/>
    <w:rsid w:val="00397D18"/>
    <w:rsid w:val="003A1B36"/>
    <w:rsid w:val="003A2056"/>
    <w:rsid w:val="003B1454"/>
    <w:rsid w:val="003B18B6"/>
    <w:rsid w:val="003B1A7D"/>
    <w:rsid w:val="003B3875"/>
    <w:rsid w:val="003C59E0"/>
    <w:rsid w:val="003C6C8D"/>
    <w:rsid w:val="003D4F95"/>
    <w:rsid w:val="003D5C6E"/>
    <w:rsid w:val="003D5F42"/>
    <w:rsid w:val="003D60A9"/>
    <w:rsid w:val="003D726C"/>
    <w:rsid w:val="003E16C3"/>
    <w:rsid w:val="003F4C97"/>
    <w:rsid w:val="003F4FFD"/>
    <w:rsid w:val="003F5BD9"/>
    <w:rsid w:val="003F7A34"/>
    <w:rsid w:val="003F7FE6"/>
    <w:rsid w:val="00400193"/>
    <w:rsid w:val="00413C70"/>
    <w:rsid w:val="00413C93"/>
    <w:rsid w:val="004212E7"/>
    <w:rsid w:val="0042446D"/>
    <w:rsid w:val="00427BF8"/>
    <w:rsid w:val="00431C02"/>
    <w:rsid w:val="00437395"/>
    <w:rsid w:val="0044384E"/>
    <w:rsid w:val="00445047"/>
    <w:rsid w:val="00445172"/>
    <w:rsid w:val="00447C60"/>
    <w:rsid w:val="00451A79"/>
    <w:rsid w:val="00461CA1"/>
    <w:rsid w:val="0046336C"/>
    <w:rsid w:val="00463E39"/>
    <w:rsid w:val="004657FC"/>
    <w:rsid w:val="00466D03"/>
    <w:rsid w:val="004733F6"/>
    <w:rsid w:val="00474E69"/>
    <w:rsid w:val="00487050"/>
    <w:rsid w:val="004918FA"/>
    <w:rsid w:val="00495709"/>
    <w:rsid w:val="0049621B"/>
    <w:rsid w:val="004A4833"/>
    <w:rsid w:val="004B381A"/>
    <w:rsid w:val="004B6756"/>
    <w:rsid w:val="004C1895"/>
    <w:rsid w:val="004C49A3"/>
    <w:rsid w:val="004C6D40"/>
    <w:rsid w:val="004D0C49"/>
    <w:rsid w:val="004D29CF"/>
    <w:rsid w:val="004E4411"/>
    <w:rsid w:val="004F0C3C"/>
    <w:rsid w:val="004F2AC8"/>
    <w:rsid w:val="004F5EE6"/>
    <w:rsid w:val="004F63FC"/>
    <w:rsid w:val="00503963"/>
    <w:rsid w:val="00505A92"/>
    <w:rsid w:val="00513480"/>
    <w:rsid w:val="005134BB"/>
    <w:rsid w:val="005144F4"/>
    <w:rsid w:val="005203F1"/>
    <w:rsid w:val="00521BC3"/>
    <w:rsid w:val="00524721"/>
    <w:rsid w:val="0052664D"/>
    <w:rsid w:val="00531743"/>
    <w:rsid w:val="00533632"/>
    <w:rsid w:val="00536DD0"/>
    <w:rsid w:val="00541E6E"/>
    <w:rsid w:val="00541FE6"/>
    <w:rsid w:val="0054251F"/>
    <w:rsid w:val="005508B0"/>
    <w:rsid w:val="005520D8"/>
    <w:rsid w:val="00553E19"/>
    <w:rsid w:val="00556CF1"/>
    <w:rsid w:val="0055716A"/>
    <w:rsid w:val="005623C4"/>
    <w:rsid w:val="005649D0"/>
    <w:rsid w:val="005762A7"/>
    <w:rsid w:val="005867EC"/>
    <w:rsid w:val="0059094F"/>
    <w:rsid w:val="005916D7"/>
    <w:rsid w:val="005922C7"/>
    <w:rsid w:val="00595C06"/>
    <w:rsid w:val="005A2B1D"/>
    <w:rsid w:val="005A698C"/>
    <w:rsid w:val="005B0D19"/>
    <w:rsid w:val="005B704A"/>
    <w:rsid w:val="005C1E18"/>
    <w:rsid w:val="005C33C7"/>
    <w:rsid w:val="005C57EB"/>
    <w:rsid w:val="005C6631"/>
    <w:rsid w:val="005E0799"/>
    <w:rsid w:val="005F0BEC"/>
    <w:rsid w:val="005F5A80"/>
    <w:rsid w:val="006044FF"/>
    <w:rsid w:val="00606FE1"/>
    <w:rsid w:val="00607CC5"/>
    <w:rsid w:val="00613D1D"/>
    <w:rsid w:val="00616EB8"/>
    <w:rsid w:val="00617934"/>
    <w:rsid w:val="00633014"/>
    <w:rsid w:val="0063437B"/>
    <w:rsid w:val="00634A1E"/>
    <w:rsid w:val="00634F03"/>
    <w:rsid w:val="00641C79"/>
    <w:rsid w:val="0065657F"/>
    <w:rsid w:val="00660E51"/>
    <w:rsid w:val="00661BCF"/>
    <w:rsid w:val="00663999"/>
    <w:rsid w:val="006673B7"/>
    <w:rsid w:val="006673CA"/>
    <w:rsid w:val="0067030C"/>
    <w:rsid w:val="00673C26"/>
    <w:rsid w:val="006812AF"/>
    <w:rsid w:val="0068327D"/>
    <w:rsid w:val="006907F9"/>
    <w:rsid w:val="00694AF0"/>
    <w:rsid w:val="00695EFB"/>
    <w:rsid w:val="006A0213"/>
    <w:rsid w:val="006A4686"/>
    <w:rsid w:val="006B0E9E"/>
    <w:rsid w:val="006B1AD5"/>
    <w:rsid w:val="006B205B"/>
    <w:rsid w:val="006B3BED"/>
    <w:rsid w:val="006B5AE4"/>
    <w:rsid w:val="006C567C"/>
    <w:rsid w:val="006D1120"/>
    <w:rsid w:val="006D1507"/>
    <w:rsid w:val="006D3BC2"/>
    <w:rsid w:val="006D3ED3"/>
    <w:rsid w:val="006D4054"/>
    <w:rsid w:val="006D767D"/>
    <w:rsid w:val="006E02EC"/>
    <w:rsid w:val="006F3422"/>
    <w:rsid w:val="006F4481"/>
    <w:rsid w:val="006F65A6"/>
    <w:rsid w:val="006F6D6B"/>
    <w:rsid w:val="00701F15"/>
    <w:rsid w:val="00702E99"/>
    <w:rsid w:val="00711EEC"/>
    <w:rsid w:val="00712DC6"/>
    <w:rsid w:val="0071433A"/>
    <w:rsid w:val="007211B1"/>
    <w:rsid w:val="0073223E"/>
    <w:rsid w:val="00733213"/>
    <w:rsid w:val="007379EE"/>
    <w:rsid w:val="00741F80"/>
    <w:rsid w:val="00746187"/>
    <w:rsid w:val="007546F6"/>
    <w:rsid w:val="00756393"/>
    <w:rsid w:val="00756585"/>
    <w:rsid w:val="00756ED3"/>
    <w:rsid w:val="0076254F"/>
    <w:rsid w:val="00765B99"/>
    <w:rsid w:val="00770D01"/>
    <w:rsid w:val="00770EF8"/>
    <w:rsid w:val="00773ACC"/>
    <w:rsid w:val="007801F5"/>
    <w:rsid w:val="00783CA4"/>
    <w:rsid w:val="007842FB"/>
    <w:rsid w:val="00786124"/>
    <w:rsid w:val="00790841"/>
    <w:rsid w:val="0079514B"/>
    <w:rsid w:val="007A0B98"/>
    <w:rsid w:val="007A16D2"/>
    <w:rsid w:val="007A2DC1"/>
    <w:rsid w:val="007A399B"/>
    <w:rsid w:val="007A496F"/>
    <w:rsid w:val="007A5EAB"/>
    <w:rsid w:val="007C39DD"/>
    <w:rsid w:val="007C659C"/>
    <w:rsid w:val="007C7A53"/>
    <w:rsid w:val="007D3319"/>
    <w:rsid w:val="007D335D"/>
    <w:rsid w:val="007E3314"/>
    <w:rsid w:val="007E4B03"/>
    <w:rsid w:val="007E7FED"/>
    <w:rsid w:val="007F324B"/>
    <w:rsid w:val="00802749"/>
    <w:rsid w:val="00805400"/>
    <w:rsid w:val="0080553C"/>
    <w:rsid w:val="00805B46"/>
    <w:rsid w:val="00805F1C"/>
    <w:rsid w:val="00813E65"/>
    <w:rsid w:val="0082255A"/>
    <w:rsid w:val="00824046"/>
    <w:rsid w:val="00825DC2"/>
    <w:rsid w:val="0082726E"/>
    <w:rsid w:val="00827CF4"/>
    <w:rsid w:val="00834AD3"/>
    <w:rsid w:val="00834DF5"/>
    <w:rsid w:val="00843795"/>
    <w:rsid w:val="00847F0F"/>
    <w:rsid w:val="008513C3"/>
    <w:rsid w:val="00852448"/>
    <w:rsid w:val="008565F7"/>
    <w:rsid w:val="0086760D"/>
    <w:rsid w:val="008717A2"/>
    <w:rsid w:val="0088258A"/>
    <w:rsid w:val="00886332"/>
    <w:rsid w:val="00886A7D"/>
    <w:rsid w:val="00894DFD"/>
    <w:rsid w:val="00895FF8"/>
    <w:rsid w:val="008A26D9"/>
    <w:rsid w:val="008A7B88"/>
    <w:rsid w:val="008B001E"/>
    <w:rsid w:val="008C0C29"/>
    <w:rsid w:val="008D08AD"/>
    <w:rsid w:val="008E11C5"/>
    <w:rsid w:val="008F0F38"/>
    <w:rsid w:val="008F3638"/>
    <w:rsid w:val="008F4441"/>
    <w:rsid w:val="008F6F31"/>
    <w:rsid w:val="008F74DF"/>
    <w:rsid w:val="00903AE5"/>
    <w:rsid w:val="009116C6"/>
    <w:rsid w:val="009127BA"/>
    <w:rsid w:val="00915AA6"/>
    <w:rsid w:val="009227A6"/>
    <w:rsid w:val="00923638"/>
    <w:rsid w:val="009242B8"/>
    <w:rsid w:val="00924E2E"/>
    <w:rsid w:val="00933EC1"/>
    <w:rsid w:val="00942BA2"/>
    <w:rsid w:val="00946D1D"/>
    <w:rsid w:val="00950D8E"/>
    <w:rsid w:val="009530DB"/>
    <w:rsid w:val="00953676"/>
    <w:rsid w:val="0095512A"/>
    <w:rsid w:val="0095554B"/>
    <w:rsid w:val="00961EE3"/>
    <w:rsid w:val="009677CC"/>
    <w:rsid w:val="009705EE"/>
    <w:rsid w:val="009720FB"/>
    <w:rsid w:val="00974637"/>
    <w:rsid w:val="00977927"/>
    <w:rsid w:val="00981181"/>
    <w:rsid w:val="0098135C"/>
    <w:rsid w:val="0098156A"/>
    <w:rsid w:val="00985CF5"/>
    <w:rsid w:val="00991BAC"/>
    <w:rsid w:val="009A5961"/>
    <w:rsid w:val="009A6EA0"/>
    <w:rsid w:val="009C0B60"/>
    <w:rsid w:val="009C129A"/>
    <w:rsid w:val="009C1335"/>
    <w:rsid w:val="009C1AB2"/>
    <w:rsid w:val="009C7251"/>
    <w:rsid w:val="009D0C48"/>
    <w:rsid w:val="009E0985"/>
    <w:rsid w:val="009E2E91"/>
    <w:rsid w:val="009E5A64"/>
    <w:rsid w:val="009F7758"/>
    <w:rsid w:val="009F7B6D"/>
    <w:rsid w:val="00A139F5"/>
    <w:rsid w:val="00A15F16"/>
    <w:rsid w:val="00A24587"/>
    <w:rsid w:val="00A2551F"/>
    <w:rsid w:val="00A30006"/>
    <w:rsid w:val="00A33B03"/>
    <w:rsid w:val="00A365F4"/>
    <w:rsid w:val="00A372F1"/>
    <w:rsid w:val="00A37DBC"/>
    <w:rsid w:val="00A42936"/>
    <w:rsid w:val="00A47D80"/>
    <w:rsid w:val="00A53132"/>
    <w:rsid w:val="00A563F2"/>
    <w:rsid w:val="00A566E8"/>
    <w:rsid w:val="00A61128"/>
    <w:rsid w:val="00A67155"/>
    <w:rsid w:val="00A67511"/>
    <w:rsid w:val="00A810F9"/>
    <w:rsid w:val="00A84D60"/>
    <w:rsid w:val="00A86ECC"/>
    <w:rsid w:val="00A86FCC"/>
    <w:rsid w:val="00A94074"/>
    <w:rsid w:val="00AA710D"/>
    <w:rsid w:val="00AB14A0"/>
    <w:rsid w:val="00AB26EC"/>
    <w:rsid w:val="00AB5DFF"/>
    <w:rsid w:val="00AB6D25"/>
    <w:rsid w:val="00AC2681"/>
    <w:rsid w:val="00AC3FCE"/>
    <w:rsid w:val="00AD40D1"/>
    <w:rsid w:val="00AE0C60"/>
    <w:rsid w:val="00AE2C62"/>
    <w:rsid w:val="00AE2D4B"/>
    <w:rsid w:val="00AE4F99"/>
    <w:rsid w:val="00AF4B1B"/>
    <w:rsid w:val="00B04B80"/>
    <w:rsid w:val="00B12859"/>
    <w:rsid w:val="00B1321E"/>
    <w:rsid w:val="00B14952"/>
    <w:rsid w:val="00B14D4E"/>
    <w:rsid w:val="00B20267"/>
    <w:rsid w:val="00B2764F"/>
    <w:rsid w:val="00B30ABB"/>
    <w:rsid w:val="00B31E5A"/>
    <w:rsid w:val="00B32849"/>
    <w:rsid w:val="00B3634C"/>
    <w:rsid w:val="00B4574B"/>
    <w:rsid w:val="00B469DC"/>
    <w:rsid w:val="00B521D5"/>
    <w:rsid w:val="00B578C2"/>
    <w:rsid w:val="00B653AB"/>
    <w:rsid w:val="00B65F9E"/>
    <w:rsid w:val="00B6678D"/>
    <w:rsid w:val="00B66B19"/>
    <w:rsid w:val="00B72F9E"/>
    <w:rsid w:val="00B73F22"/>
    <w:rsid w:val="00B8632F"/>
    <w:rsid w:val="00B914E9"/>
    <w:rsid w:val="00B91519"/>
    <w:rsid w:val="00B956EE"/>
    <w:rsid w:val="00BA2BA1"/>
    <w:rsid w:val="00BA381D"/>
    <w:rsid w:val="00BB1508"/>
    <w:rsid w:val="00BB4F09"/>
    <w:rsid w:val="00BB6A91"/>
    <w:rsid w:val="00BC1A9C"/>
    <w:rsid w:val="00BC39B4"/>
    <w:rsid w:val="00BD2D71"/>
    <w:rsid w:val="00BD38C3"/>
    <w:rsid w:val="00BD4E33"/>
    <w:rsid w:val="00BD6AFB"/>
    <w:rsid w:val="00BE13B8"/>
    <w:rsid w:val="00BE4CE8"/>
    <w:rsid w:val="00BE7D32"/>
    <w:rsid w:val="00BF300F"/>
    <w:rsid w:val="00BF53A8"/>
    <w:rsid w:val="00C030DE"/>
    <w:rsid w:val="00C034BC"/>
    <w:rsid w:val="00C06732"/>
    <w:rsid w:val="00C1360A"/>
    <w:rsid w:val="00C17FE4"/>
    <w:rsid w:val="00C22105"/>
    <w:rsid w:val="00C244B6"/>
    <w:rsid w:val="00C30C7A"/>
    <w:rsid w:val="00C369D1"/>
    <w:rsid w:val="00C36D69"/>
    <w:rsid w:val="00C3702F"/>
    <w:rsid w:val="00C41F7D"/>
    <w:rsid w:val="00C42943"/>
    <w:rsid w:val="00C46D27"/>
    <w:rsid w:val="00C502EA"/>
    <w:rsid w:val="00C56F2C"/>
    <w:rsid w:val="00C57E18"/>
    <w:rsid w:val="00C646BA"/>
    <w:rsid w:val="00C64A37"/>
    <w:rsid w:val="00C71415"/>
    <w:rsid w:val="00C7158E"/>
    <w:rsid w:val="00C71E0A"/>
    <w:rsid w:val="00C7250B"/>
    <w:rsid w:val="00C7346B"/>
    <w:rsid w:val="00C74334"/>
    <w:rsid w:val="00C77C0E"/>
    <w:rsid w:val="00C91687"/>
    <w:rsid w:val="00C9209D"/>
    <w:rsid w:val="00C924A8"/>
    <w:rsid w:val="00C945FE"/>
    <w:rsid w:val="00C96FAA"/>
    <w:rsid w:val="00C97A04"/>
    <w:rsid w:val="00CA107B"/>
    <w:rsid w:val="00CA2132"/>
    <w:rsid w:val="00CA484D"/>
    <w:rsid w:val="00CA4FB6"/>
    <w:rsid w:val="00CA6F63"/>
    <w:rsid w:val="00CB41A7"/>
    <w:rsid w:val="00CC2B6C"/>
    <w:rsid w:val="00CC739E"/>
    <w:rsid w:val="00CD35A7"/>
    <w:rsid w:val="00CD58B7"/>
    <w:rsid w:val="00CE3AE7"/>
    <w:rsid w:val="00CF4099"/>
    <w:rsid w:val="00D00796"/>
    <w:rsid w:val="00D01036"/>
    <w:rsid w:val="00D0492E"/>
    <w:rsid w:val="00D10F83"/>
    <w:rsid w:val="00D12408"/>
    <w:rsid w:val="00D261A2"/>
    <w:rsid w:val="00D30555"/>
    <w:rsid w:val="00D338DC"/>
    <w:rsid w:val="00D33CF1"/>
    <w:rsid w:val="00D33CF4"/>
    <w:rsid w:val="00D4156C"/>
    <w:rsid w:val="00D46712"/>
    <w:rsid w:val="00D5107C"/>
    <w:rsid w:val="00D55758"/>
    <w:rsid w:val="00D616D2"/>
    <w:rsid w:val="00D63B5F"/>
    <w:rsid w:val="00D64203"/>
    <w:rsid w:val="00D6652C"/>
    <w:rsid w:val="00D675E6"/>
    <w:rsid w:val="00D70EF7"/>
    <w:rsid w:val="00D7223B"/>
    <w:rsid w:val="00D8363D"/>
    <w:rsid w:val="00D8397C"/>
    <w:rsid w:val="00D85984"/>
    <w:rsid w:val="00D9060C"/>
    <w:rsid w:val="00D931B8"/>
    <w:rsid w:val="00D942FA"/>
    <w:rsid w:val="00D94EED"/>
    <w:rsid w:val="00D96026"/>
    <w:rsid w:val="00DA19B5"/>
    <w:rsid w:val="00DA4463"/>
    <w:rsid w:val="00DA7C1C"/>
    <w:rsid w:val="00DB147A"/>
    <w:rsid w:val="00DB1B7A"/>
    <w:rsid w:val="00DB2076"/>
    <w:rsid w:val="00DB4CC6"/>
    <w:rsid w:val="00DC02DB"/>
    <w:rsid w:val="00DC6708"/>
    <w:rsid w:val="00DD0A47"/>
    <w:rsid w:val="00DD6DDE"/>
    <w:rsid w:val="00E01436"/>
    <w:rsid w:val="00E045BD"/>
    <w:rsid w:val="00E107FB"/>
    <w:rsid w:val="00E11D70"/>
    <w:rsid w:val="00E16AB6"/>
    <w:rsid w:val="00E17B77"/>
    <w:rsid w:val="00E23337"/>
    <w:rsid w:val="00E259EA"/>
    <w:rsid w:val="00E31ACC"/>
    <w:rsid w:val="00E32061"/>
    <w:rsid w:val="00E341FB"/>
    <w:rsid w:val="00E3783E"/>
    <w:rsid w:val="00E42FF9"/>
    <w:rsid w:val="00E4582B"/>
    <w:rsid w:val="00E46346"/>
    <w:rsid w:val="00E4714C"/>
    <w:rsid w:val="00E51AEB"/>
    <w:rsid w:val="00E522A7"/>
    <w:rsid w:val="00E54452"/>
    <w:rsid w:val="00E57D05"/>
    <w:rsid w:val="00E61ADF"/>
    <w:rsid w:val="00E64FC0"/>
    <w:rsid w:val="00E664C5"/>
    <w:rsid w:val="00E671A2"/>
    <w:rsid w:val="00E73765"/>
    <w:rsid w:val="00E76D26"/>
    <w:rsid w:val="00E84408"/>
    <w:rsid w:val="00E8628A"/>
    <w:rsid w:val="00E94F93"/>
    <w:rsid w:val="00E973A9"/>
    <w:rsid w:val="00E97A00"/>
    <w:rsid w:val="00EA548D"/>
    <w:rsid w:val="00EA54BB"/>
    <w:rsid w:val="00EB1390"/>
    <w:rsid w:val="00EB2C71"/>
    <w:rsid w:val="00EB41FB"/>
    <w:rsid w:val="00EB4340"/>
    <w:rsid w:val="00EB4C27"/>
    <w:rsid w:val="00EB556D"/>
    <w:rsid w:val="00EB5A7D"/>
    <w:rsid w:val="00EB63FC"/>
    <w:rsid w:val="00EB6F31"/>
    <w:rsid w:val="00EC23F1"/>
    <w:rsid w:val="00ED55C0"/>
    <w:rsid w:val="00ED682B"/>
    <w:rsid w:val="00ED6C96"/>
    <w:rsid w:val="00EE02E5"/>
    <w:rsid w:val="00EE144A"/>
    <w:rsid w:val="00EE1462"/>
    <w:rsid w:val="00EE1CE5"/>
    <w:rsid w:val="00EE41D5"/>
    <w:rsid w:val="00EE669E"/>
    <w:rsid w:val="00EE76E6"/>
    <w:rsid w:val="00EF300F"/>
    <w:rsid w:val="00EF5272"/>
    <w:rsid w:val="00F037A4"/>
    <w:rsid w:val="00F05B0E"/>
    <w:rsid w:val="00F06B26"/>
    <w:rsid w:val="00F07C01"/>
    <w:rsid w:val="00F14231"/>
    <w:rsid w:val="00F17477"/>
    <w:rsid w:val="00F24C51"/>
    <w:rsid w:val="00F260AC"/>
    <w:rsid w:val="00F26179"/>
    <w:rsid w:val="00F27C8F"/>
    <w:rsid w:val="00F32749"/>
    <w:rsid w:val="00F32FEF"/>
    <w:rsid w:val="00F36EA1"/>
    <w:rsid w:val="00F37172"/>
    <w:rsid w:val="00F416C8"/>
    <w:rsid w:val="00F418D1"/>
    <w:rsid w:val="00F4477E"/>
    <w:rsid w:val="00F47038"/>
    <w:rsid w:val="00F47563"/>
    <w:rsid w:val="00F47E4D"/>
    <w:rsid w:val="00F630F3"/>
    <w:rsid w:val="00F65C9A"/>
    <w:rsid w:val="00F670E8"/>
    <w:rsid w:val="00F67D8F"/>
    <w:rsid w:val="00F76E98"/>
    <w:rsid w:val="00F80028"/>
    <w:rsid w:val="00F802BE"/>
    <w:rsid w:val="00F85591"/>
    <w:rsid w:val="00F86024"/>
    <w:rsid w:val="00F8611A"/>
    <w:rsid w:val="00F94CCE"/>
    <w:rsid w:val="00FA4729"/>
    <w:rsid w:val="00FA5128"/>
    <w:rsid w:val="00FA5405"/>
    <w:rsid w:val="00FB42D4"/>
    <w:rsid w:val="00FB5906"/>
    <w:rsid w:val="00FB762F"/>
    <w:rsid w:val="00FC2AED"/>
    <w:rsid w:val="00FC553B"/>
    <w:rsid w:val="00FD4C0A"/>
    <w:rsid w:val="00FD5EA7"/>
    <w:rsid w:val="00FD670D"/>
    <w:rsid w:val="00FD798D"/>
    <w:rsid w:val="00FE7252"/>
    <w:rsid w:val="00FF59E7"/>
    <w:rsid w:val="00FF6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6152C"/>
  <w15:docId w15:val="{21A1107D-7E3E-45B7-9364-62BFE7C3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customStyle="1" w:styleId="tlid-translation">
    <w:name w:val="tlid-translation"/>
    <w:basedOn w:val="Domylnaczcionkaakapitu"/>
    <w:rsid w:val="00A6751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A7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A7B88"/>
    <w:rPr>
      <w:rFonts w:ascii="Courier New" w:eastAsia="Times New Roman" w:hAnsi="Courier New" w:cs="Courier New"/>
      <w:sz w:val="20"/>
      <w:szCs w:val="20"/>
      <w:lang w:eastAsia="pl-PL"/>
    </w:rPr>
  </w:style>
  <w:style w:type="table" w:customStyle="1" w:styleId="Siatkatabelijasna10">
    <w:name w:val="Siatka tabeli — jasna1"/>
    <w:basedOn w:val="Standardowy"/>
    <w:uiPriority w:val="40"/>
    <w:rsid w:val="00765B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F0B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0B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0BEC"/>
    <w:rPr>
      <w:rFonts w:ascii="Fira Sans" w:hAnsi="Fira San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7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272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7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2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9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1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7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8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25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2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6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4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5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44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96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3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0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1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7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metainformacje/slownik-pojec/pojecia-stosowane-w-statystyce-publicznej/1646,pojecie.html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stat.gov.pl/metainformacje/slownik-pojec/pojecia-stosowane-w-statystyce-publicznej/152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stat.gov.pl/metainformacje/slownik-pojec/pojecia-stosowane-w-statystyce-publicznej/1646,pojecie.html" TargetMode="Externa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s://stat.gov.pl/metainformacje/slownik-pojec/pojecia-stosowane-w-statystyce-publicznej/1526,pojecie.htm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yperlink" Target="https://bdm.stat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bdm.stat.gov.pl/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Odbiorcy2 xmlns="8C029B3F-2CC4-4A59-AF0D-A90575FA3373" xsi:nil="true"/>
    <Osoba xmlns="8C029B3F-2CC4-4A59-AF0D-A90575FA3373">STAT\KULCZYCKAJ</Osoba>
    <NazwaPliku xmlns="8C029B3F-2CC4-4A59-AF0D-A90575FA3373">News release_Financial results of FI in 2019 EN GUS-1.DOCX.DOCX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BA3E5-2A0D-4538-8951-EDD7888D3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5BBAB6-5F41-42A6-ABC0-F188997497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86ADE976-277E-4610-AE9E-D22D4103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969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2017-11-07T13:05:00Z</cp:lastPrinted>
  <dcterms:created xsi:type="dcterms:W3CDTF">2021-07-14T06:09:00Z</dcterms:created>
  <dcterms:modified xsi:type="dcterms:W3CDTF">2021-07-14T06:24:00Z</dcterms:modified>
</cp:coreProperties>
</file>