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F" w:rsidRPr="00864E3F" w:rsidRDefault="00D656E3" w:rsidP="001F65DF">
      <w:pPr>
        <w:pStyle w:val="tytuinformacji"/>
        <w:rPr>
          <w:rFonts w:cs="Arial"/>
          <w:szCs w:val="40"/>
          <w:lang w:val="en-US"/>
        </w:rPr>
      </w:pPr>
      <w:r>
        <w:rPr>
          <w:noProof/>
          <w:lang w:eastAsia="pl-PL"/>
        </w:rPr>
        <w:pict>
          <v:rect id="Prostokąt 4" o:spid="_x0000_s1026" style="position:absolute;margin-left:453.55pt;margin-top:63.4pt;width:147.4pt;height:1767.25pt;z-index:-251666432;visibility:visible;mso-position-horizontal-relative:page;mso-position-vertical-relative:page;mso-width-relative:margin;mso-height-relative:margin;v-text-anchor:middle" fillcolor="#f2f2f2" stroked="f" strokeweight="1pt">
            <w10:wrap type="square" anchorx="page" anchory="page"/>
          </v:rect>
        </w:pic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6C63E8">
        <w:rPr>
          <w:rFonts w:cs="Arial"/>
          <w:szCs w:val="40"/>
          <w:lang w:val="en-US"/>
        </w:rPr>
        <w:t>1</w:t>
      </w:r>
      <w:r w:rsidR="006C63E8">
        <w:rPr>
          <w:rFonts w:cs="Arial"/>
          <w:szCs w:val="40"/>
          <w:vertAlign w:val="superscript"/>
          <w:lang w:val="en-US"/>
        </w:rPr>
        <w:t>st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</w:t>
      </w:r>
      <w:r w:rsidR="00A42E03">
        <w:rPr>
          <w:rFonts w:cs="Arial"/>
          <w:szCs w:val="40"/>
          <w:lang w:val="en-US"/>
        </w:rPr>
        <w:t>21</w:t>
      </w:r>
    </w:p>
    <w:p w:rsidR="00062FB3" w:rsidRPr="00864E3F" w:rsidRDefault="00D656E3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48" type="#_x0000_t202" style="position:absolute;margin-left:21.1pt;margin-top:7.35pt;width:100.8pt;height:26.5pt;z-index:251654144;visibility:visible;mso-wrap-distance-top:3.6pt;mso-wrap-distance-bottom:3.6pt;mso-position-horizontal-relative:righ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<v:textbox style="mso-next-textbox:#Pole tekstowe 8">
              <w:txbxContent>
                <w:p w:rsidR="0081140D" w:rsidRDefault="00507170" w:rsidP="0081140D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31</w:t>
                  </w:r>
                  <w:r w:rsidR="008A2A6D">
                    <w:rPr>
                      <w:rFonts w:ascii="Fira Sans SemiBold" w:hAnsi="Fira Sans SemiBold"/>
                      <w:color w:val="001D77"/>
                    </w:rPr>
                    <w:t>.0</w:t>
                  </w:r>
                  <w:r>
                    <w:rPr>
                      <w:rFonts w:ascii="Fira Sans SemiBold" w:hAnsi="Fira Sans SemiBold"/>
                      <w:color w:val="001D77"/>
                    </w:rPr>
                    <w:t>5</w:t>
                  </w:r>
                  <w:r w:rsidR="008A2A6D">
                    <w:rPr>
                      <w:rFonts w:ascii="Fira Sans SemiBold" w:hAnsi="Fira Sans SemiBold"/>
                      <w:color w:val="001D77"/>
                    </w:rPr>
                    <w:t>.2021</w:t>
                  </w:r>
                  <w:r w:rsidR="0081140D">
                    <w:rPr>
                      <w:rFonts w:ascii="Fira Sans SemiBold" w:hAnsi="Fira Sans SemiBold"/>
                      <w:color w:val="001D77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1F65DF" w:rsidRPr="00864E3F">
        <w:rPr>
          <w:rFonts w:cs="Arial"/>
          <w:szCs w:val="40"/>
          <w:lang w:val="en-US"/>
        </w:rPr>
        <w:t xml:space="preserve">Preliminary estimate </w: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D656E3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cs="Arial"/>
          <w:szCs w:val="40"/>
        </w:rPr>
        <w:pict>
          <v:shape id="Pole tekstowe 2" o:spid="_x0000_s1027" type="#_x0000_t202" style="position:absolute;margin-left:421.25pt;margin-top:19.6pt;width:131.1pt;height:46.2pt;z-index:-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" filled="f" stroked="f">
            <v:textbox style="mso-next-textbox:#Pole tekstowe 2">
              <w:txbxContent>
                <w:p w:rsidR="001F65DF" w:rsidRPr="005F0174" w:rsidRDefault="001F65DF" w:rsidP="005F0174">
                  <w:pPr>
                    <w:spacing w:before="0" w:after="0"/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:rsidR="005916D7" w:rsidRPr="001F65DF" w:rsidRDefault="00D656E3" w:rsidP="00633014">
      <w:pPr>
        <w:pStyle w:val="LID"/>
        <w:rPr>
          <w:lang w:val="en-US"/>
        </w:rPr>
      </w:pPr>
      <w:r>
        <w:pict>
          <v:shape id="_x0000_s1028" type="#_x0000_t202" style="position:absolute;margin-left:0;margin-top:6.55pt;width:2in;height:88.65pt;z-index:25165209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<v:textbox style="mso-next-textbox:#_x0000_s1028">
              <w:txbxContent>
                <w:p w:rsidR="00933EC1" w:rsidRPr="009A4BE3" w:rsidRDefault="009A4BE3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 w:rsidRPr="009A4BE3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62585" cy="362585"/>
                        <wp:effectExtent l="0" t="0" r="0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258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374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 xml:space="preserve"> 9</w:t>
                  </w:r>
                  <w:r w:rsidR="006C63E8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9</w:t>
                  </w:r>
                  <w:r w:rsidR="008A2A6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.</w:t>
                  </w:r>
                  <w:r w:rsidR="006C63E8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1</w:t>
                  </w:r>
                </w:p>
                <w:p w:rsidR="00933EC1" w:rsidRPr="006676C2" w:rsidRDefault="001F65DF" w:rsidP="0038292F">
                  <w:pPr>
                    <w:pStyle w:val="tekstnaniebieskimtle"/>
                    <w:rPr>
                      <w:color w:val="FFFFFF" w:themeColor="background1"/>
                      <w:szCs w:val="20"/>
                      <w:lang w:val="en-US"/>
                    </w:rPr>
                  </w:pPr>
                  <w:r w:rsidRPr="006676C2">
                    <w:rPr>
                      <w:szCs w:val="20"/>
                      <w:lang w:val="en-US"/>
                    </w:rPr>
                    <w:t xml:space="preserve">GDP growth </w:t>
                  </w:r>
                  <w:r w:rsidR="00622489">
                    <w:rPr>
                      <w:szCs w:val="20"/>
                      <w:lang w:val="en-US"/>
                    </w:rPr>
                    <w:t xml:space="preserve">rate </w:t>
                  </w:r>
                  <w:r w:rsidRPr="006676C2">
                    <w:rPr>
                      <w:szCs w:val="20"/>
                      <w:lang w:val="en-US"/>
                    </w:rPr>
                    <w:t xml:space="preserve">in the </w:t>
                  </w:r>
                  <w:r w:rsidR="006C63E8">
                    <w:rPr>
                      <w:szCs w:val="20"/>
                      <w:lang w:val="en-US"/>
                    </w:rPr>
                    <w:t>1</w:t>
                  </w:r>
                  <w:r w:rsidR="006C63E8">
                    <w:rPr>
                      <w:szCs w:val="20"/>
                      <w:vertAlign w:val="superscript"/>
                      <w:lang w:val="en-US"/>
                    </w:rPr>
                    <w:t xml:space="preserve">st </w:t>
                  </w:r>
                  <w:r w:rsidRPr="006676C2">
                    <w:rPr>
                      <w:szCs w:val="20"/>
                      <w:lang w:val="en-US"/>
                    </w:rPr>
                    <w:t>quarter of</w:t>
                  </w:r>
                  <w:r w:rsidR="0038292F" w:rsidRPr="006676C2">
                    <w:rPr>
                      <w:szCs w:val="20"/>
                      <w:lang w:val="en-US"/>
                    </w:rPr>
                    <w:t xml:space="preserve"> 20</w:t>
                  </w:r>
                  <w:r w:rsidR="00C91155">
                    <w:rPr>
                      <w:szCs w:val="20"/>
                      <w:lang w:val="en-US"/>
                    </w:rPr>
                    <w:t>2</w:t>
                  </w:r>
                  <w:r w:rsidR="006C63E8">
                    <w:rPr>
                      <w:szCs w:val="20"/>
                      <w:lang w:val="en-US"/>
                    </w:rPr>
                    <w:t>1</w:t>
                  </w:r>
                  <w:r w:rsidR="00480622" w:rsidRPr="006676C2">
                    <w:rPr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D25D34">
        <w:rPr>
          <w:lang w:val="en-US"/>
        </w:rPr>
        <w:t>Seasonally unadjusted g</w:t>
      </w:r>
      <w:r w:rsidR="001F65DF" w:rsidRPr="001F65DF">
        <w:rPr>
          <w:lang w:val="en-US"/>
        </w:rPr>
        <w:t>ross domestic product (GDP)</w:t>
      </w:r>
      <w:r w:rsidR="0067292B">
        <w:rPr>
          <w:lang w:val="en-US"/>
        </w:rPr>
        <w:t xml:space="preserve"> </w:t>
      </w:r>
      <w:r w:rsidR="001F65DF" w:rsidRPr="001F65DF">
        <w:rPr>
          <w:lang w:val="en-US"/>
        </w:rPr>
        <w:t xml:space="preserve">in the </w:t>
      </w:r>
      <w:r w:rsidR="006C63E8">
        <w:rPr>
          <w:lang w:val="en-US"/>
        </w:rPr>
        <w:t>1</w:t>
      </w:r>
      <w:r w:rsidR="006C63E8">
        <w:rPr>
          <w:vertAlign w:val="superscript"/>
          <w:lang w:val="en-US"/>
        </w:rPr>
        <w:t>st</w:t>
      </w:r>
      <w:r w:rsidR="008A2A6D">
        <w:rPr>
          <w:vertAlign w:val="superscript"/>
          <w:lang w:val="en-US"/>
        </w:rPr>
        <w:t xml:space="preserve"> </w:t>
      </w:r>
      <w:r w:rsidR="001F65DF" w:rsidRPr="001F65DF">
        <w:rPr>
          <w:lang w:val="en-US"/>
        </w:rPr>
        <w:t>quarter of 20</w:t>
      </w:r>
      <w:r w:rsidR="004733E5">
        <w:rPr>
          <w:lang w:val="en-US"/>
        </w:rPr>
        <w:t>2</w:t>
      </w:r>
      <w:r w:rsidR="006C63E8">
        <w:rPr>
          <w:lang w:val="en-US"/>
        </w:rPr>
        <w:t>1</w:t>
      </w:r>
      <w:r w:rsidR="001F65DF" w:rsidRPr="001F65DF">
        <w:rPr>
          <w:lang w:val="en-US"/>
        </w:rPr>
        <w:t xml:space="preserve"> was </w:t>
      </w:r>
      <w:r w:rsidR="00373749">
        <w:rPr>
          <w:lang w:val="en-US"/>
        </w:rPr>
        <w:t>lower</w:t>
      </w:r>
      <w:r w:rsidR="001F65DF" w:rsidRPr="001F65DF">
        <w:rPr>
          <w:lang w:val="en-US"/>
        </w:rPr>
        <w:t xml:space="preserve"> by </w:t>
      </w:r>
      <w:r w:rsidR="006C63E8">
        <w:rPr>
          <w:lang w:val="en-US"/>
        </w:rPr>
        <w:t>0.9</w:t>
      </w:r>
      <w:r w:rsidR="001F65DF" w:rsidRPr="001F65DF">
        <w:rPr>
          <w:lang w:val="en-US"/>
        </w:rPr>
        <w:t xml:space="preserve">%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472BC6">
        <w:rPr>
          <w:lang w:val="en-US"/>
        </w:rPr>
        <w:t xml:space="preserve">the </w:t>
      </w:r>
      <w:r w:rsidR="00622489">
        <w:rPr>
          <w:lang w:val="en-US"/>
        </w:rPr>
        <w:t xml:space="preserve">growth </w:t>
      </w:r>
      <w:r w:rsidR="00472BC6">
        <w:rPr>
          <w:lang w:val="en-US"/>
        </w:rPr>
        <w:t xml:space="preserve">of </w:t>
      </w:r>
      <w:r w:rsidR="006C63E8">
        <w:rPr>
          <w:lang w:val="en-US"/>
        </w:rPr>
        <w:t>2.0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</w:t>
      </w:r>
      <w:r w:rsidR="006C63E8">
        <w:rPr>
          <w:lang w:val="en-US"/>
        </w:rPr>
        <w:t>20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6C63E8">
        <w:rPr>
          <w:lang w:val="en-US"/>
        </w:rPr>
        <w:t>.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2E0C25" w:rsidRDefault="002E0C25" w:rsidP="002E0C25">
      <w:pPr>
        <w:rPr>
          <w:lang w:val="en-US" w:eastAsia="pl-PL"/>
        </w:rPr>
      </w:pPr>
    </w:p>
    <w:p w:rsidR="00CF6E09" w:rsidRDefault="00CF6E09" w:rsidP="002E0C25">
      <w:pPr>
        <w:rPr>
          <w:lang w:val="en-US" w:eastAsia="pl-PL"/>
        </w:rPr>
      </w:pPr>
    </w:p>
    <w:p w:rsidR="00241054" w:rsidRPr="009A52C3" w:rsidRDefault="00D656E3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>
        <w:rPr>
          <w:b/>
          <w:noProof/>
          <w:spacing w:val="-2"/>
          <w:sz w:val="18"/>
          <w:szCs w:val="18"/>
          <w:lang w:eastAsia="pl-PL"/>
        </w:rPr>
        <w:pict>
          <v:shape id="_x0000_s1030" type="#_x0000_t202" style="position:absolute;margin-left:456.2pt;margin-top:11.05pt;width:138.9pt;height:113.1pt;z-index:-251657216;visibility:visible;mso-wrap-distance-top:3.6pt;mso-wrap-distance-bottom:3.6pt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" filled="f" stroked="f">
            <v:textbox style="mso-next-textbox:#_x0000_s1030">
              <w:txbxContent>
                <w:p w:rsidR="00D8241B" w:rsidRPr="00001028" w:rsidRDefault="00D8241B" w:rsidP="00D8241B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  <w:r w:rsidRPr="0000102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 xml:space="preserve">Compared to </w:t>
                  </w:r>
                  <w:r w:rsidR="00717821" w:rsidRPr="006C3045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flash</w:t>
                  </w:r>
                  <w:r w:rsidRPr="00717821">
                    <w:rPr>
                      <w:rFonts w:eastAsia="Times New Roman" w:cs="Times New Roman"/>
                      <w:bCs/>
                      <w:color w:val="FF0000"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r w:rsidRPr="0000102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 xml:space="preserve">estimate published on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14</w:t>
                  </w:r>
                  <w:r w:rsidRPr="0000102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.0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5</w:t>
                  </w:r>
                  <w:r w:rsidRPr="0000102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.202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1, the decrease of gross domestic product in 1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vertAlign w:val="superscript"/>
                      <w:lang w:val="en-US" w:eastAsia="pl-PL"/>
                    </w:rPr>
                    <w:t xml:space="preserve">st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 xml:space="preserve">quarter of 2021 was </w:t>
                  </w:r>
                  <w:r w:rsidRPr="00D074E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smaller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 xml:space="preserve"> by 0.3 percentage points and amounted to 0.9%</w:t>
                  </w:r>
                </w:p>
                <w:p w:rsidR="00816793" w:rsidRPr="00C10449" w:rsidRDefault="00816793" w:rsidP="00816793">
                  <w:pPr>
                    <w:rPr>
                      <w:b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  <w:r w:rsidR="00241054" w:rsidRPr="009A52C3">
        <w:rPr>
          <w:noProof/>
          <w:szCs w:val="19"/>
          <w:lang w:val="en-US" w:eastAsia="pl-PL"/>
        </w:rPr>
        <w:t xml:space="preserve">In the </w:t>
      </w:r>
      <w:r w:rsidR="006C63E8">
        <w:rPr>
          <w:noProof/>
          <w:szCs w:val="19"/>
          <w:lang w:val="en-US" w:eastAsia="pl-PL"/>
        </w:rPr>
        <w:t>1</w:t>
      </w:r>
      <w:r w:rsidR="006C63E8">
        <w:rPr>
          <w:noProof/>
          <w:szCs w:val="19"/>
          <w:vertAlign w:val="superscript"/>
          <w:lang w:val="en-US" w:eastAsia="pl-PL"/>
        </w:rPr>
        <w:t>st</w:t>
      </w:r>
      <w:r w:rsidR="00241054" w:rsidRPr="009A52C3">
        <w:rPr>
          <w:noProof/>
          <w:szCs w:val="19"/>
          <w:lang w:val="en-US" w:eastAsia="pl-PL"/>
        </w:rPr>
        <w:t xml:space="preserve"> quarter of 20</w:t>
      </w:r>
      <w:r w:rsidR="00C91155">
        <w:rPr>
          <w:noProof/>
          <w:szCs w:val="19"/>
          <w:lang w:val="en-US" w:eastAsia="pl-PL"/>
        </w:rPr>
        <w:t>2</w:t>
      </w:r>
      <w:r w:rsidR="006C63E8">
        <w:rPr>
          <w:noProof/>
          <w:szCs w:val="19"/>
          <w:lang w:val="en-US" w:eastAsia="pl-PL"/>
        </w:rPr>
        <w:t>1</w:t>
      </w:r>
      <w:r w:rsidR="00241054" w:rsidRPr="009A52C3">
        <w:rPr>
          <w:noProof/>
          <w:szCs w:val="19"/>
          <w:lang w:val="en-US" w:eastAsia="pl-PL"/>
        </w:rPr>
        <w:t xml:space="preserve"> seasonally adjusted gross domestic product (GDP) (constant  prices, reference year 201</w:t>
      </w:r>
      <w:r w:rsidR="003229BE">
        <w:rPr>
          <w:noProof/>
          <w:szCs w:val="19"/>
          <w:lang w:val="en-US" w:eastAsia="pl-PL"/>
        </w:rPr>
        <w:t>5</w:t>
      </w:r>
      <w:r w:rsidR="00241054" w:rsidRPr="009A52C3">
        <w:rPr>
          <w:noProof/>
          <w:szCs w:val="19"/>
          <w:lang w:val="en-US" w:eastAsia="pl-PL"/>
        </w:rPr>
        <w:t xml:space="preserve">) was </w:t>
      </w:r>
      <w:r w:rsidR="006C63E8">
        <w:rPr>
          <w:noProof/>
          <w:szCs w:val="19"/>
          <w:lang w:val="en-US" w:eastAsia="pl-PL"/>
        </w:rPr>
        <w:t>higher</w:t>
      </w:r>
      <w:r w:rsidR="00241054" w:rsidRPr="009A52C3">
        <w:rPr>
          <w:noProof/>
          <w:szCs w:val="19"/>
          <w:lang w:val="en-US" w:eastAsia="pl-PL"/>
        </w:rPr>
        <w:t xml:space="preserve"> by </w:t>
      </w:r>
      <w:r w:rsidR="006C63E8">
        <w:rPr>
          <w:noProof/>
          <w:szCs w:val="19"/>
          <w:lang w:val="en-US" w:eastAsia="pl-PL"/>
        </w:rPr>
        <w:t xml:space="preserve">1.1 </w:t>
      </w:r>
      <w:r w:rsidR="00241054" w:rsidRPr="009A52C3">
        <w:rPr>
          <w:noProof/>
          <w:szCs w:val="19"/>
          <w:lang w:val="en-US" w:eastAsia="pl-PL"/>
        </w:rPr>
        <w:t>% than in the previous quarter a</w:t>
      </w:r>
      <w:r w:rsidR="00E44820" w:rsidRPr="009A52C3">
        <w:rPr>
          <w:noProof/>
          <w:szCs w:val="19"/>
          <w:lang w:val="en-US" w:eastAsia="pl-PL"/>
        </w:rPr>
        <w:t>n</w:t>
      </w:r>
      <w:r w:rsidR="00804D4D" w:rsidRPr="009A52C3">
        <w:rPr>
          <w:noProof/>
          <w:szCs w:val="19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</w:t>
      </w:r>
      <w:r w:rsidR="006C63E8">
        <w:rPr>
          <w:noProof/>
          <w:szCs w:val="19"/>
          <w:lang w:val="en-US" w:eastAsia="pl-PL"/>
        </w:rPr>
        <w:t>1.4</w:t>
      </w:r>
      <w:r w:rsidR="00241054" w:rsidRPr="009A52C3">
        <w:rPr>
          <w:noProof/>
          <w:szCs w:val="19"/>
          <w:lang w:val="en-US" w:eastAsia="pl-PL"/>
        </w:rPr>
        <w:t xml:space="preserve">% </w:t>
      </w:r>
      <w:r w:rsidR="00F3540E">
        <w:rPr>
          <w:noProof/>
          <w:szCs w:val="19"/>
          <w:lang w:val="en-US" w:eastAsia="pl-PL"/>
        </w:rPr>
        <w:t>lower</w:t>
      </w:r>
      <w:r w:rsidR="00472BC6">
        <w:rPr>
          <w:noProof/>
          <w:szCs w:val="19"/>
          <w:lang w:val="en-US" w:eastAsia="pl-PL"/>
        </w:rPr>
        <w:t xml:space="preserve"> than in the </w:t>
      </w:r>
      <w:r w:rsidR="006C63E8">
        <w:rPr>
          <w:noProof/>
          <w:szCs w:val="19"/>
          <w:lang w:val="en-US" w:eastAsia="pl-PL"/>
        </w:rPr>
        <w:t>1</w:t>
      </w:r>
      <w:r w:rsidR="006C63E8">
        <w:rPr>
          <w:noProof/>
          <w:szCs w:val="19"/>
          <w:vertAlign w:val="superscript"/>
          <w:lang w:val="en-US" w:eastAsia="pl-PL"/>
        </w:rPr>
        <w:t>st</w:t>
      </w:r>
      <w:r w:rsidR="00F3540E" w:rsidRPr="009A52C3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quarter of the previous</w:t>
      </w:r>
      <w:r w:rsidR="009110AF">
        <w:rPr>
          <w:noProof/>
          <w:szCs w:val="19"/>
          <w:lang w:val="en-US" w:eastAsia="pl-PL"/>
        </w:rPr>
        <w:t xml:space="preserve">  y</w:t>
      </w:r>
      <w:r w:rsidR="00241054" w:rsidRPr="009A52C3">
        <w:rPr>
          <w:noProof/>
          <w:szCs w:val="19"/>
          <w:lang w:val="en-US" w:eastAsia="pl-PL"/>
        </w:rPr>
        <w:t xml:space="preserve">ear. </w:t>
      </w:r>
    </w:p>
    <w:p w:rsidR="00E17B52" w:rsidRDefault="00241054" w:rsidP="00E17B52">
      <w:pPr>
        <w:tabs>
          <w:tab w:val="left" w:pos="284"/>
        </w:tabs>
        <w:rPr>
          <w:noProof/>
          <w:szCs w:val="19"/>
          <w:lang w:val="en-US" w:eastAsia="pl-PL"/>
        </w:rPr>
      </w:pPr>
      <w:r w:rsidRPr="009A52C3">
        <w:rPr>
          <w:noProof/>
          <w:szCs w:val="19"/>
          <w:lang w:val="en-US" w:eastAsia="pl-PL"/>
        </w:rPr>
        <w:t xml:space="preserve">Seasonally unadjusted GDP (constant average prices of the previous year) was </w:t>
      </w:r>
      <w:r w:rsidR="00F3540E">
        <w:rPr>
          <w:noProof/>
          <w:szCs w:val="19"/>
          <w:lang w:val="en-US" w:eastAsia="pl-PL"/>
        </w:rPr>
        <w:t>lower</w:t>
      </w:r>
      <w:r w:rsidRPr="009A52C3">
        <w:rPr>
          <w:noProof/>
          <w:szCs w:val="19"/>
          <w:lang w:val="en-US" w:eastAsia="pl-PL"/>
        </w:rPr>
        <w:t xml:space="preserve"> by </w:t>
      </w:r>
      <w:r w:rsidR="00E90BAF">
        <w:rPr>
          <w:noProof/>
          <w:szCs w:val="19"/>
          <w:lang w:val="en-US" w:eastAsia="pl-PL"/>
        </w:rPr>
        <w:t>0.9</w:t>
      </w:r>
      <w:r w:rsidRPr="009A52C3">
        <w:rPr>
          <w:noProof/>
          <w:szCs w:val="19"/>
          <w:lang w:val="en-US" w:eastAsia="pl-PL"/>
        </w:rPr>
        <w:t>% than in the correspo</w:t>
      </w:r>
      <w:r w:rsidR="00804D4D" w:rsidRPr="009A52C3">
        <w:rPr>
          <w:noProof/>
          <w:szCs w:val="19"/>
          <w:lang w:val="en-US" w:eastAsia="pl-PL"/>
        </w:rPr>
        <w:t>rd</w:t>
      </w:r>
      <w:r w:rsidRPr="009A52C3">
        <w:rPr>
          <w:noProof/>
          <w:szCs w:val="19"/>
          <w:lang w:val="en-US" w:eastAsia="pl-PL"/>
        </w:rPr>
        <w:t>ing quarter of the previous year</w:t>
      </w:r>
      <w:r w:rsidR="00F3540E">
        <w:rPr>
          <w:noProof/>
          <w:szCs w:val="19"/>
          <w:lang w:val="en-US" w:eastAsia="pl-PL"/>
        </w:rPr>
        <w:t>.</w:t>
      </w:r>
    </w:p>
    <w:p w:rsid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</w:p>
    <w:p w:rsidR="00613346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</w:t>
      </w:r>
      <w:r w:rsidR="00B54C77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5</w:t>
      </w:r>
    </w:p>
    <w:p w:rsidR="00241054" w:rsidRPr="00241054" w:rsidRDefault="00241054" w:rsidP="00241054">
      <w:pPr>
        <w:rPr>
          <w:lang w:val="en-US"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777"/>
        <w:gridCol w:w="777"/>
        <w:gridCol w:w="776"/>
        <w:gridCol w:w="776"/>
        <w:gridCol w:w="776"/>
        <w:gridCol w:w="776"/>
        <w:gridCol w:w="776"/>
        <w:gridCol w:w="776"/>
        <w:gridCol w:w="775"/>
      </w:tblGrid>
      <w:tr w:rsidR="00B155B7" w:rsidRPr="00761152" w:rsidTr="00760908">
        <w:trPr>
          <w:trHeight w:val="207"/>
        </w:trPr>
        <w:tc>
          <w:tcPr>
            <w:tcW w:w="744" w:type="pct"/>
            <w:vMerge w:val="restar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892" w:type="pct"/>
            <w:gridSpan w:val="4"/>
            <w:shd w:val="clear" w:color="auto" w:fill="auto"/>
            <w:noWrap/>
            <w:vAlign w:val="bottom"/>
            <w:hideMark/>
          </w:tcPr>
          <w:p w:rsidR="00B155B7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891" w:type="pct"/>
            <w:gridSpan w:val="4"/>
            <w:shd w:val="clear" w:color="auto" w:fill="auto"/>
            <w:vAlign w:val="bottom"/>
          </w:tcPr>
          <w:p w:rsidR="00B155B7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472" w:type="pct"/>
            <w:shd w:val="clear" w:color="auto" w:fill="auto"/>
            <w:vAlign w:val="bottom"/>
          </w:tcPr>
          <w:p w:rsidR="00B155B7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B155B7" w:rsidRPr="00761152" w:rsidTr="00760908">
        <w:trPr>
          <w:trHeight w:val="352"/>
        </w:trPr>
        <w:tc>
          <w:tcPr>
            <w:tcW w:w="744" w:type="pct"/>
            <w:vMerge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B155B7" w:rsidRPr="00761152" w:rsidRDefault="00B155B7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</w:tr>
      <w:tr w:rsidR="00C14F2D" w:rsidRPr="00761152" w:rsidTr="00760908">
        <w:trPr>
          <w:trHeight w:val="207"/>
        </w:trPr>
        <w:tc>
          <w:tcPr>
            <w:tcW w:w="744" w:type="pct"/>
            <w:vMerge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56" w:type="pct"/>
            <w:gridSpan w:val="9"/>
            <w:vAlign w:val="center"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B155B7" w:rsidRPr="009E66C5" w:rsidTr="00760908">
        <w:trPr>
          <w:trHeight w:val="498"/>
        </w:trPr>
        <w:tc>
          <w:tcPr>
            <w:tcW w:w="744" w:type="pct"/>
            <w:shd w:val="clear" w:color="auto" w:fill="auto"/>
            <w:vAlign w:val="center"/>
            <w:hideMark/>
          </w:tcPr>
          <w:p w:rsidR="00B155B7" w:rsidRDefault="00B155B7" w:rsidP="00CA5F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 May</w:t>
            </w:r>
          </w:p>
          <w:p w:rsidR="00B155B7" w:rsidRPr="00246C1E" w:rsidRDefault="00B155B7" w:rsidP="00C14F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99.9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107.5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99.5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B155B7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100.9</w:t>
            </w:r>
          </w:p>
        </w:tc>
      </w:tr>
      <w:tr w:rsidR="00B155B7" w:rsidRPr="00E9792B" w:rsidTr="00760908">
        <w:trPr>
          <w:trHeight w:val="488"/>
        </w:trPr>
        <w:tc>
          <w:tcPr>
            <w:tcW w:w="744" w:type="pct"/>
            <w:shd w:val="clear" w:color="auto" w:fill="auto"/>
            <w:vAlign w:val="center"/>
            <w:hideMark/>
          </w:tcPr>
          <w:p w:rsidR="00B155B7" w:rsidRDefault="00B155B7" w:rsidP="00CF28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31</w:t>
            </w:r>
          </w:p>
          <w:p w:rsidR="00B155B7" w:rsidRPr="001B49CA" w:rsidRDefault="00B155B7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May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101.8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99.8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107.5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99.5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B155B7" w:rsidRDefault="00845D0B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101.1</w:t>
            </w:r>
          </w:p>
        </w:tc>
      </w:tr>
      <w:tr w:rsidR="00B155B7" w:rsidRPr="00E9792B" w:rsidTr="00760908">
        <w:trPr>
          <w:trHeight w:val="303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:rsidR="00B155B7" w:rsidRPr="00246C1E" w:rsidRDefault="00B155B7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E9792B" w:rsidRDefault="00845D0B" w:rsidP="00845D0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B155B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845D0B" w:rsidP="00845D0B">
            <w:pPr>
              <w:spacing w:before="0" w:after="0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B155B7"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845D0B" w:rsidP="00845D0B">
            <w:pPr>
              <w:spacing w:before="0" w:after="0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B155B7"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2" w:type="pct"/>
            <w:shd w:val="clear" w:color="auto" w:fill="auto"/>
            <w:noWrap/>
          </w:tcPr>
          <w:p w:rsidR="00B155B7" w:rsidRDefault="00845D0B" w:rsidP="00845D0B">
            <w:pPr>
              <w:spacing w:before="0" w:after="0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B155B7"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C14F2D" w:rsidRPr="003635AB" w:rsidTr="00760908">
        <w:trPr>
          <w:trHeight w:val="228"/>
        </w:trPr>
        <w:tc>
          <w:tcPr>
            <w:tcW w:w="744" w:type="pct"/>
            <w:shd w:val="clear" w:color="auto" w:fill="auto"/>
            <w:noWrap/>
            <w:vAlign w:val="bottom"/>
            <w:hideMark/>
          </w:tcPr>
          <w:p w:rsidR="00C14F2D" w:rsidRPr="00E9792B" w:rsidRDefault="00C14F2D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6" w:type="pct"/>
            <w:gridSpan w:val="9"/>
            <w:vAlign w:val="center"/>
          </w:tcPr>
          <w:p w:rsidR="00C14F2D" w:rsidRPr="003246D2" w:rsidRDefault="00C14F2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B155B7" w:rsidRPr="00E9792B" w:rsidTr="00760908">
        <w:trPr>
          <w:trHeight w:val="478"/>
        </w:trPr>
        <w:tc>
          <w:tcPr>
            <w:tcW w:w="744" w:type="pct"/>
            <w:shd w:val="clear" w:color="auto" w:fill="auto"/>
            <w:vAlign w:val="center"/>
            <w:hideMark/>
          </w:tcPr>
          <w:p w:rsidR="00B155B7" w:rsidRDefault="00B155B7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 May</w:t>
            </w:r>
          </w:p>
          <w:p w:rsidR="00B155B7" w:rsidRPr="00246C1E" w:rsidRDefault="00B155B7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B155B7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98.3</w:t>
            </w:r>
          </w:p>
        </w:tc>
      </w:tr>
      <w:tr w:rsidR="00B155B7" w:rsidRPr="009E66C5" w:rsidTr="00760908">
        <w:trPr>
          <w:trHeight w:val="447"/>
        </w:trPr>
        <w:tc>
          <w:tcPr>
            <w:tcW w:w="744" w:type="pct"/>
            <w:shd w:val="clear" w:color="auto" w:fill="auto"/>
            <w:vAlign w:val="center"/>
            <w:hideMark/>
          </w:tcPr>
          <w:p w:rsidR="00B155B7" w:rsidRDefault="00B155B7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31</w:t>
            </w:r>
          </w:p>
          <w:p w:rsidR="00B155B7" w:rsidRPr="001B49CA" w:rsidRDefault="00B155B7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May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B155B7" w:rsidRPr="00A10ED2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B155B7" w:rsidRDefault="008B4815" w:rsidP="00B155B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98.6</w:t>
            </w:r>
          </w:p>
        </w:tc>
      </w:tr>
      <w:tr w:rsidR="00B155B7" w:rsidRPr="009E66C5" w:rsidTr="00760908">
        <w:trPr>
          <w:trHeight w:val="303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:rsidR="00B155B7" w:rsidRPr="009E66C5" w:rsidRDefault="00B155B7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B155B7" w:rsidRDefault="00B155B7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B155B7" w:rsidRDefault="00760908" w:rsidP="007609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B155B7"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</w:tbl>
    <w:p w:rsidR="00270423" w:rsidRDefault="00270423" w:rsidP="00684DA0">
      <w:pPr>
        <w:rPr>
          <w:b/>
          <w:noProof/>
          <w:color w:val="001D77"/>
          <w:spacing w:val="-2"/>
          <w:szCs w:val="19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D33EDC" w:rsidRDefault="00D33EDC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D8241B" w:rsidRDefault="00D8241B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D8241B" w:rsidRDefault="00D8241B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684DA0" w:rsidRDefault="00D656E3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>
        <w:rPr>
          <w:noProof/>
          <w:lang w:eastAsia="pl-PL"/>
        </w:rPr>
        <w:lastRenderedPageBreak/>
        <w:pict>
          <v:rect id="_x0000_s1059" style="position:absolute;margin-left:452.25pt;margin-top:-1576.35pt;width:147.4pt;height:2499.85pt;z-index:251671552;visibility:visible;mso-position-horizontal-relative:page;mso-position-vertical-relative:page;mso-width-relative:margin;mso-height-relative:margin;v-text-anchor:middle" fillcolor="#f2f2f2 [3052]" stroked="f" strokeweight="1pt">
            <w10:wrap anchorx="page" anchory="page"/>
          </v:rect>
        </w:pic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D656E3" w:rsidP="00684DA0">
      <w:pPr>
        <w:rPr>
          <w:b/>
          <w:noProof/>
          <w:color w:val="001D77"/>
          <w:spacing w:val="-2"/>
          <w:szCs w:val="19"/>
          <w:lang w:val="en-US"/>
        </w:rPr>
      </w:pPr>
      <w:r>
        <w:rPr>
          <w:b/>
          <w:noProof/>
          <w:color w:val="7030A0"/>
          <w:spacing w:val="-2"/>
          <w:szCs w:val="19"/>
          <w:lang w:eastAsia="pl-PL"/>
        </w:rPr>
        <w:pict>
          <v:shape id="_x0000_s1032" type="#_x0000_t202" style="position:absolute;margin-left:458.35pt;margin-top:148.85pt;width:131.8pt;height:81.5pt;z-index:-251650048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" filled="f" stroked="f">
            <v:textbox>
              <w:txbxContent>
                <w:p w:rsidR="00270423" w:rsidRPr="00C10449" w:rsidRDefault="00270423" w:rsidP="00270423">
                  <w:pPr>
                    <w:rPr>
                      <w:b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  <w:r>
        <w:rPr>
          <w:b/>
          <w:noProof/>
          <w:spacing w:val="-2"/>
          <w:sz w:val="18"/>
          <w:szCs w:val="18"/>
          <w:lang w:eastAsia="pl-PL"/>
        </w:rPr>
        <w:pict>
          <v:shape id="_x0000_s1031" type="#_x0000_t202" style="position:absolute;margin-left:456.55pt;margin-top:23.45pt;width:135.9pt;height:133.7pt;z-index:-251665408;visibility:visible;mso-wrap-distance-top:3.6pt;mso-wrap-distance-bottom:3.6pt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" filled="f" stroked="f">
            <v:textbox>
              <w:txbxContent>
                <w:p w:rsidR="00B73F2D" w:rsidRPr="00DF5ED7" w:rsidRDefault="00B73F2D" w:rsidP="00DF5ED7">
                  <w:pPr>
                    <w:spacing w:before="0" w:after="0"/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</w:p>
    <w:tbl>
      <w:tblPr>
        <w:tblpPr w:leftFromText="142" w:rightFromText="142" w:vertAnchor="text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777"/>
        <w:gridCol w:w="777"/>
        <w:gridCol w:w="776"/>
        <w:gridCol w:w="776"/>
        <w:gridCol w:w="776"/>
        <w:gridCol w:w="776"/>
        <w:gridCol w:w="776"/>
        <w:gridCol w:w="776"/>
        <w:gridCol w:w="780"/>
      </w:tblGrid>
      <w:tr w:rsidR="00871455" w:rsidRPr="00761152" w:rsidTr="00805991">
        <w:trPr>
          <w:trHeight w:val="207"/>
        </w:trPr>
        <w:tc>
          <w:tcPr>
            <w:tcW w:w="741" w:type="pct"/>
            <w:vMerge w:val="restar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892" w:type="pct"/>
            <w:gridSpan w:val="4"/>
            <w:shd w:val="clear" w:color="auto" w:fill="auto"/>
            <w:noWrap/>
            <w:vAlign w:val="bottom"/>
            <w:hideMark/>
          </w:tcPr>
          <w:p w:rsidR="00871455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891" w:type="pct"/>
            <w:gridSpan w:val="4"/>
            <w:shd w:val="clear" w:color="auto" w:fill="auto"/>
            <w:vAlign w:val="bottom"/>
          </w:tcPr>
          <w:p w:rsidR="00871455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475" w:type="pct"/>
            <w:shd w:val="clear" w:color="auto" w:fill="auto"/>
            <w:vAlign w:val="bottom"/>
          </w:tcPr>
          <w:p w:rsidR="00871455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871455" w:rsidRPr="00761152" w:rsidTr="00805991">
        <w:trPr>
          <w:trHeight w:val="352"/>
        </w:trPr>
        <w:tc>
          <w:tcPr>
            <w:tcW w:w="741" w:type="pct"/>
            <w:vMerge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71455" w:rsidRPr="00761152" w:rsidRDefault="00871455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</w:tr>
      <w:tr w:rsidR="009F6391" w:rsidRPr="003635AB" w:rsidTr="00805991">
        <w:trPr>
          <w:trHeight w:val="207"/>
        </w:trPr>
        <w:tc>
          <w:tcPr>
            <w:tcW w:w="741" w:type="pct"/>
            <w:vMerge/>
            <w:vAlign w:val="center"/>
            <w:hideMark/>
          </w:tcPr>
          <w:p w:rsidR="009F6391" w:rsidRPr="00761152" w:rsidRDefault="009F6391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59" w:type="pct"/>
            <w:gridSpan w:val="9"/>
            <w:vAlign w:val="center"/>
          </w:tcPr>
          <w:p w:rsidR="009F6391" w:rsidRPr="003246D2" w:rsidRDefault="009F6391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871455" w:rsidRPr="00E9792B" w:rsidTr="00805991">
        <w:trPr>
          <w:trHeight w:val="498"/>
        </w:trPr>
        <w:tc>
          <w:tcPr>
            <w:tcW w:w="741" w:type="pct"/>
            <w:shd w:val="clear" w:color="auto" w:fill="auto"/>
            <w:vAlign w:val="center"/>
            <w:hideMark/>
          </w:tcPr>
          <w:p w:rsidR="00871455" w:rsidRDefault="00871455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14 May</w:t>
            </w:r>
          </w:p>
          <w:p w:rsidR="00871455" w:rsidRPr="00246C1E" w:rsidRDefault="00871455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A10ED2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A10ED2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A10ED2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A10ED2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103.7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A10ED2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A10ED2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91.7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A10ED2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98.3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A10ED2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71455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98.8</w:t>
            </w:r>
          </w:p>
        </w:tc>
      </w:tr>
      <w:tr w:rsidR="00871455" w:rsidRPr="00A05EE2" w:rsidTr="00805991">
        <w:trPr>
          <w:trHeight w:val="488"/>
        </w:trPr>
        <w:tc>
          <w:tcPr>
            <w:tcW w:w="741" w:type="pct"/>
            <w:shd w:val="clear" w:color="auto" w:fill="auto"/>
            <w:vAlign w:val="center"/>
            <w:hideMark/>
          </w:tcPr>
          <w:p w:rsidR="00871455" w:rsidRDefault="00871455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31</w:t>
            </w:r>
          </w:p>
          <w:p w:rsidR="00871455" w:rsidRPr="001B49CA" w:rsidRDefault="00871455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May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FA787E" w:rsidRDefault="00871455" w:rsidP="0064121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</w:t>
            </w:r>
            <w:r w:rsidR="00641214"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FA787E" w:rsidRDefault="00871455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</w:t>
            </w:r>
            <w:r w:rsidR="00641214"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FA787E" w:rsidRDefault="00641214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FA787E" w:rsidRDefault="00641214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103.7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FA787E" w:rsidRDefault="00641214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FA787E" w:rsidRDefault="00641214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91.7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FA787E" w:rsidRDefault="00641214" w:rsidP="00805991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98.3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871455" w:rsidRPr="00FA787E" w:rsidRDefault="00641214" w:rsidP="00805991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71455" w:rsidRPr="00FA787E" w:rsidRDefault="00641214" w:rsidP="0080599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99.1</w:t>
            </w:r>
          </w:p>
        </w:tc>
      </w:tr>
      <w:tr w:rsidR="00641214" w:rsidRPr="00641214" w:rsidTr="00805991">
        <w:trPr>
          <w:trHeight w:val="303"/>
        </w:trPr>
        <w:tc>
          <w:tcPr>
            <w:tcW w:w="741" w:type="pct"/>
            <w:shd w:val="clear" w:color="auto" w:fill="auto"/>
            <w:noWrap/>
            <w:vAlign w:val="center"/>
            <w:hideMark/>
          </w:tcPr>
          <w:p w:rsidR="00871455" w:rsidRPr="00A05EE2" w:rsidRDefault="00871455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73" w:type="pct"/>
            <w:shd w:val="clear" w:color="auto" w:fill="auto"/>
            <w:noWrap/>
          </w:tcPr>
          <w:p w:rsidR="00871455" w:rsidRPr="00FA787E" w:rsidRDefault="00871455" w:rsidP="00805991">
            <w:pPr>
              <w:spacing w:before="0" w:after="0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871455" w:rsidRPr="00FA787E" w:rsidRDefault="00871455" w:rsidP="00805991">
            <w:pPr>
              <w:spacing w:before="0" w:after="0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871455" w:rsidRPr="00FA787E" w:rsidRDefault="00871455" w:rsidP="00805991">
            <w:pPr>
              <w:spacing w:before="0" w:after="0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871455" w:rsidRPr="00FA787E" w:rsidRDefault="00871455" w:rsidP="00805991">
            <w:pPr>
              <w:spacing w:before="0" w:after="0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871455" w:rsidRPr="00FA787E" w:rsidRDefault="00871455" w:rsidP="00805991">
            <w:pPr>
              <w:spacing w:before="0" w:after="0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871455" w:rsidRPr="00FA787E" w:rsidRDefault="00871455" w:rsidP="00805991">
            <w:pPr>
              <w:spacing w:before="0" w:after="0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871455" w:rsidRPr="00FA787E" w:rsidRDefault="00871455" w:rsidP="00805991">
            <w:pPr>
              <w:spacing w:before="0" w:after="0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3" w:type="pct"/>
            <w:shd w:val="clear" w:color="auto" w:fill="auto"/>
            <w:noWrap/>
          </w:tcPr>
          <w:p w:rsidR="00871455" w:rsidRPr="00FA787E" w:rsidRDefault="00871455" w:rsidP="00805991">
            <w:pPr>
              <w:spacing w:before="0" w:after="0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871455" w:rsidRPr="00FA787E" w:rsidRDefault="00641214" w:rsidP="00805991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+0.3</w:t>
            </w:r>
          </w:p>
        </w:tc>
      </w:tr>
    </w:tbl>
    <w:p w:rsidR="004329BC" w:rsidRPr="002A5F10" w:rsidRDefault="00D656E3" w:rsidP="00905E04">
      <w:pPr>
        <w:rPr>
          <w:rFonts w:cs="Arial"/>
          <w:color w:val="FF0000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_x0000_s1033" type="#_x0000_t202" style="position:absolute;margin-left:450.75pt;margin-top:119pt;width:148.9pt;height:73.2pt;z-index:-25164902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" filled="f" stroked="f">
            <v:textbox>
              <w:txbxContent>
                <w:p w:rsidR="00D10504" w:rsidRPr="00205DEA" w:rsidRDefault="00D10504" w:rsidP="00D10504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5" type="#_x0000_t202" style="position:absolute;margin-left:450.8pt;margin-top:0;width:144.2pt;height:97.9pt;z-index:-251658240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kD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" filled="f" stroked="f">
            <v:textbox>
              <w:txbxContent>
                <w:p w:rsidR="00816793" w:rsidRPr="00A86A84" w:rsidRDefault="00816793" w:rsidP="00816793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816793" w:rsidRPr="000035A9" w:rsidRDefault="00816793" w:rsidP="00816793"/>
              </w:txbxContent>
            </v:textbox>
            <w10:wrap type="tight" anchorx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6" type="#_x0000_t202" style="position:absolute;margin-left:450.8pt;margin-top:.15pt;width:144.2pt;height:97.9pt;z-index:-251659264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OnCRzUR&#10;AgAAAQQAAA4AAAAAAAAAAAAAAAAALgIAAGRycy9lMm9Eb2MueG1sUEsBAi0AFAAGAAgAAAAhAOS/&#10;vLrcAAAACQEAAA8AAAAAAAAAAAAAAAAAawQAAGRycy9kb3ducmV2LnhtbFBLBQYAAAAABAAEAPMA&#10;AAB0BQAAAAA=&#10;" filled="f" stroked="f">
            <v:textbox>
              <w:txbxContent>
                <w:p w:rsidR="000035A9" w:rsidRPr="00A86A84" w:rsidRDefault="000035A9" w:rsidP="000035A9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0035A9" w:rsidRPr="000035A9" w:rsidRDefault="000035A9" w:rsidP="000035A9"/>
              </w:txbxContent>
            </v:textbox>
            <w10:wrap type="tight" anchorx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7" type="#_x0000_t202" style="position:absolute;margin-left:450.8pt;margin-top:.15pt;width:144.2pt;height:97.9pt;z-index:-251661312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AU3tzYR&#10;AgAAAAQAAA4AAAAAAAAAAAAAAAAALgIAAGRycy9lMm9Eb2MueG1sUEsBAi0AFAAGAAgAAAAhAOS/&#10;vLrcAAAACQEAAA8AAAAAAAAAAAAAAAAAawQAAGRycy9kb3ducmV2LnhtbFBLBQYAAAAABAAEAPMA&#10;AAB0BQAAAAA=&#10;" filled="f" stroked="f">
            <v:textbox>
              <w:txbxContent>
                <w:p w:rsidR="001F1A70" w:rsidRPr="00A86A84" w:rsidRDefault="001F1A70" w:rsidP="001F1A70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1F1A70" w:rsidRPr="009E1E75" w:rsidRDefault="001F1A70" w:rsidP="001F1A70">
                  <w:pPr>
                    <w:rPr>
                      <w:b/>
                    </w:rPr>
                  </w:pPr>
                </w:p>
              </w:txbxContent>
            </v:textbox>
            <w10:wrap type="tight" anchorx="page"/>
          </v:shape>
        </w:pict>
      </w:r>
      <w:r w:rsidR="00E51184" w:rsidRPr="009B15A5">
        <w:rPr>
          <w:noProof/>
          <w:spacing w:val="-2"/>
          <w:szCs w:val="19"/>
          <w:lang w:val="en-US" w:eastAsia="pl-PL"/>
        </w:rPr>
        <w:t xml:space="preserve">In the </w:t>
      </w:r>
      <w:r w:rsidR="00247504" w:rsidRPr="009B15A5">
        <w:rPr>
          <w:noProof/>
          <w:spacing w:val="-2"/>
          <w:szCs w:val="19"/>
          <w:lang w:val="en-US" w:eastAsia="pl-PL"/>
        </w:rPr>
        <w:t>1</w:t>
      </w:r>
      <w:r w:rsidR="00247504" w:rsidRPr="009B15A5">
        <w:rPr>
          <w:noProof/>
          <w:spacing w:val="-2"/>
          <w:szCs w:val="19"/>
          <w:vertAlign w:val="superscript"/>
          <w:lang w:val="en-US" w:eastAsia="pl-PL"/>
        </w:rPr>
        <w:t>st</w:t>
      </w:r>
      <w:r w:rsidR="005B2CD2" w:rsidRPr="009B15A5">
        <w:rPr>
          <w:noProof/>
          <w:spacing w:val="-2"/>
          <w:szCs w:val="19"/>
          <w:lang w:val="en-US" w:eastAsia="pl-PL"/>
        </w:rPr>
        <w:t xml:space="preserve"> </w:t>
      </w:r>
      <w:r w:rsidR="00E51184" w:rsidRPr="009B15A5">
        <w:rPr>
          <w:noProof/>
          <w:spacing w:val="-2"/>
          <w:szCs w:val="19"/>
          <w:lang w:val="en-US" w:eastAsia="pl-PL"/>
        </w:rPr>
        <w:t>quarter of</w:t>
      </w:r>
      <w:r w:rsidR="008F43E7" w:rsidRPr="009B15A5">
        <w:rPr>
          <w:rFonts w:cs="Arial"/>
          <w:szCs w:val="19"/>
          <w:lang w:val="en-US"/>
        </w:rPr>
        <w:t xml:space="preserve"> </w:t>
      </w:r>
      <w:r w:rsidR="00E51184" w:rsidRPr="009B15A5">
        <w:rPr>
          <w:rFonts w:cs="Arial"/>
          <w:szCs w:val="19"/>
          <w:lang w:val="en-US"/>
        </w:rPr>
        <w:t>20</w:t>
      </w:r>
      <w:r w:rsidR="00EC316A" w:rsidRPr="009B15A5">
        <w:rPr>
          <w:rFonts w:cs="Arial"/>
          <w:szCs w:val="19"/>
          <w:lang w:val="en-US"/>
        </w:rPr>
        <w:t>2</w:t>
      </w:r>
      <w:r w:rsidR="00247504" w:rsidRPr="009B15A5">
        <w:rPr>
          <w:rFonts w:cs="Arial"/>
          <w:szCs w:val="19"/>
          <w:lang w:val="en-US"/>
        </w:rPr>
        <w:t>1</w:t>
      </w:r>
      <w:r w:rsidR="00E51184" w:rsidRPr="009B15A5">
        <w:rPr>
          <w:rFonts w:cs="Arial"/>
          <w:szCs w:val="19"/>
          <w:lang w:val="en-US"/>
        </w:rPr>
        <w:t xml:space="preserve"> </w:t>
      </w:r>
      <w:r w:rsidR="00A5000D" w:rsidRPr="009B15A5">
        <w:rPr>
          <w:rFonts w:cs="Arial"/>
          <w:szCs w:val="19"/>
          <w:lang w:val="en-US"/>
        </w:rPr>
        <w:t>there wa</w:t>
      </w:r>
      <w:r w:rsidR="00472BC6" w:rsidRPr="009B15A5">
        <w:rPr>
          <w:rFonts w:cs="Arial"/>
          <w:szCs w:val="19"/>
          <w:lang w:val="en-US"/>
        </w:rPr>
        <w:t>s a decrease of GDP</w:t>
      </w:r>
      <w:r w:rsidR="00A5000D" w:rsidRPr="009B15A5">
        <w:rPr>
          <w:rFonts w:cs="Arial"/>
          <w:szCs w:val="19"/>
          <w:lang w:val="en-US"/>
        </w:rPr>
        <w:t xml:space="preserve"> which amounted </w:t>
      </w:r>
      <w:r w:rsidR="003B5928" w:rsidRPr="009B15A5">
        <w:rPr>
          <w:rFonts w:cs="Arial"/>
          <w:szCs w:val="19"/>
          <w:lang w:val="en-US"/>
        </w:rPr>
        <w:t xml:space="preserve">to </w:t>
      </w:r>
      <w:r w:rsidR="00544E49" w:rsidRPr="009B15A5">
        <w:rPr>
          <w:rFonts w:cs="Arial"/>
          <w:szCs w:val="19"/>
          <w:lang w:val="en-US"/>
        </w:rPr>
        <w:t>0.9</w:t>
      </w:r>
      <w:r w:rsidR="003F4459" w:rsidRPr="009B15A5">
        <w:rPr>
          <w:rFonts w:cs="Arial"/>
          <w:szCs w:val="19"/>
          <w:lang w:val="en-US"/>
        </w:rPr>
        <w:t>% year-on-</w:t>
      </w:r>
      <w:r w:rsidR="00BB6742" w:rsidRPr="009B15A5">
        <w:rPr>
          <w:rFonts w:cs="Arial"/>
          <w:szCs w:val="19"/>
          <w:lang w:val="en-US"/>
        </w:rPr>
        <w:t>year comparison</w:t>
      </w:r>
      <w:r w:rsidR="003B5928" w:rsidRPr="009B15A5">
        <w:rPr>
          <w:rFonts w:cs="Arial"/>
          <w:szCs w:val="19"/>
          <w:lang w:val="en-US"/>
        </w:rPr>
        <w:t xml:space="preserve">. </w:t>
      </w:r>
      <w:r w:rsidR="00BB6742" w:rsidRPr="009B15A5">
        <w:rPr>
          <w:rFonts w:cs="Arial"/>
          <w:szCs w:val="19"/>
          <w:lang w:val="en-US"/>
        </w:rPr>
        <w:t>This was caused by</w:t>
      </w:r>
      <w:r w:rsidR="00910578" w:rsidRPr="009B15A5">
        <w:rPr>
          <w:rFonts w:cs="Arial"/>
          <w:szCs w:val="19"/>
          <w:lang w:val="en-US"/>
        </w:rPr>
        <w:t xml:space="preserve"> a</w:t>
      </w:r>
      <w:r w:rsidR="00903357" w:rsidRPr="009B15A5">
        <w:rPr>
          <w:rFonts w:cs="Arial"/>
          <w:szCs w:val="19"/>
          <w:lang w:val="en-US"/>
        </w:rPr>
        <w:t xml:space="preserve"> decline </w:t>
      </w:r>
      <w:r w:rsidR="00B06B3F" w:rsidRPr="009B15A5">
        <w:rPr>
          <w:rFonts w:cs="Arial"/>
          <w:szCs w:val="19"/>
          <w:lang w:val="en-US"/>
        </w:rPr>
        <w:t>of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544E49" w:rsidRPr="009B15A5">
        <w:rPr>
          <w:rFonts w:cs="Arial"/>
          <w:szCs w:val="19"/>
          <w:lang w:val="en-US"/>
        </w:rPr>
        <w:t xml:space="preserve">growth rate of balance in external trade and increase of </w:t>
      </w:r>
      <w:r w:rsidR="00FC4FBF" w:rsidRPr="009B15A5">
        <w:rPr>
          <w:rFonts w:cs="Arial"/>
          <w:szCs w:val="19"/>
          <w:lang w:val="en-US"/>
        </w:rPr>
        <w:t>domestic uses</w:t>
      </w:r>
      <w:r w:rsidR="00642F5F" w:rsidRPr="009B15A5">
        <w:rPr>
          <w:rFonts w:cs="Arial"/>
          <w:szCs w:val="19"/>
          <w:lang w:val="en-US"/>
        </w:rPr>
        <w:t>.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543568" w:rsidRPr="009B15A5">
        <w:rPr>
          <w:rFonts w:cs="Arial"/>
          <w:szCs w:val="19"/>
          <w:lang w:val="en-US"/>
        </w:rPr>
        <w:t xml:space="preserve">Improvement </w:t>
      </w:r>
      <w:r w:rsidR="00BB6742" w:rsidRPr="009B15A5">
        <w:rPr>
          <w:rFonts w:cs="Arial"/>
          <w:szCs w:val="19"/>
          <w:lang w:val="en-US"/>
        </w:rPr>
        <w:t>of</w:t>
      </w:r>
      <w:r w:rsidR="00903357" w:rsidRPr="009B15A5">
        <w:rPr>
          <w:rFonts w:cs="Arial"/>
          <w:szCs w:val="19"/>
          <w:lang w:val="en-US"/>
        </w:rPr>
        <w:t xml:space="preserve"> </w:t>
      </w:r>
      <w:r w:rsidR="00543568" w:rsidRPr="009B15A5">
        <w:rPr>
          <w:rFonts w:cs="Arial"/>
          <w:szCs w:val="19"/>
          <w:lang w:val="en-US"/>
        </w:rPr>
        <w:t xml:space="preserve">domestic uses </w:t>
      </w:r>
      <w:r w:rsidR="006C2823" w:rsidRPr="009B15A5">
        <w:rPr>
          <w:rFonts w:cs="Arial"/>
          <w:szCs w:val="19"/>
          <w:lang w:val="en-US"/>
        </w:rPr>
        <w:t>was up</w:t>
      </w:r>
      <w:r w:rsidR="00E00671" w:rsidRPr="009B15A5">
        <w:rPr>
          <w:rFonts w:cs="Arial"/>
          <w:szCs w:val="19"/>
          <w:lang w:val="en-US"/>
        </w:rPr>
        <w:t xml:space="preserve"> 1.</w:t>
      </w:r>
      <w:r w:rsidR="005F150E">
        <w:rPr>
          <w:rFonts w:cs="Arial"/>
          <w:szCs w:val="19"/>
          <w:lang w:val="en-US"/>
        </w:rPr>
        <w:t>0</w:t>
      </w:r>
      <w:r w:rsidR="00903357" w:rsidRPr="009B15A5">
        <w:rPr>
          <w:rFonts w:cs="Arial"/>
          <w:szCs w:val="19"/>
          <w:lang w:val="en-US"/>
        </w:rPr>
        <w:t>%</w:t>
      </w:r>
      <w:r w:rsidR="00257137" w:rsidRPr="009B15A5">
        <w:rPr>
          <w:rFonts w:cs="Arial"/>
          <w:szCs w:val="19"/>
          <w:lang w:val="en-US"/>
        </w:rPr>
        <w:t xml:space="preserve"> than a year earlier</w:t>
      </w:r>
      <w:r w:rsidR="00FC4FBF" w:rsidRPr="009B15A5">
        <w:rPr>
          <w:rFonts w:cs="Arial"/>
          <w:szCs w:val="19"/>
          <w:lang w:val="en-US"/>
        </w:rPr>
        <w:t xml:space="preserve"> (in the </w:t>
      </w:r>
      <w:r w:rsidR="00E00671" w:rsidRPr="009B15A5">
        <w:rPr>
          <w:rFonts w:cs="Arial"/>
          <w:szCs w:val="19"/>
          <w:lang w:val="en-US"/>
        </w:rPr>
        <w:t>4</w:t>
      </w:r>
      <w:r w:rsidR="00E00671" w:rsidRPr="009B15A5">
        <w:rPr>
          <w:rFonts w:cs="Arial"/>
          <w:szCs w:val="19"/>
          <w:vertAlign w:val="superscript"/>
          <w:lang w:val="en-US"/>
        </w:rPr>
        <w:t>th</w:t>
      </w:r>
      <w:r w:rsidR="00FC4FBF" w:rsidRPr="009B15A5">
        <w:rPr>
          <w:rFonts w:cs="Arial"/>
          <w:szCs w:val="19"/>
          <w:vertAlign w:val="superscript"/>
          <w:lang w:val="en-US"/>
        </w:rPr>
        <w:t xml:space="preserve"> </w:t>
      </w:r>
      <w:r w:rsidR="00FC4FBF" w:rsidRPr="009B15A5">
        <w:rPr>
          <w:rFonts w:cs="Arial"/>
          <w:szCs w:val="19"/>
          <w:lang w:val="en-US"/>
        </w:rPr>
        <w:t>quar</w:t>
      </w:r>
      <w:r w:rsidR="00231E33" w:rsidRPr="009B15A5">
        <w:rPr>
          <w:rFonts w:cs="Arial"/>
          <w:szCs w:val="19"/>
          <w:lang w:val="en-US"/>
        </w:rPr>
        <w:t>ter of 2020 a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9A0F4E" w:rsidRPr="009B15A5">
        <w:rPr>
          <w:rFonts w:cs="Arial"/>
          <w:szCs w:val="19"/>
          <w:lang w:val="en-US"/>
        </w:rPr>
        <w:t>de</w:t>
      </w:r>
      <w:r w:rsidR="00FC4FBF" w:rsidRPr="009B15A5">
        <w:rPr>
          <w:rFonts w:cs="Arial"/>
          <w:szCs w:val="19"/>
          <w:lang w:val="en-US"/>
        </w:rPr>
        <w:t xml:space="preserve">crease of </w:t>
      </w:r>
      <w:r w:rsidR="00910578" w:rsidRPr="009B15A5">
        <w:rPr>
          <w:rFonts w:cs="Arial"/>
          <w:szCs w:val="19"/>
          <w:lang w:val="en-US"/>
        </w:rPr>
        <w:t>domestic uses of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E00671" w:rsidRPr="009B15A5">
        <w:rPr>
          <w:rFonts w:cs="Arial"/>
          <w:szCs w:val="19"/>
          <w:lang w:val="en-US"/>
        </w:rPr>
        <w:t>2.9</w:t>
      </w:r>
      <w:r w:rsidR="00FC4FBF" w:rsidRPr="009B15A5">
        <w:rPr>
          <w:rFonts w:cs="Arial"/>
          <w:szCs w:val="19"/>
          <w:lang w:val="en-US"/>
        </w:rPr>
        <w:t>% was recorded). It resulted mainly</w:t>
      </w:r>
      <w:r w:rsidR="00F3765E" w:rsidRPr="009B15A5">
        <w:rPr>
          <w:rFonts w:cs="Arial"/>
          <w:szCs w:val="19"/>
          <w:lang w:val="en-US"/>
        </w:rPr>
        <w:t xml:space="preserve"> </w:t>
      </w:r>
      <w:r w:rsidR="00FC4FBF" w:rsidRPr="009B15A5">
        <w:rPr>
          <w:rFonts w:cs="Arial"/>
          <w:szCs w:val="19"/>
          <w:lang w:val="en-US"/>
        </w:rPr>
        <w:t>f</w:t>
      </w:r>
      <w:r w:rsidR="00905E04" w:rsidRPr="009B15A5">
        <w:rPr>
          <w:rFonts w:cs="Arial"/>
          <w:szCs w:val="19"/>
          <w:lang w:val="en-US"/>
        </w:rPr>
        <w:t>rom</w:t>
      </w:r>
      <w:r w:rsidR="00910578" w:rsidRPr="009B15A5">
        <w:rPr>
          <w:rFonts w:cs="Arial"/>
          <w:szCs w:val="19"/>
          <w:lang w:val="en-US"/>
        </w:rPr>
        <w:t xml:space="preserve"> a</w:t>
      </w:r>
      <w:r w:rsidR="00E77CA7" w:rsidRPr="009B15A5">
        <w:rPr>
          <w:rFonts w:cs="Arial"/>
          <w:szCs w:val="19"/>
          <w:lang w:val="en-US"/>
        </w:rPr>
        <w:t>n</w:t>
      </w:r>
      <w:r w:rsidR="009270B8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in</w:t>
      </w:r>
      <w:r w:rsidR="008B70D9" w:rsidRPr="009B15A5">
        <w:rPr>
          <w:rFonts w:cs="Arial"/>
          <w:szCs w:val="19"/>
          <w:lang w:val="en-US"/>
        </w:rPr>
        <w:t>crease</w:t>
      </w:r>
      <w:r w:rsidR="009270B8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in gross capi</w:t>
      </w:r>
      <w:r w:rsidR="00BB6742" w:rsidRPr="009B15A5">
        <w:rPr>
          <w:rFonts w:cs="Arial"/>
          <w:szCs w:val="19"/>
          <w:lang w:val="en-US"/>
        </w:rPr>
        <w:t>tal formation of</w:t>
      </w:r>
      <w:r w:rsidR="00905E04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3.4</w:t>
      </w:r>
      <w:r w:rsidR="00905E04" w:rsidRPr="009B15A5">
        <w:rPr>
          <w:rFonts w:cs="Arial"/>
          <w:szCs w:val="19"/>
          <w:lang w:val="en-US"/>
        </w:rPr>
        <w:t xml:space="preserve">% (against </w:t>
      </w:r>
      <w:r w:rsidR="00910578" w:rsidRPr="009B15A5">
        <w:rPr>
          <w:rFonts w:cs="Arial"/>
          <w:szCs w:val="19"/>
          <w:lang w:val="en-US"/>
        </w:rPr>
        <w:t>a</w:t>
      </w:r>
      <w:r w:rsidR="009A0F4E" w:rsidRPr="009B15A5">
        <w:rPr>
          <w:rFonts w:cs="Arial"/>
          <w:szCs w:val="19"/>
          <w:lang w:val="en-US"/>
        </w:rPr>
        <w:t xml:space="preserve"> de</w:t>
      </w:r>
      <w:r w:rsidR="008B70D9" w:rsidRPr="009B15A5">
        <w:rPr>
          <w:rFonts w:cs="Arial"/>
          <w:szCs w:val="19"/>
          <w:lang w:val="en-US"/>
        </w:rPr>
        <w:t xml:space="preserve">crease </w:t>
      </w:r>
      <w:r w:rsidR="00BB6742" w:rsidRPr="009B15A5">
        <w:rPr>
          <w:rFonts w:cs="Arial"/>
          <w:szCs w:val="19"/>
          <w:lang w:val="en-US"/>
        </w:rPr>
        <w:t>of</w:t>
      </w:r>
      <w:r w:rsidR="009270B8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10</w:t>
      </w:r>
      <w:r w:rsidR="00220355" w:rsidRPr="009B15A5">
        <w:rPr>
          <w:rFonts w:cs="Arial"/>
          <w:szCs w:val="19"/>
          <w:lang w:val="en-US"/>
        </w:rPr>
        <w:t>.</w:t>
      </w:r>
      <w:r w:rsidR="00E77CA7" w:rsidRPr="009B15A5">
        <w:rPr>
          <w:rFonts w:cs="Arial"/>
          <w:szCs w:val="19"/>
          <w:lang w:val="en-US"/>
        </w:rPr>
        <w:t>4</w:t>
      </w:r>
      <w:r w:rsidR="00905E04" w:rsidRPr="009B15A5">
        <w:rPr>
          <w:rFonts w:cs="Arial"/>
          <w:szCs w:val="19"/>
          <w:lang w:val="en-US"/>
        </w:rPr>
        <w:t xml:space="preserve">% in </w:t>
      </w:r>
      <w:r w:rsidR="006B4723" w:rsidRPr="009B15A5">
        <w:rPr>
          <w:rFonts w:cs="Arial"/>
          <w:szCs w:val="19"/>
          <w:lang w:val="en-US"/>
        </w:rPr>
        <w:t xml:space="preserve">the </w:t>
      </w:r>
      <w:r w:rsidR="00E77CA7" w:rsidRPr="009B15A5">
        <w:rPr>
          <w:rFonts w:cs="Arial"/>
          <w:szCs w:val="19"/>
          <w:lang w:val="en-US"/>
        </w:rPr>
        <w:t>4</w:t>
      </w:r>
      <w:r w:rsidR="00E77CA7" w:rsidRPr="009B15A5">
        <w:rPr>
          <w:rFonts w:cs="Arial"/>
          <w:szCs w:val="19"/>
          <w:vertAlign w:val="superscript"/>
          <w:lang w:val="en-US"/>
        </w:rPr>
        <w:t>th</w:t>
      </w:r>
      <w:r w:rsidR="00594115" w:rsidRPr="009B15A5">
        <w:rPr>
          <w:rFonts w:cs="Arial"/>
          <w:szCs w:val="19"/>
          <w:vertAlign w:val="superscript"/>
          <w:lang w:val="en-US"/>
        </w:rPr>
        <w:t xml:space="preserve"> </w:t>
      </w:r>
      <w:r w:rsidR="00594115" w:rsidRPr="009B15A5">
        <w:rPr>
          <w:rFonts w:cs="Arial"/>
          <w:szCs w:val="19"/>
          <w:lang w:val="en-US"/>
        </w:rPr>
        <w:t>quarter of 2020)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4329BC" w:rsidRPr="009B15A5">
        <w:rPr>
          <w:rFonts w:cs="Arial"/>
          <w:szCs w:val="19"/>
          <w:lang w:val="en-US"/>
        </w:rPr>
        <w:t>and</w:t>
      </w:r>
      <w:r w:rsidR="009A0F4E" w:rsidRPr="009B15A5">
        <w:rPr>
          <w:rFonts w:cs="Arial"/>
          <w:szCs w:val="19"/>
          <w:lang w:val="en-US"/>
        </w:rPr>
        <w:t xml:space="preserve"> a</w:t>
      </w:r>
      <w:r w:rsidR="00E77CA7" w:rsidRPr="009B15A5">
        <w:rPr>
          <w:rFonts w:cs="Arial"/>
          <w:szCs w:val="19"/>
          <w:lang w:val="en-US"/>
        </w:rPr>
        <w:t>n</w:t>
      </w:r>
      <w:r w:rsidR="00220355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in</w:t>
      </w:r>
      <w:r w:rsidR="009A0F4E" w:rsidRPr="009B15A5">
        <w:rPr>
          <w:rFonts w:cs="Arial"/>
          <w:szCs w:val="19"/>
          <w:lang w:val="en-US"/>
        </w:rPr>
        <w:t xml:space="preserve">crease </w:t>
      </w:r>
      <w:r w:rsidR="00231E33" w:rsidRPr="009B15A5">
        <w:rPr>
          <w:rFonts w:cs="Arial"/>
          <w:szCs w:val="19"/>
          <w:lang w:val="en-US"/>
        </w:rPr>
        <w:t xml:space="preserve">of </w:t>
      </w:r>
      <w:r w:rsidR="00A803A9" w:rsidRPr="009B15A5">
        <w:rPr>
          <w:rFonts w:cs="Arial"/>
          <w:szCs w:val="19"/>
          <w:lang w:val="en-US"/>
        </w:rPr>
        <w:t>f</w:t>
      </w:r>
      <w:r w:rsidR="00905E04" w:rsidRPr="009B15A5">
        <w:rPr>
          <w:rFonts w:cs="Arial"/>
          <w:szCs w:val="19"/>
          <w:lang w:val="en-US"/>
        </w:rPr>
        <w:t>inal consumption expe</w:t>
      </w:r>
      <w:r w:rsidR="003057A8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>iture</w:t>
      </w:r>
      <w:r w:rsidR="00BB6742" w:rsidRPr="009B15A5">
        <w:rPr>
          <w:rFonts w:cs="Arial"/>
          <w:szCs w:val="19"/>
          <w:lang w:val="en-US"/>
        </w:rPr>
        <w:t xml:space="preserve"> of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0.6</w:t>
      </w:r>
      <w:r w:rsidR="00A803A9" w:rsidRPr="009B15A5">
        <w:rPr>
          <w:rFonts w:cs="Arial"/>
          <w:szCs w:val="19"/>
          <w:lang w:val="en-US"/>
        </w:rPr>
        <w:t xml:space="preserve">% (against </w:t>
      </w:r>
      <w:r w:rsidR="00E77CA7" w:rsidRPr="009B15A5">
        <w:rPr>
          <w:rFonts w:cs="Arial"/>
          <w:szCs w:val="19"/>
          <w:lang w:val="en-US"/>
        </w:rPr>
        <w:t>a de</w:t>
      </w:r>
      <w:r w:rsidR="00220355" w:rsidRPr="009B15A5">
        <w:rPr>
          <w:rFonts w:cs="Arial"/>
          <w:szCs w:val="19"/>
          <w:lang w:val="en-US"/>
        </w:rPr>
        <w:t>crease</w:t>
      </w:r>
      <w:r w:rsidR="00910578" w:rsidRPr="009B15A5">
        <w:rPr>
          <w:rFonts w:cs="Arial"/>
          <w:szCs w:val="19"/>
          <w:lang w:val="en-US"/>
        </w:rPr>
        <w:t xml:space="preserve"> of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0.2</w:t>
      </w:r>
      <w:r w:rsidR="00A803A9" w:rsidRPr="009B15A5">
        <w:rPr>
          <w:rFonts w:cs="Arial"/>
          <w:szCs w:val="19"/>
          <w:lang w:val="en-US"/>
        </w:rPr>
        <w:t>% in</w:t>
      </w:r>
      <w:r w:rsidR="006B4723" w:rsidRPr="009B15A5">
        <w:rPr>
          <w:rFonts w:cs="Arial"/>
          <w:szCs w:val="19"/>
          <w:lang w:val="en-US"/>
        </w:rPr>
        <w:t xml:space="preserve"> the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4</w:t>
      </w:r>
      <w:r w:rsidR="00E77CA7" w:rsidRPr="009B15A5">
        <w:rPr>
          <w:rFonts w:cs="Arial"/>
          <w:szCs w:val="19"/>
          <w:vertAlign w:val="superscript"/>
          <w:lang w:val="en-US"/>
        </w:rPr>
        <w:t>th</w:t>
      </w:r>
      <w:r w:rsidR="00E77CA7" w:rsidRPr="009B15A5">
        <w:rPr>
          <w:rFonts w:cs="Arial"/>
          <w:szCs w:val="19"/>
          <w:lang w:val="en-US"/>
        </w:rPr>
        <w:t xml:space="preserve"> </w:t>
      </w:r>
      <w:r w:rsidR="00A803A9" w:rsidRPr="009B15A5">
        <w:rPr>
          <w:rFonts w:cs="Arial"/>
          <w:szCs w:val="19"/>
          <w:lang w:val="en-US"/>
        </w:rPr>
        <w:t>quarter of 2020)</w:t>
      </w:r>
      <w:r w:rsidR="009A0F4E" w:rsidRPr="009B15A5">
        <w:rPr>
          <w:rFonts w:cs="Arial"/>
          <w:szCs w:val="19"/>
          <w:lang w:val="en-US"/>
        </w:rPr>
        <w:t>.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Consumption expe</w:t>
      </w:r>
      <w:r w:rsidR="009F5D1A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in the households sector </w:t>
      </w:r>
      <w:r w:rsidR="005C1C04" w:rsidRPr="009B15A5">
        <w:rPr>
          <w:rFonts w:cs="Arial"/>
          <w:szCs w:val="19"/>
          <w:lang w:val="en-US"/>
        </w:rPr>
        <w:t xml:space="preserve">was </w:t>
      </w:r>
      <w:r w:rsidR="00CE3E1E" w:rsidRPr="009B15A5">
        <w:rPr>
          <w:rFonts w:cs="Arial"/>
          <w:szCs w:val="19"/>
          <w:lang w:val="en-US"/>
        </w:rPr>
        <w:t>higher</w:t>
      </w:r>
      <w:r w:rsidR="00905E04" w:rsidRPr="009B15A5">
        <w:rPr>
          <w:rFonts w:cs="Arial"/>
          <w:szCs w:val="19"/>
          <w:lang w:val="en-US"/>
        </w:rPr>
        <w:t xml:space="preserve"> by </w:t>
      </w:r>
      <w:r w:rsidR="00CE3E1E" w:rsidRPr="009B15A5">
        <w:rPr>
          <w:rFonts w:cs="Arial"/>
          <w:szCs w:val="19"/>
          <w:lang w:val="en-US"/>
        </w:rPr>
        <w:t>0</w:t>
      </w:r>
      <w:r w:rsidR="00220355" w:rsidRPr="009B15A5">
        <w:rPr>
          <w:rFonts w:cs="Arial"/>
          <w:szCs w:val="19"/>
          <w:lang w:val="en-US"/>
        </w:rPr>
        <w:t>.2</w:t>
      </w:r>
      <w:r w:rsidR="00905E04" w:rsidRPr="009B15A5">
        <w:rPr>
          <w:rFonts w:cs="Arial"/>
          <w:szCs w:val="19"/>
          <w:lang w:val="en-US"/>
        </w:rPr>
        <w:t xml:space="preserve">% </w:t>
      </w:r>
      <w:r w:rsidR="004329BC" w:rsidRPr="009B15A5">
        <w:rPr>
          <w:rFonts w:cs="Arial"/>
          <w:szCs w:val="19"/>
          <w:lang w:val="en-US"/>
        </w:rPr>
        <w:t xml:space="preserve">(against </w:t>
      </w:r>
      <w:r w:rsidR="005C1C04" w:rsidRPr="009B15A5">
        <w:rPr>
          <w:rFonts w:cs="Arial"/>
          <w:szCs w:val="19"/>
          <w:lang w:val="en-US"/>
        </w:rPr>
        <w:t xml:space="preserve">a </w:t>
      </w:r>
      <w:r w:rsidR="00CE3E1E" w:rsidRPr="009B15A5">
        <w:rPr>
          <w:rFonts w:cs="Arial"/>
          <w:szCs w:val="19"/>
          <w:lang w:val="en-US"/>
        </w:rPr>
        <w:t>de</w:t>
      </w:r>
      <w:r w:rsidR="00220355" w:rsidRPr="009B15A5">
        <w:rPr>
          <w:rFonts w:cs="Arial"/>
          <w:szCs w:val="19"/>
          <w:lang w:val="en-US"/>
        </w:rPr>
        <w:t>crease</w:t>
      </w:r>
      <w:r w:rsidR="00910578" w:rsidRPr="009B15A5">
        <w:rPr>
          <w:rFonts w:cs="Arial"/>
          <w:szCs w:val="19"/>
          <w:lang w:val="en-US"/>
        </w:rPr>
        <w:t xml:space="preserve"> of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A061E9" w:rsidRPr="007B6816">
        <w:rPr>
          <w:rFonts w:cs="Arial"/>
          <w:szCs w:val="19"/>
          <w:lang w:val="en-US"/>
        </w:rPr>
        <w:t>3.2</w:t>
      </w:r>
      <w:r w:rsidR="004329BC" w:rsidRPr="009B15A5">
        <w:rPr>
          <w:rFonts w:cs="Arial"/>
          <w:szCs w:val="19"/>
          <w:lang w:val="en-US"/>
        </w:rPr>
        <w:t xml:space="preserve">% in </w:t>
      </w:r>
      <w:r w:rsidR="006B4723" w:rsidRPr="009B15A5">
        <w:rPr>
          <w:rFonts w:cs="Arial"/>
          <w:szCs w:val="19"/>
          <w:lang w:val="en-US"/>
        </w:rPr>
        <w:t xml:space="preserve">the </w:t>
      </w:r>
      <w:r w:rsidR="00CE3E1E" w:rsidRPr="009B15A5">
        <w:rPr>
          <w:rFonts w:cs="Arial"/>
          <w:szCs w:val="19"/>
          <w:lang w:val="en-US"/>
        </w:rPr>
        <w:t>4</w:t>
      </w:r>
      <w:r w:rsidR="00CE3E1E" w:rsidRPr="009B15A5">
        <w:rPr>
          <w:rFonts w:cs="Arial"/>
          <w:szCs w:val="19"/>
          <w:vertAlign w:val="superscript"/>
          <w:lang w:val="en-US"/>
        </w:rPr>
        <w:t>th</w:t>
      </w:r>
      <w:r w:rsidR="004329BC" w:rsidRPr="009B15A5">
        <w:rPr>
          <w:rFonts w:cs="Arial"/>
          <w:szCs w:val="19"/>
          <w:vertAlign w:val="superscript"/>
          <w:lang w:val="en-US"/>
        </w:rPr>
        <w:t xml:space="preserve"> </w:t>
      </w:r>
      <w:r w:rsidR="004329BC" w:rsidRPr="009B15A5">
        <w:rPr>
          <w:rFonts w:cs="Arial"/>
          <w:szCs w:val="19"/>
          <w:lang w:val="en-US"/>
        </w:rPr>
        <w:t xml:space="preserve">quarter of 2020). </w:t>
      </w:r>
      <w:r w:rsidR="00B23F88" w:rsidRPr="009B15A5">
        <w:rPr>
          <w:rFonts w:cs="Arial"/>
          <w:szCs w:val="19"/>
          <w:lang w:val="en-US"/>
        </w:rPr>
        <w:t>G</w:t>
      </w:r>
      <w:r w:rsidR="00905E04" w:rsidRPr="009B15A5">
        <w:rPr>
          <w:rFonts w:cs="Arial"/>
          <w:szCs w:val="19"/>
          <w:lang w:val="en-US"/>
        </w:rPr>
        <w:t xml:space="preserve">ross fixed capital formation </w:t>
      </w:r>
      <w:r w:rsidR="004329BC" w:rsidRPr="009B15A5">
        <w:rPr>
          <w:rFonts w:cs="Arial"/>
          <w:szCs w:val="19"/>
          <w:lang w:val="en-US"/>
        </w:rPr>
        <w:t xml:space="preserve">went </w:t>
      </w:r>
      <w:r w:rsidR="00CD603B" w:rsidRPr="009B15A5">
        <w:rPr>
          <w:rFonts w:cs="Arial"/>
          <w:szCs w:val="19"/>
          <w:lang w:val="en-US"/>
        </w:rPr>
        <w:t>up</w:t>
      </w:r>
      <w:r w:rsidR="004329BC" w:rsidRPr="009B15A5">
        <w:rPr>
          <w:rFonts w:cs="Arial"/>
          <w:szCs w:val="19"/>
          <w:lang w:val="en-US"/>
        </w:rPr>
        <w:t xml:space="preserve"> by</w:t>
      </w:r>
      <w:r w:rsidR="00643F07" w:rsidRPr="009B15A5">
        <w:rPr>
          <w:rFonts w:cs="Arial"/>
          <w:szCs w:val="19"/>
          <w:lang w:val="en-US"/>
        </w:rPr>
        <w:t xml:space="preserve"> </w:t>
      </w:r>
      <w:r w:rsidR="00CD603B" w:rsidRPr="009B15A5">
        <w:rPr>
          <w:rFonts w:cs="Arial"/>
          <w:szCs w:val="19"/>
          <w:lang w:val="en-US"/>
        </w:rPr>
        <w:t>1.3</w:t>
      </w:r>
      <w:r w:rsidR="009C1681" w:rsidRPr="009B15A5">
        <w:rPr>
          <w:rFonts w:cs="Arial"/>
          <w:szCs w:val="19"/>
          <w:lang w:val="en-US"/>
        </w:rPr>
        <w:t>% (against a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5C1C04" w:rsidRPr="009B15A5">
        <w:rPr>
          <w:rFonts w:cs="Arial"/>
          <w:szCs w:val="19"/>
          <w:lang w:val="en-US"/>
        </w:rPr>
        <w:t>de</w:t>
      </w:r>
      <w:r w:rsidR="00910578" w:rsidRPr="009B15A5">
        <w:rPr>
          <w:rFonts w:cs="Arial"/>
          <w:szCs w:val="19"/>
          <w:lang w:val="en-US"/>
        </w:rPr>
        <w:t>crease of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CD603B" w:rsidRPr="009B15A5">
        <w:rPr>
          <w:rFonts w:cs="Arial"/>
          <w:szCs w:val="19"/>
          <w:lang w:val="en-US"/>
        </w:rPr>
        <w:t>15.4</w:t>
      </w:r>
      <w:r w:rsidR="004329BC" w:rsidRPr="009B15A5">
        <w:rPr>
          <w:rFonts w:cs="Arial"/>
          <w:szCs w:val="19"/>
          <w:lang w:val="en-US"/>
        </w:rPr>
        <w:t>% in</w:t>
      </w:r>
      <w:r w:rsidR="006B4723" w:rsidRPr="009B15A5">
        <w:rPr>
          <w:rFonts w:cs="Arial"/>
          <w:szCs w:val="19"/>
          <w:lang w:val="en-US"/>
        </w:rPr>
        <w:t xml:space="preserve"> the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CD603B" w:rsidRPr="009B15A5">
        <w:rPr>
          <w:rFonts w:cs="Arial"/>
          <w:szCs w:val="19"/>
          <w:lang w:val="en-US"/>
        </w:rPr>
        <w:t>4</w:t>
      </w:r>
      <w:r w:rsidR="00CD603B" w:rsidRPr="009B15A5">
        <w:rPr>
          <w:rFonts w:cs="Arial"/>
          <w:szCs w:val="19"/>
          <w:vertAlign w:val="superscript"/>
          <w:lang w:val="en-US"/>
        </w:rPr>
        <w:t>th</w:t>
      </w:r>
      <w:r w:rsidR="004329BC" w:rsidRPr="009B15A5">
        <w:rPr>
          <w:rFonts w:cs="Arial"/>
          <w:szCs w:val="19"/>
          <w:vertAlign w:val="superscript"/>
          <w:lang w:val="en-US"/>
        </w:rPr>
        <w:t xml:space="preserve"> </w:t>
      </w:r>
      <w:r w:rsidR="004329BC" w:rsidRPr="009B15A5">
        <w:rPr>
          <w:rFonts w:cs="Arial"/>
          <w:szCs w:val="19"/>
          <w:lang w:val="en-US"/>
        </w:rPr>
        <w:t>quarter of 2020</w:t>
      </w:r>
      <w:r w:rsidR="006B4723" w:rsidRPr="009B15A5">
        <w:rPr>
          <w:rFonts w:cs="Arial"/>
          <w:szCs w:val="19"/>
          <w:lang w:val="en-US"/>
        </w:rPr>
        <w:t>)</w:t>
      </w:r>
      <w:r w:rsidR="004329BC" w:rsidRPr="009B15A5">
        <w:rPr>
          <w:rFonts w:cs="Arial"/>
          <w:szCs w:val="19"/>
          <w:lang w:val="en-US"/>
        </w:rPr>
        <w:t>.</w:t>
      </w:r>
    </w:p>
    <w:p w:rsidR="00905E04" w:rsidRPr="009B15A5" w:rsidRDefault="00D656E3" w:rsidP="00905E04">
      <w:pPr>
        <w:rPr>
          <w:rFonts w:cs="Arial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_x0000_s1038" type="#_x0000_t202" style="position:absolute;margin-left:457.25pt;margin-top:464.95pt;width:132.35pt;height:46.85pt;z-index:-251653120;visibility:visible;mso-wrap-distance-top:3.6pt;mso-wrap-distance-bottom:3.6pt;mso-position-horizontal-relative:page;mso-position-vertical:absolute;mso-position-vertical-relative:page;mso-width-relative:margin;mso-height-relative:margin" filled="f" stroked="f">
            <v:textbox style="mso-next-textbox:#_x0000_s1038">
              <w:txbxContent>
                <w:p w:rsidR="00F12FF1" w:rsidRPr="00F12FF1" w:rsidRDefault="00F12FF1" w:rsidP="0080253C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372A5" w:rsidRPr="009B15A5">
        <w:rPr>
          <w:rFonts w:cs="Arial"/>
          <w:szCs w:val="19"/>
          <w:lang w:val="en-US"/>
        </w:rPr>
        <w:t>As a result</w:t>
      </w:r>
      <w:r w:rsidR="009A3469" w:rsidRPr="009B15A5">
        <w:rPr>
          <w:rFonts w:cs="Arial"/>
          <w:szCs w:val="19"/>
          <w:lang w:val="en-US"/>
        </w:rPr>
        <w:t>,</w:t>
      </w:r>
      <w:r w:rsidR="009372A5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the </w:t>
      </w:r>
      <w:r w:rsidR="0063012B" w:rsidRPr="009B15A5">
        <w:rPr>
          <w:rFonts w:cs="Arial"/>
          <w:szCs w:val="19"/>
          <w:lang w:val="en-US"/>
        </w:rPr>
        <w:t>positive</w:t>
      </w:r>
      <w:r w:rsidR="00B8123F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contribution of domestic uses to economic growth was </w:t>
      </w:r>
      <w:r w:rsidR="00594C11" w:rsidRPr="009B15A5">
        <w:rPr>
          <w:rFonts w:cs="Arial"/>
          <w:szCs w:val="19"/>
          <w:lang w:val="en-US"/>
        </w:rPr>
        <w:t>1.0</w:t>
      </w:r>
      <w:r w:rsidR="006162A0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 (</w:t>
      </w:r>
      <w:r w:rsidR="00D121D5" w:rsidRPr="009B15A5">
        <w:rPr>
          <w:rFonts w:cs="Arial"/>
          <w:szCs w:val="19"/>
          <w:lang w:val="en-US"/>
        </w:rPr>
        <w:t xml:space="preserve">against negative influence of domestic uses of -2.8 percentage points </w:t>
      </w:r>
      <w:r w:rsidR="00905E04" w:rsidRPr="009B15A5">
        <w:rPr>
          <w:rFonts w:cs="Arial"/>
          <w:szCs w:val="19"/>
          <w:lang w:val="en-US"/>
        </w:rPr>
        <w:t xml:space="preserve">in </w:t>
      </w:r>
      <w:r w:rsidR="0062506B" w:rsidRPr="009B15A5">
        <w:rPr>
          <w:rFonts w:cs="Arial"/>
          <w:szCs w:val="19"/>
          <w:lang w:val="en-US"/>
        </w:rPr>
        <w:t>the</w:t>
      </w:r>
      <w:r w:rsidR="006B4723" w:rsidRPr="009B15A5">
        <w:rPr>
          <w:rFonts w:cs="Arial"/>
          <w:szCs w:val="19"/>
          <w:lang w:val="en-US"/>
        </w:rPr>
        <w:t xml:space="preserve"> </w:t>
      </w:r>
      <w:r w:rsidR="00594C11" w:rsidRPr="009B15A5">
        <w:rPr>
          <w:rFonts w:cs="Arial"/>
          <w:szCs w:val="19"/>
          <w:lang w:val="en-US"/>
        </w:rPr>
        <w:t>4</w:t>
      </w:r>
      <w:r w:rsidR="00594C11" w:rsidRPr="009B15A5">
        <w:rPr>
          <w:rFonts w:cs="Arial"/>
          <w:szCs w:val="19"/>
          <w:vertAlign w:val="superscript"/>
          <w:lang w:val="en-US"/>
        </w:rPr>
        <w:t>th</w:t>
      </w:r>
      <w:r w:rsidR="006B4723" w:rsidRPr="009B15A5">
        <w:rPr>
          <w:rFonts w:cs="Arial"/>
          <w:szCs w:val="19"/>
          <w:vertAlign w:val="superscript"/>
          <w:lang w:val="en-US"/>
        </w:rPr>
        <w:t xml:space="preserve"> </w:t>
      </w:r>
      <w:r w:rsidR="006B4723" w:rsidRPr="009B15A5">
        <w:rPr>
          <w:rFonts w:cs="Arial"/>
          <w:szCs w:val="19"/>
          <w:lang w:val="en-US"/>
        </w:rPr>
        <w:t>quarter of 2020</w:t>
      </w:r>
      <w:r w:rsidR="00905E04" w:rsidRPr="009B15A5">
        <w:rPr>
          <w:rFonts w:cs="Arial"/>
          <w:szCs w:val="19"/>
          <w:lang w:val="en-US"/>
        </w:rPr>
        <w:t xml:space="preserve">). It came from </w:t>
      </w:r>
      <w:r w:rsidR="006E44C8" w:rsidRPr="009B15A5">
        <w:rPr>
          <w:rFonts w:cs="Arial"/>
          <w:szCs w:val="19"/>
          <w:lang w:val="en-US"/>
        </w:rPr>
        <w:t xml:space="preserve">the </w:t>
      </w:r>
      <w:r w:rsidR="005E3D19" w:rsidRPr="009B15A5">
        <w:rPr>
          <w:rFonts w:cs="Arial"/>
          <w:szCs w:val="19"/>
          <w:lang w:val="en-US"/>
        </w:rPr>
        <w:t>positi</w:t>
      </w:r>
      <w:r w:rsidR="003D0E65" w:rsidRPr="009B15A5">
        <w:rPr>
          <w:rFonts w:cs="Arial"/>
          <w:szCs w:val="19"/>
          <w:lang w:val="en-US"/>
        </w:rPr>
        <w:t>ve</w:t>
      </w:r>
      <w:r w:rsidR="006E44C8" w:rsidRPr="009B15A5">
        <w:rPr>
          <w:rFonts w:cs="Arial"/>
          <w:szCs w:val="19"/>
          <w:lang w:val="en-US"/>
        </w:rPr>
        <w:t xml:space="preserve"> influence of </w:t>
      </w:r>
      <w:r w:rsidR="00905E04" w:rsidRPr="009B15A5">
        <w:rPr>
          <w:rFonts w:cs="Arial"/>
          <w:szCs w:val="19"/>
          <w:lang w:val="en-US"/>
        </w:rPr>
        <w:t>final consumption expe</w:t>
      </w:r>
      <w:r w:rsidR="00F42586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</w:t>
      </w:r>
      <w:r w:rsidR="006E44C8" w:rsidRPr="009B15A5">
        <w:rPr>
          <w:rFonts w:cs="Arial"/>
          <w:szCs w:val="19"/>
          <w:lang w:val="en-US"/>
        </w:rPr>
        <w:t xml:space="preserve">and </w:t>
      </w:r>
      <w:r w:rsidR="005E3D19" w:rsidRPr="009B15A5">
        <w:rPr>
          <w:rFonts w:cs="Arial"/>
          <w:szCs w:val="19"/>
          <w:lang w:val="en-US"/>
        </w:rPr>
        <w:t xml:space="preserve">positive </w:t>
      </w:r>
      <w:r w:rsidR="006E44C8" w:rsidRPr="009B15A5">
        <w:rPr>
          <w:rFonts w:cs="Arial"/>
          <w:szCs w:val="19"/>
          <w:lang w:val="en-US"/>
        </w:rPr>
        <w:t xml:space="preserve">influence of gross capital formation. The impact of final consumption expenditure was </w:t>
      </w:r>
      <w:r w:rsidR="00362740" w:rsidRPr="009B15A5">
        <w:rPr>
          <w:rFonts w:cs="Arial"/>
          <w:szCs w:val="19"/>
          <w:lang w:val="en-US"/>
        </w:rPr>
        <w:t>+0.5</w:t>
      </w:r>
      <w:r w:rsidR="006E44C8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percentage points (against </w:t>
      </w:r>
      <w:r w:rsidR="006E44C8" w:rsidRPr="009B15A5">
        <w:rPr>
          <w:rFonts w:cs="Arial"/>
          <w:szCs w:val="19"/>
          <w:lang w:val="en-US"/>
        </w:rPr>
        <w:t xml:space="preserve">the </w:t>
      </w:r>
      <w:r w:rsidR="00362740" w:rsidRPr="009B15A5">
        <w:rPr>
          <w:rFonts w:cs="Arial"/>
          <w:szCs w:val="19"/>
          <w:lang w:val="en-US"/>
        </w:rPr>
        <w:t>negative</w:t>
      </w:r>
      <w:r w:rsidR="006E44C8" w:rsidRPr="009B15A5">
        <w:rPr>
          <w:rFonts w:cs="Arial"/>
          <w:szCs w:val="19"/>
          <w:lang w:val="en-US"/>
        </w:rPr>
        <w:t xml:space="preserve"> impact </w:t>
      </w:r>
      <w:r w:rsidR="00231E33" w:rsidRPr="009B15A5">
        <w:rPr>
          <w:rFonts w:cs="Arial"/>
          <w:szCs w:val="19"/>
          <w:lang w:val="en-US"/>
        </w:rPr>
        <w:t xml:space="preserve">of </w:t>
      </w:r>
      <w:r w:rsidR="00362740" w:rsidRPr="009B15A5">
        <w:rPr>
          <w:rFonts w:cs="Arial"/>
          <w:szCs w:val="19"/>
          <w:lang w:val="en-US"/>
        </w:rPr>
        <w:t>-0.2</w:t>
      </w:r>
      <w:r w:rsidR="006D1AE5" w:rsidRPr="009B15A5">
        <w:rPr>
          <w:rFonts w:cs="Arial"/>
          <w:szCs w:val="19"/>
          <w:lang w:val="en-US"/>
        </w:rPr>
        <w:t xml:space="preserve"> percentage points</w:t>
      </w:r>
      <w:r w:rsidR="00905E04" w:rsidRPr="009B15A5">
        <w:rPr>
          <w:rFonts w:cs="Arial"/>
          <w:szCs w:val="19"/>
          <w:lang w:val="en-US"/>
        </w:rPr>
        <w:t xml:space="preserve"> </w:t>
      </w:r>
      <w:r w:rsidR="006B4723" w:rsidRPr="009B15A5">
        <w:rPr>
          <w:rFonts w:cs="Arial"/>
          <w:szCs w:val="19"/>
          <w:lang w:val="en-US"/>
        </w:rPr>
        <w:t>in the</w:t>
      </w:r>
      <w:r w:rsidR="004E0015" w:rsidRPr="009B15A5">
        <w:rPr>
          <w:rFonts w:cs="Arial"/>
          <w:szCs w:val="19"/>
          <w:lang w:val="en-US"/>
        </w:rPr>
        <w:t xml:space="preserve"> </w:t>
      </w:r>
      <w:r w:rsidR="00362740" w:rsidRPr="009B15A5">
        <w:rPr>
          <w:rFonts w:cs="Arial"/>
          <w:szCs w:val="19"/>
          <w:lang w:val="en-US"/>
        </w:rPr>
        <w:t>4</w:t>
      </w:r>
      <w:r w:rsidR="00362740" w:rsidRPr="009B15A5">
        <w:rPr>
          <w:rFonts w:cs="Arial"/>
          <w:szCs w:val="19"/>
          <w:vertAlign w:val="superscript"/>
          <w:lang w:val="en-US"/>
        </w:rPr>
        <w:t>th</w:t>
      </w:r>
      <w:r w:rsidR="006B4723" w:rsidRPr="009B15A5">
        <w:rPr>
          <w:rFonts w:cs="Arial"/>
          <w:szCs w:val="19"/>
          <w:vertAlign w:val="superscript"/>
          <w:lang w:val="en-US"/>
        </w:rPr>
        <w:t xml:space="preserve"> </w:t>
      </w:r>
      <w:r w:rsidR="006B4723" w:rsidRPr="009B15A5">
        <w:rPr>
          <w:rFonts w:cs="Arial"/>
          <w:szCs w:val="19"/>
          <w:lang w:val="en-US"/>
        </w:rPr>
        <w:t>quarter of 2020</w:t>
      </w:r>
      <w:r w:rsidR="00231E33" w:rsidRPr="009B15A5">
        <w:rPr>
          <w:rFonts w:cs="Arial"/>
          <w:szCs w:val="19"/>
          <w:lang w:val="en-US"/>
        </w:rPr>
        <w:t>), of which</w:t>
      </w:r>
      <w:r w:rsidR="006E44C8" w:rsidRPr="009B15A5">
        <w:rPr>
          <w:rFonts w:cs="Arial"/>
          <w:szCs w:val="19"/>
          <w:lang w:val="en-US"/>
        </w:rPr>
        <w:t xml:space="preserve"> the</w:t>
      </w:r>
      <w:r w:rsidR="006B472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impact of the consumption expe</w:t>
      </w:r>
      <w:r w:rsidR="00F42586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in households sector </w:t>
      </w:r>
      <w:r w:rsidR="006B4723" w:rsidRPr="009B15A5">
        <w:rPr>
          <w:rFonts w:cs="Arial"/>
          <w:szCs w:val="19"/>
          <w:lang w:val="en-US"/>
        </w:rPr>
        <w:t xml:space="preserve">was </w:t>
      </w:r>
      <w:r w:rsidR="00362740" w:rsidRPr="009B15A5">
        <w:rPr>
          <w:rFonts w:cs="Arial"/>
          <w:szCs w:val="19"/>
          <w:lang w:val="en-US"/>
        </w:rPr>
        <w:t>+0.1</w:t>
      </w:r>
      <w:r w:rsidR="004E5DAF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 a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 </w:t>
      </w:r>
      <w:r w:rsidR="0078760D" w:rsidRPr="009B15A5">
        <w:rPr>
          <w:rFonts w:cs="Arial"/>
          <w:szCs w:val="19"/>
          <w:lang w:val="en-US"/>
        </w:rPr>
        <w:t xml:space="preserve">the </w:t>
      </w:r>
      <w:r w:rsidR="006B4723" w:rsidRPr="009B15A5">
        <w:rPr>
          <w:rFonts w:cs="Arial"/>
          <w:szCs w:val="19"/>
          <w:lang w:val="en-US"/>
        </w:rPr>
        <w:t xml:space="preserve">impact </w:t>
      </w:r>
      <w:r w:rsidR="00513548" w:rsidRPr="009B15A5">
        <w:rPr>
          <w:rFonts w:cs="Arial"/>
          <w:szCs w:val="19"/>
          <w:lang w:val="en-US"/>
        </w:rPr>
        <w:t xml:space="preserve">of </w:t>
      </w:r>
      <w:r w:rsidR="00905E04" w:rsidRPr="009B15A5">
        <w:rPr>
          <w:rFonts w:cs="Arial"/>
          <w:szCs w:val="19"/>
          <w:lang w:val="en-US"/>
        </w:rPr>
        <w:t>public consumption expe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iture </w:t>
      </w:r>
      <w:r w:rsidR="00513548" w:rsidRPr="009B15A5">
        <w:rPr>
          <w:rFonts w:cs="Arial"/>
          <w:szCs w:val="19"/>
          <w:lang w:val="en-US"/>
        </w:rPr>
        <w:t xml:space="preserve">amounted to </w:t>
      </w:r>
      <w:r w:rsidR="00905E04" w:rsidRPr="009B15A5">
        <w:rPr>
          <w:rFonts w:cs="Arial"/>
          <w:szCs w:val="19"/>
          <w:lang w:val="en-US"/>
        </w:rPr>
        <w:t>+</w:t>
      </w:r>
      <w:r w:rsidR="006162A0" w:rsidRPr="009B15A5">
        <w:rPr>
          <w:rFonts w:cs="Arial"/>
          <w:szCs w:val="19"/>
          <w:lang w:val="en-US"/>
        </w:rPr>
        <w:t>0.</w:t>
      </w:r>
      <w:r w:rsidR="00362740" w:rsidRPr="009B15A5">
        <w:rPr>
          <w:rFonts w:cs="Arial"/>
          <w:szCs w:val="19"/>
          <w:lang w:val="en-US"/>
        </w:rPr>
        <w:t>4</w:t>
      </w:r>
      <w:r w:rsidR="00905E04" w:rsidRPr="009B15A5">
        <w:rPr>
          <w:rFonts w:cs="Arial"/>
          <w:szCs w:val="19"/>
          <w:lang w:val="en-US"/>
        </w:rPr>
        <w:t xml:space="preserve"> percentage points </w:t>
      </w:r>
      <w:r w:rsidR="009B3031" w:rsidRPr="009B15A5">
        <w:rPr>
          <w:rFonts w:cs="Arial"/>
          <w:szCs w:val="19"/>
          <w:lang w:val="en-US"/>
        </w:rPr>
        <w:t>(</w:t>
      </w:r>
      <w:r w:rsidR="00355375" w:rsidRPr="009B15A5">
        <w:rPr>
          <w:rFonts w:cs="Arial"/>
          <w:szCs w:val="19"/>
          <w:lang w:val="en-US"/>
        </w:rPr>
        <w:t xml:space="preserve">-1.7 </w:t>
      </w:r>
      <w:r w:rsidR="006E44C8" w:rsidRPr="009B15A5">
        <w:rPr>
          <w:rFonts w:cs="Arial"/>
          <w:szCs w:val="19"/>
          <w:lang w:val="en-US"/>
        </w:rPr>
        <w:t xml:space="preserve">percentage points </w:t>
      </w:r>
      <w:r w:rsidR="00905E04" w:rsidRPr="009B15A5">
        <w:rPr>
          <w:rFonts w:cs="Arial"/>
          <w:szCs w:val="19"/>
          <w:lang w:val="en-US"/>
        </w:rPr>
        <w:t>a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 +</w:t>
      </w:r>
      <w:r w:rsidR="00355375" w:rsidRPr="009B15A5">
        <w:rPr>
          <w:rFonts w:cs="Arial"/>
          <w:szCs w:val="19"/>
          <w:lang w:val="en-US"/>
        </w:rPr>
        <w:t>1.5</w:t>
      </w:r>
      <w:r w:rsidR="00905E04" w:rsidRPr="009B15A5">
        <w:rPr>
          <w:rFonts w:cs="Arial"/>
          <w:szCs w:val="19"/>
          <w:lang w:val="en-US"/>
        </w:rPr>
        <w:t xml:space="preserve"> percentage points in the </w:t>
      </w:r>
      <w:r w:rsidR="00355375" w:rsidRPr="009B15A5">
        <w:rPr>
          <w:rFonts w:cs="Arial"/>
          <w:szCs w:val="19"/>
          <w:lang w:val="en-US"/>
        </w:rPr>
        <w:t>4</w:t>
      </w:r>
      <w:r w:rsidR="00355375" w:rsidRPr="009B15A5">
        <w:rPr>
          <w:rFonts w:cs="Arial"/>
          <w:szCs w:val="19"/>
          <w:vertAlign w:val="superscript"/>
          <w:lang w:val="en-US"/>
        </w:rPr>
        <w:t>th</w:t>
      </w:r>
      <w:r w:rsidR="006839CB" w:rsidRPr="009B15A5">
        <w:rPr>
          <w:rFonts w:cs="Arial"/>
          <w:szCs w:val="19"/>
          <w:vertAlign w:val="superscript"/>
          <w:lang w:val="en-US"/>
        </w:rPr>
        <w:t xml:space="preserve"> </w:t>
      </w:r>
      <w:r w:rsidR="006839CB" w:rsidRPr="009B15A5">
        <w:rPr>
          <w:rFonts w:cs="Arial"/>
          <w:szCs w:val="19"/>
          <w:lang w:val="en-US"/>
        </w:rPr>
        <w:t>quarter of 2020</w:t>
      </w:r>
      <w:r w:rsidR="00AB5EA7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respectively). </w:t>
      </w:r>
      <w:r w:rsidR="00C23C2A" w:rsidRPr="009B15A5">
        <w:rPr>
          <w:rFonts w:cs="Arial"/>
          <w:szCs w:val="19"/>
          <w:lang w:val="en-US"/>
        </w:rPr>
        <w:t>T</w:t>
      </w:r>
      <w:r w:rsidR="00905E04" w:rsidRPr="009B15A5">
        <w:rPr>
          <w:rFonts w:cs="Arial"/>
          <w:szCs w:val="19"/>
          <w:lang w:val="en-US"/>
        </w:rPr>
        <w:t xml:space="preserve">he impact of gross fixed capital formation </w:t>
      </w:r>
      <w:r w:rsidR="001B6956" w:rsidRPr="009B15A5">
        <w:rPr>
          <w:rFonts w:cs="Arial"/>
          <w:szCs w:val="19"/>
          <w:lang w:val="en-US"/>
        </w:rPr>
        <w:t>amounted to</w:t>
      </w:r>
      <w:r w:rsidR="00FB24BE" w:rsidRPr="009B15A5">
        <w:rPr>
          <w:rFonts w:cs="Arial"/>
          <w:szCs w:val="19"/>
          <w:lang w:val="en-US"/>
        </w:rPr>
        <w:t xml:space="preserve"> </w:t>
      </w:r>
      <w:r w:rsidR="0086116B" w:rsidRPr="009B15A5">
        <w:rPr>
          <w:rFonts w:cs="Arial"/>
          <w:szCs w:val="19"/>
          <w:lang w:val="en-US"/>
        </w:rPr>
        <w:t>+0.2</w:t>
      </w:r>
      <w:r w:rsidR="003D0E65" w:rsidRPr="009B15A5">
        <w:rPr>
          <w:rFonts w:cs="Arial"/>
          <w:szCs w:val="19"/>
          <w:lang w:val="en-US"/>
        </w:rPr>
        <w:t xml:space="preserve"> </w:t>
      </w:r>
      <w:r w:rsidR="005D21C1" w:rsidRPr="009B15A5">
        <w:rPr>
          <w:rFonts w:cs="Arial"/>
          <w:szCs w:val="19"/>
          <w:lang w:val="en-US"/>
        </w:rPr>
        <w:t>percentage points</w:t>
      </w:r>
      <w:r w:rsidR="00B13C3F" w:rsidRPr="009B15A5">
        <w:rPr>
          <w:rFonts w:cs="Arial"/>
          <w:szCs w:val="19"/>
          <w:lang w:val="en-US"/>
        </w:rPr>
        <w:t xml:space="preserve"> </w:t>
      </w:r>
      <w:r w:rsidR="00B36837" w:rsidRPr="009B15A5">
        <w:rPr>
          <w:rFonts w:cs="Arial"/>
          <w:szCs w:val="19"/>
          <w:lang w:val="en-US"/>
        </w:rPr>
        <w:t>(in the</w:t>
      </w:r>
      <w:r w:rsidR="00195C1E" w:rsidRPr="009B15A5">
        <w:rPr>
          <w:rFonts w:cs="Arial"/>
          <w:szCs w:val="19"/>
          <w:lang w:val="en-US"/>
        </w:rPr>
        <w:t xml:space="preserve"> </w:t>
      </w:r>
      <w:r w:rsidR="0086116B" w:rsidRPr="009B15A5">
        <w:rPr>
          <w:rFonts w:cs="Arial"/>
          <w:szCs w:val="19"/>
          <w:lang w:val="en-US"/>
        </w:rPr>
        <w:t>4</w:t>
      </w:r>
      <w:r w:rsidR="0086116B" w:rsidRPr="009B15A5">
        <w:rPr>
          <w:rFonts w:cs="Arial"/>
          <w:szCs w:val="19"/>
          <w:vertAlign w:val="superscript"/>
          <w:lang w:val="en-US"/>
        </w:rPr>
        <w:t>th</w:t>
      </w:r>
      <w:r w:rsidR="00B3683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B36837" w:rsidRPr="009B15A5">
        <w:rPr>
          <w:rFonts w:cs="Arial"/>
          <w:szCs w:val="19"/>
          <w:lang w:val="en-US"/>
        </w:rPr>
        <w:t>quarter of 2020 i</w:t>
      </w:r>
      <w:r w:rsidR="0062506B" w:rsidRPr="009B15A5">
        <w:rPr>
          <w:rFonts w:cs="Arial"/>
          <w:szCs w:val="19"/>
          <w:lang w:val="en-US"/>
        </w:rPr>
        <w:t xml:space="preserve">t was </w:t>
      </w:r>
      <w:r w:rsidR="00672EE7" w:rsidRPr="009B15A5">
        <w:rPr>
          <w:rFonts w:cs="Arial"/>
          <w:szCs w:val="19"/>
          <w:lang w:val="en-US"/>
        </w:rPr>
        <w:t>-</w:t>
      </w:r>
      <w:r w:rsidR="0086116B" w:rsidRPr="009B15A5">
        <w:rPr>
          <w:rFonts w:cs="Arial"/>
          <w:szCs w:val="19"/>
          <w:lang w:val="en-US"/>
        </w:rPr>
        <w:t>3.9</w:t>
      </w:r>
      <w:r w:rsidR="0062506B" w:rsidRPr="009B15A5">
        <w:rPr>
          <w:rFonts w:cs="Arial"/>
          <w:szCs w:val="19"/>
          <w:lang w:val="en-US"/>
        </w:rPr>
        <w:t xml:space="preserve"> percentage points). </w:t>
      </w:r>
      <w:r w:rsidR="00C1112B" w:rsidRPr="009B15A5">
        <w:rPr>
          <w:rFonts w:cs="Arial"/>
          <w:szCs w:val="19"/>
          <w:lang w:val="en-US"/>
        </w:rPr>
        <w:t xml:space="preserve">Changes in inventories </w:t>
      </w:r>
      <w:r w:rsidR="00643F07" w:rsidRPr="009B15A5">
        <w:rPr>
          <w:rFonts w:cs="Arial"/>
          <w:szCs w:val="19"/>
          <w:lang w:val="en-US"/>
        </w:rPr>
        <w:t xml:space="preserve">had </w:t>
      </w:r>
      <w:r w:rsidR="009C1681" w:rsidRPr="009B15A5">
        <w:rPr>
          <w:rFonts w:cs="Arial"/>
          <w:szCs w:val="19"/>
          <w:lang w:val="en-US"/>
        </w:rPr>
        <w:t xml:space="preserve">a </w:t>
      </w:r>
      <w:r w:rsidR="003D0E65" w:rsidRPr="009B15A5">
        <w:rPr>
          <w:rFonts w:cs="Arial"/>
          <w:szCs w:val="19"/>
          <w:lang w:val="en-US"/>
        </w:rPr>
        <w:t>posi</w:t>
      </w:r>
      <w:r w:rsidR="009C1681" w:rsidRPr="009B15A5">
        <w:rPr>
          <w:rFonts w:cs="Arial"/>
          <w:szCs w:val="19"/>
          <w:lang w:val="en-US"/>
        </w:rPr>
        <w:t xml:space="preserve">tive contribution and amounted to </w:t>
      </w:r>
      <w:r w:rsidR="003D0E65" w:rsidRPr="009B15A5">
        <w:rPr>
          <w:rFonts w:cs="Arial"/>
          <w:szCs w:val="19"/>
          <w:lang w:val="en-US"/>
        </w:rPr>
        <w:t>+0.</w:t>
      </w:r>
      <w:r w:rsidR="0086116B" w:rsidRPr="009B15A5">
        <w:rPr>
          <w:rFonts w:cs="Arial"/>
          <w:szCs w:val="19"/>
          <w:lang w:val="en-US"/>
        </w:rPr>
        <w:t>3</w:t>
      </w:r>
      <w:r w:rsidR="002C53E7" w:rsidRPr="009B15A5">
        <w:rPr>
          <w:rFonts w:cs="Arial"/>
          <w:szCs w:val="19"/>
          <w:lang w:val="en-US"/>
        </w:rPr>
        <w:t xml:space="preserve"> percentage points (against </w:t>
      </w:r>
      <w:r w:rsidR="0086116B" w:rsidRPr="009B15A5">
        <w:rPr>
          <w:rFonts w:cs="Arial"/>
          <w:szCs w:val="19"/>
          <w:lang w:val="en-US"/>
        </w:rPr>
        <w:t>+1</w:t>
      </w:r>
      <w:r w:rsidR="00843953" w:rsidRPr="009B15A5">
        <w:rPr>
          <w:rFonts w:cs="Arial"/>
          <w:szCs w:val="19"/>
          <w:lang w:val="en-US"/>
        </w:rPr>
        <w:t>.</w:t>
      </w:r>
      <w:r w:rsidR="003D0E65" w:rsidRPr="009B15A5">
        <w:rPr>
          <w:rFonts w:cs="Arial"/>
          <w:szCs w:val="19"/>
          <w:lang w:val="en-US"/>
        </w:rPr>
        <w:t>3</w:t>
      </w:r>
      <w:r w:rsidR="00843953" w:rsidRPr="009B15A5">
        <w:rPr>
          <w:rFonts w:cs="Arial"/>
          <w:szCs w:val="19"/>
          <w:lang w:val="en-US"/>
        </w:rPr>
        <w:t xml:space="preserve"> percentage points </w:t>
      </w:r>
      <w:r w:rsidR="002E206E" w:rsidRPr="009B15A5">
        <w:rPr>
          <w:rFonts w:cs="Arial"/>
          <w:szCs w:val="19"/>
          <w:lang w:val="en-US"/>
        </w:rPr>
        <w:t xml:space="preserve">in the </w:t>
      </w:r>
      <w:r w:rsidR="0086116B" w:rsidRPr="009B15A5">
        <w:rPr>
          <w:rFonts w:cs="Arial"/>
          <w:szCs w:val="19"/>
          <w:lang w:val="en-US"/>
        </w:rPr>
        <w:t>4</w:t>
      </w:r>
      <w:r w:rsidR="0086116B" w:rsidRPr="009B15A5">
        <w:rPr>
          <w:rFonts w:cs="Arial"/>
          <w:szCs w:val="19"/>
          <w:vertAlign w:val="superscript"/>
          <w:lang w:val="en-US"/>
        </w:rPr>
        <w:t>th</w:t>
      </w:r>
      <w:r w:rsidR="002C53E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717821">
        <w:rPr>
          <w:rFonts w:cs="Arial"/>
          <w:szCs w:val="19"/>
          <w:vertAlign w:val="superscript"/>
          <w:lang w:val="en-US"/>
        </w:rPr>
        <w:t xml:space="preserve"> </w:t>
      </w:r>
      <w:r w:rsidR="002C53E7" w:rsidRPr="009B15A5">
        <w:rPr>
          <w:rFonts w:cs="Arial"/>
          <w:szCs w:val="19"/>
          <w:lang w:val="en-US"/>
        </w:rPr>
        <w:t>quarter of 2020)</w:t>
      </w:r>
      <w:r w:rsidR="00C1112B" w:rsidRPr="009B15A5">
        <w:rPr>
          <w:rFonts w:cs="Arial"/>
          <w:szCs w:val="19"/>
          <w:lang w:val="en-US"/>
        </w:rPr>
        <w:t xml:space="preserve">. </w:t>
      </w:r>
      <w:r w:rsidR="00643F07" w:rsidRPr="009B15A5">
        <w:rPr>
          <w:rFonts w:cs="Arial"/>
          <w:szCs w:val="19"/>
          <w:lang w:val="en-US"/>
        </w:rPr>
        <w:t>As a consequence</w:t>
      </w:r>
      <w:r w:rsidR="002E206E" w:rsidRPr="009B15A5">
        <w:rPr>
          <w:rFonts w:cs="Arial"/>
          <w:szCs w:val="19"/>
          <w:lang w:val="en-US"/>
        </w:rPr>
        <w:t>, the</w:t>
      </w:r>
      <w:r w:rsidR="00606CE6" w:rsidRPr="009B15A5">
        <w:rPr>
          <w:rFonts w:cs="Arial"/>
          <w:szCs w:val="19"/>
          <w:lang w:val="en-US"/>
        </w:rPr>
        <w:t xml:space="preserve"> </w:t>
      </w:r>
      <w:r w:rsidR="00077D6B" w:rsidRPr="009B15A5">
        <w:rPr>
          <w:rFonts w:cs="Arial"/>
          <w:szCs w:val="19"/>
          <w:lang w:val="en-US"/>
        </w:rPr>
        <w:t>impact</w:t>
      </w:r>
      <w:r w:rsidR="00905E04" w:rsidRPr="009B15A5">
        <w:rPr>
          <w:rFonts w:cs="Arial"/>
          <w:szCs w:val="19"/>
          <w:lang w:val="en-US"/>
        </w:rPr>
        <w:t xml:space="preserve"> of gross capital formation on </w:t>
      </w:r>
      <w:r w:rsidR="00195C1E" w:rsidRPr="009B15A5">
        <w:rPr>
          <w:rFonts w:cs="Arial"/>
          <w:szCs w:val="19"/>
          <w:lang w:val="en-US"/>
        </w:rPr>
        <w:t xml:space="preserve">GDP </w:t>
      </w:r>
      <w:r w:rsidR="009A3469" w:rsidRPr="009B15A5">
        <w:rPr>
          <w:rFonts w:cs="Arial"/>
          <w:szCs w:val="19"/>
          <w:lang w:val="en-US"/>
        </w:rPr>
        <w:t xml:space="preserve">growth </w:t>
      </w:r>
      <w:r w:rsidR="00077D6B" w:rsidRPr="009B15A5">
        <w:rPr>
          <w:rFonts w:cs="Arial"/>
          <w:szCs w:val="19"/>
          <w:lang w:val="en-US"/>
        </w:rPr>
        <w:t>amounted to</w:t>
      </w:r>
      <w:r w:rsidR="00643F07" w:rsidRPr="009B15A5">
        <w:rPr>
          <w:rFonts w:cs="Arial"/>
          <w:szCs w:val="19"/>
          <w:lang w:val="en-US"/>
        </w:rPr>
        <w:t xml:space="preserve"> </w:t>
      </w:r>
      <w:r w:rsidR="00C251EF" w:rsidRPr="009B15A5">
        <w:rPr>
          <w:rFonts w:cs="Arial"/>
          <w:szCs w:val="19"/>
          <w:lang w:val="en-US"/>
        </w:rPr>
        <w:t>+0,5</w:t>
      </w:r>
      <w:r w:rsidR="0084395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</w:t>
      </w:r>
      <w:r w:rsidR="002E206E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(against </w:t>
      </w:r>
      <w:r w:rsidR="00843953" w:rsidRPr="009B15A5">
        <w:rPr>
          <w:rFonts w:cs="Arial"/>
          <w:szCs w:val="19"/>
          <w:lang w:val="en-US"/>
        </w:rPr>
        <w:t>-</w:t>
      </w:r>
      <w:r w:rsidR="00C251EF" w:rsidRPr="009B15A5">
        <w:rPr>
          <w:rFonts w:cs="Arial"/>
          <w:szCs w:val="19"/>
          <w:lang w:val="en-US"/>
        </w:rPr>
        <w:t>2.6</w:t>
      </w:r>
      <w:r w:rsidR="0084395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percentage points in the </w:t>
      </w:r>
      <w:r w:rsidR="00C251EF" w:rsidRPr="009B15A5">
        <w:rPr>
          <w:rFonts w:cs="Arial"/>
          <w:szCs w:val="19"/>
          <w:lang w:val="en-US"/>
        </w:rPr>
        <w:t>4</w:t>
      </w:r>
      <w:r w:rsidR="00C251EF" w:rsidRPr="009B15A5">
        <w:rPr>
          <w:rFonts w:cs="Arial"/>
          <w:szCs w:val="19"/>
          <w:vertAlign w:val="superscript"/>
          <w:lang w:val="en-US"/>
        </w:rPr>
        <w:t>th</w:t>
      </w:r>
      <w:r w:rsidR="00AB5EA7" w:rsidRPr="009B15A5">
        <w:rPr>
          <w:rFonts w:cs="Arial"/>
          <w:szCs w:val="19"/>
          <w:lang w:val="en-US"/>
        </w:rPr>
        <w:t xml:space="preserve"> quarter of 20</w:t>
      </w:r>
      <w:r w:rsidR="007348C4" w:rsidRPr="009B15A5">
        <w:rPr>
          <w:rFonts w:cs="Arial"/>
          <w:szCs w:val="19"/>
          <w:lang w:val="en-US"/>
        </w:rPr>
        <w:t>20</w:t>
      </w:r>
      <w:r w:rsidR="00905E04" w:rsidRPr="009B15A5">
        <w:rPr>
          <w:rFonts w:cs="Arial"/>
          <w:szCs w:val="19"/>
          <w:lang w:val="en-US"/>
        </w:rPr>
        <w:t xml:space="preserve">). In the </w:t>
      </w:r>
      <w:r w:rsidR="00C251EF" w:rsidRPr="009B15A5">
        <w:rPr>
          <w:noProof/>
          <w:spacing w:val="-2"/>
          <w:szCs w:val="19"/>
          <w:lang w:val="en-US" w:eastAsia="pl-PL"/>
        </w:rPr>
        <w:t>1</w:t>
      </w:r>
      <w:r w:rsidR="00C251EF" w:rsidRPr="009B15A5">
        <w:rPr>
          <w:noProof/>
          <w:spacing w:val="-2"/>
          <w:szCs w:val="19"/>
          <w:vertAlign w:val="superscript"/>
          <w:lang w:val="en-US" w:eastAsia="pl-PL"/>
        </w:rPr>
        <w:t>st</w:t>
      </w:r>
      <w:r w:rsidR="00A158B9" w:rsidRPr="009B15A5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905E04" w:rsidRPr="009B15A5">
        <w:rPr>
          <w:rFonts w:cs="Arial"/>
          <w:szCs w:val="19"/>
          <w:lang w:val="en-US"/>
        </w:rPr>
        <w:t>quarter of 20</w:t>
      </w:r>
      <w:r w:rsidR="00E51E2D" w:rsidRPr="009B15A5">
        <w:rPr>
          <w:rFonts w:cs="Arial"/>
          <w:szCs w:val="19"/>
          <w:lang w:val="en-US"/>
        </w:rPr>
        <w:t>2</w:t>
      </w:r>
      <w:r w:rsidR="00C251EF" w:rsidRPr="009B15A5">
        <w:rPr>
          <w:rFonts w:cs="Arial"/>
          <w:szCs w:val="19"/>
          <w:lang w:val="en-US"/>
        </w:rPr>
        <w:t>1</w:t>
      </w:r>
      <w:r w:rsidR="00AA3982" w:rsidRPr="009B15A5">
        <w:rPr>
          <w:rFonts w:cs="Arial"/>
          <w:szCs w:val="19"/>
          <w:lang w:val="en-US"/>
        </w:rPr>
        <w:t xml:space="preserve"> </w:t>
      </w:r>
      <w:r w:rsidR="009C1681" w:rsidRPr="009B15A5">
        <w:rPr>
          <w:rFonts w:cs="Arial"/>
          <w:szCs w:val="19"/>
          <w:lang w:val="en-US"/>
        </w:rPr>
        <w:t xml:space="preserve">a </w:t>
      </w:r>
      <w:r w:rsidR="00C251EF" w:rsidRPr="009B15A5">
        <w:rPr>
          <w:rFonts w:cs="Arial"/>
          <w:szCs w:val="19"/>
          <w:lang w:val="en-US"/>
        </w:rPr>
        <w:t>negative</w:t>
      </w:r>
      <w:r w:rsidR="00843953" w:rsidRPr="009B15A5">
        <w:rPr>
          <w:rFonts w:cs="Arial"/>
          <w:szCs w:val="19"/>
          <w:lang w:val="en-US"/>
        </w:rPr>
        <w:t xml:space="preserve"> impact of </w:t>
      </w:r>
      <w:r w:rsidR="00AB18C4" w:rsidRPr="009B15A5">
        <w:rPr>
          <w:rFonts w:cs="Arial"/>
          <w:szCs w:val="19"/>
          <w:lang w:val="en-US"/>
        </w:rPr>
        <w:t xml:space="preserve"> </w:t>
      </w:r>
      <w:r w:rsidR="00843953" w:rsidRPr="009B15A5">
        <w:rPr>
          <w:rFonts w:cs="Arial"/>
          <w:szCs w:val="19"/>
          <w:lang w:val="en-US"/>
        </w:rPr>
        <w:t xml:space="preserve">the net exports to the economic growth </w:t>
      </w:r>
      <w:r w:rsidR="00AB18C4" w:rsidRPr="009B15A5">
        <w:rPr>
          <w:rFonts w:cs="Arial"/>
          <w:szCs w:val="19"/>
          <w:lang w:val="en-US"/>
        </w:rPr>
        <w:t>was noted</w:t>
      </w:r>
      <w:r w:rsidR="00843953" w:rsidRPr="009B15A5">
        <w:rPr>
          <w:rFonts w:cs="Arial"/>
          <w:szCs w:val="19"/>
          <w:lang w:val="en-US"/>
        </w:rPr>
        <w:t>, which</w:t>
      </w:r>
      <w:r w:rsidR="002F18EF" w:rsidRPr="009B15A5">
        <w:rPr>
          <w:rFonts w:cs="Arial"/>
          <w:szCs w:val="19"/>
          <w:lang w:val="en-US"/>
        </w:rPr>
        <w:t xml:space="preserve"> </w:t>
      </w:r>
      <w:r w:rsidR="003374C1" w:rsidRPr="009B15A5">
        <w:rPr>
          <w:rFonts w:cs="Arial"/>
          <w:szCs w:val="19"/>
          <w:lang w:val="en-US"/>
        </w:rPr>
        <w:t>amounted to</w:t>
      </w:r>
      <w:r w:rsidR="00BC6305" w:rsidRPr="009B15A5">
        <w:rPr>
          <w:rFonts w:cs="Arial"/>
          <w:szCs w:val="19"/>
          <w:lang w:val="en-US"/>
        </w:rPr>
        <w:t xml:space="preserve"> </w:t>
      </w:r>
      <w:r w:rsidR="00C251EF" w:rsidRPr="009B15A5">
        <w:rPr>
          <w:rFonts w:cs="Arial"/>
          <w:szCs w:val="19"/>
          <w:lang w:val="en-US"/>
        </w:rPr>
        <w:t>-1.9</w:t>
      </w:r>
      <w:r w:rsidR="0031370A" w:rsidRPr="009B15A5">
        <w:rPr>
          <w:rFonts w:cs="Arial"/>
          <w:szCs w:val="19"/>
          <w:lang w:val="en-US"/>
        </w:rPr>
        <w:t xml:space="preserve"> percentage points </w:t>
      </w:r>
      <w:r w:rsidR="002E19A6" w:rsidRPr="009B15A5">
        <w:rPr>
          <w:rFonts w:cs="Arial"/>
          <w:szCs w:val="19"/>
          <w:lang w:val="en-US"/>
        </w:rPr>
        <w:t xml:space="preserve">(against </w:t>
      </w:r>
      <w:r w:rsidR="008449F4" w:rsidRPr="009B15A5">
        <w:rPr>
          <w:rFonts w:cs="Arial"/>
          <w:szCs w:val="19"/>
          <w:lang w:val="en-US"/>
        </w:rPr>
        <w:t>+</w:t>
      </w:r>
      <w:r w:rsidR="00C251EF" w:rsidRPr="009B15A5">
        <w:rPr>
          <w:rFonts w:cs="Arial"/>
          <w:szCs w:val="19"/>
          <w:lang w:val="en-US"/>
        </w:rPr>
        <w:t>0.1</w:t>
      </w:r>
      <w:r w:rsidR="002E19A6" w:rsidRPr="009B15A5">
        <w:rPr>
          <w:rFonts w:cs="Arial"/>
          <w:szCs w:val="19"/>
          <w:lang w:val="en-US"/>
        </w:rPr>
        <w:t xml:space="preserve"> percentage points in the </w:t>
      </w:r>
      <w:r w:rsidR="00C251EF" w:rsidRPr="009B15A5">
        <w:rPr>
          <w:rFonts w:cs="Arial"/>
          <w:szCs w:val="19"/>
          <w:lang w:val="en-US"/>
        </w:rPr>
        <w:t>4</w:t>
      </w:r>
      <w:r w:rsidR="00C251EF" w:rsidRPr="009B15A5">
        <w:rPr>
          <w:rFonts w:cs="Arial"/>
          <w:szCs w:val="19"/>
          <w:vertAlign w:val="superscript"/>
          <w:lang w:val="en-US"/>
        </w:rPr>
        <w:t>th</w:t>
      </w:r>
      <w:r w:rsidR="003374C1" w:rsidRPr="009B15A5">
        <w:rPr>
          <w:rFonts w:cs="Arial"/>
          <w:szCs w:val="19"/>
          <w:vertAlign w:val="superscript"/>
          <w:lang w:val="en-US"/>
        </w:rPr>
        <w:t xml:space="preserve"> </w:t>
      </w:r>
      <w:r w:rsidR="00AB5EA7" w:rsidRPr="009B15A5">
        <w:rPr>
          <w:rFonts w:cs="Arial"/>
          <w:szCs w:val="19"/>
          <w:lang w:val="en-US"/>
        </w:rPr>
        <w:t>quarter of 20</w:t>
      </w:r>
      <w:r w:rsidR="003374C1" w:rsidRPr="009B15A5">
        <w:rPr>
          <w:rFonts w:cs="Arial"/>
          <w:szCs w:val="19"/>
          <w:lang w:val="en-US"/>
        </w:rPr>
        <w:t>20</w:t>
      </w:r>
      <w:r w:rsidR="002E19A6" w:rsidRPr="009B15A5">
        <w:rPr>
          <w:rFonts w:cs="Arial"/>
          <w:szCs w:val="19"/>
          <w:lang w:val="en-US"/>
        </w:rPr>
        <w:t>).</w:t>
      </w:r>
    </w:p>
    <w:p w:rsidR="00681909" w:rsidRPr="008D6E97" w:rsidRDefault="00681909" w:rsidP="00905E04">
      <w:pPr>
        <w:rPr>
          <w:rFonts w:cs="Arial"/>
          <w:szCs w:val="19"/>
          <w:lang w:val="en-US"/>
        </w:rPr>
      </w:pPr>
    </w:p>
    <w:p w:rsidR="008D34C9" w:rsidRDefault="007702BE" w:rsidP="002339CB">
      <w:pPr>
        <w:ind w:left="725" w:hanging="680"/>
        <w:rPr>
          <w:b/>
          <w:sz w:val="18"/>
          <w:szCs w:val="18"/>
          <w:lang w:val="en-US"/>
        </w:rPr>
      </w:pPr>
      <w:r w:rsidRPr="007702BE">
        <w:rPr>
          <w:noProof/>
          <w:lang w:eastAsia="pl-PL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577</wp:posOffset>
            </wp:positionH>
            <wp:positionV relativeFrom="paragraph">
              <wp:posOffset>518388</wp:posOffset>
            </wp:positionV>
            <wp:extent cx="5112000" cy="2811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8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product volume growth rate</w:t>
      </w:r>
      <w:r w:rsidR="00F032DD">
        <w:rPr>
          <w:b/>
          <w:sz w:val="18"/>
          <w:szCs w:val="18"/>
          <w:lang w:val="en-US"/>
        </w:rPr>
        <w:t xml:space="preserve"> (</w:t>
      </w:r>
      <w:r w:rsidR="00F12FF1" w:rsidRPr="00AB64E2">
        <w:rPr>
          <w:b/>
          <w:sz w:val="18"/>
          <w:szCs w:val="18"/>
          <w:lang w:val="en-US"/>
        </w:rPr>
        <w:t>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>ing period of the previous 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  <w:r w:rsidR="00F032DD">
        <w:rPr>
          <w:b/>
          <w:sz w:val="18"/>
          <w:szCs w:val="18"/>
          <w:lang w:val="en-US"/>
        </w:rPr>
        <w:t>)</w:t>
      </w:r>
    </w:p>
    <w:p w:rsidR="00C6349B" w:rsidRDefault="00B75E84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  <w:r w:rsidRPr="007702BE">
        <w:rPr>
          <w:noProof/>
          <w:lang w:eastAsia="pl-PL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348311</wp:posOffset>
            </wp:positionV>
            <wp:extent cx="4871720" cy="25082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E3">
        <w:rPr>
          <w:rFonts w:ascii="Fira Sans SemiBold" w:hAnsi="Fira Sans SemiBold"/>
          <w:noProof/>
          <w:lang w:eastAsia="pl-PL"/>
        </w:rPr>
        <w:pict>
          <v:rect id="Prostokąt 14" o:spid="_x0000_s1046" style="position:absolute;left:0;text-align:left;margin-left:449.35pt;margin-top:-.6pt;width:147.4pt;height:1860.95pt;z-index:-251652096;visibility:visible;mso-position-horizontal-relative:page;mso-position-vertical-relative:page;mso-width-relative:margin;mso-height-relative:margin;v-text-anchor:middle" wrapcoords="-110 0 -110 21591 21600 21591 21600 0 -110 0" fillcolor="#f2f2f2" stroked="f" strokeweight="1pt">
            <w10:wrap type="tight" anchorx="page" anchory="page"/>
          </v:rect>
        </w:pict>
      </w:r>
      <w:r w:rsidR="004B0FCF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</w:t>
      </w:r>
      <w:r w:rsidR="000B0C97">
        <w:rPr>
          <w:szCs w:val="18"/>
          <w:lang w:val="en-US"/>
        </w:rPr>
        <w:t xml:space="preserve"> (</w:t>
      </w:r>
      <w:r w:rsidR="00F12FF1" w:rsidRPr="009843CB">
        <w:rPr>
          <w:szCs w:val="18"/>
          <w:lang w:val="en-US"/>
        </w:rPr>
        <w:t xml:space="preserve">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  <w:r w:rsidR="000B0C97">
        <w:rPr>
          <w:szCs w:val="18"/>
          <w:lang w:val="en-US"/>
        </w:rPr>
        <w:t>)</w:t>
      </w:r>
    </w:p>
    <w:p w:rsidR="007702BE" w:rsidRDefault="007702BE" w:rsidP="007702BE">
      <w:pPr>
        <w:pStyle w:val="tytuwykresu"/>
        <w:spacing w:before="240"/>
        <w:ind w:left="680" w:hanging="680"/>
        <w:rPr>
          <w:rFonts w:ascii="Fira Sans SemiBold" w:eastAsia="Times New Roman" w:hAnsi="Fira Sans SemiBold" w:cs="Times New Roman"/>
          <w:bCs/>
          <w:noProof/>
          <w:color w:val="001D77"/>
          <w:szCs w:val="19"/>
          <w:lang w:val="en-US" w:eastAsia="pl-PL"/>
        </w:rPr>
      </w:pPr>
    </w:p>
    <w:p w:rsidR="003371C8" w:rsidRPr="003635AB" w:rsidRDefault="007702BE" w:rsidP="007702BE">
      <w:pPr>
        <w:pStyle w:val="tytuwykresu"/>
        <w:spacing w:before="240"/>
        <w:ind w:left="680" w:hanging="680"/>
        <w:rPr>
          <w:rFonts w:eastAsia="Times New Roman" w:cs="Times New Roman"/>
          <w:bCs/>
          <w:noProof/>
          <w:color w:val="001D77"/>
          <w:szCs w:val="19"/>
          <w:lang w:val="en-US" w:eastAsia="pl-PL"/>
        </w:rPr>
      </w:pPr>
      <w:r w:rsidRPr="003635AB">
        <w:rPr>
          <w:rFonts w:eastAsia="Times New Roman" w:cs="Times New Roman"/>
          <w:bCs/>
          <w:noProof/>
          <w:color w:val="001D77"/>
          <w:szCs w:val="19"/>
          <w:lang w:val="en-US" w:eastAsia="pl-PL"/>
        </w:rPr>
        <w:t>S</w:t>
      </w:r>
      <w:r w:rsidR="003371C8" w:rsidRPr="003635AB">
        <w:rPr>
          <w:rFonts w:eastAsia="Times New Roman" w:cs="Times New Roman"/>
          <w:bCs/>
          <w:noProof/>
          <w:color w:val="001D77"/>
          <w:szCs w:val="19"/>
          <w:lang w:val="en-US" w:eastAsia="pl-PL"/>
        </w:rPr>
        <w:t>easonally adjusted GDP (previous quarter = 100, constant prices, reference year 201</w:t>
      </w:r>
      <w:r w:rsidR="00CD3C4C" w:rsidRPr="003635AB">
        <w:rPr>
          <w:rFonts w:eastAsia="Times New Roman" w:cs="Times New Roman"/>
          <w:bCs/>
          <w:noProof/>
          <w:color w:val="001D77"/>
          <w:szCs w:val="19"/>
          <w:lang w:val="en-US" w:eastAsia="pl-PL"/>
        </w:rPr>
        <w:t>5</w:t>
      </w:r>
      <w:r w:rsidR="003371C8" w:rsidRPr="003635AB">
        <w:rPr>
          <w:rFonts w:eastAsia="Times New Roman" w:cs="Times New Roman"/>
          <w:bCs/>
          <w:noProof/>
          <w:color w:val="001D77"/>
          <w:szCs w:val="19"/>
          <w:lang w:val="en-US" w:eastAsia="pl-PL"/>
        </w:rPr>
        <w:t>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770121">
        <w:rPr>
          <w:noProof/>
          <w:spacing w:val="-2"/>
          <w:szCs w:val="19"/>
          <w:lang w:val="en-US" w:eastAsia="pl-PL"/>
        </w:rPr>
        <w:t>1</w:t>
      </w:r>
      <w:r w:rsidR="00770121" w:rsidRPr="00770121">
        <w:rPr>
          <w:noProof/>
          <w:spacing w:val="-2"/>
          <w:szCs w:val="19"/>
          <w:vertAlign w:val="superscript"/>
          <w:lang w:val="en-US" w:eastAsia="pl-PL"/>
        </w:rPr>
        <w:t>st</w:t>
      </w:r>
      <w:r w:rsidRPr="003371C8"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 w:rsidR="00FF453B"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DE694B">
        <w:rPr>
          <w:rFonts w:cs="Arial"/>
          <w:szCs w:val="19"/>
          <w:lang w:val="en-US"/>
        </w:rPr>
        <w:t>1.1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DE694B">
        <w:rPr>
          <w:rFonts w:cs="Arial"/>
          <w:szCs w:val="19"/>
          <w:lang w:val="en-US"/>
        </w:rPr>
        <w:t>higher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770121">
        <w:rPr>
          <w:noProof/>
          <w:spacing w:val="-2"/>
          <w:szCs w:val="19"/>
          <w:lang w:val="en-US" w:eastAsia="pl-PL"/>
        </w:rPr>
        <w:t>1</w:t>
      </w:r>
      <w:r w:rsidR="00770121" w:rsidRPr="00770121">
        <w:rPr>
          <w:noProof/>
          <w:spacing w:val="-2"/>
          <w:szCs w:val="19"/>
          <w:vertAlign w:val="superscript"/>
          <w:lang w:val="en-US" w:eastAsia="pl-PL"/>
        </w:rPr>
        <w:t>st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was </w:t>
      </w:r>
      <w:r w:rsidR="00DE694B">
        <w:rPr>
          <w:rFonts w:cs="Arial"/>
          <w:szCs w:val="19"/>
          <w:lang w:val="en-US"/>
        </w:rPr>
        <w:t>1.3</w:t>
      </w:r>
      <w:r w:rsidRPr="008A2163">
        <w:rPr>
          <w:rFonts w:cs="Arial"/>
          <w:szCs w:val="19"/>
          <w:lang w:val="en-US"/>
        </w:rPr>
        <w:t xml:space="preserve">% </w:t>
      </w:r>
      <w:r w:rsidR="00AD5A26">
        <w:rPr>
          <w:rFonts w:cs="Arial"/>
          <w:szCs w:val="19"/>
          <w:lang w:val="en-US"/>
        </w:rPr>
        <w:t>higher</w:t>
      </w:r>
      <w:r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i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A2163">
        <w:rPr>
          <w:rFonts w:cs="Arial"/>
          <w:szCs w:val="19"/>
          <w:lang w:val="en-US"/>
        </w:rPr>
        <w:t>u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ry in </w:t>
      </w:r>
      <w:r w:rsidRPr="003371C8">
        <w:rPr>
          <w:rFonts w:cs="Arial"/>
          <w:szCs w:val="19"/>
          <w:lang w:val="en-US"/>
        </w:rPr>
        <w:t xml:space="preserve">the </w:t>
      </w:r>
      <w:r w:rsidR="00770121">
        <w:rPr>
          <w:noProof/>
          <w:spacing w:val="-2"/>
          <w:szCs w:val="19"/>
          <w:lang w:val="en-US" w:eastAsia="pl-PL"/>
        </w:rPr>
        <w:t>1</w:t>
      </w:r>
      <w:r w:rsidR="00770121" w:rsidRPr="00770121">
        <w:rPr>
          <w:noProof/>
          <w:spacing w:val="-2"/>
          <w:szCs w:val="19"/>
          <w:vertAlign w:val="superscript"/>
          <w:lang w:val="en-US" w:eastAsia="pl-PL"/>
        </w:rPr>
        <w:t>st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was </w:t>
      </w:r>
      <w:r w:rsidR="00DE694B">
        <w:rPr>
          <w:rFonts w:cs="Arial"/>
          <w:szCs w:val="19"/>
          <w:lang w:val="en-US"/>
        </w:rPr>
        <w:t>1.4</w:t>
      </w:r>
      <w:r w:rsidRPr="008A2163">
        <w:rPr>
          <w:rFonts w:cs="Arial"/>
          <w:szCs w:val="19"/>
          <w:lang w:val="en-US"/>
        </w:rPr>
        <w:t xml:space="preserve">% </w:t>
      </w:r>
      <w:r w:rsidR="001B6DAA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>.</w:t>
      </w:r>
    </w:p>
    <w:p w:rsidR="009B535A" w:rsidRPr="008A216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con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ruction in the </w:t>
      </w:r>
      <w:r w:rsidR="00770121">
        <w:rPr>
          <w:noProof/>
          <w:spacing w:val="-2"/>
          <w:szCs w:val="19"/>
          <w:lang w:val="en-US" w:eastAsia="pl-PL"/>
        </w:rPr>
        <w:t>1</w:t>
      </w:r>
      <w:r w:rsidR="00770121" w:rsidRPr="00770121">
        <w:rPr>
          <w:noProof/>
          <w:spacing w:val="-2"/>
          <w:szCs w:val="19"/>
          <w:vertAlign w:val="superscript"/>
          <w:lang w:val="en-US" w:eastAsia="pl-PL"/>
        </w:rPr>
        <w:t>st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was </w:t>
      </w:r>
      <w:r w:rsidR="00DE694B">
        <w:rPr>
          <w:rFonts w:cs="Arial"/>
          <w:szCs w:val="19"/>
          <w:lang w:val="en-US"/>
        </w:rPr>
        <w:t>3.8</w:t>
      </w:r>
      <w:r w:rsidRPr="008A2163">
        <w:rPr>
          <w:rFonts w:cs="Arial"/>
          <w:szCs w:val="19"/>
          <w:lang w:val="en-US"/>
        </w:rPr>
        <w:t xml:space="preserve">% </w:t>
      </w:r>
      <w:r w:rsidR="00DE694B">
        <w:rPr>
          <w:rFonts w:cs="Arial"/>
          <w:szCs w:val="19"/>
          <w:lang w:val="en-US"/>
        </w:rPr>
        <w:t>low</w:t>
      </w:r>
      <w:r w:rsidR="006C2521">
        <w:rPr>
          <w:rFonts w:cs="Arial"/>
          <w:szCs w:val="19"/>
          <w:lang w:val="en-US"/>
        </w:rPr>
        <w:t>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repair was </w:t>
      </w:r>
      <w:r w:rsidR="00DE694B">
        <w:rPr>
          <w:rFonts w:cs="Arial"/>
          <w:szCs w:val="19"/>
          <w:lang w:val="en-US"/>
        </w:rPr>
        <w:t>4.5</w:t>
      </w:r>
      <w:r w:rsidRPr="008A2163">
        <w:rPr>
          <w:rFonts w:cs="Arial"/>
          <w:szCs w:val="19"/>
          <w:lang w:val="en-US"/>
        </w:rPr>
        <w:t xml:space="preserve">% </w:t>
      </w:r>
      <w:r w:rsidR="00DE694B">
        <w:rPr>
          <w:rFonts w:cs="Arial"/>
          <w:szCs w:val="19"/>
          <w:lang w:val="en-US"/>
        </w:rPr>
        <w:t>high</w:t>
      </w:r>
      <w:r w:rsidR="00AF60BC">
        <w:rPr>
          <w:rFonts w:cs="Arial"/>
          <w:szCs w:val="19"/>
          <w:lang w:val="en-US"/>
        </w:rPr>
        <w:t>er</w:t>
      </w:r>
      <w:r w:rsidRPr="008A2163">
        <w:rPr>
          <w:rFonts w:cs="Arial"/>
          <w:szCs w:val="19"/>
          <w:lang w:val="en-US"/>
        </w:rPr>
        <w:t xml:space="preserve">, in transportation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orage </w:t>
      </w:r>
      <w:r w:rsidR="00AF60BC">
        <w:rPr>
          <w:rFonts w:cs="Arial"/>
          <w:szCs w:val="19"/>
          <w:lang w:val="en-US"/>
        </w:rPr>
        <w:t>in</w:t>
      </w:r>
      <w:r w:rsidR="00A1313B">
        <w:rPr>
          <w:rFonts w:cs="Arial"/>
          <w:szCs w:val="19"/>
          <w:lang w:val="en-US"/>
        </w:rPr>
        <w:t>creased by</w:t>
      </w:r>
      <w:r w:rsidRPr="008A2163">
        <w:rPr>
          <w:rFonts w:cs="Arial"/>
          <w:szCs w:val="19"/>
          <w:lang w:val="en-US"/>
        </w:rPr>
        <w:t xml:space="preserve"> </w:t>
      </w:r>
      <w:r w:rsidR="00524AE1">
        <w:rPr>
          <w:rFonts w:cs="Arial"/>
          <w:szCs w:val="19"/>
          <w:lang w:val="en-US"/>
        </w:rPr>
        <w:t>2.</w:t>
      </w:r>
      <w:r w:rsidR="00DE694B">
        <w:rPr>
          <w:rFonts w:cs="Arial"/>
          <w:szCs w:val="19"/>
          <w:lang w:val="en-US"/>
        </w:rPr>
        <w:t>5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 financial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insurance activities </w:t>
      </w:r>
      <w:r w:rsidR="006D4A7E" w:rsidRPr="006D4A7E">
        <w:rPr>
          <w:rFonts w:cs="Arial"/>
          <w:szCs w:val="19"/>
          <w:lang w:val="en-US"/>
        </w:rPr>
        <w:t>was</w:t>
      </w:r>
      <w:r w:rsidRPr="00A1313B">
        <w:rPr>
          <w:rFonts w:cs="Arial"/>
          <w:color w:val="7030A0"/>
          <w:szCs w:val="19"/>
          <w:lang w:val="en-US"/>
        </w:rPr>
        <w:t xml:space="preserve"> </w:t>
      </w:r>
      <w:r w:rsidR="00DE694B">
        <w:rPr>
          <w:rFonts w:cs="Arial"/>
          <w:szCs w:val="19"/>
          <w:lang w:val="en-US"/>
        </w:rPr>
        <w:t>4.2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public admini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defense, compulsory social security, education, human health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social work activities altogether in the </w:t>
      </w:r>
      <w:r w:rsidR="00770121">
        <w:rPr>
          <w:noProof/>
          <w:spacing w:val="-2"/>
          <w:szCs w:val="19"/>
          <w:lang w:val="en-US" w:eastAsia="pl-PL"/>
        </w:rPr>
        <w:t>1</w:t>
      </w:r>
      <w:r w:rsidR="00770121" w:rsidRPr="00770121">
        <w:rPr>
          <w:noProof/>
          <w:spacing w:val="-2"/>
          <w:szCs w:val="19"/>
          <w:vertAlign w:val="superscript"/>
          <w:lang w:val="en-US" w:eastAsia="pl-PL"/>
        </w:rPr>
        <w:t>st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FE2B8A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was </w:t>
      </w:r>
      <w:r w:rsidR="0092298F">
        <w:rPr>
          <w:rFonts w:cs="Arial"/>
          <w:szCs w:val="19"/>
          <w:lang w:val="en-US"/>
        </w:rPr>
        <w:t>0.</w:t>
      </w:r>
      <w:r w:rsidR="00DE694B">
        <w:rPr>
          <w:rFonts w:cs="Arial"/>
          <w:szCs w:val="19"/>
          <w:lang w:val="en-US"/>
        </w:rPr>
        <w:t>7</w:t>
      </w:r>
      <w:r w:rsidR="0092298F">
        <w:rPr>
          <w:rFonts w:cs="Arial"/>
          <w:szCs w:val="19"/>
          <w:lang w:val="en-US"/>
        </w:rPr>
        <w:t>%</w:t>
      </w:r>
      <w:r w:rsidRPr="008A2163">
        <w:rPr>
          <w:rFonts w:cs="Arial"/>
          <w:szCs w:val="19"/>
          <w:lang w:val="en-US"/>
        </w:rPr>
        <w:t xml:space="preserve"> higher.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Dome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ic uses in the </w:t>
      </w:r>
      <w:r w:rsidR="00770121">
        <w:rPr>
          <w:noProof/>
          <w:spacing w:val="-2"/>
          <w:szCs w:val="19"/>
          <w:lang w:val="en-US" w:eastAsia="pl-PL"/>
        </w:rPr>
        <w:t>1</w:t>
      </w:r>
      <w:r w:rsidR="00770121" w:rsidRPr="00770121">
        <w:rPr>
          <w:noProof/>
          <w:spacing w:val="-2"/>
          <w:szCs w:val="19"/>
          <w:vertAlign w:val="superscript"/>
          <w:lang w:val="en-US" w:eastAsia="pl-PL"/>
        </w:rPr>
        <w:t>st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</w:t>
      </w:r>
      <w:r w:rsidR="00DE694B">
        <w:rPr>
          <w:rFonts w:cs="Arial"/>
          <w:szCs w:val="19"/>
          <w:lang w:val="en-US"/>
        </w:rPr>
        <w:t>in</w:t>
      </w:r>
      <w:r w:rsidR="00723DDD">
        <w:rPr>
          <w:rFonts w:cs="Arial"/>
          <w:szCs w:val="19"/>
          <w:lang w:val="en-US"/>
        </w:rPr>
        <w:t>creased</w:t>
      </w:r>
      <w:r w:rsidR="009C4A85">
        <w:rPr>
          <w:rFonts w:cs="Arial"/>
          <w:szCs w:val="19"/>
          <w:lang w:val="en-US"/>
        </w:rPr>
        <w:t xml:space="preserve"> by</w:t>
      </w:r>
      <w:r w:rsidRPr="008A2163">
        <w:rPr>
          <w:rFonts w:cs="Arial"/>
          <w:szCs w:val="19"/>
          <w:lang w:val="en-US"/>
        </w:rPr>
        <w:t xml:space="preserve"> </w:t>
      </w:r>
      <w:r w:rsidR="00DE694B">
        <w:rPr>
          <w:rFonts w:cs="Arial"/>
          <w:szCs w:val="19"/>
          <w:lang w:val="en-US"/>
        </w:rPr>
        <w:t>3.8</w:t>
      </w:r>
      <w:r w:rsidR="009C4A85">
        <w:rPr>
          <w:rFonts w:cs="Arial"/>
          <w:szCs w:val="19"/>
          <w:lang w:val="en-US"/>
        </w:rPr>
        <w:t>%.</w:t>
      </w:r>
    </w:p>
    <w:p w:rsidR="0072753E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F65409">
        <w:rPr>
          <w:noProof/>
          <w:spacing w:val="-2"/>
          <w:szCs w:val="19"/>
          <w:lang w:val="en-US" w:eastAsia="pl-PL"/>
        </w:rPr>
        <w:t>1</w:t>
      </w:r>
      <w:r w:rsidR="00F65409" w:rsidRPr="00770121">
        <w:rPr>
          <w:noProof/>
          <w:spacing w:val="-2"/>
          <w:szCs w:val="19"/>
          <w:vertAlign w:val="superscript"/>
          <w:lang w:val="en-US" w:eastAsia="pl-PL"/>
        </w:rPr>
        <w:t>st</w:t>
      </w:r>
      <w:r>
        <w:rPr>
          <w:rFonts w:cs="Arial"/>
          <w:szCs w:val="19"/>
          <w:lang w:val="en-US"/>
        </w:rPr>
        <w:t xml:space="preserve"> quarter </w:t>
      </w:r>
      <w:r w:rsidR="00D656E3">
        <w:rPr>
          <w:b/>
          <w:noProof/>
          <w:color w:val="212492"/>
          <w:spacing w:val="-2"/>
          <w:szCs w:val="19"/>
          <w:lang w:eastAsia="pl-PL"/>
        </w:rPr>
        <w:pict>
          <v:shape id="_x0000_s1039" type="#_x0000_t202" style="position:absolute;margin-left:415.35pt;margin-top:4.5pt;width:141.2pt;height:82.1pt;z-index:-251655168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" filled="f" stroked="f">
            <v:textbox style="mso-next-textbox:#_x0000_s1039">
              <w:txbxContent>
                <w:p w:rsidR="00326A38" w:rsidRPr="007C4BB5" w:rsidRDefault="00326A38" w:rsidP="00326A38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>
        <w:rPr>
          <w:rFonts w:cs="Arial"/>
          <w:szCs w:val="19"/>
          <w:lang w:val="en-US"/>
        </w:rPr>
        <w:t>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>otal 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326A38" w:rsidRPr="008A2163">
        <w:rPr>
          <w:rFonts w:cs="Arial"/>
          <w:szCs w:val="19"/>
          <w:lang w:val="en-US"/>
        </w:rPr>
        <w:t xml:space="preserve">iture </w:t>
      </w:r>
      <w:r w:rsidR="00723DDD">
        <w:rPr>
          <w:rFonts w:cs="Arial"/>
          <w:szCs w:val="19"/>
          <w:lang w:val="en-US"/>
        </w:rPr>
        <w:t>de</w:t>
      </w:r>
      <w:r>
        <w:rPr>
          <w:rFonts w:cs="Arial"/>
          <w:szCs w:val="19"/>
          <w:lang w:val="en-US"/>
        </w:rPr>
        <w:t xml:space="preserve">creased by </w:t>
      </w:r>
      <w:r w:rsidR="00F65409">
        <w:rPr>
          <w:rFonts w:cs="Arial"/>
          <w:szCs w:val="19"/>
          <w:lang w:val="en-US"/>
        </w:rPr>
        <w:t>2.5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>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72753E" w:rsidRPr="008A2163">
        <w:rPr>
          <w:rFonts w:cs="Arial"/>
          <w:szCs w:val="19"/>
          <w:lang w:val="en-US"/>
        </w:rPr>
        <w:t xml:space="preserve">iture in the households sector </w:t>
      </w:r>
      <w:r w:rsidR="00F65409">
        <w:rPr>
          <w:rFonts w:cs="Arial"/>
          <w:szCs w:val="19"/>
          <w:lang w:val="en-US"/>
        </w:rPr>
        <w:t>in</w:t>
      </w:r>
      <w:r w:rsidR="0072753E" w:rsidRPr="008A2163">
        <w:rPr>
          <w:rFonts w:cs="Arial"/>
          <w:szCs w:val="19"/>
          <w:lang w:val="en-US"/>
        </w:rPr>
        <w:t xml:space="preserve">creased by </w:t>
      </w:r>
      <w:r w:rsidR="00F65409">
        <w:rPr>
          <w:rFonts w:cs="Arial"/>
          <w:szCs w:val="19"/>
          <w:lang w:val="en-US"/>
        </w:rPr>
        <w:t>1.0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770121">
        <w:rPr>
          <w:noProof/>
          <w:spacing w:val="-2"/>
          <w:szCs w:val="19"/>
          <w:lang w:val="en-US" w:eastAsia="pl-PL"/>
        </w:rPr>
        <w:t>1</w:t>
      </w:r>
      <w:r w:rsidR="00770121" w:rsidRPr="00770121">
        <w:rPr>
          <w:noProof/>
          <w:spacing w:val="-2"/>
          <w:szCs w:val="19"/>
          <w:vertAlign w:val="superscript"/>
          <w:lang w:val="en-US" w:eastAsia="pl-PL"/>
        </w:rPr>
        <w:t>st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</w:t>
      </w:r>
      <w:r w:rsidR="00AC515A">
        <w:rPr>
          <w:rFonts w:cs="Arial"/>
          <w:szCs w:val="19"/>
          <w:lang w:val="en-US"/>
        </w:rPr>
        <w:t xml:space="preserve">was </w:t>
      </w:r>
      <w:r w:rsidR="00723DDD">
        <w:rPr>
          <w:rFonts w:cs="Arial"/>
          <w:szCs w:val="19"/>
          <w:lang w:val="en-US"/>
        </w:rPr>
        <w:t>high</w:t>
      </w:r>
      <w:r w:rsidR="00AC515A">
        <w:rPr>
          <w:rFonts w:cs="Arial"/>
          <w:szCs w:val="19"/>
          <w:lang w:val="en-US"/>
        </w:rPr>
        <w:t>er</w:t>
      </w:r>
      <w:r w:rsidR="009C4A85" w:rsidRPr="003220F4">
        <w:rPr>
          <w:rFonts w:cs="Arial"/>
          <w:szCs w:val="19"/>
          <w:lang w:val="en-US"/>
        </w:rPr>
        <w:t xml:space="preserve"> </w:t>
      </w:r>
      <w:r w:rsidR="009C4A85">
        <w:rPr>
          <w:rFonts w:cs="Arial"/>
          <w:szCs w:val="19"/>
          <w:lang w:val="en-US"/>
        </w:rPr>
        <w:t xml:space="preserve">by </w:t>
      </w:r>
      <w:r w:rsidR="00723DDD">
        <w:rPr>
          <w:rFonts w:cs="Arial"/>
          <w:szCs w:val="19"/>
          <w:lang w:val="en-US"/>
        </w:rPr>
        <w:t>17</w:t>
      </w:r>
      <w:r w:rsidR="00AC515A">
        <w:rPr>
          <w:rFonts w:cs="Arial"/>
          <w:szCs w:val="19"/>
          <w:lang w:val="en-US"/>
        </w:rPr>
        <w:t>.</w:t>
      </w:r>
      <w:r w:rsidR="00F65409">
        <w:rPr>
          <w:rFonts w:cs="Arial"/>
          <w:szCs w:val="19"/>
          <w:lang w:val="en-US"/>
        </w:rPr>
        <w:t>5</w:t>
      </w:r>
      <w:r w:rsidR="009C4A85">
        <w:rPr>
          <w:rFonts w:cs="Arial"/>
          <w:szCs w:val="19"/>
          <w:lang w:val="en-US"/>
        </w:rPr>
        <w:t>%</w:t>
      </w:r>
      <w:r w:rsidRPr="008A2163">
        <w:rPr>
          <w:rFonts w:cs="Arial"/>
          <w:szCs w:val="19"/>
          <w:lang w:val="en-US"/>
        </w:rPr>
        <w:t>.</w:t>
      </w:r>
    </w:p>
    <w:p w:rsidR="00326A38" w:rsidRPr="00547319" w:rsidRDefault="00326A38" w:rsidP="00547319">
      <w:pPr>
        <w:pStyle w:val="LID"/>
        <w:rPr>
          <w:b w:val="0"/>
          <w:lang w:val="en-US"/>
        </w:rPr>
      </w:pPr>
      <w:r w:rsidRPr="00547319">
        <w:rPr>
          <w:b w:val="0"/>
          <w:lang w:val="en-US"/>
        </w:rPr>
        <w:t xml:space="preserve">Gross fixed capital formation in the </w:t>
      </w:r>
      <w:r w:rsidR="00770121" w:rsidRPr="00770121">
        <w:rPr>
          <w:b w:val="0"/>
          <w:spacing w:val="-2"/>
          <w:lang w:val="en-US"/>
        </w:rPr>
        <w:t>1</w:t>
      </w:r>
      <w:r w:rsidR="00770121" w:rsidRPr="00770121">
        <w:rPr>
          <w:b w:val="0"/>
          <w:spacing w:val="-2"/>
          <w:vertAlign w:val="superscript"/>
          <w:lang w:val="en-US"/>
        </w:rPr>
        <w:t>s</w:t>
      </w:r>
      <w:r w:rsidR="00770121" w:rsidRPr="00770121">
        <w:rPr>
          <w:spacing w:val="-2"/>
          <w:vertAlign w:val="superscript"/>
          <w:lang w:val="en-US"/>
        </w:rPr>
        <w:t>t</w:t>
      </w:r>
      <w:r w:rsidRPr="00547319">
        <w:rPr>
          <w:b w:val="0"/>
          <w:lang w:val="en-US"/>
        </w:rPr>
        <w:t xml:space="preserve"> quarter of 20</w:t>
      </w:r>
      <w:r w:rsidR="00C76A38" w:rsidRPr="00547319">
        <w:rPr>
          <w:b w:val="0"/>
          <w:lang w:val="en-US"/>
        </w:rPr>
        <w:t>2</w:t>
      </w:r>
      <w:r w:rsidR="00EF0398">
        <w:rPr>
          <w:b w:val="0"/>
          <w:lang w:val="en-US"/>
        </w:rPr>
        <w:t>1</w:t>
      </w:r>
      <w:r w:rsidRPr="00547319">
        <w:rPr>
          <w:b w:val="0"/>
          <w:lang w:val="en-US"/>
        </w:rPr>
        <w:t xml:space="preserve"> </w:t>
      </w:r>
      <w:r w:rsidR="009C4A85">
        <w:rPr>
          <w:b w:val="0"/>
          <w:lang w:val="en-US"/>
        </w:rPr>
        <w:t xml:space="preserve">went </w:t>
      </w:r>
      <w:r w:rsidR="00F65409">
        <w:rPr>
          <w:b w:val="0"/>
          <w:lang w:val="en-US"/>
        </w:rPr>
        <w:t>up</w:t>
      </w:r>
      <w:r w:rsidR="009C4A85">
        <w:rPr>
          <w:b w:val="0"/>
          <w:lang w:val="en-US"/>
        </w:rPr>
        <w:t xml:space="preserve"> by </w:t>
      </w:r>
      <w:r w:rsidR="00F65409">
        <w:rPr>
          <w:b w:val="0"/>
          <w:lang w:val="en-US"/>
        </w:rPr>
        <w:t>18.2</w:t>
      </w:r>
      <w:r w:rsidR="009C4A85">
        <w:rPr>
          <w:b w:val="0"/>
          <w:lang w:val="en-US"/>
        </w:rPr>
        <w:t>%</w:t>
      </w:r>
      <w:r w:rsidR="00547319" w:rsidRPr="00547319">
        <w:rPr>
          <w:b w:val="0"/>
          <w:lang w:val="en-US"/>
        </w:rPr>
        <w:t>.</w:t>
      </w:r>
    </w:p>
    <w:p w:rsidR="00326A38" w:rsidRPr="00547319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0661F5" w:rsidRDefault="00341190" w:rsidP="00164F76">
      <w:pPr>
        <w:tabs>
          <w:tab w:val="left" w:pos="284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</w:t>
      </w:r>
      <w:r w:rsidR="00DF71BE">
        <w:rPr>
          <w:color w:val="000000"/>
          <w:lang w:val="en-US"/>
        </w:rPr>
        <w:t>5</w:t>
      </w:r>
      <w:r>
        <w:rPr>
          <w:color w:val="000000"/>
          <w:lang w:val="en-US"/>
        </w:rPr>
        <w:t xml:space="preserve"> with previous quarter=100 and corresponding quarter of the previous year=100 for GDP time series and its selected components, seasonally unadjusted, seasonally adjusted and trend.  </w:t>
      </w:r>
    </w:p>
    <w:p w:rsidR="00341190" w:rsidRDefault="00341190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D44EAD" w:rsidRPr="008A2163" w:rsidRDefault="00D44EAD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Default="00D656E3" w:rsidP="000661F5">
      <w:pPr>
        <w:pStyle w:val="Nagwek1"/>
        <w:rPr>
          <w:noProof/>
          <w:spacing w:val="-2"/>
          <w:szCs w:val="19"/>
          <w:lang w:val="en-US"/>
        </w:rPr>
      </w:pPr>
      <w:r>
        <w:rPr>
          <w:noProof/>
          <w:szCs w:val="19"/>
        </w:rPr>
        <w:pict>
          <v:rect id="Prostokąt 13" o:spid="_x0000_s1045" style="position:absolute;margin-left:449.15pt;margin-top:-1642.3pt;width:147.4pt;height:2499.85pt;z-index:251656192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" fillcolor="#f2f2f2 [3052]" stroked="f" strokeweight="1pt">
            <w10:wrap anchorx="page" anchory="page"/>
          </v:rect>
        </w:pict>
      </w:r>
      <w:r w:rsidR="00164F76"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</w:t>
      </w:r>
      <w:r w:rsidRPr="00986552">
        <w:rPr>
          <w:rFonts w:ascii="Fira Sans" w:hAnsi="Fira Sans" w:cs="Arial"/>
          <w:color w:val="auto"/>
          <w:szCs w:val="19"/>
          <w:lang w:val="en-US"/>
        </w:rPr>
        <w:t xml:space="preserve">the </w:t>
      </w:r>
      <w:r w:rsidR="00EF0398" w:rsidRPr="00EF0398">
        <w:rPr>
          <w:rFonts w:ascii="Fira Sans" w:hAnsi="Fira Sans" w:cs="Arial"/>
          <w:color w:val="auto"/>
          <w:szCs w:val="19"/>
          <w:lang w:val="en-US"/>
        </w:rPr>
        <w:t>1</w:t>
      </w:r>
      <w:r w:rsidR="00EF0398" w:rsidRPr="00EF0398">
        <w:rPr>
          <w:noProof/>
          <w:color w:val="auto"/>
          <w:spacing w:val="-2"/>
          <w:szCs w:val="19"/>
          <w:vertAlign w:val="superscript"/>
          <w:lang w:val="en-US"/>
        </w:rPr>
        <w:t>st</w:t>
      </w:r>
      <w:r w:rsidR="00C9339F" w:rsidRPr="00C9339F">
        <w:rPr>
          <w:rFonts w:ascii="Fira Sans" w:hAnsi="Fira Sans" w:cs="Arial"/>
          <w:color w:val="auto"/>
          <w:szCs w:val="19"/>
          <w:lang w:val="en-US"/>
        </w:rPr>
        <w:t xml:space="preserve"> quarter of 202</w:t>
      </w:r>
      <w:r w:rsidR="00EF0398">
        <w:rPr>
          <w:rFonts w:ascii="Fira Sans" w:hAnsi="Fira Sans" w:cs="Arial"/>
          <w:color w:val="auto"/>
          <w:szCs w:val="19"/>
          <w:lang w:val="en-US"/>
        </w:rPr>
        <w:t>1</w:t>
      </w:r>
      <w:r w:rsidR="00C9339F" w:rsidRPr="008A2163">
        <w:rPr>
          <w:rFonts w:cs="Arial"/>
          <w:szCs w:val="19"/>
          <w:lang w:val="en-US"/>
        </w:rPr>
        <w:t xml:space="preserve"> 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627578">
        <w:rPr>
          <w:rFonts w:ascii="Fira Sans" w:hAnsi="Fira Sans" w:cs="Arial"/>
          <w:color w:val="auto"/>
          <w:szCs w:val="19"/>
          <w:lang w:val="en-US"/>
        </w:rPr>
        <w:t>0.9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% </w:t>
      </w:r>
      <w:r w:rsidR="00697105">
        <w:rPr>
          <w:rFonts w:ascii="Fira Sans" w:hAnsi="Fira Sans" w:cs="Arial"/>
          <w:color w:val="auto"/>
          <w:szCs w:val="19"/>
          <w:lang w:val="en-US"/>
        </w:rPr>
        <w:t>lower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0322CF" w:rsidRDefault="000322CF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AF15E9" w:rsidRPr="009843CB" w:rsidRDefault="00D656E3" w:rsidP="00D44EAD">
      <w:pPr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w:pict>
          <v:rect id="_x0000_s1052" style="position:absolute;margin-left:449.75pt;margin-top:-820.85pt;width:148.5pt;height:2499.85pt;z-index:251670528;visibility:visible;mso-position-horizontal-relative:page;mso-position-vertical-relative:page;mso-width-relative:margin;mso-height-relative:margin;v-text-anchor:middle" fillcolor="#f2f2f2 [3052]" stroked="f" strokeweight="1pt">
            <w10:wrap anchorx="page" anchory="page"/>
          </v:rect>
        </w:pict>
      </w:r>
      <w:r>
        <w:rPr>
          <w:rFonts w:ascii="Fira Sans SemiBold" w:hAnsi="Fira Sans SemiBold"/>
          <w:noProof/>
          <w:lang w:eastAsia="pl-PL"/>
        </w:rPr>
        <w:pict>
          <v:rect id="Prostokąt 32" o:spid="_x0000_s1044" style="position:absolute;margin-left:451.1pt;margin-top:-18.75pt;width:147.4pt;height:1860.95pt;z-index:-251646976;visibility:visible;mso-position-horizontal-relative:page;mso-position-vertical-relative:pag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" fillcolor="#f2f2f2" stroked="f" strokeweight="1pt">
            <w10:wrap type="tight" anchorx="page" anchory="page"/>
          </v:rect>
        </w:pict>
      </w:r>
      <w:r w:rsidR="002339CB"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</w:t>
      </w:r>
      <w:r w:rsidR="00A778FC">
        <w:rPr>
          <w:b/>
          <w:sz w:val="18"/>
          <w:szCs w:val="18"/>
          <w:lang w:val="en-US"/>
        </w:rPr>
        <w:t xml:space="preserve"> (</w:t>
      </w:r>
      <w:r w:rsidR="00164F76" w:rsidRPr="009843CB">
        <w:rPr>
          <w:b/>
          <w:sz w:val="18"/>
          <w:szCs w:val="18"/>
          <w:lang w:val="en-US"/>
        </w:rPr>
        <w:t>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</w:t>
      </w:r>
      <w:r w:rsidR="00A778FC">
        <w:rPr>
          <w:b/>
          <w:sz w:val="18"/>
          <w:szCs w:val="18"/>
          <w:lang w:val="en-US"/>
        </w:rPr>
        <w:t>)</w:t>
      </w:r>
    </w:p>
    <w:p w:rsidR="002F011E" w:rsidRPr="00906341" w:rsidRDefault="000322CF" w:rsidP="00AF15E9">
      <w:pPr>
        <w:tabs>
          <w:tab w:val="left" w:pos="284"/>
        </w:tabs>
        <w:jc w:val="both"/>
        <w:rPr>
          <w:noProof/>
          <w:lang w:val="en-US" w:eastAsia="pl-PL"/>
        </w:rPr>
      </w:pPr>
      <w:r w:rsidRPr="000322CF">
        <w:rPr>
          <w:noProof/>
          <w:lang w:eastAsia="pl-PL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225425</wp:posOffset>
            </wp:positionV>
            <wp:extent cx="5112000" cy="25632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5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55A" w:rsidRDefault="00D656E3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w:pict>
          <v:shape id="_x0000_s1040" type="#_x0000_t202" style="position:absolute;margin-left:451.95pt;margin-top:7.05pt;width:141.95pt;height:76.2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" filled="f" stroked="f">
            <v:textbox>
              <w:txbxContent>
                <w:p w:rsidR="00AF15E9" w:rsidRPr="00C10449" w:rsidRDefault="00AF15E9" w:rsidP="00AF15E9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205FE7">
        <w:rPr>
          <w:noProof/>
          <w:spacing w:val="-2"/>
          <w:szCs w:val="19"/>
          <w:lang w:val="en-US" w:eastAsia="pl-PL"/>
        </w:rPr>
        <w:t>1</w:t>
      </w:r>
      <w:r w:rsidR="00205FE7">
        <w:rPr>
          <w:noProof/>
          <w:spacing w:val="-2"/>
          <w:szCs w:val="19"/>
          <w:vertAlign w:val="superscript"/>
          <w:lang w:val="en-US" w:eastAsia="pl-PL"/>
        </w:rPr>
        <w:t>st</w:t>
      </w:r>
      <w:r w:rsidR="00777331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10455A" w:rsidRPr="00B865F4">
        <w:rPr>
          <w:rFonts w:cs="Arial"/>
          <w:szCs w:val="19"/>
          <w:lang w:val="en-US"/>
        </w:rPr>
        <w:t xml:space="preserve">was </w:t>
      </w:r>
      <w:r w:rsidR="00205FE7">
        <w:rPr>
          <w:rFonts w:cs="Arial"/>
          <w:szCs w:val="19"/>
          <w:lang w:val="en-US"/>
        </w:rPr>
        <w:t>1.3</w:t>
      </w:r>
      <w:r w:rsidR="0010455A" w:rsidRPr="00B865F4">
        <w:rPr>
          <w:rFonts w:cs="Arial"/>
          <w:szCs w:val="19"/>
          <w:lang w:val="en-US"/>
        </w:rPr>
        <w:t xml:space="preserve">% </w:t>
      </w:r>
      <w:r w:rsidR="00D370E4" w:rsidRPr="007B6816">
        <w:rPr>
          <w:rFonts w:cs="Arial"/>
          <w:szCs w:val="19"/>
          <w:lang w:val="en-US"/>
        </w:rPr>
        <w:t>low</w:t>
      </w:r>
      <w:r w:rsidR="0010455A" w:rsidRPr="007B6816">
        <w:rPr>
          <w:rFonts w:cs="Arial"/>
          <w:szCs w:val="19"/>
          <w:lang w:val="en-US"/>
        </w:rPr>
        <w:t>er</w:t>
      </w:r>
      <w:r w:rsidR="0010455A" w:rsidRPr="00B865F4">
        <w:rPr>
          <w:rFonts w:cs="Arial"/>
          <w:szCs w:val="19"/>
          <w:lang w:val="en-US"/>
        </w:rPr>
        <w:t xml:space="preserve">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</w:t>
      </w:r>
      <w:r w:rsidR="00205FE7">
        <w:rPr>
          <w:rFonts w:cs="Arial"/>
          <w:szCs w:val="19"/>
          <w:lang w:val="en-US"/>
        </w:rPr>
        <w:t>20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i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ustry was </w:t>
      </w:r>
      <w:r w:rsidR="00B232E6">
        <w:rPr>
          <w:rFonts w:cs="Arial"/>
          <w:szCs w:val="19"/>
          <w:lang w:val="en-US"/>
        </w:rPr>
        <w:t>7.3</w:t>
      </w:r>
      <w:r w:rsidRPr="00B865F4">
        <w:rPr>
          <w:rFonts w:cs="Arial"/>
          <w:szCs w:val="19"/>
          <w:lang w:val="en-US"/>
        </w:rPr>
        <w:t xml:space="preserve">% </w:t>
      </w:r>
      <w:r w:rsidR="00731C5F"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</w:t>
      </w:r>
      <w:r w:rsidR="00E5559F">
        <w:rPr>
          <w:rFonts w:cs="Arial"/>
          <w:szCs w:val="19"/>
          <w:lang w:val="en-US"/>
        </w:rPr>
        <w:t>2</w:t>
      </w:r>
      <w:r w:rsidR="00B232E6">
        <w:rPr>
          <w:rFonts w:cs="Arial"/>
          <w:szCs w:val="19"/>
          <w:lang w:val="en-US"/>
        </w:rPr>
        <w:t>0</w:t>
      </w:r>
      <w:r w:rsidRPr="00B865F4">
        <w:rPr>
          <w:rFonts w:cs="Arial"/>
          <w:szCs w:val="19"/>
          <w:lang w:val="en-US"/>
        </w:rPr>
        <w:t>, while in construction was</w:t>
      </w:r>
      <w:r w:rsidR="00A439D9">
        <w:rPr>
          <w:rFonts w:cs="Arial"/>
          <w:szCs w:val="19"/>
          <w:lang w:val="en-US"/>
        </w:rPr>
        <w:t xml:space="preserve"> </w:t>
      </w:r>
      <w:r w:rsidR="00B232E6">
        <w:rPr>
          <w:rFonts w:cs="Arial"/>
          <w:szCs w:val="19"/>
          <w:lang w:val="en-US"/>
        </w:rPr>
        <w:t>1</w:t>
      </w:r>
      <w:r w:rsidR="00F236D0">
        <w:rPr>
          <w:rFonts w:cs="Arial"/>
          <w:szCs w:val="19"/>
          <w:lang w:val="en-US"/>
        </w:rPr>
        <w:t>5.</w:t>
      </w:r>
      <w:r w:rsidR="00B232E6">
        <w:rPr>
          <w:rFonts w:cs="Arial"/>
          <w:szCs w:val="19"/>
          <w:lang w:val="en-US"/>
        </w:rPr>
        <w:t>1</w:t>
      </w:r>
      <w:r w:rsidRPr="003220F4">
        <w:rPr>
          <w:rFonts w:cs="Arial"/>
          <w:szCs w:val="19"/>
          <w:lang w:val="en-US"/>
        </w:rPr>
        <w:t xml:space="preserve">% </w:t>
      </w:r>
      <w:r w:rsidR="004301A2" w:rsidRPr="003220F4">
        <w:rPr>
          <w:rFonts w:cs="Arial"/>
          <w:szCs w:val="19"/>
          <w:lang w:val="en-US"/>
        </w:rPr>
        <w:t>lower</w:t>
      </w:r>
      <w:r w:rsidRPr="00B865F4">
        <w:rPr>
          <w:rFonts w:cs="Arial"/>
          <w:szCs w:val="19"/>
          <w:lang w:val="en-US"/>
        </w:rPr>
        <w:t xml:space="preserve"> respectively.</w:t>
      </w:r>
    </w:p>
    <w:p w:rsidR="002750B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trade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repair </w:t>
      </w:r>
      <w:r w:rsidR="002039CF">
        <w:rPr>
          <w:rFonts w:cs="Arial"/>
          <w:szCs w:val="19"/>
          <w:lang w:val="en-US"/>
        </w:rPr>
        <w:t>decreased</w:t>
      </w:r>
      <w:r w:rsidRPr="00B865F4">
        <w:rPr>
          <w:rFonts w:cs="Arial"/>
          <w:szCs w:val="19"/>
          <w:lang w:val="en-US"/>
        </w:rPr>
        <w:t xml:space="preserve"> by </w:t>
      </w:r>
      <w:r w:rsidR="00B232E6">
        <w:rPr>
          <w:rFonts w:cs="Arial"/>
          <w:szCs w:val="19"/>
          <w:lang w:val="en-US"/>
        </w:rPr>
        <w:t>0.3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 transportation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storage </w:t>
      </w:r>
      <w:r w:rsidR="00B232E6">
        <w:rPr>
          <w:rFonts w:cs="Arial"/>
          <w:szCs w:val="19"/>
          <w:lang w:val="en-US"/>
        </w:rPr>
        <w:t>in</w:t>
      </w:r>
      <w:r w:rsidRPr="00B865F4">
        <w:rPr>
          <w:rFonts w:cs="Arial"/>
          <w:szCs w:val="19"/>
          <w:lang w:val="en-US"/>
        </w:rPr>
        <w:t xml:space="preserve">creased by </w:t>
      </w:r>
      <w:r w:rsidR="00B232E6">
        <w:rPr>
          <w:rFonts w:cs="Arial"/>
          <w:szCs w:val="19"/>
          <w:lang w:val="en-US"/>
        </w:rPr>
        <w:t>2.1</w:t>
      </w:r>
      <w:r w:rsidR="006B104E">
        <w:rPr>
          <w:rFonts w:cs="Arial"/>
          <w:szCs w:val="19"/>
          <w:lang w:val="en-US"/>
        </w:rPr>
        <w:t xml:space="preserve">% </w:t>
      </w:r>
      <w:r w:rsidR="006B104E" w:rsidRPr="00FA7CA5">
        <w:rPr>
          <w:rFonts w:cs="Arial"/>
          <w:szCs w:val="19"/>
          <w:lang w:val="en-US"/>
        </w:rPr>
        <w:t>than</w:t>
      </w:r>
      <w:r w:rsidR="006B104E">
        <w:rPr>
          <w:rFonts w:cs="Arial"/>
          <w:szCs w:val="19"/>
          <w:lang w:val="en-US"/>
        </w:rPr>
        <w:t xml:space="preserve"> in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6B104E">
        <w:rPr>
          <w:rFonts w:cs="Arial"/>
          <w:szCs w:val="19"/>
          <w:lang w:val="en-US"/>
        </w:rPr>
        <w:t xml:space="preserve">ing quarter of </w:t>
      </w:r>
      <w:r w:rsidR="00B232E6">
        <w:rPr>
          <w:rFonts w:cs="Arial"/>
          <w:szCs w:val="19"/>
          <w:lang w:val="en-US"/>
        </w:rPr>
        <w:t>2020.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financial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insurance activities </w:t>
      </w:r>
      <w:r w:rsidR="002039CF">
        <w:rPr>
          <w:rFonts w:cs="Arial"/>
          <w:szCs w:val="19"/>
          <w:lang w:val="en-US"/>
        </w:rPr>
        <w:t>fell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by </w:t>
      </w:r>
      <w:r w:rsidR="00B232E6">
        <w:rPr>
          <w:rFonts w:cs="Arial"/>
          <w:szCs w:val="19"/>
          <w:lang w:val="en-US"/>
        </w:rPr>
        <w:t>18.8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 xml:space="preserve">ing quarter of </w:t>
      </w:r>
      <w:r w:rsidR="00B232E6">
        <w:rPr>
          <w:rFonts w:cs="Arial"/>
          <w:szCs w:val="19"/>
          <w:lang w:val="en-US"/>
        </w:rPr>
        <w:t>2020.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public administration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205FE7">
        <w:rPr>
          <w:noProof/>
          <w:spacing w:val="-2"/>
          <w:szCs w:val="19"/>
          <w:lang w:val="en-US" w:eastAsia="pl-PL"/>
        </w:rPr>
        <w:t>1</w:t>
      </w:r>
      <w:r w:rsidR="00205FE7">
        <w:rPr>
          <w:noProof/>
          <w:spacing w:val="-2"/>
          <w:szCs w:val="19"/>
          <w:vertAlign w:val="superscript"/>
          <w:lang w:val="en-US" w:eastAsia="pl-PL"/>
        </w:rPr>
        <w:t>st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Pr="00B865F4">
        <w:rPr>
          <w:rFonts w:cs="Arial"/>
          <w:szCs w:val="19"/>
          <w:lang w:val="en-US"/>
        </w:rPr>
        <w:br/>
      </w:r>
      <w:r w:rsidR="002039CF">
        <w:rPr>
          <w:rFonts w:cs="Arial"/>
          <w:szCs w:val="19"/>
          <w:lang w:val="en-US"/>
        </w:rPr>
        <w:t>2.</w:t>
      </w:r>
      <w:r w:rsidR="00D1038F">
        <w:rPr>
          <w:rFonts w:cs="Arial"/>
          <w:szCs w:val="19"/>
          <w:lang w:val="en-US"/>
        </w:rPr>
        <w:t>6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205FE7">
        <w:rPr>
          <w:noProof/>
          <w:spacing w:val="-2"/>
          <w:szCs w:val="19"/>
          <w:lang w:val="en-US" w:eastAsia="pl-PL"/>
        </w:rPr>
        <w:t>1</w:t>
      </w:r>
      <w:r w:rsidR="00205FE7">
        <w:rPr>
          <w:noProof/>
          <w:spacing w:val="-2"/>
          <w:szCs w:val="19"/>
          <w:vertAlign w:val="superscript"/>
          <w:lang w:val="en-US" w:eastAsia="pl-PL"/>
        </w:rPr>
        <w:t>st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035122">
        <w:rPr>
          <w:rFonts w:cs="Arial"/>
          <w:szCs w:val="19"/>
          <w:lang w:val="en-US"/>
        </w:rPr>
        <w:t>1.0</w:t>
      </w:r>
      <w:r w:rsidRPr="00B865F4">
        <w:rPr>
          <w:rFonts w:cs="Arial"/>
          <w:szCs w:val="19"/>
          <w:lang w:val="en-US"/>
        </w:rPr>
        <w:t xml:space="preserve">% </w:t>
      </w:r>
      <w:r w:rsidR="00035122">
        <w:rPr>
          <w:rFonts w:cs="Arial"/>
          <w:szCs w:val="19"/>
          <w:lang w:val="en-US"/>
        </w:rPr>
        <w:t>high</w:t>
      </w:r>
      <w:r w:rsidRPr="00B865F4">
        <w:rPr>
          <w:rFonts w:cs="Arial"/>
          <w:szCs w:val="19"/>
          <w:lang w:val="en-US"/>
        </w:rPr>
        <w:t>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205FE7">
        <w:rPr>
          <w:noProof/>
          <w:spacing w:val="-2"/>
          <w:szCs w:val="19"/>
          <w:lang w:val="en-US" w:eastAsia="pl-PL"/>
        </w:rPr>
        <w:t>1</w:t>
      </w:r>
      <w:r w:rsidR="00205FE7">
        <w:rPr>
          <w:noProof/>
          <w:spacing w:val="-2"/>
          <w:szCs w:val="19"/>
          <w:vertAlign w:val="superscript"/>
          <w:lang w:val="en-US" w:eastAsia="pl-PL"/>
        </w:rPr>
        <w:t>st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="00A439D9"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035122">
        <w:rPr>
          <w:rFonts w:cs="Arial"/>
          <w:szCs w:val="19"/>
          <w:lang w:val="en-US"/>
        </w:rPr>
        <w:t>0.6</w:t>
      </w:r>
      <w:r w:rsidRPr="00B865F4">
        <w:rPr>
          <w:rFonts w:cs="Arial"/>
          <w:szCs w:val="19"/>
          <w:lang w:val="en-US"/>
        </w:rPr>
        <w:t xml:space="preserve">% </w:t>
      </w:r>
      <w:r w:rsidR="00035122">
        <w:rPr>
          <w:rFonts w:cs="Arial"/>
          <w:szCs w:val="19"/>
          <w:lang w:val="en-US"/>
        </w:rPr>
        <w:t>high</w:t>
      </w:r>
      <w:r w:rsidR="00AF37C4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>, of which consumption</w:t>
      </w:r>
      <w:r w:rsidR="00BA6D46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AF37C4">
        <w:rPr>
          <w:rFonts w:cs="Arial"/>
          <w:szCs w:val="19"/>
          <w:lang w:val="en-US"/>
        </w:rPr>
        <w:t>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035122">
        <w:rPr>
          <w:rFonts w:cs="Arial"/>
          <w:szCs w:val="19"/>
          <w:lang w:val="en-US"/>
        </w:rPr>
        <w:t>0</w:t>
      </w:r>
      <w:r w:rsidR="00C93C79">
        <w:rPr>
          <w:rFonts w:cs="Arial"/>
          <w:szCs w:val="19"/>
          <w:lang w:val="en-US"/>
        </w:rPr>
        <w:t>.2</w:t>
      </w:r>
      <w:r w:rsidRPr="00B865F4">
        <w:rPr>
          <w:rFonts w:cs="Arial"/>
          <w:szCs w:val="19"/>
          <w:lang w:val="en-US"/>
        </w:rPr>
        <w:t>%</w:t>
      </w:r>
      <w:r w:rsidR="00AF37C4">
        <w:rPr>
          <w:rFonts w:cs="Arial"/>
          <w:szCs w:val="19"/>
          <w:lang w:val="en-US"/>
        </w:rPr>
        <w:t xml:space="preserve"> </w:t>
      </w:r>
      <w:r w:rsidR="00035122">
        <w:rPr>
          <w:rFonts w:cs="Arial"/>
          <w:szCs w:val="19"/>
          <w:lang w:val="en-US"/>
        </w:rPr>
        <w:t>high</w:t>
      </w:r>
      <w:r w:rsidR="00AF37C4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 xml:space="preserve">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</w:t>
      </w:r>
      <w:r w:rsidR="002039CF">
        <w:rPr>
          <w:rFonts w:cs="Arial"/>
          <w:szCs w:val="19"/>
          <w:lang w:val="en-US"/>
        </w:rPr>
        <w:t>grew by</w:t>
      </w:r>
      <w:r w:rsidRPr="00B865F4">
        <w:rPr>
          <w:rFonts w:cs="Arial"/>
          <w:szCs w:val="19"/>
          <w:lang w:val="en-US"/>
        </w:rPr>
        <w:t xml:space="preserve"> </w:t>
      </w:r>
      <w:r w:rsidR="00035122">
        <w:rPr>
          <w:rFonts w:cs="Arial"/>
          <w:szCs w:val="19"/>
          <w:lang w:val="en-US"/>
        </w:rPr>
        <w:t>2.5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D656E3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w:pict>
          <v:shape id="_x0000_s1041" type="#_x0000_t202" style="position:absolute;margin-left:449.75pt;margin-top:3.65pt;width:141.95pt;height:48.8pt;z-index:25166848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+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Z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AB7HvhMCAAAABAAADgAAAAAAAAAAAAAAAAAuAgAAZHJzL2Uyb0RvYy54bWxQSwECLQAUAAYACAAA&#10;ACEACPjKY98AAAAKAQAADwAAAAAAAAAAAAAAAABtBAAAZHJzL2Rvd25yZXYueG1sUEsFBgAAAAAE&#10;AAQA8wAAAHkFAAAAAA==&#10;" filled="f" stroked="f">
            <v:textbox>
              <w:txbxContent>
                <w:p w:rsidR="002A7784" w:rsidRPr="002A7784" w:rsidRDefault="002A7784" w:rsidP="002A7784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205FE7">
        <w:rPr>
          <w:noProof/>
          <w:spacing w:val="-2"/>
          <w:szCs w:val="19"/>
          <w:lang w:val="en-US" w:eastAsia="pl-PL"/>
        </w:rPr>
        <w:t>1</w:t>
      </w:r>
      <w:r w:rsidR="00205FE7">
        <w:rPr>
          <w:noProof/>
          <w:spacing w:val="-2"/>
          <w:szCs w:val="19"/>
          <w:vertAlign w:val="superscript"/>
          <w:lang w:val="en-US" w:eastAsia="pl-PL"/>
        </w:rPr>
        <w:t>st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</w:t>
      </w:r>
      <w:r w:rsidR="00035122">
        <w:rPr>
          <w:rFonts w:cs="Arial"/>
          <w:szCs w:val="19"/>
          <w:lang w:val="en-US"/>
        </w:rPr>
        <w:t>high</w:t>
      </w:r>
      <w:r w:rsidR="002039CF">
        <w:rPr>
          <w:rFonts w:cs="Arial"/>
          <w:szCs w:val="19"/>
          <w:lang w:val="en-US"/>
        </w:rPr>
        <w:t>er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035122">
        <w:rPr>
          <w:rFonts w:cs="Arial"/>
          <w:szCs w:val="19"/>
          <w:lang w:val="en-US"/>
        </w:rPr>
        <w:t>3.4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</w:t>
      </w:r>
      <w:r w:rsidR="00035122">
        <w:rPr>
          <w:rFonts w:cs="Arial"/>
          <w:szCs w:val="19"/>
          <w:lang w:val="en-US"/>
        </w:rPr>
        <w:t>20</w:t>
      </w:r>
      <w:r w:rsidR="00BA6D46">
        <w:rPr>
          <w:rFonts w:cs="Arial"/>
          <w:szCs w:val="19"/>
          <w:lang w:val="en-US"/>
        </w:rPr>
        <w:t>,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</w:t>
      </w:r>
      <w:r w:rsidR="002039CF">
        <w:rPr>
          <w:rFonts w:cs="Arial"/>
          <w:szCs w:val="19"/>
          <w:lang w:val="en-US"/>
        </w:rPr>
        <w:t xml:space="preserve">went </w:t>
      </w:r>
      <w:r w:rsidR="00035122">
        <w:rPr>
          <w:rFonts w:cs="Arial"/>
          <w:szCs w:val="19"/>
          <w:lang w:val="en-US"/>
        </w:rPr>
        <w:t>up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026245">
        <w:rPr>
          <w:rFonts w:cs="Arial"/>
          <w:szCs w:val="19"/>
          <w:lang w:val="en-US"/>
        </w:rPr>
        <w:t>1.</w:t>
      </w:r>
      <w:r w:rsidR="00035122">
        <w:rPr>
          <w:rFonts w:cs="Arial"/>
          <w:szCs w:val="19"/>
          <w:lang w:val="en-US"/>
        </w:rPr>
        <w:t>3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035122">
        <w:rPr>
          <w:rFonts w:cs="Arial"/>
          <w:szCs w:val="19"/>
          <w:lang w:val="en-US"/>
        </w:rPr>
        <w:t>1</w:t>
      </w:r>
      <w:r w:rsidR="00026245">
        <w:rPr>
          <w:rFonts w:cs="Arial"/>
          <w:szCs w:val="19"/>
          <w:lang w:val="en-US"/>
        </w:rPr>
        <w:t>2.7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035122">
        <w:rPr>
          <w:rFonts w:cs="Arial"/>
          <w:szCs w:val="19"/>
          <w:lang w:val="en-US"/>
        </w:rPr>
        <w:t>12.8</w:t>
      </w:r>
      <w:r w:rsidR="002D0C6F">
        <w:rPr>
          <w:rFonts w:cs="Arial"/>
          <w:szCs w:val="19"/>
          <w:lang w:val="en-US"/>
        </w:rPr>
        <w:t xml:space="preserve">% </w:t>
      </w:r>
      <w:r w:rsidR="00972E83" w:rsidRPr="003220F4">
        <w:rPr>
          <w:rFonts w:cs="Arial"/>
          <w:szCs w:val="19"/>
          <w:lang w:val="en-US"/>
        </w:rPr>
        <w:t>in the previous year.</w:t>
      </w:r>
      <w:r w:rsidR="00972E83">
        <w:rPr>
          <w:rFonts w:cs="Arial"/>
          <w:szCs w:val="19"/>
          <w:lang w:val="en-US"/>
        </w:rPr>
        <w:t xml:space="preserve"> 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C848CB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="00B83F8D" w:rsidRPr="00C848CB">
        <w:rPr>
          <w:rFonts w:cs="Arial"/>
          <w:szCs w:val="19"/>
          <w:lang w:val="en-US"/>
        </w:rPr>
        <w:t xml:space="preserve"> its </w:t>
      </w:r>
      <w:r w:rsidR="00D84198" w:rsidRPr="00C848CB">
        <w:rPr>
          <w:rFonts w:cs="Arial"/>
          <w:szCs w:val="19"/>
          <w:lang w:val="en-US"/>
        </w:rPr>
        <w:t>components</w:t>
      </w:r>
      <w:r w:rsidRPr="00C848CB">
        <w:rPr>
          <w:rFonts w:cs="Arial"/>
          <w:szCs w:val="19"/>
          <w:lang w:val="en-US"/>
        </w:rPr>
        <w:t xml:space="preserve"> at current prices as well as volume growth rate</w:t>
      </w:r>
      <w:r w:rsidR="00B813E4" w:rsidRPr="00C848CB">
        <w:rPr>
          <w:rFonts w:cs="Arial"/>
          <w:szCs w:val="19"/>
          <w:lang w:val="en-US"/>
        </w:rPr>
        <w:t>s</w:t>
      </w:r>
      <w:r w:rsidRPr="00C848CB">
        <w:rPr>
          <w:rFonts w:cs="Arial"/>
          <w:szCs w:val="19"/>
          <w:lang w:val="en-US"/>
        </w:rPr>
        <w:t xml:space="preserve"> (correspo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 xml:space="preserve"> 4. Table 5 includes </w:t>
      </w:r>
      <w:r w:rsidR="00972E83" w:rsidRPr="00C848CB">
        <w:rPr>
          <w:rFonts w:cs="Arial"/>
          <w:szCs w:val="19"/>
          <w:lang w:val="en-US"/>
        </w:rPr>
        <w:t xml:space="preserve">information on </w:t>
      </w:r>
      <w:r w:rsidRPr="00C848CB">
        <w:rPr>
          <w:rFonts w:cs="Arial"/>
          <w:szCs w:val="19"/>
          <w:lang w:val="en-US"/>
        </w:rPr>
        <w:t>contribution to GDP volume growth rate.</w:t>
      </w:r>
    </w:p>
    <w:p w:rsidR="002750BA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3220F4" w:rsidRDefault="003220F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C31CA5" w:rsidRDefault="00C31CA5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011E64" w:rsidRDefault="00011E6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lastRenderedPageBreak/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840745" w:rsidRPr="00B865F4" w:rsidRDefault="00D656E3" w:rsidP="00840745">
      <w:pPr>
        <w:spacing w:before="80"/>
        <w:rPr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Pole tekstowe 16" o:spid="_x0000_s1042" type="#_x0000_t202" style="position:absolute;margin-left:411.75pt;margin-top:28.15pt;width:135.85pt;height:65.5pt;z-index:-25166336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fyEQIAAAEEAAAOAAAAZHJzL2Uyb0RvYy54bWysU9Fu2yAUfZ+0f0C8L469uE2sOFXXrtOk&#10;bqvU7QMIxjEqcBmQ2NnX74KT1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" filled="f" stroked="f">
            <v:textbox>
              <w:txbxContent>
                <w:p w:rsidR="00F802BE" w:rsidRPr="00D616D2" w:rsidRDefault="00F802BE" w:rsidP="00F802BE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6C7AC8" w:rsidRDefault="00840745" w:rsidP="00EE39E2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Prepared by:</w:t>
            </w:r>
          </w:p>
          <w:p w:rsidR="00840745" w:rsidRPr="006C7AC8" w:rsidRDefault="00840745" w:rsidP="002E511B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:rsidR="00840745" w:rsidRPr="008F3638" w:rsidRDefault="00D1603E" w:rsidP="002E511B">
            <w:pPr>
              <w:pStyle w:val="Nagwek3"/>
              <w:spacing w:before="60" w:after="6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Director Anita Perzyna</w:t>
            </w:r>
          </w:p>
          <w:p w:rsidR="00840745" w:rsidRPr="00D1603E" w:rsidRDefault="00D1603E" w:rsidP="002E511B">
            <w:pPr>
              <w:pStyle w:val="Nagwek3"/>
              <w:spacing w:before="60" w:after="60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 608 31 17</w:t>
            </w:r>
          </w:p>
        </w:tc>
        <w:tc>
          <w:tcPr>
            <w:tcW w:w="3942" w:type="dxa"/>
          </w:tcPr>
          <w:p w:rsidR="00840745" w:rsidRPr="00957C3E" w:rsidRDefault="00252A16" w:rsidP="00EE39E2">
            <w:pPr>
              <w:pStyle w:val="Nagwek3"/>
              <w:spacing w:before="60" w:after="60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Issued by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="00840745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The Spokesperson for the President of Statistics Pola</w:t>
            </w:r>
            <w:r w:rsidR="00DA1D77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n</w:t>
            </w:r>
            <w:r w:rsidR="00804D4D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d</w:t>
            </w:r>
            <w:r w:rsidR="00840745" w:rsidRPr="007F7B38">
              <w:rPr>
                <w:rFonts w:ascii="Fira Sans" w:hAnsi="Fira Sans" w:cs="Arial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AA383B" w:rsidRPr="00D1603E" w:rsidRDefault="00840745" w:rsidP="002E511B">
            <w:pPr>
              <w:pStyle w:val="Nagwek3"/>
              <w:spacing w:before="60" w:after="60" w:line="240" w:lineRule="auto"/>
              <w:rPr>
                <w:lang w:val="en-US"/>
              </w:rPr>
            </w:pPr>
            <w:r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 xml:space="preserve">Karolina </w:t>
            </w:r>
            <w:r w:rsidR="00AA383B"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Banaszek</w:t>
            </w:r>
          </w:p>
          <w:p w:rsidR="00840745" w:rsidRPr="00CF1BE9" w:rsidRDefault="002E511B" w:rsidP="002E511B">
            <w:pPr>
              <w:pStyle w:val="Nagwek3"/>
              <w:spacing w:before="60" w:after="6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40745" w:rsidRPr="003635AB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6C7AC8" w:rsidRDefault="00840745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840745" w:rsidRPr="006C7AC8" w:rsidRDefault="002E511B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Office: </w:t>
            </w:r>
            <w:r w:rsidR="003635A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tel.</w:t>
            </w:r>
            <w:bookmarkStart w:id="0" w:name="_GoBack"/>
            <w:bookmarkEnd w:id="0"/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(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+48 22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) 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608 34 91</w:t>
            </w:r>
            <w:r w:rsidR="00252A16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,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608 38 04 </w:t>
            </w:r>
          </w:p>
          <w:p w:rsidR="00840745" w:rsidRPr="002E511B" w:rsidRDefault="00840745" w:rsidP="00573D29">
            <w:pPr>
              <w:spacing w:before="60" w:afterLines="60" w:after="144"/>
              <w:rPr>
                <w:b/>
                <w:sz w:val="18"/>
                <w:lang w:val="en-US"/>
              </w:rPr>
            </w:pPr>
            <w:r w:rsidRPr="002E511B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2E511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2E511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</w:tr>
      <w:tr w:rsidR="00840745" w:rsidRPr="003635A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842E3">
            <w:pPr>
              <w:rPr>
                <w:sz w:val="18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r w:rsidR="00747B0C" w:rsidRPr="002E511B">
              <w:rPr>
                <w:sz w:val="20"/>
                <w:lang w:val="en-US"/>
              </w:rPr>
              <w:t xml:space="preserve"> </w:t>
            </w:r>
            <w:proofErr w:type="spellStart"/>
            <w:r w:rsidRPr="002E511B">
              <w:rPr>
                <w:sz w:val="20"/>
                <w:lang w:val="en-US"/>
              </w:rPr>
              <w:t>S</w:t>
            </w:r>
            <w:r w:rsidR="00747B0C" w:rsidRPr="002E511B">
              <w:rPr>
                <w:sz w:val="20"/>
                <w:lang w:val="en-US"/>
              </w:rPr>
              <w:t>tatPola</w:t>
            </w:r>
            <w:r w:rsidR="000842E3">
              <w:rPr>
                <w:sz w:val="20"/>
                <w:lang w:val="en-US"/>
              </w:rPr>
              <w:t>n</w:t>
            </w:r>
            <w:r w:rsidR="00804D4D" w:rsidRPr="002E511B">
              <w:rPr>
                <w:sz w:val="20"/>
                <w:lang w:val="en-US"/>
              </w:rPr>
              <w:t>d</w:t>
            </w:r>
            <w:proofErr w:type="spellEnd"/>
          </w:p>
        </w:tc>
      </w:tr>
      <w:tr w:rsidR="00840745" w:rsidRPr="003635A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C39AE">
            <w:pPr>
              <w:rPr>
                <w:sz w:val="20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proofErr w:type="spellStart"/>
            <w:r w:rsidRPr="002E511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840745" w:rsidRPr="002E511B" w:rsidRDefault="00D656E3" w:rsidP="00840745">
      <w:pPr>
        <w:rPr>
          <w:sz w:val="18"/>
          <w:lang w:val="en-US"/>
        </w:rPr>
      </w:pPr>
      <w:r>
        <w:rPr>
          <w:noProof/>
          <w:sz w:val="18"/>
          <w:lang w:eastAsia="pl-PL"/>
        </w:rPr>
        <w:pict>
          <v:shape id="_x0000_s1043" type="#_x0000_t202" style="position:absolute;margin-left:1.5pt;margin-top:33.5pt;width:516.5pt;height:349.85pt;z-index:25166233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<v:textbox>
              <w:txbxContent>
                <w:p w:rsidR="00840745" w:rsidRDefault="00840745" w:rsidP="00840745">
                  <w:pPr>
                    <w:rPr>
                      <w:b/>
                    </w:rPr>
                  </w:pPr>
                </w:p>
                <w:p w:rsidR="00840745" w:rsidRPr="00906341" w:rsidRDefault="00840745" w:rsidP="00840745">
                  <w:pPr>
                    <w:rPr>
                      <w:b/>
                      <w:lang w:val="en-US"/>
                    </w:rPr>
                  </w:pPr>
                  <w:r w:rsidRPr="00906341">
                    <w:rPr>
                      <w:b/>
                      <w:lang w:val="en-US"/>
                    </w:rPr>
                    <w:t>Related studies</w:t>
                  </w:r>
                </w:p>
                <w:p w:rsidR="00F01985" w:rsidRDefault="00D656E3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19" w:history="1">
                    <w:r w:rsidR="008B2B9F" w:rsidRPr="008B2B9F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The Statistics Poland information on the updated 2019-2020 quarterly GDP estimate</w:t>
                    </w:r>
                  </w:hyperlink>
                </w:p>
                <w:p w:rsidR="008B2B9F" w:rsidRDefault="00D656E3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0" w:history="1">
                    <w:r w:rsidR="008B2B9F" w:rsidRPr="008B2B9F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Flash estimate of Gross Domestic Product in the first quarter of 2021</w:t>
                    </w:r>
                  </w:hyperlink>
                </w:p>
                <w:p w:rsidR="008B2B9F" w:rsidRPr="005040C1" w:rsidRDefault="008B2B9F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  <w:p w:rsidR="00840745" w:rsidRPr="00912AEB" w:rsidRDefault="00840745" w:rsidP="006B6871">
                  <w:pPr>
                    <w:spacing w:before="0"/>
                    <w:rPr>
                      <w:rStyle w:val="shorttext"/>
                      <w:b/>
                      <w:lang w:val="en-US"/>
                    </w:rPr>
                  </w:pPr>
                  <w:r w:rsidRPr="00912AEB">
                    <w:rPr>
                      <w:rStyle w:val="shorttext"/>
                      <w:b/>
                      <w:lang w:val="en-US"/>
                    </w:rPr>
                    <w:t>Subject available in databases</w:t>
                  </w:r>
                </w:p>
                <w:p w:rsidR="00840745" w:rsidRPr="009D1057" w:rsidRDefault="00D656E3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1" w:history="1">
                    <w:r w:rsidR="00840745" w:rsidRPr="009D1057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Knowledge Databases – National Accounts</w:t>
                    </w:r>
                  </w:hyperlink>
                </w:p>
                <w:p w:rsidR="00840745" w:rsidRPr="009D1057" w:rsidRDefault="00840745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20"/>
                      <w:szCs w:val="20"/>
                      <w:lang w:val="en-US"/>
                    </w:rPr>
                  </w:pPr>
                </w:p>
                <w:p w:rsidR="00840745" w:rsidRPr="00DC467F" w:rsidRDefault="00840745" w:rsidP="0084074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972E83">
                    <w:rPr>
                      <w:rStyle w:val="shorttext"/>
                      <w:b/>
                      <w:lang w:val="en-GB"/>
                    </w:rPr>
                    <w:t>Important concepts available in the dictionary</w:t>
                  </w:r>
                </w:p>
                <w:p w:rsidR="00840745" w:rsidRPr="002442DD" w:rsidRDefault="00D656E3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2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domestic product</w:t>
                    </w:r>
                  </w:hyperlink>
                </w:p>
                <w:p w:rsidR="00840745" w:rsidRPr="002442DD" w:rsidRDefault="00D656E3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3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value added</w:t>
                    </w:r>
                  </w:hyperlink>
                </w:p>
                <w:p w:rsidR="00840745" w:rsidRPr="002442DD" w:rsidRDefault="00D656E3" w:rsidP="0084074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4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capital formation</w:t>
                    </w:r>
                  </w:hyperlink>
                </w:p>
                <w:p w:rsidR="00840745" w:rsidRPr="0038292F" w:rsidRDefault="00840745" w:rsidP="0084074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p w:rsidR="00840745" w:rsidRPr="002E511B" w:rsidRDefault="00840745" w:rsidP="00840745">
      <w:pPr>
        <w:rPr>
          <w:sz w:val="18"/>
          <w:lang w:val="en-US"/>
        </w:rPr>
      </w:pPr>
    </w:p>
    <w:p w:rsidR="00D261A2" w:rsidRPr="002E511B" w:rsidRDefault="00D261A2" w:rsidP="00E76D26">
      <w:pPr>
        <w:rPr>
          <w:szCs w:val="19"/>
          <w:lang w:val="en-US"/>
        </w:rPr>
      </w:pPr>
    </w:p>
    <w:sectPr w:rsidR="00D261A2" w:rsidRPr="002E511B" w:rsidSect="009E09F2">
      <w:headerReference w:type="default" r:id="rId25"/>
      <w:headerReference w:type="first" r:id="rId26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E3" w:rsidRDefault="00D656E3" w:rsidP="000662E2">
      <w:pPr>
        <w:spacing w:after="0" w:line="240" w:lineRule="auto"/>
      </w:pPr>
      <w:r>
        <w:separator/>
      </w:r>
    </w:p>
  </w:endnote>
  <w:endnote w:type="continuationSeparator" w:id="0">
    <w:p w:rsidR="00D656E3" w:rsidRDefault="00D656E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E3" w:rsidRDefault="00D656E3" w:rsidP="000662E2">
      <w:pPr>
        <w:spacing w:after="0" w:line="240" w:lineRule="auto"/>
      </w:pPr>
      <w:r>
        <w:separator/>
      </w:r>
    </w:p>
  </w:footnote>
  <w:footnote w:type="continuationSeparator" w:id="0">
    <w:p w:rsidR="00D656E3" w:rsidRDefault="00D656E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D656E3">
    <w:pPr>
      <w:pStyle w:val="Nagwek"/>
    </w:pPr>
    <w:r>
      <w:rPr>
        <w:noProof/>
        <w:lang w:eastAsia="pl-PL"/>
      </w:rPr>
      <w:pict>
        <v:shape id="Schemat blokowy: opóźnienie 6" o:spid="_x0000_s2049" style="position:absolute;margin-left:396.15pt;margin-top:5.8pt;width:162.1pt;height:31.4pt;flip:x;z-index:251660288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0021,0;2058670,199454;1880021,398907;0,398907;0,0" o:connectangles="0,0,0,0,0,0" textboxrect="0,0,3527018,612140"/>
          <v:textbox>
            <w:txbxContent>
              <w:p w:rsidR="009E09F2" w:rsidRDefault="00B77335" w:rsidP="00B3527E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  <w:p w:rsidR="004D7D3B" w:rsidRPr="003C6C8D" w:rsidRDefault="004D7D3B" w:rsidP="004D7D3B">
                <w:pPr>
                  <w:spacing w:before="0" w:after="0" w:line="240" w:lineRule="auto"/>
                  <w:ind w:left="227"/>
                  <w:jc w:val="center"/>
                  <w:rPr>
                    <w:rFonts w:ascii="Fira Sans SemiBold" w:hAnsi="Fira Sans SemiBold"/>
                  </w:rPr>
                </w:pPr>
              </w:p>
              <w:p w:rsidR="004D7D3B" w:rsidRDefault="004D7D3B"/>
            </w:txbxContent>
          </v:textbox>
        </v:shape>
      </w:pict>
    </w:r>
    <w:r w:rsidR="00B77335"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95pt;height:122.95pt;visibility:visible" o:bullet="t">
        <v:imagedata r:id="rId1" o:title=""/>
      </v:shape>
    </w:pict>
  </w:numPicBullet>
  <w:numPicBullet w:numPicBulletId="1">
    <w:pict>
      <v:shape id="_x0000_i1033" type="#_x0000_t75" style="width:120.9pt;height:122.9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028"/>
    <w:rsid w:val="00001C5B"/>
    <w:rsid w:val="000031AF"/>
    <w:rsid w:val="00003437"/>
    <w:rsid w:val="000035A9"/>
    <w:rsid w:val="00003B9C"/>
    <w:rsid w:val="00004FD4"/>
    <w:rsid w:val="00005503"/>
    <w:rsid w:val="00005CFB"/>
    <w:rsid w:val="0000709F"/>
    <w:rsid w:val="000108B8"/>
    <w:rsid w:val="00011E64"/>
    <w:rsid w:val="000152F5"/>
    <w:rsid w:val="000165EC"/>
    <w:rsid w:val="00020A90"/>
    <w:rsid w:val="0002245B"/>
    <w:rsid w:val="00024963"/>
    <w:rsid w:val="00026245"/>
    <w:rsid w:val="000276B9"/>
    <w:rsid w:val="00030572"/>
    <w:rsid w:val="000305FA"/>
    <w:rsid w:val="0003209E"/>
    <w:rsid w:val="000322CF"/>
    <w:rsid w:val="00035122"/>
    <w:rsid w:val="00042738"/>
    <w:rsid w:val="0004582E"/>
    <w:rsid w:val="000470AA"/>
    <w:rsid w:val="00051B51"/>
    <w:rsid w:val="00056668"/>
    <w:rsid w:val="0005705C"/>
    <w:rsid w:val="00057CA1"/>
    <w:rsid w:val="00062066"/>
    <w:rsid w:val="00062FB3"/>
    <w:rsid w:val="000657C8"/>
    <w:rsid w:val="000661F5"/>
    <w:rsid w:val="000662E2"/>
    <w:rsid w:val="00066883"/>
    <w:rsid w:val="000709EB"/>
    <w:rsid w:val="0007102A"/>
    <w:rsid w:val="00074DD8"/>
    <w:rsid w:val="00074DE2"/>
    <w:rsid w:val="00075996"/>
    <w:rsid w:val="00076D36"/>
    <w:rsid w:val="00077D6B"/>
    <w:rsid w:val="000806F7"/>
    <w:rsid w:val="000842E3"/>
    <w:rsid w:val="00085088"/>
    <w:rsid w:val="00085502"/>
    <w:rsid w:val="000910E5"/>
    <w:rsid w:val="0009213C"/>
    <w:rsid w:val="00092ADF"/>
    <w:rsid w:val="00094689"/>
    <w:rsid w:val="00095A7E"/>
    <w:rsid w:val="000A1AE8"/>
    <w:rsid w:val="000A20F8"/>
    <w:rsid w:val="000B0727"/>
    <w:rsid w:val="000B0C97"/>
    <w:rsid w:val="000B130F"/>
    <w:rsid w:val="000B19FF"/>
    <w:rsid w:val="000C0E93"/>
    <w:rsid w:val="000C135D"/>
    <w:rsid w:val="000C7470"/>
    <w:rsid w:val="000D01A3"/>
    <w:rsid w:val="000D1D43"/>
    <w:rsid w:val="000D225C"/>
    <w:rsid w:val="000D2A5C"/>
    <w:rsid w:val="000D3172"/>
    <w:rsid w:val="000E0918"/>
    <w:rsid w:val="000E3151"/>
    <w:rsid w:val="000E358A"/>
    <w:rsid w:val="000E6618"/>
    <w:rsid w:val="000E7758"/>
    <w:rsid w:val="000F0CD3"/>
    <w:rsid w:val="000F0F96"/>
    <w:rsid w:val="000F2169"/>
    <w:rsid w:val="000F6B75"/>
    <w:rsid w:val="00100148"/>
    <w:rsid w:val="001011C3"/>
    <w:rsid w:val="001036E7"/>
    <w:rsid w:val="0010455A"/>
    <w:rsid w:val="001049E0"/>
    <w:rsid w:val="00105E09"/>
    <w:rsid w:val="00110A3A"/>
    <w:rsid w:val="00110D87"/>
    <w:rsid w:val="00111621"/>
    <w:rsid w:val="00111EA9"/>
    <w:rsid w:val="00112860"/>
    <w:rsid w:val="001129F6"/>
    <w:rsid w:val="00114630"/>
    <w:rsid w:val="00114DB9"/>
    <w:rsid w:val="00116087"/>
    <w:rsid w:val="0011642E"/>
    <w:rsid w:val="00122348"/>
    <w:rsid w:val="0012346A"/>
    <w:rsid w:val="00124E91"/>
    <w:rsid w:val="001269FC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3647"/>
    <w:rsid w:val="001542BB"/>
    <w:rsid w:val="00156B7E"/>
    <w:rsid w:val="00160881"/>
    <w:rsid w:val="00162325"/>
    <w:rsid w:val="00163853"/>
    <w:rsid w:val="00164F76"/>
    <w:rsid w:val="00167CE4"/>
    <w:rsid w:val="00171D7E"/>
    <w:rsid w:val="001755B2"/>
    <w:rsid w:val="0018365C"/>
    <w:rsid w:val="00185C6B"/>
    <w:rsid w:val="00185EB3"/>
    <w:rsid w:val="001951DA"/>
    <w:rsid w:val="00195C1E"/>
    <w:rsid w:val="00196EBA"/>
    <w:rsid w:val="001A4D22"/>
    <w:rsid w:val="001A6C3C"/>
    <w:rsid w:val="001A6FDF"/>
    <w:rsid w:val="001B0434"/>
    <w:rsid w:val="001B4849"/>
    <w:rsid w:val="001B49CA"/>
    <w:rsid w:val="001B5706"/>
    <w:rsid w:val="001B6956"/>
    <w:rsid w:val="001B6DAA"/>
    <w:rsid w:val="001B6F2F"/>
    <w:rsid w:val="001C0E55"/>
    <w:rsid w:val="001C3269"/>
    <w:rsid w:val="001C4C64"/>
    <w:rsid w:val="001D1DB4"/>
    <w:rsid w:val="001D7AEA"/>
    <w:rsid w:val="001E157A"/>
    <w:rsid w:val="001E1C44"/>
    <w:rsid w:val="001E200E"/>
    <w:rsid w:val="001E377F"/>
    <w:rsid w:val="001F1A70"/>
    <w:rsid w:val="001F40DD"/>
    <w:rsid w:val="001F434C"/>
    <w:rsid w:val="001F5620"/>
    <w:rsid w:val="001F5C5E"/>
    <w:rsid w:val="001F65DF"/>
    <w:rsid w:val="0020052D"/>
    <w:rsid w:val="002039CF"/>
    <w:rsid w:val="00205DEA"/>
    <w:rsid w:val="00205FE7"/>
    <w:rsid w:val="002110C5"/>
    <w:rsid w:val="00213068"/>
    <w:rsid w:val="00220355"/>
    <w:rsid w:val="00221982"/>
    <w:rsid w:val="002219FD"/>
    <w:rsid w:val="00225FCF"/>
    <w:rsid w:val="002276C7"/>
    <w:rsid w:val="00231E33"/>
    <w:rsid w:val="002339CB"/>
    <w:rsid w:val="00233B32"/>
    <w:rsid w:val="002408C4"/>
    <w:rsid w:val="00241054"/>
    <w:rsid w:val="00241474"/>
    <w:rsid w:val="002442DD"/>
    <w:rsid w:val="002446E4"/>
    <w:rsid w:val="0024727B"/>
    <w:rsid w:val="00247504"/>
    <w:rsid w:val="00252A16"/>
    <w:rsid w:val="00252CE2"/>
    <w:rsid w:val="0025437A"/>
    <w:rsid w:val="0025712D"/>
    <w:rsid w:val="00257137"/>
    <w:rsid w:val="002574F9"/>
    <w:rsid w:val="00265A76"/>
    <w:rsid w:val="00270423"/>
    <w:rsid w:val="00274202"/>
    <w:rsid w:val="002750BA"/>
    <w:rsid w:val="0027561E"/>
    <w:rsid w:val="00276811"/>
    <w:rsid w:val="00282699"/>
    <w:rsid w:val="002845A7"/>
    <w:rsid w:val="002861A6"/>
    <w:rsid w:val="002871A2"/>
    <w:rsid w:val="002919E1"/>
    <w:rsid w:val="002926DF"/>
    <w:rsid w:val="00295F03"/>
    <w:rsid w:val="00296164"/>
    <w:rsid w:val="00296697"/>
    <w:rsid w:val="00296984"/>
    <w:rsid w:val="00297FB3"/>
    <w:rsid w:val="002A2F5C"/>
    <w:rsid w:val="002A5F10"/>
    <w:rsid w:val="002A7784"/>
    <w:rsid w:val="002B0472"/>
    <w:rsid w:val="002B2782"/>
    <w:rsid w:val="002B6B12"/>
    <w:rsid w:val="002B6BAC"/>
    <w:rsid w:val="002C320F"/>
    <w:rsid w:val="002C53E7"/>
    <w:rsid w:val="002D0C6F"/>
    <w:rsid w:val="002E0C25"/>
    <w:rsid w:val="002E19A6"/>
    <w:rsid w:val="002E206E"/>
    <w:rsid w:val="002E2571"/>
    <w:rsid w:val="002E492E"/>
    <w:rsid w:val="002E511B"/>
    <w:rsid w:val="002E5928"/>
    <w:rsid w:val="002E6140"/>
    <w:rsid w:val="002E6985"/>
    <w:rsid w:val="002E6FEC"/>
    <w:rsid w:val="002E71B6"/>
    <w:rsid w:val="002F011E"/>
    <w:rsid w:val="002F18EF"/>
    <w:rsid w:val="002F25AB"/>
    <w:rsid w:val="002F5389"/>
    <w:rsid w:val="002F75D7"/>
    <w:rsid w:val="002F77C8"/>
    <w:rsid w:val="00303709"/>
    <w:rsid w:val="00304F22"/>
    <w:rsid w:val="003057A8"/>
    <w:rsid w:val="003061F2"/>
    <w:rsid w:val="00306C7C"/>
    <w:rsid w:val="00307B63"/>
    <w:rsid w:val="0031301B"/>
    <w:rsid w:val="0031370A"/>
    <w:rsid w:val="00317F34"/>
    <w:rsid w:val="003220F4"/>
    <w:rsid w:val="003229BE"/>
    <w:rsid w:val="00322EDD"/>
    <w:rsid w:val="00323F52"/>
    <w:rsid w:val="00326A38"/>
    <w:rsid w:val="00332320"/>
    <w:rsid w:val="003344B0"/>
    <w:rsid w:val="003371C8"/>
    <w:rsid w:val="003374C1"/>
    <w:rsid w:val="00337CD2"/>
    <w:rsid w:val="0034013D"/>
    <w:rsid w:val="00341190"/>
    <w:rsid w:val="00347D72"/>
    <w:rsid w:val="0035254E"/>
    <w:rsid w:val="00355375"/>
    <w:rsid w:val="003559CC"/>
    <w:rsid w:val="00357611"/>
    <w:rsid w:val="00357AD0"/>
    <w:rsid w:val="00357DE5"/>
    <w:rsid w:val="00362304"/>
    <w:rsid w:val="00362740"/>
    <w:rsid w:val="00362C0D"/>
    <w:rsid w:val="003635AB"/>
    <w:rsid w:val="00363F24"/>
    <w:rsid w:val="00364D2E"/>
    <w:rsid w:val="0036558B"/>
    <w:rsid w:val="00367237"/>
    <w:rsid w:val="0037077F"/>
    <w:rsid w:val="0037256B"/>
    <w:rsid w:val="00373749"/>
    <w:rsid w:val="00373882"/>
    <w:rsid w:val="003759A9"/>
    <w:rsid w:val="0038292A"/>
    <w:rsid w:val="0038292F"/>
    <w:rsid w:val="003843DB"/>
    <w:rsid w:val="0038456B"/>
    <w:rsid w:val="00385E70"/>
    <w:rsid w:val="00386F22"/>
    <w:rsid w:val="003876A1"/>
    <w:rsid w:val="00393112"/>
    <w:rsid w:val="00393761"/>
    <w:rsid w:val="00397D18"/>
    <w:rsid w:val="003A1B36"/>
    <w:rsid w:val="003A23BC"/>
    <w:rsid w:val="003A2D7F"/>
    <w:rsid w:val="003A5BB0"/>
    <w:rsid w:val="003B1454"/>
    <w:rsid w:val="003B1DF1"/>
    <w:rsid w:val="003B2077"/>
    <w:rsid w:val="003B52EC"/>
    <w:rsid w:val="003B5928"/>
    <w:rsid w:val="003C59E0"/>
    <w:rsid w:val="003C6C8D"/>
    <w:rsid w:val="003D0E65"/>
    <w:rsid w:val="003D4F95"/>
    <w:rsid w:val="003D5F42"/>
    <w:rsid w:val="003D60A9"/>
    <w:rsid w:val="003D6D3B"/>
    <w:rsid w:val="003D79BC"/>
    <w:rsid w:val="003E1E62"/>
    <w:rsid w:val="003E2E12"/>
    <w:rsid w:val="003E3FC7"/>
    <w:rsid w:val="003E5504"/>
    <w:rsid w:val="003E791D"/>
    <w:rsid w:val="003F081D"/>
    <w:rsid w:val="003F18E3"/>
    <w:rsid w:val="003F3A65"/>
    <w:rsid w:val="003F4459"/>
    <w:rsid w:val="003F4C97"/>
    <w:rsid w:val="003F6D4B"/>
    <w:rsid w:val="003F7FE6"/>
    <w:rsid w:val="0040007F"/>
    <w:rsid w:val="00400193"/>
    <w:rsid w:val="004002F8"/>
    <w:rsid w:val="0040581D"/>
    <w:rsid w:val="004155CC"/>
    <w:rsid w:val="00417F49"/>
    <w:rsid w:val="004212E7"/>
    <w:rsid w:val="004241BA"/>
    <w:rsid w:val="0042446D"/>
    <w:rsid w:val="00427BF8"/>
    <w:rsid w:val="004301A2"/>
    <w:rsid w:val="00431C02"/>
    <w:rsid w:val="00432789"/>
    <w:rsid w:val="004329BC"/>
    <w:rsid w:val="00433496"/>
    <w:rsid w:val="0043600C"/>
    <w:rsid w:val="00437395"/>
    <w:rsid w:val="00437D76"/>
    <w:rsid w:val="00442639"/>
    <w:rsid w:val="00445047"/>
    <w:rsid w:val="00454B03"/>
    <w:rsid w:val="004604D0"/>
    <w:rsid w:val="00462F8E"/>
    <w:rsid w:val="00463B73"/>
    <w:rsid w:val="00463E39"/>
    <w:rsid w:val="00465033"/>
    <w:rsid w:val="004657FC"/>
    <w:rsid w:val="00470CEE"/>
    <w:rsid w:val="0047298A"/>
    <w:rsid w:val="00472BC6"/>
    <w:rsid w:val="004733E5"/>
    <w:rsid w:val="004733F6"/>
    <w:rsid w:val="00474E69"/>
    <w:rsid w:val="00480622"/>
    <w:rsid w:val="00480861"/>
    <w:rsid w:val="0048464F"/>
    <w:rsid w:val="004851A3"/>
    <w:rsid w:val="00485D63"/>
    <w:rsid w:val="00486047"/>
    <w:rsid w:val="0049158F"/>
    <w:rsid w:val="004916D2"/>
    <w:rsid w:val="0049373C"/>
    <w:rsid w:val="00494720"/>
    <w:rsid w:val="0049621B"/>
    <w:rsid w:val="004A1164"/>
    <w:rsid w:val="004A157A"/>
    <w:rsid w:val="004A1D66"/>
    <w:rsid w:val="004A494D"/>
    <w:rsid w:val="004A62CD"/>
    <w:rsid w:val="004B0FCF"/>
    <w:rsid w:val="004B1321"/>
    <w:rsid w:val="004B6486"/>
    <w:rsid w:val="004C1895"/>
    <w:rsid w:val="004C3F13"/>
    <w:rsid w:val="004C59C7"/>
    <w:rsid w:val="004C6D40"/>
    <w:rsid w:val="004D37DF"/>
    <w:rsid w:val="004D5B69"/>
    <w:rsid w:val="004D5D18"/>
    <w:rsid w:val="004D7B8F"/>
    <w:rsid w:val="004D7D3B"/>
    <w:rsid w:val="004E0015"/>
    <w:rsid w:val="004E0B40"/>
    <w:rsid w:val="004E0F98"/>
    <w:rsid w:val="004E5C89"/>
    <w:rsid w:val="004E5DAF"/>
    <w:rsid w:val="004F08A7"/>
    <w:rsid w:val="004F0C3C"/>
    <w:rsid w:val="004F2811"/>
    <w:rsid w:val="004F34D7"/>
    <w:rsid w:val="004F435D"/>
    <w:rsid w:val="004F63FC"/>
    <w:rsid w:val="004F683D"/>
    <w:rsid w:val="004F76C8"/>
    <w:rsid w:val="005026F8"/>
    <w:rsid w:val="005040C1"/>
    <w:rsid w:val="005043D9"/>
    <w:rsid w:val="0050459C"/>
    <w:rsid w:val="00505A92"/>
    <w:rsid w:val="00507170"/>
    <w:rsid w:val="00507D41"/>
    <w:rsid w:val="005129BB"/>
    <w:rsid w:val="00513548"/>
    <w:rsid w:val="005203F1"/>
    <w:rsid w:val="00521BC3"/>
    <w:rsid w:val="00524AE1"/>
    <w:rsid w:val="00531BB7"/>
    <w:rsid w:val="00533632"/>
    <w:rsid w:val="005372AB"/>
    <w:rsid w:val="00537F6F"/>
    <w:rsid w:val="0054251F"/>
    <w:rsid w:val="00543568"/>
    <w:rsid w:val="00544E49"/>
    <w:rsid w:val="00547319"/>
    <w:rsid w:val="00550618"/>
    <w:rsid w:val="00550780"/>
    <w:rsid w:val="005520D8"/>
    <w:rsid w:val="00553CA7"/>
    <w:rsid w:val="00556786"/>
    <w:rsid w:val="005568E0"/>
    <w:rsid w:val="00556CF1"/>
    <w:rsid w:val="005578CB"/>
    <w:rsid w:val="00560387"/>
    <w:rsid w:val="00562A88"/>
    <w:rsid w:val="00564630"/>
    <w:rsid w:val="00573D29"/>
    <w:rsid w:val="00574B12"/>
    <w:rsid w:val="00575A6C"/>
    <w:rsid w:val="005762A7"/>
    <w:rsid w:val="00576BDE"/>
    <w:rsid w:val="005916D7"/>
    <w:rsid w:val="0059215D"/>
    <w:rsid w:val="0059366C"/>
    <w:rsid w:val="00594115"/>
    <w:rsid w:val="00594C11"/>
    <w:rsid w:val="005A13D0"/>
    <w:rsid w:val="005A5879"/>
    <w:rsid w:val="005A698C"/>
    <w:rsid w:val="005A745E"/>
    <w:rsid w:val="005B191F"/>
    <w:rsid w:val="005B1F3A"/>
    <w:rsid w:val="005B2CD2"/>
    <w:rsid w:val="005B3E45"/>
    <w:rsid w:val="005B56A6"/>
    <w:rsid w:val="005C0862"/>
    <w:rsid w:val="005C1C04"/>
    <w:rsid w:val="005C49AF"/>
    <w:rsid w:val="005C72FD"/>
    <w:rsid w:val="005C7A54"/>
    <w:rsid w:val="005D21C1"/>
    <w:rsid w:val="005D2A63"/>
    <w:rsid w:val="005D315F"/>
    <w:rsid w:val="005D3BF1"/>
    <w:rsid w:val="005D4173"/>
    <w:rsid w:val="005D4917"/>
    <w:rsid w:val="005D5256"/>
    <w:rsid w:val="005E0799"/>
    <w:rsid w:val="005E2B1B"/>
    <w:rsid w:val="005E3D19"/>
    <w:rsid w:val="005F0174"/>
    <w:rsid w:val="005F150E"/>
    <w:rsid w:val="005F5A80"/>
    <w:rsid w:val="005F7446"/>
    <w:rsid w:val="005F75E4"/>
    <w:rsid w:val="00601660"/>
    <w:rsid w:val="00601C57"/>
    <w:rsid w:val="006029F1"/>
    <w:rsid w:val="0060408D"/>
    <w:rsid w:val="006044FF"/>
    <w:rsid w:val="00604886"/>
    <w:rsid w:val="00606CE6"/>
    <w:rsid w:val="00607270"/>
    <w:rsid w:val="00607489"/>
    <w:rsid w:val="006074F7"/>
    <w:rsid w:val="00607CC5"/>
    <w:rsid w:val="00613346"/>
    <w:rsid w:val="00613994"/>
    <w:rsid w:val="00616189"/>
    <w:rsid w:val="006162A0"/>
    <w:rsid w:val="00620451"/>
    <w:rsid w:val="00622489"/>
    <w:rsid w:val="0062506B"/>
    <w:rsid w:val="00627578"/>
    <w:rsid w:val="00627990"/>
    <w:rsid w:val="0063012B"/>
    <w:rsid w:val="00631DF7"/>
    <w:rsid w:val="00633014"/>
    <w:rsid w:val="00633FCE"/>
    <w:rsid w:val="0063437B"/>
    <w:rsid w:val="00634A03"/>
    <w:rsid w:val="00636E49"/>
    <w:rsid w:val="00641214"/>
    <w:rsid w:val="00642F5F"/>
    <w:rsid w:val="00643F07"/>
    <w:rsid w:val="00644706"/>
    <w:rsid w:val="00651646"/>
    <w:rsid w:val="0065389A"/>
    <w:rsid w:val="00654718"/>
    <w:rsid w:val="00654D1D"/>
    <w:rsid w:val="006562C1"/>
    <w:rsid w:val="0065715A"/>
    <w:rsid w:val="00662584"/>
    <w:rsid w:val="00663CD7"/>
    <w:rsid w:val="00664248"/>
    <w:rsid w:val="0066511A"/>
    <w:rsid w:val="006656DD"/>
    <w:rsid w:val="006673CA"/>
    <w:rsid w:val="006676C2"/>
    <w:rsid w:val="00667899"/>
    <w:rsid w:val="0066791F"/>
    <w:rsid w:val="0067292B"/>
    <w:rsid w:val="00672EE7"/>
    <w:rsid w:val="00673612"/>
    <w:rsid w:val="00673764"/>
    <w:rsid w:val="00673C26"/>
    <w:rsid w:val="006812AF"/>
    <w:rsid w:val="00681909"/>
    <w:rsid w:val="0068270F"/>
    <w:rsid w:val="0068327D"/>
    <w:rsid w:val="006839CB"/>
    <w:rsid w:val="00683BFD"/>
    <w:rsid w:val="00684DA0"/>
    <w:rsid w:val="00690893"/>
    <w:rsid w:val="006912AE"/>
    <w:rsid w:val="00694AF0"/>
    <w:rsid w:val="00695446"/>
    <w:rsid w:val="00695E23"/>
    <w:rsid w:val="00697105"/>
    <w:rsid w:val="006A1320"/>
    <w:rsid w:val="006A60E8"/>
    <w:rsid w:val="006B0E9E"/>
    <w:rsid w:val="006B104E"/>
    <w:rsid w:val="006B3D06"/>
    <w:rsid w:val="006B4723"/>
    <w:rsid w:val="006B5AE4"/>
    <w:rsid w:val="006B65C2"/>
    <w:rsid w:val="006B6871"/>
    <w:rsid w:val="006B7F57"/>
    <w:rsid w:val="006C183B"/>
    <w:rsid w:val="006C2521"/>
    <w:rsid w:val="006C2823"/>
    <w:rsid w:val="006C3045"/>
    <w:rsid w:val="006C53F3"/>
    <w:rsid w:val="006C63E8"/>
    <w:rsid w:val="006D1AE5"/>
    <w:rsid w:val="006D25F2"/>
    <w:rsid w:val="006D4054"/>
    <w:rsid w:val="006D49AB"/>
    <w:rsid w:val="006D4A7E"/>
    <w:rsid w:val="006D746A"/>
    <w:rsid w:val="006E02EC"/>
    <w:rsid w:val="006E28C0"/>
    <w:rsid w:val="006E44C8"/>
    <w:rsid w:val="006E7138"/>
    <w:rsid w:val="006E76E1"/>
    <w:rsid w:val="006F2A70"/>
    <w:rsid w:val="00706C6D"/>
    <w:rsid w:val="0070711E"/>
    <w:rsid w:val="007150CE"/>
    <w:rsid w:val="007157CB"/>
    <w:rsid w:val="00716104"/>
    <w:rsid w:val="007162EA"/>
    <w:rsid w:val="00717821"/>
    <w:rsid w:val="00717D1C"/>
    <w:rsid w:val="007211B1"/>
    <w:rsid w:val="00723DDD"/>
    <w:rsid w:val="007245D3"/>
    <w:rsid w:val="0072753E"/>
    <w:rsid w:val="00731C5F"/>
    <w:rsid w:val="00732998"/>
    <w:rsid w:val="007334E7"/>
    <w:rsid w:val="007348C4"/>
    <w:rsid w:val="00740F25"/>
    <w:rsid w:val="00746187"/>
    <w:rsid w:val="00747B0C"/>
    <w:rsid w:val="00747BF9"/>
    <w:rsid w:val="00751C22"/>
    <w:rsid w:val="00754257"/>
    <w:rsid w:val="007566E3"/>
    <w:rsid w:val="00760908"/>
    <w:rsid w:val="007621CC"/>
    <w:rsid w:val="0076254F"/>
    <w:rsid w:val="007625D2"/>
    <w:rsid w:val="00770121"/>
    <w:rsid w:val="007702BE"/>
    <w:rsid w:val="0077085B"/>
    <w:rsid w:val="00772F39"/>
    <w:rsid w:val="00777331"/>
    <w:rsid w:val="007801F5"/>
    <w:rsid w:val="00782868"/>
    <w:rsid w:val="00783CA4"/>
    <w:rsid w:val="007842FB"/>
    <w:rsid w:val="00786124"/>
    <w:rsid w:val="007875B3"/>
    <w:rsid w:val="0078760D"/>
    <w:rsid w:val="0079514B"/>
    <w:rsid w:val="007A08E9"/>
    <w:rsid w:val="007A2A4E"/>
    <w:rsid w:val="007A2DC1"/>
    <w:rsid w:val="007A3160"/>
    <w:rsid w:val="007A4EF4"/>
    <w:rsid w:val="007A68DA"/>
    <w:rsid w:val="007B2E90"/>
    <w:rsid w:val="007B3620"/>
    <w:rsid w:val="007B6816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7F7B38"/>
    <w:rsid w:val="007F7BF2"/>
    <w:rsid w:val="0080185B"/>
    <w:rsid w:val="008021E7"/>
    <w:rsid w:val="00802462"/>
    <w:rsid w:val="0080253C"/>
    <w:rsid w:val="0080366D"/>
    <w:rsid w:val="00804D4D"/>
    <w:rsid w:val="00804E82"/>
    <w:rsid w:val="0080553C"/>
    <w:rsid w:val="00805991"/>
    <w:rsid w:val="00805A9C"/>
    <w:rsid w:val="00805B46"/>
    <w:rsid w:val="0081140D"/>
    <w:rsid w:val="00816793"/>
    <w:rsid w:val="008175E3"/>
    <w:rsid w:val="00817FF2"/>
    <w:rsid w:val="008238C0"/>
    <w:rsid w:val="00824C30"/>
    <w:rsid w:val="00825DC2"/>
    <w:rsid w:val="00831A3E"/>
    <w:rsid w:val="00834AD3"/>
    <w:rsid w:val="0083557E"/>
    <w:rsid w:val="0083592D"/>
    <w:rsid w:val="00836725"/>
    <w:rsid w:val="00840745"/>
    <w:rsid w:val="00843795"/>
    <w:rsid w:val="00843953"/>
    <w:rsid w:val="008449F4"/>
    <w:rsid w:val="00845229"/>
    <w:rsid w:val="00845D0B"/>
    <w:rsid w:val="008470E5"/>
    <w:rsid w:val="00847F0F"/>
    <w:rsid w:val="00852448"/>
    <w:rsid w:val="00854A20"/>
    <w:rsid w:val="008567F3"/>
    <w:rsid w:val="0086116B"/>
    <w:rsid w:val="00864E3F"/>
    <w:rsid w:val="00871455"/>
    <w:rsid w:val="008738AF"/>
    <w:rsid w:val="0087494C"/>
    <w:rsid w:val="00875C79"/>
    <w:rsid w:val="0087789E"/>
    <w:rsid w:val="0088258A"/>
    <w:rsid w:val="00883373"/>
    <w:rsid w:val="00884F64"/>
    <w:rsid w:val="00885B40"/>
    <w:rsid w:val="00886332"/>
    <w:rsid w:val="00892804"/>
    <w:rsid w:val="008A26D9"/>
    <w:rsid w:val="008A2A6D"/>
    <w:rsid w:val="008A3B0C"/>
    <w:rsid w:val="008B1544"/>
    <w:rsid w:val="008B1F9B"/>
    <w:rsid w:val="008B2700"/>
    <w:rsid w:val="008B2B9F"/>
    <w:rsid w:val="008B4815"/>
    <w:rsid w:val="008B4EF8"/>
    <w:rsid w:val="008B5A4B"/>
    <w:rsid w:val="008B70D9"/>
    <w:rsid w:val="008C0C29"/>
    <w:rsid w:val="008C12A2"/>
    <w:rsid w:val="008C239F"/>
    <w:rsid w:val="008C4144"/>
    <w:rsid w:val="008D19A8"/>
    <w:rsid w:val="008D1FF1"/>
    <w:rsid w:val="008D211F"/>
    <w:rsid w:val="008D27E4"/>
    <w:rsid w:val="008D34C9"/>
    <w:rsid w:val="008D480A"/>
    <w:rsid w:val="008D5982"/>
    <w:rsid w:val="008D6609"/>
    <w:rsid w:val="008D6B4A"/>
    <w:rsid w:val="008D6E97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43E7"/>
    <w:rsid w:val="008F6F31"/>
    <w:rsid w:val="008F74DF"/>
    <w:rsid w:val="00902637"/>
    <w:rsid w:val="00903357"/>
    <w:rsid w:val="009040B8"/>
    <w:rsid w:val="00905256"/>
    <w:rsid w:val="00905E04"/>
    <w:rsid w:val="00906341"/>
    <w:rsid w:val="00910578"/>
    <w:rsid w:val="00910B6F"/>
    <w:rsid w:val="009110AF"/>
    <w:rsid w:val="009127BA"/>
    <w:rsid w:val="009227A6"/>
    <w:rsid w:val="0092298F"/>
    <w:rsid w:val="009270B8"/>
    <w:rsid w:val="00927B26"/>
    <w:rsid w:val="00933A22"/>
    <w:rsid w:val="00933EC1"/>
    <w:rsid w:val="009372A5"/>
    <w:rsid w:val="00937884"/>
    <w:rsid w:val="00940179"/>
    <w:rsid w:val="0094724E"/>
    <w:rsid w:val="009530DB"/>
    <w:rsid w:val="00953676"/>
    <w:rsid w:val="00956AB2"/>
    <w:rsid w:val="00956B35"/>
    <w:rsid w:val="009570EF"/>
    <w:rsid w:val="00957C3E"/>
    <w:rsid w:val="00963CCC"/>
    <w:rsid w:val="0096485C"/>
    <w:rsid w:val="00966372"/>
    <w:rsid w:val="0096652E"/>
    <w:rsid w:val="00966B01"/>
    <w:rsid w:val="009676BD"/>
    <w:rsid w:val="009705EE"/>
    <w:rsid w:val="00971977"/>
    <w:rsid w:val="00972E83"/>
    <w:rsid w:val="0097369C"/>
    <w:rsid w:val="00977927"/>
    <w:rsid w:val="0098135C"/>
    <w:rsid w:val="0098156A"/>
    <w:rsid w:val="009822B9"/>
    <w:rsid w:val="009824B8"/>
    <w:rsid w:val="00982BE5"/>
    <w:rsid w:val="009843CB"/>
    <w:rsid w:val="00986552"/>
    <w:rsid w:val="0098751E"/>
    <w:rsid w:val="009900C7"/>
    <w:rsid w:val="0099028C"/>
    <w:rsid w:val="00991BAC"/>
    <w:rsid w:val="009926A8"/>
    <w:rsid w:val="00992A94"/>
    <w:rsid w:val="00993E4D"/>
    <w:rsid w:val="00995EBD"/>
    <w:rsid w:val="0099698B"/>
    <w:rsid w:val="009A0F4E"/>
    <w:rsid w:val="009A3292"/>
    <w:rsid w:val="009A3469"/>
    <w:rsid w:val="009A4BE3"/>
    <w:rsid w:val="009A52C3"/>
    <w:rsid w:val="009A6EA0"/>
    <w:rsid w:val="009B15A5"/>
    <w:rsid w:val="009B3031"/>
    <w:rsid w:val="009B309F"/>
    <w:rsid w:val="009B535A"/>
    <w:rsid w:val="009C1335"/>
    <w:rsid w:val="009C1681"/>
    <w:rsid w:val="009C1AB2"/>
    <w:rsid w:val="009C2943"/>
    <w:rsid w:val="009C4A85"/>
    <w:rsid w:val="009C7251"/>
    <w:rsid w:val="009D1057"/>
    <w:rsid w:val="009D48C5"/>
    <w:rsid w:val="009E04A3"/>
    <w:rsid w:val="009E09F2"/>
    <w:rsid w:val="009E1E75"/>
    <w:rsid w:val="009E2E44"/>
    <w:rsid w:val="009E2E91"/>
    <w:rsid w:val="009E6483"/>
    <w:rsid w:val="009F282D"/>
    <w:rsid w:val="009F5330"/>
    <w:rsid w:val="009F5D1A"/>
    <w:rsid w:val="009F6391"/>
    <w:rsid w:val="009F764E"/>
    <w:rsid w:val="00A006A5"/>
    <w:rsid w:val="00A02015"/>
    <w:rsid w:val="00A02753"/>
    <w:rsid w:val="00A061E9"/>
    <w:rsid w:val="00A10779"/>
    <w:rsid w:val="00A1313B"/>
    <w:rsid w:val="00A13312"/>
    <w:rsid w:val="00A139F5"/>
    <w:rsid w:val="00A141C8"/>
    <w:rsid w:val="00A158B9"/>
    <w:rsid w:val="00A20FC8"/>
    <w:rsid w:val="00A218C2"/>
    <w:rsid w:val="00A22F64"/>
    <w:rsid w:val="00A236EF"/>
    <w:rsid w:val="00A27C13"/>
    <w:rsid w:val="00A32A01"/>
    <w:rsid w:val="00A334DB"/>
    <w:rsid w:val="00A348EE"/>
    <w:rsid w:val="00A364F6"/>
    <w:rsid w:val="00A365F4"/>
    <w:rsid w:val="00A368CE"/>
    <w:rsid w:val="00A402C6"/>
    <w:rsid w:val="00A408D4"/>
    <w:rsid w:val="00A40C37"/>
    <w:rsid w:val="00A40EBA"/>
    <w:rsid w:val="00A40EF0"/>
    <w:rsid w:val="00A42E03"/>
    <w:rsid w:val="00A439D9"/>
    <w:rsid w:val="00A4620F"/>
    <w:rsid w:val="00A47226"/>
    <w:rsid w:val="00A47D80"/>
    <w:rsid w:val="00A5000D"/>
    <w:rsid w:val="00A526CD"/>
    <w:rsid w:val="00A52FC0"/>
    <w:rsid w:val="00A53132"/>
    <w:rsid w:val="00A535C7"/>
    <w:rsid w:val="00A5383D"/>
    <w:rsid w:val="00A56226"/>
    <w:rsid w:val="00A563F2"/>
    <w:rsid w:val="00A566E8"/>
    <w:rsid w:val="00A5742B"/>
    <w:rsid w:val="00A601FE"/>
    <w:rsid w:val="00A60393"/>
    <w:rsid w:val="00A60DAB"/>
    <w:rsid w:val="00A62A20"/>
    <w:rsid w:val="00A66D74"/>
    <w:rsid w:val="00A67688"/>
    <w:rsid w:val="00A67AA5"/>
    <w:rsid w:val="00A77387"/>
    <w:rsid w:val="00A778FC"/>
    <w:rsid w:val="00A803A9"/>
    <w:rsid w:val="00A810F9"/>
    <w:rsid w:val="00A84348"/>
    <w:rsid w:val="00A86ECC"/>
    <w:rsid w:val="00A86FCC"/>
    <w:rsid w:val="00A870D8"/>
    <w:rsid w:val="00A87DE0"/>
    <w:rsid w:val="00A91E74"/>
    <w:rsid w:val="00A95073"/>
    <w:rsid w:val="00A96179"/>
    <w:rsid w:val="00AA2799"/>
    <w:rsid w:val="00AA383B"/>
    <w:rsid w:val="00AA3982"/>
    <w:rsid w:val="00AA710D"/>
    <w:rsid w:val="00AA76B6"/>
    <w:rsid w:val="00AA76BF"/>
    <w:rsid w:val="00AB0105"/>
    <w:rsid w:val="00AB18C4"/>
    <w:rsid w:val="00AB317B"/>
    <w:rsid w:val="00AB5EA7"/>
    <w:rsid w:val="00AB649E"/>
    <w:rsid w:val="00AB64E2"/>
    <w:rsid w:val="00AB6D25"/>
    <w:rsid w:val="00AC17FA"/>
    <w:rsid w:val="00AC3891"/>
    <w:rsid w:val="00AC3E26"/>
    <w:rsid w:val="00AC515A"/>
    <w:rsid w:val="00AC6A4B"/>
    <w:rsid w:val="00AC7F7D"/>
    <w:rsid w:val="00AD5A26"/>
    <w:rsid w:val="00AD7A58"/>
    <w:rsid w:val="00AD7DFD"/>
    <w:rsid w:val="00AE06F6"/>
    <w:rsid w:val="00AE09A6"/>
    <w:rsid w:val="00AE2D4B"/>
    <w:rsid w:val="00AE37DA"/>
    <w:rsid w:val="00AE4F99"/>
    <w:rsid w:val="00AF15E9"/>
    <w:rsid w:val="00AF37C4"/>
    <w:rsid w:val="00AF60BC"/>
    <w:rsid w:val="00B022B0"/>
    <w:rsid w:val="00B03863"/>
    <w:rsid w:val="00B0513D"/>
    <w:rsid w:val="00B06B3F"/>
    <w:rsid w:val="00B119FA"/>
    <w:rsid w:val="00B13854"/>
    <w:rsid w:val="00B13C3F"/>
    <w:rsid w:val="00B14952"/>
    <w:rsid w:val="00B14EB0"/>
    <w:rsid w:val="00B155B7"/>
    <w:rsid w:val="00B159AF"/>
    <w:rsid w:val="00B15F83"/>
    <w:rsid w:val="00B17153"/>
    <w:rsid w:val="00B232E6"/>
    <w:rsid w:val="00B2367D"/>
    <w:rsid w:val="00B23F88"/>
    <w:rsid w:val="00B24A88"/>
    <w:rsid w:val="00B25D4D"/>
    <w:rsid w:val="00B26977"/>
    <w:rsid w:val="00B2754F"/>
    <w:rsid w:val="00B31121"/>
    <w:rsid w:val="00B31E5A"/>
    <w:rsid w:val="00B330CF"/>
    <w:rsid w:val="00B3527E"/>
    <w:rsid w:val="00B362C5"/>
    <w:rsid w:val="00B36837"/>
    <w:rsid w:val="00B420E4"/>
    <w:rsid w:val="00B4346E"/>
    <w:rsid w:val="00B45691"/>
    <w:rsid w:val="00B5300A"/>
    <w:rsid w:val="00B54C77"/>
    <w:rsid w:val="00B6357D"/>
    <w:rsid w:val="00B637AB"/>
    <w:rsid w:val="00B653AB"/>
    <w:rsid w:val="00B65F9E"/>
    <w:rsid w:val="00B6674E"/>
    <w:rsid w:val="00B66B19"/>
    <w:rsid w:val="00B6778D"/>
    <w:rsid w:val="00B73F2D"/>
    <w:rsid w:val="00B75E84"/>
    <w:rsid w:val="00B77335"/>
    <w:rsid w:val="00B8123F"/>
    <w:rsid w:val="00B813E4"/>
    <w:rsid w:val="00B83F8D"/>
    <w:rsid w:val="00B914E9"/>
    <w:rsid w:val="00B92089"/>
    <w:rsid w:val="00B9217E"/>
    <w:rsid w:val="00B9345F"/>
    <w:rsid w:val="00B956EE"/>
    <w:rsid w:val="00BA03ED"/>
    <w:rsid w:val="00BA2BA1"/>
    <w:rsid w:val="00BA4D4E"/>
    <w:rsid w:val="00BA5630"/>
    <w:rsid w:val="00BA6D46"/>
    <w:rsid w:val="00BB18E8"/>
    <w:rsid w:val="00BB4D30"/>
    <w:rsid w:val="00BB4F09"/>
    <w:rsid w:val="00BB6742"/>
    <w:rsid w:val="00BC6305"/>
    <w:rsid w:val="00BC7FD4"/>
    <w:rsid w:val="00BD0DC8"/>
    <w:rsid w:val="00BD3D40"/>
    <w:rsid w:val="00BD4E33"/>
    <w:rsid w:val="00BE2989"/>
    <w:rsid w:val="00BE6846"/>
    <w:rsid w:val="00BF29C5"/>
    <w:rsid w:val="00BF337D"/>
    <w:rsid w:val="00C030DE"/>
    <w:rsid w:val="00C102B3"/>
    <w:rsid w:val="00C10449"/>
    <w:rsid w:val="00C1112B"/>
    <w:rsid w:val="00C119A4"/>
    <w:rsid w:val="00C12D2B"/>
    <w:rsid w:val="00C14F2D"/>
    <w:rsid w:val="00C16BB2"/>
    <w:rsid w:val="00C22105"/>
    <w:rsid w:val="00C22E66"/>
    <w:rsid w:val="00C23C2A"/>
    <w:rsid w:val="00C244B6"/>
    <w:rsid w:val="00C251EF"/>
    <w:rsid w:val="00C31CA5"/>
    <w:rsid w:val="00C32A26"/>
    <w:rsid w:val="00C3633A"/>
    <w:rsid w:val="00C3702F"/>
    <w:rsid w:val="00C4684C"/>
    <w:rsid w:val="00C5294A"/>
    <w:rsid w:val="00C6089B"/>
    <w:rsid w:val="00C6349B"/>
    <w:rsid w:val="00C6453E"/>
    <w:rsid w:val="00C64A37"/>
    <w:rsid w:val="00C657D4"/>
    <w:rsid w:val="00C7158E"/>
    <w:rsid w:val="00C7250B"/>
    <w:rsid w:val="00C7346B"/>
    <w:rsid w:val="00C76871"/>
    <w:rsid w:val="00C76A38"/>
    <w:rsid w:val="00C76AD8"/>
    <w:rsid w:val="00C77C0E"/>
    <w:rsid w:val="00C82244"/>
    <w:rsid w:val="00C848CB"/>
    <w:rsid w:val="00C84A73"/>
    <w:rsid w:val="00C90D98"/>
    <w:rsid w:val="00C91155"/>
    <w:rsid w:val="00C91687"/>
    <w:rsid w:val="00C924A8"/>
    <w:rsid w:val="00C9339F"/>
    <w:rsid w:val="00C93C79"/>
    <w:rsid w:val="00C945FE"/>
    <w:rsid w:val="00C94785"/>
    <w:rsid w:val="00C96BAF"/>
    <w:rsid w:val="00C96FAA"/>
    <w:rsid w:val="00C978AB"/>
    <w:rsid w:val="00C97A04"/>
    <w:rsid w:val="00CA107B"/>
    <w:rsid w:val="00CA2F83"/>
    <w:rsid w:val="00CA3AF4"/>
    <w:rsid w:val="00CA4018"/>
    <w:rsid w:val="00CA484D"/>
    <w:rsid w:val="00CA4AB7"/>
    <w:rsid w:val="00CA5F16"/>
    <w:rsid w:val="00CC247B"/>
    <w:rsid w:val="00CC3321"/>
    <w:rsid w:val="00CC44B0"/>
    <w:rsid w:val="00CC4D83"/>
    <w:rsid w:val="00CC7306"/>
    <w:rsid w:val="00CC739E"/>
    <w:rsid w:val="00CD1F02"/>
    <w:rsid w:val="00CD3C4C"/>
    <w:rsid w:val="00CD58B7"/>
    <w:rsid w:val="00CD603B"/>
    <w:rsid w:val="00CD6286"/>
    <w:rsid w:val="00CD7872"/>
    <w:rsid w:val="00CE05AD"/>
    <w:rsid w:val="00CE0DA1"/>
    <w:rsid w:val="00CE1FEE"/>
    <w:rsid w:val="00CE3E1E"/>
    <w:rsid w:val="00CE79FC"/>
    <w:rsid w:val="00CF1BE9"/>
    <w:rsid w:val="00CF282D"/>
    <w:rsid w:val="00CF36B5"/>
    <w:rsid w:val="00CF4099"/>
    <w:rsid w:val="00CF6E09"/>
    <w:rsid w:val="00CF7248"/>
    <w:rsid w:val="00CF76C3"/>
    <w:rsid w:val="00D00796"/>
    <w:rsid w:val="00D03700"/>
    <w:rsid w:val="00D042E8"/>
    <w:rsid w:val="00D074EE"/>
    <w:rsid w:val="00D1038F"/>
    <w:rsid w:val="00D10504"/>
    <w:rsid w:val="00D10CBF"/>
    <w:rsid w:val="00D121D5"/>
    <w:rsid w:val="00D14333"/>
    <w:rsid w:val="00D144D1"/>
    <w:rsid w:val="00D1603E"/>
    <w:rsid w:val="00D20C88"/>
    <w:rsid w:val="00D23AFC"/>
    <w:rsid w:val="00D24E7F"/>
    <w:rsid w:val="00D25D34"/>
    <w:rsid w:val="00D261A2"/>
    <w:rsid w:val="00D2626A"/>
    <w:rsid w:val="00D33EDC"/>
    <w:rsid w:val="00D36365"/>
    <w:rsid w:val="00D37014"/>
    <w:rsid w:val="00D370E4"/>
    <w:rsid w:val="00D4086C"/>
    <w:rsid w:val="00D43DCB"/>
    <w:rsid w:val="00D44EAD"/>
    <w:rsid w:val="00D45DE2"/>
    <w:rsid w:val="00D460B7"/>
    <w:rsid w:val="00D54A72"/>
    <w:rsid w:val="00D564B6"/>
    <w:rsid w:val="00D567D2"/>
    <w:rsid w:val="00D57D94"/>
    <w:rsid w:val="00D616D2"/>
    <w:rsid w:val="00D6243F"/>
    <w:rsid w:val="00D62E1C"/>
    <w:rsid w:val="00D63B5F"/>
    <w:rsid w:val="00D656E3"/>
    <w:rsid w:val="00D671EE"/>
    <w:rsid w:val="00D6724B"/>
    <w:rsid w:val="00D70EF7"/>
    <w:rsid w:val="00D76BC3"/>
    <w:rsid w:val="00D8241B"/>
    <w:rsid w:val="00D8397C"/>
    <w:rsid w:val="00D84198"/>
    <w:rsid w:val="00D8620E"/>
    <w:rsid w:val="00D94EED"/>
    <w:rsid w:val="00D96026"/>
    <w:rsid w:val="00DA033A"/>
    <w:rsid w:val="00DA1D77"/>
    <w:rsid w:val="00DA69A4"/>
    <w:rsid w:val="00DA7B7E"/>
    <w:rsid w:val="00DA7C1C"/>
    <w:rsid w:val="00DB147A"/>
    <w:rsid w:val="00DB1B7A"/>
    <w:rsid w:val="00DB24F1"/>
    <w:rsid w:val="00DB3B12"/>
    <w:rsid w:val="00DB42D7"/>
    <w:rsid w:val="00DB51E7"/>
    <w:rsid w:val="00DB562E"/>
    <w:rsid w:val="00DC08B1"/>
    <w:rsid w:val="00DC0D4D"/>
    <w:rsid w:val="00DC2318"/>
    <w:rsid w:val="00DC2C77"/>
    <w:rsid w:val="00DC57E8"/>
    <w:rsid w:val="00DC62F1"/>
    <w:rsid w:val="00DC6708"/>
    <w:rsid w:val="00DD02CD"/>
    <w:rsid w:val="00DE0A85"/>
    <w:rsid w:val="00DE236C"/>
    <w:rsid w:val="00DE39E2"/>
    <w:rsid w:val="00DE4539"/>
    <w:rsid w:val="00DE5EAB"/>
    <w:rsid w:val="00DE694B"/>
    <w:rsid w:val="00DF0A54"/>
    <w:rsid w:val="00DF2C9D"/>
    <w:rsid w:val="00DF33B8"/>
    <w:rsid w:val="00DF3624"/>
    <w:rsid w:val="00DF5ED7"/>
    <w:rsid w:val="00DF71BE"/>
    <w:rsid w:val="00E00671"/>
    <w:rsid w:val="00E01436"/>
    <w:rsid w:val="00E03C70"/>
    <w:rsid w:val="00E045BD"/>
    <w:rsid w:val="00E06FB5"/>
    <w:rsid w:val="00E152A2"/>
    <w:rsid w:val="00E17B52"/>
    <w:rsid w:val="00E17B77"/>
    <w:rsid w:val="00E17C6B"/>
    <w:rsid w:val="00E21A3E"/>
    <w:rsid w:val="00E23337"/>
    <w:rsid w:val="00E259EA"/>
    <w:rsid w:val="00E25FC7"/>
    <w:rsid w:val="00E261E4"/>
    <w:rsid w:val="00E26CEB"/>
    <w:rsid w:val="00E315A5"/>
    <w:rsid w:val="00E32061"/>
    <w:rsid w:val="00E32639"/>
    <w:rsid w:val="00E356E0"/>
    <w:rsid w:val="00E358C9"/>
    <w:rsid w:val="00E409ED"/>
    <w:rsid w:val="00E42FF9"/>
    <w:rsid w:val="00E44820"/>
    <w:rsid w:val="00E4714C"/>
    <w:rsid w:val="00E51184"/>
    <w:rsid w:val="00E51AEB"/>
    <w:rsid w:val="00E51D05"/>
    <w:rsid w:val="00E51E2D"/>
    <w:rsid w:val="00E522A7"/>
    <w:rsid w:val="00E54452"/>
    <w:rsid w:val="00E5559F"/>
    <w:rsid w:val="00E63B08"/>
    <w:rsid w:val="00E664C5"/>
    <w:rsid w:val="00E671A2"/>
    <w:rsid w:val="00E676B1"/>
    <w:rsid w:val="00E700B1"/>
    <w:rsid w:val="00E76D26"/>
    <w:rsid w:val="00E77615"/>
    <w:rsid w:val="00E77CA7"/>
    <w:rsid w:val="00E82660"/>
    <w:rsid w:val="00E82CD8"/>
    <w:rsid w:val="00E86C55"/>
    <w:rsid w:val="00E907DA"/>
    <w:rsid w:val="00E90BAF"/>
    <w:rsid w:val="00E955B8"/>
    <w:rsid w:val="00EA1122"/>
    <w:rsid w:val="00EB0781"/>
    <w:rsid w:val="00EB1390"/>
    <w:rsid w:val="00EB2C71"/>
    <w:rsid w:val="00EB4340"/>
    <w:rsid w:val="00EB556D"/>
    <w:rsid w:val="00EB5A7D"/>
    <w:rsid w:val="00EB6770"/>
    <w:rsid w:val="00EB78E0"/>
    <w:rsid w:val="00EB7DF3"/>
    <w:rsid w:val="00EC3125"/>
    <w:rsid w:val="00EC316A"/>
    <w:rsid w:val="00EC4854"/>
    <w:rsid w:val="00EC564B"/>
    <w:rsid w:val="00EC679D"/>
    <w:rsid w:val="00EC6889"/>
    <w:rsid w:val="00ED0BC4"/>
    <w:rsid w:val="00ED1423"/>
    <w:rsid w:val="00ED1644"/>
    <w:rsid w:val="00ED3432"/>
    <w:rsid w:val="00ED55C0"/>
    <w:rsid w:val="00ED682B"/>
    <w:rsid w:val="00EE2786"/>
    <w:rsid w:val="00EE39E2"/>
    <w:rsid w:val="00EE41D5"/>
    <w:rsid w:val="00EE5F2D"/>
    <w:rsid w:val="00EF0398"/>
    <w:rsid w:val="00EF280D"/>
    <w:rsid w:val="00EF5551"/>
    <w:rsid w:val="00F001BC"/>
    <w:rsid w:val="00F01985"/>
    <w:rsid w:val="00F0284C"/>
    <w:rsid w:val="00F032DD"/>
    <w:rsid w:val="00F037A4"/>
    <w:rsid w:val="00F041A1"/>
    <w:rsid w:val="00F0435D"/>
    <w:rsid w:val="00F062B0"/>
    <w:rsid w:val="00F11C14"/>
    <w:rsid w:val="00F12563"/>
    <w:rsid w:val="00F12FF1"/>
    <w:rsid w:val="00F1475E"/>
    <w:rsid w:val="00F14C6D"/>
    <w:rsid w:val="00F20604"/>
    <w:rsid w:val="00F236D0"/>
    <w:rsid w:val="00F257B8"/>
    <w:rsid w:val="00F25ED5"/>
    <w:rsid w:val="00F2690F"/>
    <w:rsid w:val="00F27C8F"/>
    <w:rsid w:val="00F30EF3"/>
    <w:rsid w:val="00F32749"/>
    <w:rsid w:val="00F349D6"/>
    <w:rsid w:val="00F34B87"/>
    <w:rsid w:val="00F3540E"/>
    <w:rsid w:val="00F35B92"/>
    <w:rsid w:val="00F37172"/>
    <w:rsid w:val="00F3765E"/>
    <w:rsid w:val="00F42586"/>
    <w:rsid w:val="00F4477E"/>
    <w:rsid w:val="00F54E8C"/>
    <w:rsid w:val="00F623B5"/>
    <w:rsid w:val="00F65409"/>
    <w:rsid w:val="00F65689"/>
    <w:rsid w:val="00F67460"/>
    <w:rsid w:val="00F67D8F"/>
    <w:rsid w:val="00F728FF"/>
    <w:rsid w:val="00F729FB"/>
    <w:rsid w:val="00F802BE"/>
    <w:rsid w:val="00F8061B"/>
    <w:rsid w:val="00F81020"/>
    <w:rsid w:val="00F826F9"/>
    <w:rsid w:val="00F86024"/>
    <w:rsid w:val="00F8611A"/>
    <w:rsid w:val="00F9021D"/>
    <w:rsid w:val="00F92945"/>
    <w:rsid w:val="00FA10DC"/>
    <w:rsid w:val="00FA1BE9"/>
    <w:rsid w:val="00FA1EE9"/>
    <w:rsid w:val="00FA2A86"/>
    <w:rsid w:val="00FA5128"/>
    <w:rsid w:val="00FA70A3"/>
    <w:rsid w:val="00FA787E"/>
    <w:rsid w:val="00FA7C3C"/>
    <w:rsid w:val="00FA7CA5"/>
    <w:rsid w:val="00FB24BE"/>
    <w:rsid w:val="00FB42D4"/>
    <w:rsid w:val="00FB5906"/>
    <w:rsid w:val="00FB762F"/>
    <w:rsid w:val="00FC2AED"/>
    <w:rsid w:val="00FC4464"/>
    <w:rsid w:val="00FC4E43"/>
    <w:rsid w:val="00FC4FBF"/>
    <w:rsid w:val="00FC5A0E"/>
    <w:rsid w:val="00FC7D13"/>
    <w:rsid w:val="00FC7DD3"/>
    <w:rsid w:val="00FD04DE"/>
    <w:rsid w:val="00FD0C1E"/>
    <w:rsid w:val="00FD37CD"/>
    <w:rsid w:val="00FD3FE2"/>
    <w:rsid w:val="00FD4727"/>
    <w:rsid w:val="00FD51A9"/>
    <w:rsid w:val="00FD5782"/>
    <w:rsid w:val="00FD5EA7"/>
    <w:rsid w:val="00FD70E2"/>
    <w:rsid w:val="00FD7648"/>
    <w:rsid w:val="00FE160B"/>
    <w:rsid w:val="00FE216D"/>
    <w:rsid w:val="00FE2B8A"/>
    <w:rsid w:val="00FE5ED9"/>
    <w:rsid w:val="00FF1FB2"/>
    <w:rsid w:val="00FF3576"/>
    <w:rsid w:val="00FF3AC3"/>
    <w:rsid w:val="00FF453B"/>
    <w:rsid w:val="00FF76BA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2E2389F-3DA9-46D7-8AAC-9D85D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stat.gov.pl/en/topics/national-accounts/quarterly-national-accounts/flash-estimate-of-gross-domestic-product-in-the-first-quarter-of-2021,1,3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://stat.gov.pl/en/metainformations/glossary/terms-used-in-official-statistics/6,term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metainformations/glossary/terms-used-in-official-statistics/563,term.htm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at.gov.pl/en/topics/national-accounts/quarterly-national-accounts/the-statistics-poland-information-on-the-updated-2019-2020-quarterly-gdp-estimate,5,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en/metainformations/glossary/terms-used-in-official-statistics/364,term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4B90F7-9F03-46F1-88DA-B4D6C474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5</Pages>
  <Words>1223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2021-05-28T15:53:00Z</cp:lastPrinted>
  <dcterms:created xsi:type="dcterms:W3CDTF">2020-08-30T15:26:00Z</dcterms:created>
  <dcterms:modified xsi:type="dcterms:W3CDTF">2021-05-31T07:16:00Z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