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371AA7" w:rsidRDefault="00371AA7" w:rsidP="00074DD8">
      <w:pPr>
        <w:pStyle w:val="tytuinformacji"/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Price indices of r</w:t>
      </w:r>
      <w:r w:rsidRPr="00371AA7">
        <w:rPr>
          <w:shd w:val="clear" w:color="auto" w:fill="FFFFFF"/>
          <w:lang w:val="en-US"/>
        </w:rPr>
        <w:t>esidential premises in</w:t>
      </w:r>
      <w:r w:rsidR="00BF0C5F" w:rsidRPr="00371AA7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 xml:space="preserve">the </w:t>
      </w:r>
      <w:r w:rsidR="00157425">
        <w:rPr>
          <w:shd w:val="clear" w:color="auto" w:fill="FFFFFF"/>
          <w:lang w:val="en-US"/>
        </w:rPr>
        <w:t>fourth</w:t>
      </w:r>
      <w:r>
        <w:rPr>
          <w:shd w:val="clear" w:color="auto" w:fill="FFFFFF"/>
          <w:lang w:val="en-US"/>
        </w:rPr>
        <w:t xml:space="preserve"> quarter</w:t>
      </w:r>
      <w:r w:rsidR="00CF3D9C" w:rsidRPr="00371AA7">
        <w:rPr>
          <w:shd w:val="clear" w:color="auto" w:fill="FFFFFF"/>
          <w:lang w:val="en-US"/>
        </w:rPr>
        <w:t xml:space="preserve"> </w:t>
      </w:r>
      <w:r w:rsidR="0073406E">
        <w:rPr>
          <w:shd w:val="clear" w:color="auto" w:fill="FFFFFF"/>
          <w:lang w:val="en-US"/>
        </w:rPr>
        <w:t xml:space="preserve">of </w:t>
      </w:r>
      <w:r w:rsidR="001F327E">
        <w:rPr>
          <w:shd w:val="clear" w:color="auto" w:fill="FFFFFF"/>
          <w:lang w:val="en-US"/>
        </w:rPr>
        <w:t>2020</w:t>
      </w:r>
    </w:p>
    <w:p w:rsidR="00393761" w:rsidRPr="00371AA7" w:rsidRDefault="00393761" w:rsidP="00074DD8">
      <w:pPr>
        <w:pStyle w:val="tytuinformacji"/>
        <w:rPr>
          <w:sz w:val="32"/>
          <w:lang w:val="en-US"/>
        </w:rPr>
      </w:pPr>
    </w:p>
    <w:p w:rsidR="00BD5E55" w:rsidRPr="00916910" w:rsidRDefault="00553BB8" w:rsidP="00075C06">
      <w:pPr>
        <w:pStyle w:val="LID"/>
        <w:spacing w:after="0"/>
        <w:ind w:right="-155"/>
        <w:rPr>
          <w:lang w:val="en-US"/>
        </w:rPr>
      </w:pPr>
      <w: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28800" cy="118618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618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2775E" w:rsidRDefault="009B46C8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>
                                  <wp:extent cx="333375" cy="333375"/>
                                  <wp:effectExtent l="0" t="0" r="9525" b="9525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C2775E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15742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8</w:t>
                            </w:r>
                            <w:r w:rsidR="0073406E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.9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:rsidR="009B46C8" w:rsidRPr="00371AA7" w:rsidRDefault="009B46C8" w:rsidP="007068CE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371AA7">
                              <w:rPr>
                                <w:lang w:val="en-US"/>
                              </w:rPr>
                              <w:t xml:space="preserve">Increase </w:t>
                            </w:r>
                            <w:r>
                              <w:rPr>
                                <w:lang w:val="en-US"/>
                              </w:rPr>
                              <w:t>in prices of</w:t>
                            </w:r>
                            <w:r w:rsidRPr="00371AA7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residential premises compared </w:t>
                            </w:r>
                            <w:r w:rsidR="00C32CB6">
                              <w:rPr>
                                <w:lang w:val="en-US"/>
                              </w:rPr>
                              <w:t xml:space="preserve">to the </w:t>
                            </w:r>
                            <w:r w:rsidR="00157425">
                              <w:rPr>
                                <w:lang w:val="en-US"/>
                              </w:rPr>
                              <w:t>4th</w:t>
                            </w:r>
                            <w:r w:rsidR="00231100">
                              <w:rPr>
                                <w:lang w:val="en-US"/>
                              </w:rPr>
                              <w:t xml:space="preserve"> quarter </w:t>
                            </w:r>
                            <w:r w:rsidR="0073406E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31100">
                              <w:rPr>
                                <w:lang w:val="en-US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pt;width:2in;height:93.4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" fillcolor="#001d77" stroked="f">
                <v:textbox>
                  <w:txbxContent>
                    <w:p w:rsidR="009B46C8" w:rsidRPr="00C2775E" w:rsidRDefault="009B46C8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>
                            <wp:extent cx="333375" cy="333375"/>
                            <wp:effectExtent l="0" t="0" r="9525" b="9525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C2775E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15742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8</w:t>
                      </w:r>
                      <w:r w:rsidR="0073406E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.9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:rsidR="009B46C8" w:rsidRPr="00371AA7" w:rsidRDefault="009B46C8" w:rsidP="007068CE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371AA7">
                        <w:rPr>
                          <w:lang w:val="en-US"/>
                        </w:rPr>
                        <w:t xml:space="preserve">Increase </w:t>
                      </w:r>
                      <w:r>
                        <w:rPr>
                          <w:lang w:val="en-US"/>
                        </w:rPr>
                        <w:t>in prices of</w:t>
                      </w:r>
                      <w:r w:rsidRPr="00371AA7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residential premises compared </w:t>
                      </w:r>
                      <w:r w:rsidR="00C32CB6">
                        <w:rPr>
                          <w:lang w:val="en-US"/>
                        </w:rPr>
                        <w:t xml:space="preserve">to the </w:t>
                      </w:r>
                      <w:r w:rsidR="00157425">
                        <w:rPr>
                          <w:lang w:val="en-US"/>
                        </w:rPr>
                        <w:t>4th</w:t>
                      </w:r>
                      <w:r w:rsidR="00231100">
                        <w:rPr>
                          <w:lang w:val="en-US"/>
                        </w:rPr>
                        <w:t xml:space="preserve"> quarter </w:t>
                      </w:r>
                      <w:r w:rsidR="0073406E">
                        <w:rPr>
                          <w:lang w:val="en-US"/>
                        </w:rPr>
                        <w:t xml:space="preserve">of </w:t>
                      </w:r>
                      <w:r w:rsidR="00231100">
                        <w:rPr>
                          <w:lang w:val="en-US"/>
                        </w:rPr>
                        <w:t>2019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71AA7" w:rsidRPr="00F53E18">
        <w:rPr>
          <w:lang w:val="en-US"/>
        </w:rPr>
        <w:t xml:space="preserve">Prices </w:t>
      </w:r>
      <w:r w:rsidR="006C50D6">
        <w:rPr>
          <w:lang w:val="en-US"/>
        </w:rPr>
        <w:t xml:space="preserve">of residential premises </w:t>
      </w:r>
      <w:r w:rsidR="0073406E">
        <w:rPr>
          <w:lang w:val="en-US"/>
        </w:rPr>
        <w:t xml:space="preserve">in the </w:t>
      </w:r>
      <w:r w:rsidR="00157425">
        <w:rPr>
          <w:lang w:val="en-US"/>
        </w:rPr>
        <w:t>fourth</w:t>
      </w:r>
      <w:r w:rsidR="0073406E">
        <w:rPr>
          <w:lang w:val="en-US"/>
        </w:rPr>
        <w:t xml:space="preserve"> quarter of </w:t>
      </w:r>
      <w:r w:rsidR="001F327E">
        <w:rPr>
          <w:lang w:val="en-US"/>
        </w:rPr>
        <w:t>2020</w:t>
      </w:r>
      <w:r w:rsidR="00451870">
        <w:rPr>
          <w:lang w:val="en-US"/>
        </w:rPr>
        <w:t>,</w:t>
      </w:r>
      <w:r w:rsidR="00AB397C" w:rsidRPr="00AB397C">
        <w:rPr>
          <w:lang w:val="en-US"/>
        </w:rPr>
        <w:t xml:space="preserve"> </w:t>
      </w:r>
      <w:r w:rsidR="00AB397C">
        <w:rPr>
          <w:lang w:val="en-US"/>
        </w:rPr>
        <w:t xml:space="preserve">compared </w:t>
      </w:r>
      <w:r w:rsidR="001D3639">
        <w:rPr>
          <w:lang w:val="en-US"/>
        </w:rPr>
        <w:t xml:space="preserve">to </w:t>
      </w:r>
      <w:r w:rsidR="00AB397C">
        <w:rPr>
          <w:lang w:val="en-US"/>
        </w:rPr>
        <w:t>the</w:t>
      </w:r>
      <w:r w:rsidR="001F327E">
        <w:rPr>
          <w:lang w:val="en-US"/>
        </w:rPr>
        <w:t xml:space="preserve"> </w:t>
      </w:r>
      <w:r w:rsidR="00157425">
        <w:rPr>
          <w:lang w:val="en-US"/>
        </w:rPr>
        <w:t>third</w:t>
      </w:r>
      <w:r w:rsidR="001F327E">
        <w:rPr>
          <w:lang w:val="en-US"/>
        </w:rPr>
        <w:t xml:space="preserve"> </w:t>
      </w:r>
      <w:r w:rsidR="00AB397C">
        <w:rPr>
          <w:lang w:val="en-US"/>
        </w:rPr>
        <w:t>quarter</w:t>
      </w:r>
      <w:r w:rsidR="001F327E">
        <w:rPr>
          <w:lang w:val="en-US"/>
        </w:rPr>
        <w:t xml:space="preserve"> </w:t>
      </w:r>
      <w:r w:rsidR="0073406E">
        <w:rPr>
          <w:lang w:val="en-US"/>
        </w:rPr>
        <w:t xml:space="preserve">of </w:t>
      </w:r>
      <w:r w:rsidR="001F327E">
        <w:rPr>
          <w:lang w:val="en-US"/>
        </w:rPr>
        <w:t>20</w:t>
      </w:r>
      <w:r w:rsidR="0073406E">
        <w:rPr>
          <w:lang w:val="en-US"/>
        </w:rPr>
        <w:t>20</w:t>
      </w:r>
      <w:r w:rsidR="00451870">
        <w:rPr>
          <w:lang w:val="en-US"/>
        </w:rPr>
        <w:t>,</w:t>
      </w:r>
      <w:r w:rsidR="00371AA7" w:rsidRPr="00F53E18">
        <w:rPr>
          <w:lang w:val="en-US"/>
        </w:rPr>
        <w:t xml:space="preserve"> incre</w:t>
      </w:r>
      <w:r w:rsidR="00742FC2">
        <w:rPr>
          <w:lang w:val="en-US"/>
        </w:rPr>
        <w:t>a</w:t>
      </w:r>
      <w:r w:rsidR="00371AA7" w:rsidRPr="00F53E18">
        <w:rPr>
          <w:lang w:val="en-US"/>
        </w:rPr>
        <w:t>sed by</w:t>
      </w:r>
      <w:r w:rsidR="0073406E">
        <w:rPr>
          <w:lang w:val="en-US"/>
        </w:rPr>
        <w:t> </w:t>
      </w:r>
      <w:r w:rsidR="00157425">
        <w:rPr>
          <w:lang w:val="en-US"/>
        </w:rPr>
        <w:t>1.0</w:t>
      </w:r>
      <w:r w:rsidR="008B15C2" w:rsidRPr="00F53E18">
        <w:rPr>
          <w:lang w:val="en-US"/>
        </w:rPr>
        <w:t>% (</w:t>
      </w:r>
      <w:r w:rsidR="001F327E">
        <w:rPr>
          <w:lang w:val="en-US"/>
        </w:rPr>
        <w:t xml:space="preserve">of which on the primary market - by </w:t>
      </w:r>
      <w:r w:rsidR="00157425">
        <w:rPr>
          <w:lang w:val="en-US"/>
        </w:rPr>
        <w:t>1.7</w:t>
      </w:r>
      <w:r w:rsidR="001F327E" w:rsidRPr="00F53E18">
        <w:rPr>
          <w:lang w:val="en-US"/>
        </w:rPr>
        <w:t xml:space="preserve">% </w:t>
      </w:r>
      <w:r w:rsidR="001F327E">
        <w:rPr>
          <w:lang w:val="en-US"/>
        </w:rPr>
        <w:t>and on</w:t>
      </w:r>
      <w:r w:rsidR="0073406E">
        <w:rPr>
          <w:lang w:val="en-US"/>
        </w:rPr>
        <w:t> </w:t>
      </w:r>
      <w:r w:rsidR="001F327E">
        <w:rPr>
          <w:lang w:val="en-US"/>
        </w:rPr>
        <w:t xml:space="preserve">the </w:t>
      </w:r>
      <w:r w:rsidR="00157425">
        <w:rPr>
          <w:lang w:val="en-US"/>
        </w:rPr>
        <w:t>secondary</w:t>
      </w:r>
      <w:r w:rsidR="001F327E">
        <w:rPr>
          <w:lang w:val="en-US"/>
        </w:rPr>
        <w:t xml:space="preserve"> market - by </w:t>
      </w:r>
      <w:r w:rsidR="00157425">
        <w:rPr>
          <w:lang w:val="en-US"/>
        </w:rPr>
        <w:t>0.5</w:t>
      </w:r>
      <w:r w:rsidR="001F327E" w:rsidRPr="00F53E18">
        <w:rPr>
          <w:lang w:val="en-US"/>
        </w:rPr>
        <w:t>%).</w:t>
      </w:r>
      <w:r w:rsidR="0073406E">
        <w:rPr>
          <w:lang w:val="en-US"/>
        </w:rPr>
        <w:t xml:space="preserve"> </w:t>
      </w:r>
      <w:r w:rsidR="00EC646D">
        <w:rPr>
          <w:lang w:val="en-US"/>
        </w:rPr>
        <w:t xml:space="preserve">Compared </w:t>
      </w:r>
      <w:r w:rsidR="001D3639">
        <w:rPr>
          <w:lang w:val="en-US"/>
        </w:rPr>
        <w:t>to th</w:t>
      </w:r>
      <w:r w:rsidR="00EC646D">
        <w:rPr>
          <w:lang w:val="en-US"/>
        </w:rPr>
        <w:t>e</w:t>
      </w:r>
      <w:r w:rsidR="00AB397C">
        <w:rPr>
          <w:lang w:val="en-US"/>
        </w:rPr>
        <w:t xml:space="preserve"> corresponding quarter of </w:t>
      </w:r>
      <w:r w:rsidR="001F327E">
        <w:rPr>
          <w:lang w:val="en-US"/>
        </w:rPr>
        <w:t>20</w:t>
      </w:r>
      <w:r w:rsidR="00646923">
        <w:rPr>
          <w:lang w:val="en-US"/>
        </w:rPr>
        <w:t>19</w:t>
      </w:r>
      <w:r w:rsidR="001D3639">
        <w:rPr>
          <w:lang w:val="en-US"/>
        </w:rPr>
        <w:t>,</w:t>
      </w:r>
      <w:r w:rsidR="00F53E18" w:rsidRPr="00F53E18">
        <w:rPr>
          <w:lang w:val="en-US"/>
        </w:rPr>
        <w:t xml:space="preserve"> </w:t>
      </w:r>
      <w:r w:rsidR="00871864">
        <w:rPr>
          <w:lang w:val="en-US"/>
        </w:rPr>
        <w:t xml:space="preserve">prices of </w:t>
      </w:r>
      <w:r w:rsidR="00F53E18" w:rsidRPr="00F53E18">
        <w:rPr>
          <w:lang w:val="en-US"/>
        </w:rPr>
        <w:t>residential premises incre</w:t>
      </w:r>
      <w:r w:rsidR="00742FC2">
        <w:rPr>
          <w:lang w:val="en-US"/>
        </w:rPr>
        <w:t>a</w:t>
      </w:r>
      <w:r w:rsidR="00F53E18" w:rsidRPr="00F53E18">
        <w:rPr>
          <w:lang w:val="en-US"/>
        </w:rPr>
        <w:t>sed by</w:t>
      </w:r>
      <w:r w:rsidR="00F53E18">
        <w:rPr>
          <w:lang w:val="en-US"/>
        </w:rPr>
        <w:t xml:space="preserve"> </w:t>
      </w:r>
      <w:r w:rsidR="00157425">
        <w:rPr>
          <w:lang w:val="en-US"/>
        </w:rPr>
        <w:t>8</w:t>
      </w:r>
      <w:r w:rsidR="0073406E">
        <w:rPr>
          <w:lang w:val="en-US"/>
        </w:rPr>
        <w:t>.9</w:t>
      </w:r>
      <w:r w:rsidR="00F140E4" w:rsidRPr="00F53E18">
        <w:rPr>
          <w:lang w:val="en-US"/>
        </w:rPr>
        <w:t>% (</w:t>
      </w:r>
      <w:r w:rsidR="00F53E18">
        <w:rPr>
          <w:lang w:val="en-US"/>
        </w:rPr>
        <w:t>of</w:t>
      </w:r>
      <w:r w:rsidR="00665BD6">
        <w:rPr>
          <w:lang w:val="en-US"/>
        </w:rPr>
        <w:t> </w:t>
      </w:r>
      <w:r w:rsidR="00F53E18">
        <w:rPr>
          <w:lang w:val="en-US"/>
        </w:rPr>
        <w:t xml:space="preserve">which </w:t>
      </w:r>
      <w:r w:rsidR="00AB397C">
        <w:rPr>
          <w:lang w:val="en-US"/>
        </w:rPr>
        <w:t xml:space="preserve">on the primary market - </w:t>
      </w:r>
      <w:r w:rsidR="00F53E18">
        <w:rPr>
          <w:lang w:val="en-US"/>
        </w:rPr>
        <w:t>by</w:t>
      </w:r>
      <w:r w:rsidR="00B83925">
        <w:rPr>
          <w:lang w:val="en-US"/>
        </w:rPr>
        <w:t xml:space="preserve"> </w:t>
      </w:r>
      <w:r w:rsidR="00157425">
        <w:rPr>
          <w:lang w:val="en-US"/>
        </w:rPr>
        <w:t>6.0</w:t>
      </w:r>
      <w:r w:rsidR="00F140E4" w:rsidRPr="00F53E18">
        <w:rPr>
          <w:lang w:val="en-US"/>
        </w:rPr>
        <w:t xml:space="preserve">% </w:t>
      </w:r>
      <w:r w:rsidR="00F53E18">
        <w:rPr>
          <w:lang w:val="en-US"/>
        </w:rPr>
        <w:t xml:space="preserve">and </w:t>
      </w:r>
      <w:r w:rsidR="00AB397C">
        <w:rPr>
          <w:lang w:val="en-US"/>
        </w:rPr>
        <w:t xml:space="preserve">on the </w:t>
      </w:r>
      <w:r w:rsidR="00157425">
        <w:rPr>
          <w:lang w:val="en-US"/>
        </w:rPr>
        <w:t>secondary</w:t>
      </w:r>
      <w:r w:rsidR="00AB397C">
        <w:rPr>
          <w:lang w:val="en-US"/>
        </w:rPr>
        <w:t xml:space="preserve"> market - </w:t>
      </w:r>
      <w:r w:rsidR="00F53E18">
        <w:rPr>
          <w:lang w:val="en-US"/>
        </w:rPr>
        <w:t>by</w:t>
      </w:r>
      <w:r w:rsidR="003D1DDA">
        <w:rPr>
          <w:lang w:val="en-US"/>
        </w:rPr>
        <w:t xml:space="preserve"> </w:t>
      </w:r>
      <w:r w:rsidR="00157425">
        <w:rPr>
          <w:lang w:val="en-US"/>
        </w:rPr>
        <w:t>11.2</w:t>
      </w:r>
      <w:r w:rsidR="00F140E4" w:rsidRPr="00F53E18">
        <w:rPr>
          <w:lang w:val="en-US"/>
        </w:rPr>
        <w:t>%).</w:t>
      </w:r>
    </w:p>
    <w:p w:rsidR="00075C06" w:rsidRDefault="00075C06" w:rsidP="00BD5E55">
      <w:pPr>
        <w:pStyle w:val="Nagwek1"/>
        <w:rPr>
          <w:rFonts w:ascii="Fira Sans" w:hAnsi="Fira Sans"/>
          <w:b/>
          <w:color w:val="auto"/>
          <w:sz w:val="18"/>
          <w:szCs w:val="18"/>
          <w:lang w:val="en-US"/>
        </w:rPr>
      </w:pPr>
    </w:p>
    <w:p w:rsidR="00CC7C9C" w:rsidRDefault="00117B13" w:rsidP="00BD5E55">
      <w:pPr>
        <w:pStyle w:val="Nagwek1"/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</w:pPr>
      <w:r w:rsidRPr="00C2775E">
        <w:rPr>
          <w:rFonts w:ascii="Fira Sans" w:hAnsi="Fira Sans"/>
          <w:b/>
          <w:color w:val="auto"/>
          <w:sz w:val="18"/>
          <w:szCs w:val="18"/>
          <w:lang w:val="en-US"/>
        </w:rPr>
        <w:t>Table</w:t>
      </w:r>
      <w:r w:rsidR="007068CE" w:rsidRPr="00C2775E">
        <w:rPr>
          <w:rFonts w:ascii="Fira Sans" w:hAnsi="Fira Sans"/>
          <w:b/>
          <w:color w:val="auto"/>
          <w:sz w:val="18"/>
          <w:szCs w:val="18"/>
          <w:lang w:val="en-US"/>
        </w:rPr>
        <w:t xml:space="preserve"> 1. </w:t>
      </w:r>
      <w:r w:rsidRPr="00117B13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Price indices of residential premises 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in the</w:t>
      </w:r>
      <w:r w:rsidR="005039C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fourth</w:t>
      </w:r>
      <w:r w:rsidR="0073406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quarter </w:t>
      </w:r>
      <w:r w:rsidR="00AB397C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of</w:t>
      </w:r>
      <w:r w:rsidR="003A3455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rFonts w:ascii="Fira Sans" w:hAnsi="Fira Sans"/>
          <w:b/>
          <w:color w:val="auto"/>
          <w:spacing w:val="-2"/>
          <w:sz w:val="18"/>
          <w:shd w:val="clear" w:color="auto" w:fill="FFFFFF"/>
          <w:lang w:val="en-US"/>
        </w:rPr>
        <w:t>2020</w:t>
      </w:r>
    </w:p>
    <w:tbl>
      <w:tblPr>
        <w:tblStyle w:val="Siatkatabelijasna11"/>
        <w:tblW w:w="785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19"/>
        <w:gridCol w:w="1810"/>
        <w:gridCol w:w="1811"/>
        <w:gridCol w:w="1811"/>
      </w:tblGrid>
      <w:tr w:rsidR="001F327E" w:rsidRPr="007D15EA" w:rsidTr="001F327E">
        <w:trPr>
          <w:trHeight w:val="56"/>
          <w:jc w:val="center"/>
        </w:trPr>
        <w:tc>
          <w:tcPr>
            <w:tcW w:w="2419" w:type="dxa"/>
            <w:vMerge w:val="restart"/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color w:val="000000"/>
                <w:sz w:val="16"/>
                <w:szCs w:val="16"/>
                <w:lang w:eastAsia="pl-PL"/>
              </w:rPr>
            </w:pPr>
            <w:r w:rsidRPr="007D15EA">
              <w:rPr>
                <w:rFonts w:eastAsia="Times New Roman" w:cs="Arial"/>
                <w:bCs/>
                <w:color w:val="000000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5432" w:type="dxa"/>
            <w:gridSpan w:val="3"/>
            <w:vAlign w:val="center"/>
          </w:tcPr>
          <w:p w:rsidR="001F327E" w:rsidRPr="007D15EA" w:rsidRDefault="0073406E" w:rsidP="00157425">
            <w:pPr>
              <w:keepNext/>
              <w:keepLines/>
              <w:spacing w:before="0" w:after="0" w:line="360" w:lineRule="auto"/>
              <w:jc w:val="center"/>
              <w:outlineLvl w:val="2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16"/>
                <w:szCs w:val="16"/>
              </w:rPr>
              <w:t>Q</w:t>
            </w:r>
            <w:r w:rsidR="001F327E"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uarter</w:t>
            </w:r>
            <w:proofErr w:type="spellEnd"/>
            <w:r w:rsidR="001F327E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</w:t>
            </w:r>
            <w:r w:rsidR="00157425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Times New Roman" w:cs="Times New Roman"/>
                <w:color w:val="000000"/>
                <w:sz w:val="16"/>
                <w:szCs w:val="16"/>
              </w:rPr>
              <w:t>2020</w:t>
            </w:r>
          </w:p>
        </w:tc>
      </w:tr>
      <w:tr w:rsidR="001F327E" w:rsidRPr="007D15EA" w:rsidTr="001F327E">
        <w:trPr>
          <w:trHeight w:val="56"/>
          <w:jc w:val="center"/>
        </w:trPr>
        <w:tc>
          <w:tcPr>
            <w:tcW w:w="2419" w:type="dxa"/>
            <w:vMerge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keepNext/>
              <w:tabs>
                <w:tab w:val="right" w:leader="dot" w:pos="4139"/>
              </w:tabs>
              <w:spacing w:before="0" w:after="0" w:line="360" w:lineRule="auto"/>
              <w:jc w:val="center"/>
              <w:outlineLvl w:val="0"/>
              <w:rPr>
                <w:rFonts w:eastAsia="Times New Roman" w:cs="Arial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10" w:type="dxa"/>
            <w:tcBorders>
              <w:bottom w:val="single" w:sz="12" w:space="0" w:color="212492"/>
            </w:tcBorders>
          </w:tcPr>
          <w:p w:rsidR="001F327E" w:rsidRPr="007D15EA" w:rsidRDefault="0073406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quarter</w:t>
            </w:r>
            <w:proofErr w:type="spellEnd"/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</w:t>
            </w:r>
            <w:r w:rsidR="00157425">
              <w:rPr>
                <w:rFonts w:eastAsia="Fira Sans Light" w:cs="Times New Roman"/>
                <w:color w:val="000000"/>
                <w:sz w:val="16"/>
                <w:szCs w:val="16"/>
              </w:rPr>
              <w:t>3</w:t>
            </w:r>
            <w:r>
              <w:rPr>
                <w:rFonts w:eastAsia="Fira Sans Light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Fira Sans Light" w:cs="Times New Roman"/>
                <w:color w:val="000000"/>
                <w:sz w:val="16"/>
                <w:szCs w:val="16"/>
              </w:rPr>
              <w:t>20</w:t>
            </w:r>
            <w:r w:rsidR="00157425">
              <w:rPr>
                <w:rFonts w:eastAsia="Fira Sans Light" w:cs="Times New Roman"/>
                <w:color w:val="000000"/>
                <w:sz w:val="16"/>
                <w:szCs w:val="16"/>
              </w:rPr>
              <w:t>20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73406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quarter</w:t>
            </w:r>
            <w:proofErr w:type="spellEnd"/>
            <w:r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</w:t>
            </w:r>
            <w:r w:rsidR="00157425">
              <w:rPr>
                <w:rFonts w:eastAsia="Fira Sans Light" w:cs="Times New Roman"/>
                <w:color w:val="000000"/>
                <w:sz w:val="16"/>
                <w:szCs w:val="16"/>
              </w:rPr>
              <w:t>4</w:t>
            </w:r>
            <w:r w:rsidR="009E325B">
              <w:rPr>
                <w:rFonts w:eastAsia="Fira Sans Light" w:cs="Times New Roman"/>
                <w:color w:val="000000"/>
                <w:sz w:val="16"/>
                <w:szCs w:val="16"/>
              </w:rPr>
              <w:t>/</w:t>
            </w:r>
            <w:r w:rsidR="001F327E">
              <w:rPr>
                <w:rFonts w:eastAsia="Fira Sans Light" w:cs="Times New Roman"/>
                <w:color w:val="000000"/>
                <w:sz w:val="16"/>
                <w:szCs w:val="16"/>
              </w:rPr>
              <w:t>2019</w:t>
            </w:r>
          </w:p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=100</w:t>
            </w:r>
          </w:p>
        </w:tc>
        <w:tc>
          <w:tcPr>
            <w:tcW w:w="1811" w:type="dxa"/>
            <w:tcBorders>
              <w:bottom w:val="single" w:sz="12" w:space="0" w:color="212492"/>
            </w:tcBorders>
            <w:vAlign w:val="center"/>
          </w:tcPr>
          <w:p w:rsidR="001F327E" w:rsidRPr="007D15EA" w:rsidRDefault="001F327E" w:rsidP="007D15EA">
            <w:pPr>
              <w:spacing w:before="0" w:after="0" w:line="240" w:lineRule="auto"/>
              <w:jc w:val="center"/>
              <w:rPr>
                <w:rFonts w:eastAsia="Fira Sans Light" w:cs="Times New Roman"/>
                <w:color w:val="000000"/>
                <w:sz w:val="16"/>
                <w:szCs w:val="16"/>
              </w:rPr>
            </w:pPr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>2015=100</w:t>
            </w:r>
          </w:p>
        </w:tc>
      </w:tr>
      <w:tr w:rsidR="00157425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157425" w:rsidRPr="007D15EA" w:rsidRDefault="00157425" w:rsidP="0015742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b/>
                <w:color w:val="000000"/>
                <w:sz w:val="16"/>
                <w:szCs w:val="16"/>
              </w:rPr>
            </w:pPr>
            <w:r w:rsidRPr="007D15EA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81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b/>
                <w:sz w:val="16"/>
                <w:szCs w:val="16"/>
              </w:rPr>
            </w:pPr>
            <w:r w:rsidRPr="00157425">
              <w:rPr>
                <w:b/>
                <w:sz w:val="16"/>
                <w:szCs w:val="16"/>
              </w:rPr>
              <w:t>101</w:t>
            </w:r>
            <w:r w:rsidR="003A3455">
              <w:rPr>
                <w:b/>
                <w:sz w:val="16"/>
                <w:szCs w:val="16"/>
              </w:rPr>
              <w:t>.</w:t>
            </w:r>
            <w:r w:rsidRPr="0015742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b/>
                <w:sz w:val="16"/>
                <w:szCs w:val="16"/>
              </w:rPr>
            </w:pPr>
            <w:r w:rsidRPr="00157425">
              <w:rPr>
                <w:b/>
                <w:sz w:val="16"/>
                <w:szCs w:val="16"/>
              </w:rPr>
              <w:t>108</w:t>
            </w:r>
            <w:r w:rsidR="003A3455">
              <w:rPr>
                <w:b/>
                <w:sz w:val="16"/>
                <w:szCs w:val="16"/>
              </w:rPr>
              <w:t>.</w:t>
            </w:r>
            <w:r w:rsidRPr="00157425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811" w:type="dxa"/>
            <w:tcBorders>
              <w:top w:val="single" w:sz="12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b/>
                <w:sz w:val="16"/>
                <w:szCs w:val="16"/>
              </w:rPr>
            </w:pPr>
            <w:r w:rsidRPr="00157425">
              <w:rPr>
                <w:b/>
                <w:sz w:val="16"/>
                <w:szCs w:val="16"/>
              </w:rPr>
              <w:t>138</w:t>
            </w:r>
            <w:r w:rsidR="003A3455">
              <w:rPr>
                <w:b/>
                <w:sz w:val="16"/>
                <w:szCs w:val="16"/>
              </w:rPr>
              <w:t>.</w:t>
            </w:r>
            <w:r w:rsidRPr="00157425">
              <w:rPr>
                <w:b/>
                <w:sz w:val="16"/>
                <w:szCs w:val="16"/>
              </w:rPr>
              <w:t>4</w:t>
            </w:r>
          </w:p>
        </w:tc>
      </w:tr>
      <w:tr w:rsidR="00157425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157425" w:rsidRPr="007D15EA" w:rsidRDefault="00157425" w:rsidP="00157425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7"/>
              <w:rPr>
                <w:rFonts w:eastAsia="Times New Roman" w:cs="Times New Roman"/>
                <w:color w:val="000000"/>
                <w:sz w:val="16"/>
                <w:szCs w:val="16"/>
              </w:rPr>
            </w:pPr>
            <w:proofErr w:type="spellStart"/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>Primary</w:t>
            </w:r>
            <w:proofErr w:type="spellEnd"/>
            <w:r w:rsidRPr="007D15EA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sz w:val="16"/>
                <w:szCs w:val="16"/>
              </w:rPr>
            </w:pPr>
            <w:r w:rsidRPr="00157425">
              <w:rPr>
                <w:sz w:val="16"/>
                <w:szCs w:val="16"/>
              </w:rPr>
              <w:t>101</w:t>
            </w:r>
            <w:r w:rsidR="003A3455">
              <w:rPr>
                <w:sz w:val="16"/>
                <w:szCs w:val="16"/>
              </w:rPr>
              <w:t>.</w:t>
            </w:r>
            <w:r w:rsidRPr="00157425">
              <w:rPr>
                <w:sz w:val="16"/>
                <w:szCs w:val="16"/>
              </w:rPr>
              <w:t>7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sz w:val="16"/>
                <w:szCs w:val="16"/>
              </w:rPr>
            </w:pPr>
            <w:r w:rsidRPr="00157425">
              <w:rPr>
                <w:sz w:val="16"/>
                <w:szCs w:val="16"/>
              </w:rPr>
              <w:t>106</w:t>
            </w:r>
            <w:r w:rsidR="003A3455">
              <w:rPr>
                <w:sz w:val="16"/>
                <w:szCs w:val="16"/>
              </w:rPr>
              <w:t>.</w:t>
            </w:r>
            <w:r w:rsidRPr="00157425">
              <w:rPr>
                <w:sz w:val="16"/>
                <w:szCs w:val="16"/>
              </w:rPr>
              <w:t>0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sz w:val="16"/>
                <w:szCs w:val="16"/>
              </w:rPr>
            </w:pPr>
            <w:r w:rsidRPr="00157425">
              <w:rPr>
                <w:sz w:val="16"/>
                <w:szCs w:val="16"/>
              </w:rPr>
              <w:t>127</w:t>
            </w:r>
            <w:r w:rsidR="003A3455">
              <w:rPr>
                <w:sz w:val="16"/>
                <w:szCs w:val="16"/>
              </w:rPr>
              <w:t>.</w:t>
            </w:r>
            <w:r w:rsidRPr="00157425">
              <w:rPr>
                <w:sz w:val="16"/>
                <w:szCs w:val="16"/>
              </w:rPr>
              <w:t>7</w:t>
            </w:r>
          </w:p>
        </w:tc>
      </w:tr>
      <w:tr w:rsidR="00157425" w:rsidRPr="007D15EA" w:rsidTr="001F327E">
        <w:trPr>
          <w:trHeight w:val="56"/>
          <w:jc w:val="center"/>
        </w:trPr>
        <w:tc>
          <w:tcPr>
            <w:tcW w:w="2419" w:type="dxa"/>
            <w:vAlign w:val="center"/>
          </w:tcPr>
          <w:p w:rsidR="00157425" w:rsidRPr="007D15EA" w:rsidRDefault="00157425" w:rsidP="00157425">
            <w:pPr>
              <w:tabs>
                <w:tab w:val="right" w:leader="dot" w:pos="4156"/>
              </w:tabs>
              <w:spacing w:line="240" w:lineRule="auto"/>
              <w:contextualSpacing/>
              <w:rPr>
                <w:rFonts w:eastAsia="Fira Sans Light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eastAsia="Fira Sans Light" w:cs="Times New Roman"/>
                <w:color w:val="000000"/>
                <w:sz w:val="16"/>
                <w:szCs w:val="16"/>
              </w:rPr>
              <w:t>Secondary</w:t>
            </w:r>
            <w:proofErr w:type="spellEnd"/>
            <w:r w:rsidRPr="007D15EA">
              <w:rPr>
                <w:rFonts w:eastAsia="Fira Sans Light" w:cs="Times New Roman"/>
                <w:color w:val="000000"/>
                <w:sz w:val="16"/>
                <w:szCs w:val="16"/>
              </w:rPr>
              <w:t xml:space="preserve"> market</w:t>
            </w:r>
          </w:p>
        </w:tc>
        <w:tc>
          <w:tcPr>
            <w:tcW w:w="181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sz w:val="16"/>
                <w:szCs w:val="16"/>
              </w:rPr>
            </w:pPr>
            <w:r w:rsidRPr="00157425">
              <w:rPr>
                <w:sz w:val="16"/>
                <w:szCs w:val="16"/>
              </w:rPr>
              <w:t>100</w:t>
            </w:r>
            <w:r w:rsidR="003A3455">
              <w:rPr>
                <w:sz w:val="16"/>
                <w:szCs w:val="16"/>
              </w:rPr>
              <w:t>.</w:t>
            </w:r>
            <w:r w:rsidRPr="00157425">
              <w:rPr>
                <w:sz w:val="16"/>
                <w:szCs w:val="16"/>
              </w:rPr>
              <w:t>5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sz w:val="16"/>
                <w:szCs w:val="16"/>
              </w:rPr>
            </w:pPr>
            <w:r w:rsidRPr="00157425">
              <w:rPr>
                <w:sz w:val="16"/>
                <w:szCs w:val="16"/>
              </w:rPr>
              <w:t>111</w:t>
            </w:r>
            <w:r w:rsidR="003A3455">
              <w:rPr>
                <w:sz w:val="16"/>
                <w:szCs w:val="16"/>
              </w:rPr>
              <w:t>.</w:t>
            </w:r>
            <w:r w:rsidRPr="00157425">
              <w:rPr>
                <w:sz w:val="16"/>
                <w:szCs w:val="16"/>
              </w:rPr>
              <w:t>2</w:t>
            </w:r>
          </w:p>
        </w:tc>
        <w:tc>
          <w:tcPr>
            <w:tcW w:w="181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</w:tcPr>
          <w:p w:rsidR="00157425" w:rsidRPr="00157425" w:rsidRDefault="00157425" w:rsidP="00157425">
            <w:pPr>
              <w:jc w:val="center"/>
              <w:rPr>
                <w:sz w:val="16"/>
                <w:szCs w:val="16"/>
              </w:rPr>
            </w:pPr>
            <w:r w:rsidRPr="00157425">
              <w:rPr>
                <w:sz w:val="16"/>
                <w:szCs w:val="16"/>
              </w:rPr>
              <w:t>147</w:t>
            </w:r>
            <w:r w:rsidR="003A3455">
              <w:rPr>
                <w:sz w:val="16"/>
                <w:szCs w:val="16"/>
              </w:rPr>
              <w:t>.</w:t>
            </w:r>
            <w:r w:rsidRPr="00157425">
              <w:rPr>
                <w:sz w:val="16"/>
                <w:szCs w:val="16"/>
              </w:rPr>
              <w:t>8</w:t>
            </w:r>
          </w:p>
        </w:tc>
      </w:tr>
    </w:tbl>
    <w:p w:rsidR="00877C40" w:rsidRDefault="00553BB8" w:rsidP="001F327E">
      <w:pPr>
        <w:spacing w:before="240" w:after="0"/>
        <w:ind w:right="-155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8288" behindDoc="1" locked="0" layoutInCell="1" allowOverlap="1">
                <wp:simplePos x="0" y="0"/>
                <wp:positionH relativeFrom="column">
                  <wp:posOffset>5305425</wp:posOffset>
                </wp:positionH>
                <wp:positionV relativeFrom="paragraph">
                  <wp:posOffset>19050</wp:posOffset>
                </wp:positionV>
                <wp:extent cx="1610995" cy="1276350"/>
                <wp:effectExtent l="0" t="0" r="0" b="0"/>
                <wp:wrapTight wrapText="bothSides">
                  <wp:wrapPolygon edited="0">
                    <wp:start x="766" y="0"/>
                    <wp:lineTo x="766" y="21278"/>
                    <wp:lineTo x="20689" y="21278"/>
                    <wp:lineTo x="20689" y="0"/>
                    <wp:lineTo x="766" y="0"/>
                  </wp:wrapPolygon>
                </wp:wrapTight>
                <wp:docPr id="13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099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Pr="00C04936" w:rsidRDefault="009B46C8" w:rsidP="00F364D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602ECE">
                              <w:rPr>
                                <w:lang w:val="en-US"/>
                              </w:rPr>
                              <w:t>Wh</w:t>
                            </w:r>
                            <w:r>
                              <w:rPr>
                                <w:lang w:val="en-US"/>
                              </w:rPr>
                              <w:t xml:space="preserve">en compiling </w:t>
                            </w:r>
                            <w:r w:rsidRPr="00C04936">
                              <w:rPr>
                                <w:lang w:val="en-US"/>
                              </w:rPr>
                              <w:t>price i</w:t>
                            </w:r>
                            <w:r>
                              <w:rPr>
                                <w:lang w:val="en-US"/>
                              </w:rPr>
                              <w:t>ndices</w:t>
                            </w:r>
                            <w:r w:rsidR="00351D92">
                              <w:rPr>
                                <w:lang w:val="en-US"/>
                              </w:rPr>
                              <w:t xml:space="preserve"> of residential premises in 20</w:t>
                            </w:r>
                            <w:r w:rsidR="001F327E">
                              <w:rPr>
                                <w:lang w:val="en-US"/>
                              </w:rPr>
                              <w:t>20,</w:t>
                            </w:r>
                            <w:r>
                              <w:rPr>
                                <w:lang w:val="en-US"/>
                              </w:rPr>
                              <w:t xml:space="preserve"> the secondary mar</w:t>
                            </w:r>
                            <w:r w:rsidR="00B916DE">
                              <w:rPr>
                                <w:lang w:val="en-US"/>
                              </w:rPr>
                              <w:t>ket is assigned a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 w:rsidR="00B916DE">
                              <w:rPr>
                                <w:lang w:val="en-US"/>
                              </w:rPr>
                              <w:t>weight of 5</w:t>
                            </w:r>
                            <w:r w:rsidR="001F327E">
                              <w:rPr>
                                <w:lang w:val="en-US"/>
                              </w:rPr>
                              <w:t>7.6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a</w:t>
                            </w:r>
                            <w:r>
                              <w:rPr>
                                <w:lang w:val="en-US"/>
                              </w:rPr>
                              <w:t>nd</w:t>
                            </w:r>
                            <w:r w:rsidRPr="00C04936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the</w:t>
                            </w:r>
                            <w:r w:rsidR="001A0BF7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pri</w:t>
                            </w:r>
                            <w:r w:rsidR="00B916DE">
                              <w:rPr>
                                <w:lang w:val="en-US"/>
                              </w:rPr>
                              <w:t>mary market – 4</w:t>
                            </w:r>
                            <w:r w:rsidR="001F327E">
                              <w:rPr>
                                <w:lang w:val="en-US"/>
                              </w:rPr>
                              <w:t>2.4</w:t>
                            </w:r>
                            <w:r w:rsidR="00CE6424">
                              <w:rPr>
                                <w:lang w:val="en-US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6" o:spid="_x0000_s1027" type="#_x0000_t202" style="position:absolute;margin-left:417.75pt;margin-top:1.5pt;width:126.85pt;height:100.5pt;z-index:-251528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" filled="f" stroked="f">
                <v:textbox>
                  <w:txbxContent>
                    <w:p w:rsidR="009B46C8" w:rsidRPr="00C04936" w:rsidRDefault="009B46C8" w:rsidP="00F364DD">
                      <w:pPr>
                        <w:pStyle w:val="tekstzboku"/>
                        <w:rPr>
                          <w:lang w:val="en-US"/>
                        </w:rPr>
                      </w:pPr>
                      <w:r w:rsidRPr="00602ECE">
                        <w:rPr>
                          <w:lang w:val="en-US"/>
                        </w:rPr>
                        <w:t>Wh</w:t>
                      </w:r>
                      <w:r>
                        <w:rPr>
                          <w:lang w:val="en-US"/>
                        </w:rPr>
                        <w:t xml:space="preserve">en compiling </w:t>
                      </w:r>
                      <w:r w:rsidRPr="00C04936">
                        <w:rPr>
                          <w:lang w:val="en-US"/>
                        </w:rPr>
                        <w:t>price i</w:t>
                      </w:r>
                      <w:r>
                        <w:rPr>
                          <w:lang w:val="en-US"/>
                        </w:rPr>
                        <w:t>ndices</w:t>
                      </w:r>
                      <w:r w:rsidR="00351D92">
                        <w:rPr>
                          <w:lang w:val="en-US"/>
                        </w:rPr>
                        <w:t xml:space="preserve"> of residential premises in 20</w:t>
                      </w:r>
                      <w:r w:rsidR="001F327E">
                        <w:rPr>
                          <w:lang w:val="en-US"/>
                        </w:rPr>
                        <w:t>20,</w:t>
                      </w:r>
                      <w:r>
                        <w:rPr>
                          <w:lang w:val="en-US"/>
                        </w:rPr>
                        <w:t xml:space="preserve"> the secondary mar</w:t>
                      </w:r>
                      <w:r w:rsidR="00B916DE">
                        <w:rPr>
                          <w:lang w:val="en-US"/>
                        </w:rPr>
                        <w:t>ket is assigned a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 w:rsidR="00B916DE">
                        <w:rPr>
                          <w:lang w:val="en-US"/>
                        </w:rPr>
                        <w:t>weight of 5</w:t>
                      </w:r>
                      <w:r w:rsidR="001F327E">
                        <w:rPr>
                          <w:lang w:val="en-US"/>
                        </w:rPr>
                        <w:t>7.6</w:t>
                      </w:r>
                      <w:r>
                        <w:rPr>
                          <w:lang w:val="en-US"/>
                        </w:rPr>
                        <w:t>%</w:t>
                      </w:r>
                      <w:r w:rsidRPr="00C04936">
                        <w:rPr>
                          <w:lang w:val="en-US"/>
                        </w:rPr>
                        <w:t xml:space="preserve"> a</w:t>
                      </w:r>
                      <w:r>
                        <w:rPr>
                          <w:lang w:val="en-US"/>
                        </w:rPr>
                        <w:t>nd</w:t>
                      </w:r>
                      <w:r w:rsidRPr="00C04936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the</w:t>
                      </w:r>
                      <w:r w:rsidR="001A0BF7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pri</w:t>
                      </w:r>
                      <w:r w:rsidR="00B916DE">
                        <w:rPr>
                          <w:lang w:val="en-US"/>
                        </w:rPr>
                        <w:t>mary market – 4</w:t>
                      </w:r>
                      <w:r w:rsidR="001F327E">
                        <w:rPr>
                          <w:lang w:val="en-US"/>
                        </w:rPr>
                        <w:t>2.4</w:t>
                      </w:r>
                      <w:r w:rsidR="00CE6424">
                        <w:rPr>
                          <w:lang w:val="en-US"/>
                        </w:rPr>
                        <w:t>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12F6E" w:rsidRPr="00C2775E">
        <w:rPr>
          <w:b/>
          <w:sz w:val="18"/>
          <w:lang w:val="en-US"/>
        </w:rPr>
        <w:t>Chart</w:t>
      </w:r>
      <w:r w:rsidR="00C44EB3" w:rsidRPr="00C2775E">
        <w:rPr>
          <w:b/>
          <w:sz w:val="18"/>
          <w:lang w:val="en-US"/>
        </w:rPr>
        <w:t xml:space="preserve"> 1. </w:t>
      </w:r>
      <w:r w:rsidR="00B12F6E" w:rsidRPr="00C2775E">
        <w:rPr>
          <w:b/>
          <w:sz w:val="18"/>
          <w:lang w:val="en-US"/>
        </w:rPr>
        <w:t>Weight</w:t>
      </w:r>
      <w:r w:rsidR="00AB397C">
        <w:rPr>
          <w:b/>
          <w:sz w:val="18"/>
          <w:lang w:val="en-US"/>
        </w:rPr>
        <w:t>ing</w:t>
      </w:r>
      <w:r w:rsidR="00B12F6E" w:rsidRPr="00C2775E">
        <w:rPr>
          <w:b/>
          <w:sz w:val="18"/>
          <w:lang w:val="en-US"/>
        </w:rPr>
        <w:t xml:space="preserve"> system used </w:t>
      </w:r>
      <w:r w:rsidR="00AB397C">
        <w:rPr>
          <w:b/>
          <w:sz w:val="18"/>
          <w:lang w:val="en-US"/>
        </w:rPr>
        <w:t>in the compilations of</w:t>
      </w:r>
      <w:r w:rsidR="006C50D6">
        <w:rPr>
          <w:b/>
          <w:sz w:val="18"/>
          <w:lang w:val="en-US"/>
        </w:rPr>
        <w:t xml:space="preserve"> </w:t>
      </w:r>
      <w:r w:rsidR="00B12F6E" w:rsidRPr="00C2775E">
        <w:rPr>
          <w:b/>
          <w:sz w:val="18"/>
          <w:lang w:val="en-US"/>
        </w:rPr>
        <w:t>price ind</w:t>
      </w:r>
      <w:r w:rsidR="00877C40">
        <w:rPr>
          <w:b/>
          <w:sz w:val="18"/>
          <w:lang w:val="en-US"/>
        </w:rPr>
        <w:t>ices of residential premises</w:t>
      </w:r>
      <w:r w:rsidR="00B0058F">
        <w:rPr>
          <w:b/>
          <w:sz w:val="18"/>
          <w:lang w:val="en-US"/>
        </w:rPr>
        <w:t xml:space="preserve"> </w:t>
      </w:r>
      <w:r w:rsidR="00877C40">
        <w:rPr>
          <w:b/>
          <w:sz w:val="18"/>
          <w:lang w:val="en-US"/>
        </w:rPr>
        <w:t xml:space="preserve">in </w:t>
      </w:r>
      <w:r w:rsidR="001F327E">
        <w:rPr>
          <w:b/>
          <w:sz w:val="18"/>
          <w:lang w:val="en-US"/>
        </w:rPr>
        <w:t>2020</w:t>
      </w:r>
    </w:p>
    <w:p w:rsidR="00B54BCC" w:rsidRDefault="001F327E" w:rsidP="009828B9">
      <w:pPr>
        <w:spacing w:before="0" w:after="0"/>
        <w:ind w:left="680"/>
        <w:rPr>
          <w:b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76200</wp:posOffset>
            </wp:positionV>
            <wp:extent cx="5075769" cy="1123949"/>
            <wp:effectExtent l="0" t="0" r="0" b="0"/>
            <wp:wrapNone/>
            <wp:docPr id="8" name="Wykres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B54BCC" w:rsidRDefault="00B54BCC" w:rsidP="009828B9">
      <w:pPr>
        <w:spacing w:before="0" w:after="0"/>
        <w:ind w:left="680"/>
        <w:rPr>
          <w:b/>
          <w:sz w:val="18"/>
          <w:lang w:val="en-US"/>
        </w:rPr>
      </w:pPr>
    </w:p>
    <w:p w:rsidR="00D309C3" w:rsidRDefault="00D309C3" w:rsidP="001D3639">
      <w:pPr>
        <w:rPr>
          <w:b/>
          <w:sz w:val="18"/>
          <w:lang w:val="en-US"/>
        </w:rPr>
      </w:pPr>
    </w:p>
    <w:p w:rsidR="006E095C" w:rsidRPr="00C04936" w:rsidRDefault="00C04936" w:rsidP="001D3639">
      <w:pPr>
        <w:rPr>
          <w:b/>
          <w:sz w:val="18"/>
          <w:lang w:val="en-US"/>
        </w:rPr>
      </w:pPr>
      <w:r w:rsidRPr="00C04936">
        <w:rPr>
          <w:b/>
          <w:sz w:val="18"/>
          <w:lang w:val="en-US"/>
        </w:rPr>
        <w:t>Chart</w:t>
      </w:r>
      <w:r w:rsidR="00AA6B32" w:rsidRPr="00C04936">
        <w:rPr>
          <w:b/>
          <w:sz w:val="18"/>
          <w:lang w:val="en-US"/>
        </w:rPr>
        <w:t xml:space="preserve"> 2</w:t>
      </w:r>
      <w:r w:rsidR="00D24CF3" w:rsidRPr="00C04936">
        <w:rPr>
          <w:b/>
          <w:sz w:val="18"/>
          <w:lang w:val="en-US"/>
        </w:rPr>
        <w:t xml:space="preserve">. </w:t>
      </w:r>
      <w:r w:rsidR="00B14CB7">
        <w:rPr>
          <w:b/>
          <w:sz w:val="18"/>
          <w:lang w:val="en-US"/>
        </w:rPr>
        <w:t>Quarterly c</w:t>
      </w:r>
      <w:r w:rsidR="001D3639">
        <w:rPr>
          <w:b/>
          <w:sz w:val="18"/>
          <w:lang w:val="en-US"/>
        </w:rPr>
        <w:t>hanges in p</w:t>
      </w:r>
      <w:r>
        <w:rPr>
          <w:b/>
          <w:sz w:val="18"/>
          <w:lang w:val="en-US"/>
        </w:rPr>
        <w:t>rices</w:t>
      </w:r>
      <w:r w:rsidRPr="008A682E">
        <w:rPr>
          <w:b/>
          <w:sz w:val="18"/>
          <w:lang w:val="en-US"/>
        </w:rPr>
        <w:t xml:space="preserve"> of residential premises </w:t>
      </w:r>
      <w:r>
        <w:rPr>
          <w:b/>
          <w:sz w:val="18"/>
          <w:lang w:val="en-US"/>
        </w:rPr>
        <w:t xml:space="preserve">compared </w:t>
      </w:r>
      <w:r w:rsidR="001D3639">
        <w:rPr>
          <w:b/>
          <w:sz w:val="18"/>
          <w:lang w:val="en-US"/>
        </w:rPr>
        <w:t>to</w:t>
      </w:r>
      <w:r>
        <w:rPr>
          <w:b/>
          <w:sz w:val="18"/>
          <w:lang w:val="en-US"/>
        </w:rPr>
        <w:t xml:space="preserve"> the previous quarter</w:t>
      </w:r>
    </w:p>
    <w:p w:rsidR="0087115A" w:rsidRDefault="00CF5256" w:rsidP="00ED1246">
      <w:pPr>
        <w:spacing w:before="0" w:after="160" w:line="259" w:lineRule="auto"/>
        <w:rPr>
          <w:b/>
          <w:sz w:val="18"/>
        </w:rPr>
      </w:pPr>
      <w:r>
        <w:rPr>
          <w:noProof/>
          <w:lang w:eastAsia="pl-PL"/>
        </w:rPr>
        <w:drawing>
          <wp:inline distT="0" distB="0" distL="0" distR="0" wp14:anchorId="232189AB" wp14:editId="1B5723F5">
            <wp:extent cx="5169155" cy="2807970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E095C" w:rsidRDefault="005F2681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 w:rsidRPr="00C2775E">
        <w:rPr>
          <w:b/>
          <w:sz w:val="18"/>
          <w:lang w:val="en-US"/>
        </w:rPr>
        <w:lastRenderedPageBreak/>
        <w:t>Chart</w:t>
      </w:r>
      <w:r w:rsidR="006E095C" w:rsidRPr="00C2775E">
        <w:rPr>
          <w:b/>
          <w:sz w:val="18"/>
          <w:lang w:val="en-US"/>
        </w:rPr>
        <w:t xml:space="preserve"> 3. </w:t>
      </w:r>
      <w:r w:rsidR="00B14CB7">
        <w:rPr>
          <w:b/>
          <w:sz w:val="18"/>
          <w:lang w:val="en-US"/>
        </w:rPr>
        <w:t xml:space="preserve">Quarterly </w:t>
      </w:r>
      <w:r w:rsidR="00841D17">
        <w:rPr>
          <w:b/>
          <w:sz w:val="18"/>
          <w:lang w:val="en-US"/>
        </w:rPr>
        <w:t>c</w:t>
      </w:r>
      <w:r w:rsidR="0057227D">
        <w:rPr>
          <w:b/>
          <w:sz w:val="18"/>
          <w:lang w:val="en-US"/>
        </w:rPr>
        <w:t>hanges in p</w:t>
      </w:r>
      <w:r w:rsidR="00EC646D" w:rsidRPr="00C93808">
        <w:rPr>
          <w:b/>
          <w:sz w:val="18"/>
          <w:lang w:val="en-US"/>
        </w:rPr>
        <w:t xml:space="preserve">rices of residential premises </w:t>
      </w:r>
      <w:r w:rsidR="0057227D">
        <w:rPr>
          <w:b/>
          <w:sz w:val="18"/>
          <w:lang w:val="en-US"/>
        </w:rPr>
        <w:t>c</w:t>
      </w:r>
      <w:r w:rsidR="00C93808" w:rsidRPr="00C93808">
        <w:rPr>
          <w:b/>
          <w:sz w:val="18"/>
          <w:lang w:val="en-US"/>
        </w:rPr>
        <w:t xml:space="preserve">ompared </w:t>
      </w:r>
      <w:r w:rsidR="0057227D">
        <w:rPr>
          <w:b/>
          <w:sz w:val="18"/>
          <w:lang w:val="en-US"/>
        </w:rPr>
        <w:t>to</w:t>
      </w:r>
      <w:r w:rsidR="00C93808" w:rsidRPr="00C93808">
        <w:rPr>
          <w:b/>
          <w:sz w:val="18"/>
          <w:lang w:val="en-US"/>
        </w:rPr>
        <w:t xml:space="preserve"> the c</w:t>
      </w:r>
      <w:r w:rsidR="002D72B8">
        <w:rPr>
          <w:b/>
          <w:sz w:val="18"/>
          <w:lang w:val="en-US"/>
        </w:rPr>
        <w:t xml:space="preserve">orresponding </w:t>
      </w:r>
      <w:r w:rsidR="00B14CB7">
        <w:rPr>
          <w:b/>
          <w:sz w:val="18"/>
          <w:lang w:val="en-US"/>
        </w:rPr>
        <w:br/>
      </w:r>
      <w:r w:rsidR="002D72B8">
        <w:rPr>
          <w:b/>
          <w:sz w:val="18"/>
          <w:lang w:val="en-US"/>
        </w:rPr>
        <w:t>quarter of</w:t>
      </w:r>
      <w:r w:rsidR="00B14CB7">
        <w:rPr>
          <w:b/>
          <w:sz w:val="18"/>
          <w:lang w:val="en-US"/>
        </w:rPr>
        <w:t xml:space="preserve"> </w:t>
      </w:r>
      <w:r w:rsidR="00C93808">
        <w:rPr>
          <w:b/>
          <w:sz w:val="18"/>
          <w:lang w:val="en-US"/>
        </w:rPr>
        <w:t>the previous year</w:t>
      </w:r>
    </w:p>
    <w:p w:rsidR="000C0AC8" w:rsidRPr="00C93808" w:rsidRDefault="00157425" w:rsidP="00B14CB7">
      <w:pPr>
        <w:spacing w:before="240" w:after="0" w:line="259" w:lineRule="auto"/>
        <w:ind w:left="709" w:hanging="709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49BB077B" wp14:editId="3C62BE9A">
            <wp:extent cx="5171440" cy="3190240"/>
            <wp:effectExtent l="0" t="0" r="0" b="0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6E095C" w:rsidRPr="002D72B8" w:rsidRDefault="006E095C" w:rsidP="001F327E">
      <w:pPr>
        <w:spacing w:before="0" w:after="160" w:line="259" w:lineRule="auto"/>
        <w:ind w:left="142"/>
        <w:jc w:val="right"/>
        <w:rPr>
          <w:b/>
          <w:sz w:val="18"/>
          <w:lang w:val="en-US"/>
        </w:rPr>
      </w:pPr>
    </w:p>
    <w:p w:rsidR="0087115A" w:rsidRDefault="00553BB8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9312" behindDoc="1" locked="0" layoutInCell="1" allowOverlap="1">
                <wp:simplePos x="0" y="0"/>
                <wp:positionH relativeFrom="column">
                  <wp:posOffset>5274310</wp:posOffset>
                </wp:positionH>
                <wp:positionV relativeFrom="paragraph">
                  <wp:posOffset>266065</wp:posOffset>
                </wp:positionV>
                <wp:extent cx="1745615" cy="1469390"/>
                <wp:effectExtent l="0" t="0" r="0" b="0"/>
                <wp:wrapTight wrapText="bothSides">
                  <wp:wrapPolygon edited="0">
                    <wp:start x="707" y="0"/>
                    <wp:lineTo x="707" y="21283"/>
                    <wp:lineTo x="20744" y="21283"/>
                    <wp:lineTo x="20744" y="0"/>
                    <wp:lineTo x="707" y="0"/>
                  </wp:wrapPolygon>
                </wp:wrapTight>
                <wp:docPr id="12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5615" cy="1469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CC5832">
                            <w:pPr>
                              <w:pStyle w:val="tekstzboku"/>
                              <w:ind w:right="-9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Prices of residential premises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950DBD">
                              <w:rPr>
                                <w:lang w:val="en-US"/>
                              </w:rPr>
                              <w:t>second</w:t>
                            </w:r>
                            <w:r w:rsidR="00C974C9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A07E99">
                              <w:rPr>
                                <w:lang w:val="en-US"/>
                              </w:rPr>
                              <w:t xml:space="preserve">quarter </w:t>
                            </w:r>
                            <w:r w:rsidR="00841D17">
                              <w:rPr>
                                <w:lang w:val="en-US"/>
                              </w:rPr>
                              <w:t xml:space="preserve">of </w:t>
                            </w:r>
                            <w:r w:rsidR="00251900">
                              <w:rPr>
                                <w:lang w:val="en-US"/>
                              </w:rPr>
                              <w:t>20</w:t>
                            </w:r>
                            <w:r w:rsidR="00C974C9">
                              <w:rPr>
                                <w:lang w:val="en-US"/>
                              </w:rPr>
                              <w:t>20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E7B43">
                              <w:rPr>
                                <w:lang w:val="en-US"/>
                              </w:rPr>
                              <w:t>were by </w:t>
                            </w:r>
                            <w:r w:rsidR="00157425">
                              <w:rPr>
                                <w:lang w:val="en-US"/>
                              </w:rPr>
                              <w:t>38.4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% higher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compared </w:t>
                            </w:r>
                            <w:r w:rsidR="00341947">
                              <w:rPr>
                                <w:lang w:val="en-US"/>
                              </w:rPr>
                              <w:t>to</w:t>
                            </w:r>
                            <w:r w:rsidR="00BE7B43">
                              <w:rPr>
                                <w:lang w:val="en-US"/>
                              </w:rPr>
                              <w:t xml:space="preserve"> the average price for 2015 </w:t>
                            </w:r>
                            <w:r>
                              <w:rPr>
                                <w:lang w:val="en-US"/>
                              </w:rPr>
                              <w:t>(of which on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the primar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y </w:t>
                            </w:r>
                            <w:r w:rsidR="005F4B77">
                              <w:rPr>
                                <w:lang w:val="en-US"/>
                              </w:rPr>
                              <w:br/>
                            </w:r>
                            <w:r w:rsidR="00251900">
                              <w:rPr>
                                <w:lang w:val="en-US"/>
                              </w:rPr>
                              <w:t xml:space="preserve">market – by </w:t>
                            </w:r>
                            <w:r w:rsidR="00157425">
                              <w:rPr>
                                <w:lang w:val="en-US"/>
                              </w:rPr>
                              <w:t>27.7</w:t>
                            </w:r>
                            <w:r>
                              <w:rPr>
                                <w:lang w:val="en-US"/>
                              </w:rPr>
                              <w:t>% and o</w:t>
                            </w:r>
                            <w:r w:rsidR="00251900">
                              <w:rPr>
                                <w:lang w:val="en-US"/>
                              </w:rPr>
                              <w:t>n</w:t>
                            </w:r>
                            <w:r w:rsidR="000645CF">
                              <w:rPr>
                                <w:lang w:val="en-US"/>
                              </w:rPr>
                              <w:t> </w:t>
                            </w:r>
                            <w:r w:rsidR="00251900">
                              <w:rPr>
                                <w:lang w:val="en-US"/>
                              </w:rPr>
                              <w:t xml:space="preserve">the secondary market – by </w:t>
                            </w:r>
                            <w:r w:rsidR="00841D17">
                              <w:rPr>
                                <w:lang w:val="en-US"/>
                              </w:rPr>
                              <w:t>4</w:t>
                            </w:r>
                            <w:r w:rsidR="009B6319">
                              <w:rPr>
                                <w:lang w:val="en-US"/>
                              </w:rPr>
                              <w:t>7.</w:t>
                            </w:r>
                            <w:r w:rsidR="00157425">
                              <w:rPr>
                                <w:lang w:val="en-US"/>
                              </w:rPr>
                              <w:t>8</w:t>
                            </w:r>
                            <w:r w:rsidR="00CE6424">
                              <w:rPr>
                                <w:lang w:val="en-US"/>
                              </w:rPr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15.3pt;margin-top:20.95pt;width:137.45pt;height:115.7pt;z-index:-251527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" filled="f" stroked="f">
                <v:textbox>
                  <w:txbxContent>
                    <w:p w:rsidR="009B46C8" w:rsidRDefault="009B46C8" w:rsidP="00CC5832">
                      <w:pPr>
                        <w:pStyle w:val="tekstzboku"/>
                        <w:ind w:right="-9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Prices of residential premises</w:t>
                      </w:r>
                      <w:r w:rsidRPr="00A07E99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in the </w:t>
                      </w:r>
                      <w:r w:rsidR="00950DBD">
                        <w:rPr>
                          <w:lang w:val="en-US"/>
                        </w:rPr>
                        <w:t>second</w:t>
                      </w:r>
                      <w:r w:rsidR="00C974C9">
                        <w:rPr>
                          <w:lang w:val="en-US"/>
                        </w:rPr>
                        <w:t xml:space="preserve"> </w:t>
                      </w:r>
                      <w:r w:rsidRPr="00A07E99">
                        <w:rPr>
                          <w:lang w:val="en-US"/>
                        </w:rPr>
                        <w:t xml:space="preserve">quarter </w:t>
                      </w:r>
                      <w:r w:rsidR="00841D17">
                        <w:rPr>
                          <w:lang w:val="en-US"/>
                        </w:rPr>
                        <w:t xml:space="preserve">of </w:t>
                      </w:r>
                      <w:r w:rsidR="00251900">
                        <w:rPr>
                          <w:lang w:val="en-US"/>
                        </w:rPr>
                        <w:t>20</w:t>
                      </w:r>
                      <w:r w:rsidR="00C974C9">
                        <w:rPr>
                          <w:lang w:val="en-US"/>
                        </w:rPr>
                        <w:t>20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 w:rsidR="00BE7B43">
                        <w:rPr>
                          <w:lang w:val="en-US"/>
                        </w:rPr>
                        <w:t>were by </w:t>
                      </w:r>
                      <w:r w:rsidR="00157425">
                        <w:rPr>
                          <w:lang w:val="en-US"/>
                        </w:rPr>
                        <w:t>38.4</w:t>
                      </w:r>
                      <w:r w:rsidR="00BE7B43">
                        <w:rPr>
                          <w:lang w:val="en-US"/>
                        </w:rPr>
                        <w:t xml:space="preserve">% higher </w:t>
                      </w:r>
                      <w:r w:rsidR="0057227D">
                        <w:rPr>
                          <w:lang w:val="en-US"/>
                        </w:rPr>
                        <w:t xml:space="preserve">compared </w:t>
                      </w:r>
                      <w:r w:rsidR="00341947">
                        <w:rPr>
                          <w:lang w:val="en-US"/>
                        </w:rPr>
                        <w:t>to</w:t>
                      </w:r>
                      <w:r w:rsidR="00BE7B43">
                        <w:rPr>
                          <w:lang w:val="en-US"/>
                        </w:rPr>
                        <w:t xml:space="preserve"> the average price for 2015 </w:t>
                      </w:r>
                      <w:r>
                        <w:rPr>
                          <w:lang w:val="en-US"/>
                        </w:rPr>
                        <w:t>(of which on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the primar</w:t>
                      </w:r>
                      <w:r w:rsidR="00251900">
                        <w:rPr>
                          <w:lang w:val="en-US"/>
                        </w:rPr>
                        <w:t xml:space="preserve">y </w:t>
                      </w:r>
                      <w:r w:rsidR="005F4B77">
                        <w:rPr>
                          <w:lang w:val="en-US"/>
                        </w:rPr>
                        <w:br/>
                      </w:r>
                      <w:r w:rsidR="00251900">
                        <w:rPr>
                          <w:lang w:val="en-US"/>
                        </w:rPr>
                        <w:t xml:space="preserve">market – by </w:t>
                      </w:r>
                      <w:r w:rsidR="00157425">
                        <w:rPr>
                          <w:lang w:val="en-US"/>
                        </w:rPr>
                        <w:t>27.7</w:t>
                      </w:r>
                      <w:r>
                        <w:rPr>
                          <w:lang w:val="en-US"/>
                        </w:rPr>
                        <w:t>% and o</w:t>
                      </w:r>
                      <w:r w:rsidR="00251900">
                        <w:rPr>
                          <w:lang w:val="en-US"/>
                        </w:rPr>
                        <w:t>n</w:t>
                      </w:r>
                      <w:r w:rsidR="000645CF">
                        <w:rPr>
                          <w:lang w:val="en-US"/>
                        </w:rPr>
                        <w:t> </w:t>
                      </w:r>
                      <w:r w:rsidR="00251900">
                        <w:rPr>
                          <w:lang w:val="en-US"/>
                        </w:rPr>
                        <w:t xml:space="preserve">the secondary market – by </w:t>
                      </w:r>
                      <w:r w:rsidR="00841D17">
                        <w:rPr>
                          <w:lang w:val="en-US"/>
                        </w:rPr>
                        <w:t>4</w:t>
                      </w:r>
                      <w:r w:rsidR="009B6319">
                        <w:rPr>
                          <w:lang w:val="en-US"/>
                        </w:rPr>
                        <w:t>7.</w:t>
                      </w:r>
                      <w:r w:rsidR="00157425">
                        <w:rPr>
                          <w:lang w:val="en-US"/>
                        </w:rPr>
                        <w:t>8</w:t>
                      </w:r>
                      <w:r w:rsidR="00CE6424">
                        <w:rPr>
                          <w:lang w:val="en-US"/>
                        </w:rPr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F2681" w:rsidRPr="00C2775E">
        <w:rPr>
          <w:b/>
          <w:sz w:val="18"/>
          <w:lang w:val="en-US"/>
        </w:rPr>
        <w:t>Chart</w:t>
      </w:r>
      <w:r w:rsidR="0087115A" w:rsidRPr="00C2775E">
        <w:rPr>
          <w:b/>
          <w:sz w:val="18"/>
          <w:lang w:val="en-US"/>
        </w:rPr>
        <w:t xml:space="preserve"> 4. </w:t>
      </w:r>
      <w:r w:rsidR="00505EF2">
        <w:rPr>
          <w:b/>
          <w:sz w:val="18"/>
          <w:lang w:val="en-US"/>
        </w:rPr>
        <w:t>Quarterly c</w:t>
      </w:r>
      <w:r w:rsidR="0057227D">
        <w:rPr>
          <w:b/>
          <w:sz w:val="18"/>
          <w:lang w:val="en-US"/>
        </w:rPr>
        <w:t>hanges in p</w:t>
      </w:r>
      <w:r w:rsidR="00BE22CE">
        <w:rPr>
          <w:b/>
          <w:sz w:val="18"/>
          <w:lang w:val="en-US"/>
        </w:rPr>
        <w:t>rices</w:t>
      </w:r>
      <w:r w:rsidR="00BE22CE" w:rsidRPr="008A682E">
        <w:rPr>
          <w:b/>
          <w:sz w:val="18"/>
          <w:lang w:val="en-US"/>
        </w:rPr>
        <w:t xml:space="preserve"> of residential premises </w:t>
      </w:r>
      <w:r w:rsidR="00BE22CE">
        <w:rPr>
          <w:b/>
          <w:sz w:val="18"/>
          <w:lang w:val="en-US"/>
        </w:rPr>
        <w:t xml:space="preserve">compared </w:t>
      </w:r>
      <w:r w:rsidR="0057227D">
        <w:rPr>
          <w:b/>
          <w:sz w:val="18"/>
          <w:lang w:val="en-US"/>
        </w:rPr>
        <w:t>to</w:t>
      </w:r>
      <w:r w:rsidR="00BE22CE">
        <w:rPr>
          <w:b/>
          <w:sz w:val="18"/>
          <w:lang w:val="en-US"/>
        </w:rPr>
        <w:t xml:space="preserve"> 2015</w:t>
      </w:r>
    </w:p>
    <w:p w:rsidR="00B30C2B" w:rsidRPr="00BE22CE" w:rsidRDefault="00157425" w:rsidP="0087115A">
      <w:pPr>
        <w:spacing w:before="0" w:after="160" w:line="259" w:lineRule="auto"/>
        <w:rPr>
          <w:b/>
          <w:sz w:val="18"/>
          <w:lang w:val="en-US"/>
        </w:rPr>
      </w:pPr>
      <w:r>
        <w:rPr>
          <w:noProof/>
          <w:lang w:eastAsia="pl-PL"/>
        </w:rPr>
        <w:drawing>
          <wp:inline distT="0" distB="0" distL="0" distR="0" wp14:anchorId="1E6B9152" wp14:editId="1AB5D6B1">
            <wp:extent cx="5122545" cy="3718560"/>
            <wp:effectExtent l="0" t="0" r="1905" b="0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7227D" w:rsidRDefault="0057227D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br w:type="page"/>
      </w:r>
    </w:p>
    <w:p w:rsidR="00F352F0" w:rsidRPr="00730963" w:rsidRDefault="00553BB8" w:rsidP="005A45AB">
      <w:pPr>
        <w:spacing w:before="0" w:after="160" w:line="259" w:lineRule="auto"/>
        <w:rPr>
          <w:b/>
          <w:sz w:val="18"/>
          <w:szCs w:val="18"/>
          <w:lang w:val="en-US"/>
        </w:rPr>
      </w:pPr>
      <w:r>
        <w:rPr>
          <w:b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91360" behindDoc="1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739140</wp:posOffset>
                </wp:positionV>
                <wp:extent cx="1788795" cy="1847850"/>
                <wp:effectExtent l="0" t="0" r="0" b="0"/>
                <wp:wrapTight wrapText="bothSides">
                  <wp:wrapPolygon edited="0">
                    <wp:start x="690" y="0"/>
                    <wp:lineTo x="690" y="21377"/>
                    <wp:lineTo x="20703" y="21377"/>
                    <wp:lineTo x="20703" y="0"/>
                    <wp:lineTo x="690" y="0"/>
                  </wp:wrapPolygon>
                </wp:wrapTight>
                <wp:docPr id="11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795" cy="1847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27D" w:rsidRDefault="00841D17" w:rsidP="0057227D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31305A">
                              <w:rPr>
                                <w:lang w:val="en-US"/>
                              </w:rPr>
                              <w:t>4th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 xml:space="preserve">of 2020, compared to </w:t>
                            </w:r>
                            <w:r w:rsidR="00950DBD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31305A">
                              <w:rPr>
                                <w:lang w:val="en-US"/>
                              </w:rPr>
                              <w:t>3r</w:t>
                            </w:r>
                            <w:r w:rsidR="009B6319">
                              <w:rPr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30963">
                              <w:rPr>
                                <w:lang w:val="en-US"/>
                              </w:rPr>
                              <w:t xml:space="preserve">quarter </w:t>
                            </w:r>
                            <w:r>
                              <w:rPr>
                                <w:lang w:val="en-US"/>
                              </w:rPr>
                              <w:t>of 2020, t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he highest increase in prices of residential premises 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was recorded in the </w:t>
                            </w:r>
                            <w:r w:rsidR="003A3455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31305A">
                              <w:rPr>
                                <w:lang w:val="en-US"/>
                              </w:rPr>
                              <w:t>Lubuskie</w:t>
                            </w:r>
                            <w:proofErr w:type="spellEnd"/>
                            <w:r w:rsidR="0031305A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>Voivodship</w:t>
                            </w:r>
                            <w:r w:rsidR="0057227D" w:rsidRPr="00730963">
                              <w:rPr>
                                <w:lang w:val="en-US"/>
                              </w:rPr>
                              <w:t xml:space="preserve"> (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9D1AAD">
                              <w:rPr>
                                <w:lang w:val="en-US"/>
                              </w:rPr>
                              <w:t>4.7</w:t>
                            </w:r>
                            <w:r w:rsidR="0057227D">
                              <w:rPr>
                                <w:lang w:val="en-US"/>
                              </w:rPr>
                              <w:t>%)</w:t>
                            </w:r>
                            <w:r w:rsidR="00762C47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D41C51">
                              <w:rPr>
                                <w:lang w:val="en-US"/>
                              </w:rPr>
                              <w:t>but the</w:t>
                            </w:r>
                            <w:r w:rsidR="00C974C9">
                              <w:rPr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lang w:val="en-US"/>
                              </w:rPr>
                              <w:t>de</w:t>
                            </w:r>
                            <w:r w:rsidR="00505EF2">
                              <w:rPr>
                                <w:lang w:val="en-US"/>
                              </w:rPr>
                              <w:t>crease</w:t>
                            </w:r>
                            <w:r>
                              <w:rPr>
                                <w:lang w:val="en-US"/>
                              </w:rPr>
                              <w:t>s were</w:t>
                            </w:r>
                            <w:r w:rsidR="00D41C5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in the </w:t>
                            </w:r>
                            <w:proofErr w:type="spellStart"/>
                            <w:r w:rsidR="009B6319">
                              <w:rPr>
                                <w:lang w:val="en-US"/>
                              </w:rPr>
                              <w:t>Opolsk</w:t>
                            </w:r>
                            <w:r w:rsidR="009979C9">
                              <w:rPr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lang w:val="en-US"/>
                              </w:rPr>
                              <w:t>e</w:t>
                            </w:r>
                            <w:proofErr w:type="spellEnd"/>
                            <w:r w:rsidR="00C974C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9B6319">
                              <w:rPr>
                                <w:lang w:val="en-US"/>
                              </w:rPr>
                              <w:t xml:space="preserve">, </w:t>
                            </w:r>
                            <w:r w:rsidR="003A3455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9979C9">
                              <w:rPr>
                                <w:lang w:val="en-US"/>
                              </w:rPr>
                              <w:t>Podkarpackie</w:t>
                            </w:r>
                            <w:proofErr w:type="spellEnd"/>
                            <w:r w:rsidR="009979C9">
                              <w:rPr>
                                <w:lang w:val="en-US"/>
                              </w:rPr>
                              <w:t xml:space="preserve"> Voivodship, </w:t>
                            </w:r>
                            <w:r w:rsidR="003A3455">
                              <w:rPr>
                                <w:lang w:val="en-US"/>
                              </w:rPr>
                              <w:br/>
                            </w:r>
                            <w:proofErr w:type="spellStart"/>
                            <w:r w:rsidR="009979C9">
                              <w:rPr>
                                <w:lang w:val="en-US"/>
                              </w:rPr>
                              <w:t>Ma</w:t>
                            </w:r>
                            <w:r w:rsidR="0031305A">
                              <w:rPr>
                                <w:lang w:val="en-US"/>
                              </w:rPr>
                              <w:t>zowieckie</w:t>
                            </w:r>
                            <w:proofErr w:type="spellEnd"/>
                            <w:r w:rsidR="009B6319">
                              <w:rPr>
                                <w:lang w:val="en-US"/>
                              </w:rPr>
                              <w:t xml:space="preserve"> Voivodship</w:t>
                            </w:r>
                            <w:r w:rsidR="0057227D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 xml:space="preserve">and </w:t>
                            </w:r>
                            <w:proofErr w:type="spellStart"/>
                            <w:r w:rsidR="009979C9">
                              <w:rPr>
                                <w:lang w:val="en-US"/>
                              </w:rPr>
                              <w:t>Małopolskie</w:t>
                            </w:r>
                            <w:proofErr w:type="spellEnd"/>
                            <w:r w:rsidR="009979C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B6319">
                              <w:rPr>
                                <w:lang w:val="en-US"/>
                              </w:rPr>
                              <w:t>Voivodship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3.6pt;margin-top:58.2pt;width:140.85pt;height:145.5pt;z-index:-251525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" filled="f" stroked="f">
                <v:textbox>
                  <w:txbxContent>
                    <w:p w:rsidR="0057227D" w:rsidRDefault="00841D17" w:rsidP="0057227D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In the </w:t>
                      </w:r>
                      <w:r w:rsidR="0031305A">
                        <w:rPr>
                          <w:lang w:val="en-US"/>
                        </w:rPr>
                        <w:t>4th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 xml:space="preserve">of 2020, compared to </w:t>
                      </w:r>
                      <w:r w:rsidR="00950DBD">
                        <w:rPr>
                          <w:lang w:val="en-US"/>
                        </w:rPr>
                        <w:t xml:space="preserve">the </w:t>
                      </w:r>
                      <w:r w:rsidR="0031305A">
                        <w:rPr>
                          <w:lang w:val="en-US"/>
                        </w:rPr>
                        <w:t>3r</w:t>
                      </w:r>
                      <w:r w:rsidR="009B6319">
                        <w:rPr>
                          <w:lang w:val="en-US"/>
                        </w:rPr>
                        <w:t>d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30963">
                        <w:rPr>
                          <w:lang w:val="en-US"/>
                        </w:rPr>
                        <w:t xml:space="preserve">quarter </w:t>
                      </w:r>
                      <w:r>
                        <w:rPr>
                          <w:lang w:val="en-US"/>
                        </w:rPr>
                        <w:t>of 2020, t</w:t>
                      </w:r>
                      <w:r w:rsidR="0057227D">
                        <w:rPr>
                          <w:lang w:val="en-US"/>
                        </w:rPr>
                        <w:t xml:space="preserve">he highest increase in prices of residential premises </w:t>
                      </w:r>
                      <w:r w:rsidR="00D41C51">
                        <w:rPr>
                          <w:lang w:val="en-US"/>
                        </w:rPr>
                        <w:t xml:space="preserve">was recorded in the </w:t>
                      </w:r>
                      <w:r w:rsidR="003A3455">
                        <w:rPr>
                          <w:lang w:val="en-US"/>
                        </w:rPr>
                        <w:br/>
                      </w:r>
                      <w:proofErr w:type="spellStart"/>
                      <w:r w:rsidR="0031305A">
                        <w:rPr>
                          <w:lang w:val="en-US"/>
                        </w:rPr>
                        <w:t>Lubuskie</w:t>
                      </w:r>
                      <w:proofErr w:type="spellEnd"/>
                      <w:r w:rsidR="0031305A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>Voivodship</w:t>
                      </w:r>
                      <w:r w:rsidR="0057227D" w:rsidRPr="00730963">
                        <w:rPr>
                          <w:lang w:val="en-US"/>
                        </w:rPr>
                        <w:t xml:space="preserve"> (</w:t>
                      </w:r>
                      <w:r w:rsidR="0057227D">
                        <w:rPr>
                          <w:lang w:val="en-US"/>
                        </w:rPr>
                        <w:t xml:space="preserve">by </w:t>
                      </w:r>
                      <w:r w:rsidR="009D1AAD">
                        <w:rPr>
                          <w:lang w:val="en-US"/>
                        </w:rPr>
                        <w:t>4.7</w:t>
                      </w:r>
                      <w:r w:rsidR="0057227D">
                        <w:rPr>
                          <w:lang w:val="en-US"/>
                        </w:rPr>
                        <w:t>%)</w:t>
                      </w:r>
                      <w:r w:rsidR="00762C47">
                        <w:rPr>
                          <w:lang w:val="en-US"/>
                        </w:rPr>
                        <w:t xml:space="preserve">, </w:t>
                      </w:r>
                      <w:r w:rsidR="00D41C51">
                        <w:rPr>
                          <w:lang w:val="en-US"/>
                        </w:rPr>
                        <w:t>but the</w:t>
                      </w:r>
                      <w:r w:rsidR="00C974C9">
                        <w:rPr>
                          <w:lang w:val="en-US"/>
                        </w:rPr>
                        <w:t> </w:t>
                      </w:r>
                      <w:r>
                        <w:rPr>
                          <w:lang w:val="en-US"/>
                        </w:rPr>
                        <w:t>de</w:t>
                      </w:r>
                      <w:r w:rsidR="00505EF2">
                        <w:rPr>
                          <w:lang w:val="en-US"/>
                        </w:rPr>
                        <w:t>crease</w:t>
                      </w:r>
                      <w:r>
                        <w:rPr>
                          <w:lang w:val="en-US"/>
                        </w:rPr>
                        <w:t>s were</w:t>
                      </w:r>
                      <w:r w:rsidR="00D41C51">
                        <w:rPr>
                          <w:lang w:val="en-US"/>
                        </w:rPr>
                        <w:t xml:space="preserve"> </w:t>
                      </w:r>
                      <w:r w:rsidR="0057227D">
                        <w:rPr>
                          <w:lang w:val="en-US"/>
                        </w:rPr>
                        <w:t xml:space="preserve">in the </w:t>
                      </w:r>
                      <w:proofErr w:type="spellStart"/>
                      <w:r w:rsidR="009B6319">
                        <w:rPr>
                          <w:lang w:val="en-US"/>
                        </w:rPr>
                        <w:t>Opolsk</w:t>
                      </w:r>
                      <w:r w:rsidR="009979C9">
                        <w:rPr>
                          <w:lang w:val="en-US"/>
                        </w:rPr>
                        <w:t>i</w:t>
                      </w:r>
                      <w:r>
                        <w:rPr>
                          <w:lang w:val="en-US"/>
                        </w:rPr>
                        <w:t>e</w:t>
                      </w:r>
                      <w:proofErr w:type="spellEnd"/>
                      <w:r w:rsidR="00C974C9">
                        <w:rPr>
                          <w:lang w:val="en-US"/>
                        </w:rPr>
                        <w:t xml:space="preserve"> Voivodship</w:t>
                      </w:r>
                      <w:r w:rsidR="009B6319">
                        <w:rPr>
                          <w:lang w:val="en-US"/>
                        </w:rPr>
                        <w:t xml:space="preserve">, </w:t>
                      </w:r>
                      <w:r w:rsidR="003A3455">
                        <w:rPr>
                          <w:lang w:val="en-US"/>
                        </w:rPr>
                        <w:br/>
                      </w:r>
                      <w:proofErr w:type="spellStart"/>
                      <w:r w:rsidR="009979C9">
                        <w:rPr>
                          <w:lang w:val="en-US"/>
                        </w:rPr>
                        <w:t>Podkarpackie</w:t>
                      </w:r>
                      <w:proofErr w:type="spellEnd"/>
                      <w:r w:rsidR="009979C9">
                        <w:rPr>
                          <w:lang w:val="en-US"/>
                        </w:rPr>
                        <w:t xml:space="preserve"> Voivodship, </w:t>
                      </w:r>
                      <w:r w:rsidR="003A3455">
                        <w:rPr>
                          <w:lang w:val="en-US"/>
                        </w:rPr>
                        <w:br/>
                      </w:r>
                      <w:proofErr w:type="spellStart"/>
                      <w:r w:rsidR="009979C9">
                        <w:rPr>
                          <w:lang w:val="en-US"/>
                        </w:rPr>
                        <w:t>Ma</w:t>
                      </w:r>
                      <w:r w:rsidR="0031305A">
                        <w:rPr>
                          <w:lang w:val="en-US"/>
                        </w:rPr>
                        <w:t>zowieckie</w:t>
                      </w:r>
                      <w:proofErr w:type="spellEnd"/>
                      <w:r w:rsidR="009B6319">
                        <w:rPr>
                          <w:lang w:val="en-US"/>
                        </w:rPr>
                        <w:t xml:space="preserve"> Voivodship</w:t>
                      </w:r>
                      <w:r w:rsidR="0057227D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 xml:space="preserve">and </w:t>
                      </w:r>
                      <w:proofErr w:type="spellStart"/>
                      <w:r w:rsidR="009979C9">
                        <w:rPr>
                          <w:lang w:val="en-US"/>
                        </w:rPr>
                        <w:t>Małopolskie</w:t>
                      </w:r>
                      <w:proofErr w:type="spellEnd"/>
                      <w:r w:rsidR="009979C9">
                        <w:rPr>
                          <w:lang w:val="en-US"/>
                        </w:rPr>
                        <w:t xml:space="preserve"> </w:t>
                      </w:r>
                      <w:r w:rsidR="009B6319">
                        <w:rPr>
                          <w:lang w:val="en-US"/>
                        </w:rPr>
                        <w:t>Voivodship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0963" w:rsidRPr="00730963">
        <w:rPr>
          <w:b/>
          <w:sz w:val="18"/>
          <w:szCs w:val="18"/>
          <w:lang w:val="en-US"/>
        </w:rPr>
        <w:t>Table</w:t>
      </w:r>
      <w:r w:rsidR="009E181A" w:rsidRPr="00730963">
        <w:rPr>
          <w:b/>
          <w:sz w:val="18"/>
          <w:szCs w:val="18"/>
          <w:lang w:val="en-US"/>
        </w:rPr>
        <w:t xml:space="preserve"> 2. </w:t>
      </w:r>
      <w:r w:rsidR="00730963" w:rsidRPr="00117B13">
        <w:rPr>
          <w:b/>
          <w:spacing w:val="-2"/>
          <w:sz w:val="18"/>
          <w:shd w:val="clear" w:color="auto" w:fill="FFFFFF"/>
          <w:lang w:val="en-US"/>
        </w:rPr>
        <w:t>Price indices of residential premises</w:t>
      </w:r>
      <w:r w:rsidR="00730963" w:rsidRPr="00730963">
        <w:rPr>
          <w:b/>
          <w:spacing w:val="-2"/>
          <w:sz w:val="18"/>
          <w:shd w:val="clear" w:color="auto" w:fill="FFFFFF"/>
          <w:lang w:val="en-US"/>
        </w:rPr>
        <w:t xml:space="preserve"> b</w:t>
      </w:r>
      <w:r w:rsidR="006C50D6">
        <w:rPr>
          <w:b/>
          <w:spacing w:val="-2"/>
          <w:sz w:val="18"/>
          <w:shd w:val="clear" w:color="auto" w:fill="FFFFFF"/>
          <w:lang w:val="en-US"/>
        </w:rPr>
        <w:t xml:space="preserve">y voivodships 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in the </w:t>
      </w:r>
      <w:r w:rsidR="0031305A">
        <w:rPr>
          <w:b/>
          <w:spacing w:val="-2"/>
          <w:sz w:val="18"/>
          <w:shd w:val="clear" w:color="auto" w:fill="FFFFFF"/>
          <w:lang w:val="en-US"/>
        </w:rPr>
        <w:t>fou</w:t>
      </w:r>
      <w:r w:rsidR="009979C9">
        <w:rPr>
          <w:b/>
          <w:spacing w:val="-2"/>
          <w:sz w:val="18"/>
          <w:shd w:val="clear" w:color="auto" w:fill="FFFFFF"/>
          <w:lang w:val="en-US"/>
        </w:rPr>
        <w:t>r</w:t>
      </w:r>
      <w:r w:rsidR="0031305A">
        <w:rPr>
          <w:b/>
          <w:spacing w:val="-2"/>
          <w:sz w:val="18"/>
          <w:shd w:val="clear" w:color="auto" w:fill="FFFFFF"/>
          <w:lang w:val="en-US"/>
        </w:rPr>
        <w:t>th</w:t>
      </w:r>
      <w:r w:rsidR="0073406E">
        <w:rPr>
          <w:b/>
          <w:spacing w:val="-2"/>
          <w:sz w:val="18"/>
          <w:shd w:val="clear" w:color="auto" w:fill="FFFFFF"/>
          <w:lang w:val="en-US"/>
        </w:rPr>
        <w:t xml:space="preserve"> quarter </w:t>
      </w:r>
      <w:r w:rsidR="00841D17">
        <w:rPr>
          <w:b/>
          <w:spacing w:val="-2"/>
          <w:sz w:val="18"/>
          <w:shd w:val="clear" w:color="auto" w:fill="FFFFFF"/>
          <w:lang w:val="en-US"/>
        </w:rPr>
        <w:t>of</w:t>
      </w:r>
      <w:r w:rsidR="00730963">
        <w:rPr>
          <w:b/>
          <w:spacing w:val="-2"/>
          <w:sz w:val="18"/>
          <w:shd w:val="clear" w:color="auto" w:fill="FFFFFF"/>
          <w:lang w:val="en-US"/>
        </w:rPr>
        <w:t xml:space="preserve"> </w:t>
      </w:r>
      <w:r w:rsidR="001F327E">
        <w:rPr>
          <w:b/>
          <w:spacing w:val="-2"/>
          <w:sz w:val="18"/>
          <w:shd w:val="clear" w:color="auto" w:fill="FFFFFF"/>
          <w:lang w:val="en-US"/>
        </w:rPr>
        <w:t>2020</w:t>
      </w:r>
    </w:p>
    <w:tbl>
      <w:tblPr>
        <w:tblpPr w:leftFromText="142" w:rightFromText="142" w:vertAnchor="text" w:horzAnchor="margin" w:tblpXSpec="center" w:tblpY="1"/>
        <w:tblW w:w="8068" w:type="dxa"/>
        <w:tblBorders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94"/>
        <w:gridCol w:w="2278"/>
        <w:gridCol w:w="2278"/>
        <w:gridCol w:w="18"/>
      </w:tblGrid>
      <w:tr w:rsidR="00F95B4F" w:rsidRPr="00F95B4F" w:rsidTr="00F53E18">
        <w:trPr>
          <w:trHeight w:val="57"/>
        </w:trPr>
        <w:tc>
          <w:tcPr>
            <w:tcW w:w="3494" w:type="dxa"/>
            <w:vMerge w:val="restart"/>
            <w:vAlign w:val="center"/>
          </w:tcPr>
          <w:p w:rsidR="00F95B4F" w:rsidRPr="0057227D" w:rsidRDefault="00730963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57227D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4574" w:type="dxa"/>
            <w:gridSpan w:val="3"/>
            <w:vAlign w:val="center"/>
          </w:tcPr>
          <w:p w:rsidR="00F95B4F" w:rsidRPr="0057227D" w:rsidRDefault="00841D17" w:rsidP="00157425">
            <w:pPr>
              <w:keepNext/>
              <w:keepLines/>
              <w:spacing w:line="240" w:lineRule="auto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</w:t>
            </w:r>
            <w:r w:rsidR="00730963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uarter</w:t>
            </w:r>
            <w:r w:rsidR="00351D92"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57425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4</w:t>
            </w:r>
            <w:r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/</w:t>
            </w:r>
            <w:r w:rsidR="001F327E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2020</w:t>
            </w:r>
          </w:p>
        </w:tc>
      </w:tr>
      <w:tr w:rsidR="00F95B4F" w:rsidRPr="00F95B4F" w:rsidTr="00F53E18">
        <w:trPr>
          <w:gridAfter w:val="1"/>
          <w:wAfter w:w="18" w:type="dxa"/>
          <w:trHeight w:val="57"/>
        </w:trPr>
        <w:tc>
          <w:tcPr>
            <w:tcW w:w="3494" w:type="dxa"/>
            <w:vMerge/>
            <w:tcBorders>
              <w:bottom w:val="single" w:sz="12" w:space="0" w:color="212492"/>
            </w:tcBorders>
            <w:vAlign w:val="center"/>
          </w:tcPr>
          <w:p w:rsidR="00F95B4F" w:rsidRPr="0057227D" w:rsidRDefault="00F95B4F" w:rsidP="00E945B7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lang w:val="en-GB" w:eastAsia="pl-PL"/>
              </w:rPr>
            </w:pPr>
          </w:p>
        </w:tc>
        <w:tc>
          <w:tcPr>
            <w:tcW w:w="2278" w:type="dxa"/>
            <w:tcBorders>
              <w:bottom w:val="single" w:sz="12" w:space="0" w:color="212492"/>
            </w:tcBorders>
            <w:vAlign w:val="center"/>
          </w:tcPr>
          <w:p w:rsidR="009C3C87" w:rsidRPr="0057227D" w:rsidRDefault="00730963" w:rsidP="0015742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="00151B91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57425">
              <w:rPr>
                <w:color w:val="000000" w:themeColor="text1"/>
                <w:sz w:val="16"/>
                <w:szCs w:val="16"/>
                <w:lang w:val="en-GB"/>
              </w:rPr>
              <w:t>3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/2020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2278" w:type="dxa"/>
            <w:vAlign w:val="center"/>
          </w:tcPr>
          <w:p w:rsidR="009C3C87" w:rsidRPr="0057227D" w:rsidRDefault="00730963" w:rsidP="00157425">
            <w:pPr>
              <w:spacing w:line="240" w:lineRule="auto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57227D">
              <w:rPr>
                <w:rFonts w:eastAsiaTheme="majorEastAsia" w:cstheme="majorBidi"/>
                <w:bCs/>
                <w:color w:val="000000" w:themeColor="text1"/>
                <w:sz w:val="16"/>
                <w:szCs w:val="16"/>
                <w:lang w:val="en-GB"/>
              </w:rPr>
              <w:t>quarter</w:t>
            </w:r>
            <w:r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57425">
              <w:rPr>
                <w:color w:val="000000" w:themeColor="text1"/>
                <w:sz w:val="16"/>
                <w:szCs w:val="16"/>
                <w:lang w:val="en-GB"/>
              </w:rPr>
              <w:t>4</w:t>
            </w:r>
            <w:r w:rsidR="00841D17">
              <w:rPr>
                <w:color w:val="000000" w:themeColor="text1"/>
                <w:sz w:val="16"/>
                <w:szCs w:val="16"/>
                <w:lang w:val="en-GB"/>
              </w:rPr>
              <w:t>/</w:t>
            </w:r>
            <w:r w:rsidR="001F327E">
              <w:rPr>
                <w:color w:val="000000" w:themeColor="text1"/>
                <w:sz w:val="16"/>
                <w:szCs w:val="16"/>
                <w:lang w:val="en-GB"/>
              </w:rPr>
              <w:t>2019</w:t>
            </w:r>
            <w:r w:rsidR="0057227D" w:rsidRPr="0057227D">
              <w:rPr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9C3C87" w:rsidRPr="0057227D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tcBorders>
              <w:top w:val="single" w:sz="12" w:space="0" w:color="212492"/>
            </w:tcBorders>
            <w:vAlign w:val="center"/>
          </w:tcPr>
          <w:p w:rsidR="0031305A" w:rsidRPr="00F95B4F" w:rsidRDefault="0031305A" w:rsidP="0031305A">
            <w:pPr>
              <w:keepNext/>
              <w:keepLines/>
              <w:tabs>
                <w:tab w:val="right" w:leader="dot" w:pos="4156"/>
              </w:tabs>
              <w:spacing w:before="0" w:after="0" w:line="240" w:lineRule="auto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POLAND</w:t>
            </w:r>
          </w:p>
        </w:tc>
        <w:tc>
          <w:tcPr>
            <w:tcW w:w="2278" w:type="dxa"/>
            <w:tcBorders>
              <w:top w:val="single" w:sz="12" w:space="0" w:color="212492"/>
            </w:tcBorders>
          </w:tcPr>
          <w:p w:rsidR="0031305A" w:rsidRPr="00E743E5" w:rsidRDefault="0031305A" w:rsidP="0031305A">
            <w:pPr>
              <w:jc w:val="center"/>
              <w:rPr>
                <w:b/>
                <w:sz w:val="16"/>
                <w:szCs w:val="16"/>
              </w:rPr>
            </w:pPr>
            <w:r w:rsidRPr="00E743E5">
              <w:rPr>
                <w:b/>
                <w:sz w:val="16"/>
                <w:szCs w:val="16"/>
              </w:rPr>
              <w:t>101</w:t>
            </w:r>
            <w:r>
              <w:rPr>
                <w:b/>
                <w:sz w:val="16"/>
                <w:szCs w:val="16"/>
              </w:rPr>
              <w:t>.</w:t>
            </w:r>
            <w:r w:rsidRPr="00E743E5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  <w:tcBorders>
              <w:top w:val="single" w:sz="12" w:space="0" w:color="212492"/>
            </w:tcBorders>
          </w:tcPr>
          <w:p w:rsidR="0031305A" w:rsidRPr="00E743E5" w:rsidRDefault="0031305A" w:rsidP="0031305A">
            <w:pPr>
              <w:jc w:val="center"/>
              <w:rPr>
                <w:b/>
                <w:sz w:val="16"/>
                <w:szCs w:val="16"/>
              </w:rPr>
            </w:pPr>
            <w:r w:rsidRPr="00E743E5">
              <w:rPr>
                <w:b/>
                <w:sz w:val="16"/>
                <w:szCs w:val="16"/>
              </w:rPr>
              <w:t>108</w:t>
            </w:r>
            <w:r>
              <w:rPr>
                <w:b/>
                <w:sz w:val="16"/>
                <w:szCs w:val="16"/>
              </w:rPr>
              <w:t>.</w:t>
            </w:r>
            <w:r w:rsidRPr="00E743E5">
              <w:rPr>
                <w:b/>
                <w:sz w:val="16"/>
                <w:szCs w:val="16"/>
              </w:rPr>
              <w:t>9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Dolnośląskie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3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Kujawsko-Pomorskie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7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Lubelskie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0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112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0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Lubuskie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0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Łódzkie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0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Małopolskie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5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Mazowieckie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4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Opolskie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98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4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103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5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Podkarpackie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99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3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104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6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Podlaskie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6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109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1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Pomorskie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5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106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2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Śląskie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101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8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Świętokrzyskie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2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2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Warmińsko-Mazurskie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100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8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107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4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Wielkopolskie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7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110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9</w:t>
            </w:r>
          </w:p>
        </w:tc>
      </w:tr>
      <w:tr w:rsidR="0031305A" w:rsidRPr="00F95B4F" w:rsidTr="00416F7B">
        <w:trPr>
          <w:trHeight w:val="57"/>
        </w:trPr>
        <w:tc>
          <w:tcPr>
            <w:tcW w:w="3494" w:type="dxa"/>
            <w:vAlign w:val="center"/>
          </w:tcPr>
          <w:p w:rsidR="0031305A" w:rsidRPr="00F95B4F" w:rsidRDefault="0031305A" w:rsidP="0031305A">
            <w:pPr>
              <w:spacing w:before="0" w:after="0" w:line="240" w:lineRule="auto"/>
              <w:rPr>
                <w:sz w:val="16"/>
                <w:szCs w:val="16"/>
              </w:rPr>
            </w:pPr>
            <w:r w:rsidRPr="00F95B4F">
              <w:rPr>
                <w:sz w:val="16"/>
                <w:szCs w:val="16"/>
              </w:rPr>
              <w:t xml:space="preserve">Zachodniopomorskie </w:t>
            </w:r>
          </w:p>
        </w:tc>
        <w:tc>
          <w:tcPr>
            <w:tcW w:w="2278" w:type="dxa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102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1</w:t>
            </w:r>
          </w:p>
        </w:tc>
        <w:tc>
          <w:tcPr>
            <w:tcW w:w="2296" w:type="dxa"/>
            <w:gridSpan w:val="2"/>
          </w:tcPr>
          <w:p w:rsidR="0031305A" w:rsidRPr="00E743E5" w:rsidRDefault="0031305A" w:rsidP="0031305A">
            <w:pPr>
              <w:jc w:val="center"/>
              <w:rPr>
                <w:sz w:val="16"/>
                <w:szCs w:val="16"/>
              </w:rPr>
            </w:pPr>
            <w:r w:rsidRPr="00E743E5">
              <w:rPr>
                <w:sz w:val="16"/>
                <w:szCs w:val="16"/>
              </w:rPr>
              <w:t>108</w:t>
            </w:r>
            <w:r>
              <w:rPr>
                <w:sz w:val="16"/>
                <w:szCs w:val="16"/>
              </w:rPr>
              <w:t>.</w:t>
            </w:r>
            <w:r w:rsidRPr="00E743E5">
              <w:rPr>
                <w:sz w:val="16"/>
                <w:szCs w:val="16"/>
              </w:rPr>
              <w:t>2</w:t>
            </w:r>
          </w:p>
        </w:tc>
      </w:tr>
    </w:tbl>
    <w:p w:rsidR="00E01393" w:rsidRDefault="00E01393" w:rsidP="00E76D26">
      <w:pPr>
        <w:rPr>
          <w:b/>
          <w:sz w:val="18"/>
          <w:szCs w:val="18"/>
          <w:shd w:val="clear" w:color="auto" w:fill="FFFFFF"/>
        </w:rPr>
      </w:pPr>
    </w:p>
    <w:p w:rsidR="002B0BCB" w:rsidRPr="0073406E" w:rsidRDefault="002B0BCB" w:rsidP="002B0BCB">
      <w:pPr>
        <w:rPr>
          <w:sz w:val="18"/>
          <w:lang w:val="en-US"/>
        </w:rPr>
        <w:sectPr w:rsidR="002B0BCB" w:rsidRPr="0073406E" w:rsidSect="003B18B6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122EFD">
        <w:rPr>
          <w:rFonts w:cs="Arial"/>
          <w:color w:val="000000" w:themeColor="text1"/>
          <w:sz w:val="20"/>
          <w:lang w:val="en-US"/>
        </w:rPr>
        <w:t xml:space="preserve">In case of quoting Statistics Poland data, please provide information: “Source of data: Statistics Poland”, and in case of publishing calculations made on data published by Statistics Poland, please include the following disclaimer: “Own study based on </w:t>
      </w:r>
      <w:r>
        <w:rPr>
          <w:rFonts w:cs="Arial"/>
          <w:color w:val="000000" w:themeColor="text1"/>
          <w:sz w:val="20"/>
          <w:lang w:val="en-US"/>
        </w:rPr>
        <w:t>figures from Statistics Poland”.</w:t>
      </w:r>
    </w:p>
    <w:p w:rsidR="000470AA" w:rsidRPr="0073406E" w:rsidRDefault="000470AA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9"/>
        <w:gridCol w:w="3828"/>
      </w:tblGrid>
      <w:tr w:rsidR="00CA7351" w:rsidRPr="00CF5256" w:rsidTr="00F53E18">
        <w:trPr>
          <w:trHeight w:val="1912"/>
        </w:trPr>
        <w:tc>
          <w:tcPr>
            <w:tcW w:w="4379" w:type="dxa"/>
          </w:tcPr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EF53D1" w:rsidRPr="004802D4" w:rsidRDefault="00EF53D1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4802D4">
              <w:rPr>
                <w:rFonts w:cs="Arial"/>
                <w:b/>
                <w:color w:val="000000" w:themeColor="text1"/>
                <w:sz w:val="20"/>
                <w:lang w:val="en-US"/>
              </w:rPr>
              <w:t>Tr</w:t>
            </w:r>
            <w:r>
              <w:rPr>
                <w:rFonts w:cs="Arial"/>
                <w:b/>
                <w:color w:val="000000" w:themeColor="text1"/>
                <w:sz w:val="20"/>
                <w:lang w:val="en-US"/>
              </w:rPr>
              <w:t>ade and Services Department</w:t>
            </w:r>
          </w:p>
          <w:p w:rsidR="00EF53D1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:rsidR="00EF53D1" w:rsidRPr="008F3638" w:rsidRDefault="004C2285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26348E" w:rsidRPr="0026348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tel. (+48) </w:t>
            </w:r>
            <w:r w:rsidRPr="004C228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695 255 067</w:t>
            </w:r>
          </w:p>
          <w:p w:rsidR="00CA7351" w:rsidRPr="004C2285" w:rsidRDefault="00CA7351" w:rsidP="001531F8">
            <w:pPr>
              <w:pStyle w:val="Nagwek3"/>
              <w:spacing w:before="0" w:line="276" w:lineRule="auto"/>
              <w:rPr>
                <w:rFonts w:ascii="Fira Sans" w:hAnsi="Fira Sans"/>
                <w:color w:val="000000" w:themeColor="text1"/>
                <w:lang w:val="en-US"/>
              </w:rPr>
            </w:pPr>
          </w:p>
        </w:tc>
        <w:tc>
          <w:tcPr>
            <w:tcW w:w="3942" w:type="dxa"/>
          </w:tcPr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26348E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The Spoke</w:t>
            </w:r>
            <w:r w:rsidR="00C0678B">
              <w:rPr>
                <w:rFonts w:cs="Arial"/>
                <w:b/>
                <w:color w:val="000000" w:themeColor="text1"/>
                <w:sz w:val="20"/>
                <w:lang w:val="en-US"/>
              </w:rPr>
              <w:t>s</w:t>
            </w:r>
            <w:bookmarkStart w:id="0" w:name="_GoBack"/>
            <w:bookmarkEnd w:id="0"/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person for the President </w:t>
            </w:r>
          </w:p>
          <w:p w:rsidR="0026348E" w:rsidRPr="0026348E" w:rsidRDefault="0026348E" w:rsidP="001531F8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26348E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348E" w:rsidRPr="0026348E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26348E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26348E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348E" w:rsidRPr="008F3638" w:rsidRDefault="0026348E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</w:t>
            </w:r>
            <w:r w:rsidRPr="003A56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(+48)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:rsidR="00CA7351" w:rsidRPr="0026348E" w:rsidRDefault="00CA7351" w:rsidP="001531F8">
            <w:pPr>
              <w:pStyle w:val="Nagwek3"/>
              <w:spacing w:before="0" w:line="276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fi-FI"/>
              </w:rPr>
            </w:pPr>
          </w:p>
        </w:tc>
      </w:tr>
    </w:tbl>
    <w:p w:rsidR="00CA7351" w:rsidRPr="0026348E" w:rsidRDefault="00CA7351" w:rsidP="00CA7351">
      <w:pPr>
        <w:rPr>
          <w:sz w:val="20"/>
          <w:lang w:val="en-US"/>
        </w:rPr>
      </w:pPr>
    </w:p>
    <w:p w:rsidR="00CA7351" w:rsidRPr="0026348E" w:rsidRDefault="00CA7351" w:rsidP="00CA7351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CA7351" w:rsidRPr="00CF5256" w:rsidTr="00F53E18">
        <w:trPr>
          <w:trHeight w:val="610"/>
        </w:trPr>
        <w:tc>
          <w:tcPr>
            <w:tcW w:w="2721" w:type="pct"/>
            <w:vMerge w:val="restart"/>
            <w:vAlign w:val="center"/>
          </w:tcPr>
          <w:p w:rsidR="001531F8" w:rsidRPr="00451870" w:rsidRDefault="001531F8" w:rsidP="001531F8">
            <w:pPr>
              <w:rPr>
                <w:b/>
                <w:sz w:val="20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Press Office</w:t>
            </w:r>
          </w:p>
          <w:p w:rsidR="001531F8" w:rsidRPr="00451870" w:rsidRDefault="001531F8" w:rsidP="001531F8">
            <w:pPr>
              <w:rPr>
                <w:sz w:val="20"/>
                <w:lang w:val="en-US"/>
              </w:rPr>
            </w:pP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451870">
              <w:rPr>
                <w:sz w:val="20"/>
                <w:lang w:val="en-US"/>
              </w:rPr>
              <w:t>608 34 91</w:t>
            </w:r>
            <w:r w:rsidR="00C32CB6">
              <w:rPr>
                <w:sz w:val="20"/>
                <w:lang w:val="en-US"/>
              </w:rPr>
              <w:t>.</w:t>
            </w:r>
            <w:r w:rsidRPr="00451870">
              <w:rPr>
                <w:sz w:val="20"/>
                <w:lang w:val="en-US"/>
              </w:rPr>
              <w:t xml:space="preserve"> 608 38 04 </w:t>
            </w:r>
          </w:p>
          <w:p w:rsidR="00CA7351" w:rsidRPr="00EE456A" w:rsidRDefault="001531F8" w:rsidP="001531F8">
            <w:pPr>
              <w:rPr>
                <w:sz w:val="18"/>
                <w:lang w:val="en-US"/>
              </w:rPr>
            </w:pPr>
            <w:r w:rsidRPr="00451870">
              <w:rPr>
                <w:b/>
                <w:sz w:val="20"/>
                <w:lang w:val="en-US"/>
              </w:rPr>
              <w:t>e-mail:</w:t>
            </w:r>
            <w:r w:rsidRPr="00451870">
              <w:rPr>
                <w:sz w:val="20"/>
                <w:lang w:val="en-US"/>
              </w:rPr>
              <w:t xml:space="preserve"> </w:t>
            </w:r>
            <w:hyperlink r:id="rId20" w:history="1">
              <w:r w:rsidRPr="00451870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CA7351" w:rsidRPr="00EE456A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 w:rsidRPr="00B62AC7">
              <w:rPr>
                <w:sz w:val="20"/>
                <w:lang w:val="en-US"/>
              </w:rPr>
              <w:t>www.stat.gov.pl</w:t>
            </w:r>
            <w:r w:rsidR="006B3F47">
              <w:rPr>
                <w:sz w:val="20"/>
                <w:lang w:val="en-US"/>
              </w:rPr>
              <w:t>/en/</w:t>
            </w:r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6B3F47" w:rsidP="00CA7351">
            <w:pPr>
              <w:rPr>
                <w:sz w:val="18"/>
                <w:lang w:val="en-US"/>
              </w:rPr>
            </w:pPr>
            <w:r>
              <w:rPr>
                <w:sz w:val="20"/>
                <w:lang w:val="en-US"/>
              </w:rPr>
              <w:t>@</w:t>
            </w:r>
            <w:proofErr w:type="spellStart"/>
            <w:r>
              <w:rPr>
                <w:sz w:val="20"/>
                <w:lang w:val="en-US"/>
              </w:rPr>
              <w:t>StatPoland</w:t>
            </w:r>
            <w:proofErr w:type="spellEnd"/>
          </w:p>
        </w:tc>
      </w:tr>
      <w:tr w:rsidR="00CA7351" w:rsidRPr="00B62AC7" w:rsidTr="00F53E18">
        <w:trPr>
          <w:trHeight w:val="436"/>
        </w:trPr>
        <w:tc>
          <w:tcPr>
            <w:tcW w:w="2721" w:type="pct"/>
            <w:vMerge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CA7351" w:rsidRPr="00B62AC7" w:rsidRDefault="00CA7351" w:rsidP="00CA7351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CA7351" w:rsidRPr="00B62AC7" w:rsidRDefault="00CA7351" w:rsidP="00CA7351">
            <w:pPr>
              <w:rPr>
                <w:sz w:val="20"/>
                <w:lang w:val="en-US"/>
              </w:rPr>
            </w:pPr>
            <w:r w:rsidRPr="00B62AC7">
              <w:rPr>
                <w:sz w:val="20"/>
                <w:lang w:val="en-US"/>
              </w:rPr>
              <w:t>@</w:t>
            </w:r>
            <w:proofErr w:type="spellStart"/>
            <w:r w:rsidRPr="00B62AC7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:rsidR="00D261A2" w:rsidRPr="00B62AC7" w:rsidRDefault="00553BB8" w:rsidP="00E76D26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425450</wp:posOffset>
                </wp:positionV>
                <wp:extent cx="6559550" cy="4443095"/>
                <wp:effectExtent l="0" t="0" r="12700" b="14605"/>
                <wp:wrapSquare wrapText="bothSides"/>
                <wp:docPr id="10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6C8" w:rsidRDefault="009B46C8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9B46C8" w:rsidRPr="00C2775E" w:rsidRDefault="009B46C8" w:rsidP="00EF53D1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C2775E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:rsidR="009B46C8" w:rsidRPr="00B62AC7" w:rsidRDefault="00792784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4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indices of residential premises by voivodships</w:t>
                              </w:r>
                            </w:hyperlink>
                          </w:p>
                          <w:p w:rsidR="009B46C8" w:rsidRPr="00B62AC7" w:rsidRDefault="00792784" w:rsidP="00EF53D1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5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Price of one square meter of usable floor space of a residential building</w:t>
                              </w:r>
                            </w:hyperlink>
                          </w:p>
                          <w:p w:rsidR="009B46C8" w:rsidRPr="00950DBD" w:rsidRDefault="00950DBD" w:rsidP="00CA7351">
                            <w:pPr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 w:rsidR="009E4AB2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>HYPERLINK "https://stat.gov.pl/en/topics/municipal-infrastructure/municipal-infrastructure/real-estate-sales-in-2019,2,12.html"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50DBD">
                              <w:rPr>
                                <w:rStyle w:val="Hipercze"/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Real estate sales in 2019</w:t>
                            </w:r>
                          </w:p>
                          <w:p w:rsidR="00950DBD" w:rsidRPr="00EF53D1" w:rsidRDefault="00950DBD" w:rsidP="00CA735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:rsidR="009B46C8" w:rsidRPr="00B62AC7" w:rsidRDefault="00792784" w:rsidP="00CA7351">
                            <w:pPr>
                              <w:rPr>
                                <w:rFonts w:cs="Fira Sans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6" w:history="1">
                              <w:r w:rsidR="009B46C8" w:rsidRPr="00B62AC7">
                                <w:rPr>
                                  <w:rStyle w:val="Hipercze"/>
                                  <w:rFonts w:cs="Fira Sans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Knowledge Databases (DBW) Prices</w:t>
                              </w:r>
                            </w:hyperlink>
                          </w:p>
                          <w:p w:rsidR="009B46C8" w:rsidRPr="0026348E" w:rsidRDefault="00792784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  <w:hyperlink r:id="rId27" w:history="1">
                              <w:r w:rsidR="0026348E" w:rsidRPr="0026348E">
                                <w:rPr>
                                  <w:rStyle w:val="Hipercze"/>
                                  <w:rFonts w:cstheme="minorBidi"/>
                                  <w:color w:val="001D77"/>
                                  <w:szCs w:val="24"/>
                                  <w:lang w:val="en-US"/>
                                </w:rPr>
                                <w:t>Local Data Bank – Real Estate Market</w:t>
                              </w:r>
                            </w:hyperlink>
                          </w:p>
                          <w:p w:rsidR="0026348E" w:rsidRPr="0026348E" w:rsidRDefault="0026348E" w:rsidP="00CA7351">
                            <w:pPr>
                              <w:rPr>
                                <w:color w:val="001D77"/>
                                <w:szCs w:val="24"/>
                                <w:lang w:val="en-US"/>
                              </w:rPr>
                            </w:pPr>
                          </w:p>
                          <w:p w:rsidR="009B46C8" w:rsidRPr="004802D4" w:rsidRDefault="009B46C8" w:rsidP="00EF53D1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4802D4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</w:t>
                            </w:r>
                            <w: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rms used in official statistics</w:t>
                            </w:r>
                          </w:p>
                          <w:p w:rsidR="009B46C8" w:rsidRPr="00B62AC7" w:rsidRDefault="00792784" w:rsidP="00EF53D1">
                            <w:pPr>
                              <w:rPr>
                                <w:color w:val="001D77"/>
                                <w:lang w:val="en-US"/>
                              </w:rPr>
                            </w:pPr>
                            <w:hyperlink r:id="rId28" w:history="1">
                              <w:r w:rsidR="009B46C8" w:rsidRPr="00B62AC7">
                                <w:rPr>
                                  <w:rStyle w:val="Hipercze"/>
                                  <w:rFonts w:cstheme="minorBidi"/>
                                  <w:color w:val="001D77"/>
                                  <w:lang w:val="en-US"/>
                                </w:rPr>
                                <w:t>Real estate turnover</w:t>
                              </w:r>
                            </w:hyperlink>
                          </w:p>
                          <w:p w:rsidR="009B46C8" w:rsidRPr="00B62AC7" w:rsidRDefault="00792784" w:rsidP="00EF53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Register of Real Estate Prices and Values</w:t>
                              </w:r>
                            </w:hyperlink>
                          </w:p>
                          <w:p w:rsidR="009B46C8" w:rsidRPr="00B62AC7" w:rsidRDefault="00792784" w:rsidP="00EF53D1">
                            <w:pPr>
                              <w:spacing w:line="240" w:lineRule="auto"/>
                              <w:rPr>
                                <w:rFonts w:cs="Arial"/>
                                <w:color w:val="001D77"/>
                                <w:sz w:val="18"/>
                                <w:szCs w:val="30"/>
                                <w:u w:val="single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9B46C8" w:rsidRPr="00B62AC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Premises</w:t>
                              </w:r>
                            </w:hyperlink>
                          </w:p>
                          <w:p w:rsidR="009B46C8" w:rsidRPr="00B129EC" w:rsidRDefault="00792784" w:rsidP="00627594">
                            <w:pPr>
                              <w:spacing w:line="240" w:lineRule="auto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627594" w:rsidRPr="00627594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indices of residential premises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Oxvwj0+AgAAdA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:rsidR="009B46C8" w:rsidRDefault="009B46C8" w:rsidP="00AB6D25">
                      <w:pPr>
                        <w:rPr>
                          <w:b/>
                        </w:rPr>
                      </w:pPr>
                    </w:p>
                    <w:p w:rsidR="009B46C8" w:rsidRPr="00C2775E" w:rsidRDefault="009B46C8" w:rsidP="00EF53D1">
                      <w:pPr>
                        <w:rPr>
                          <w:b/>
                          <w:lang w:val="en-US"/>
                        </w:rPr>
                      </w:pPr>
                      <w:r w:rsidRPr="00C2775E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:rsidR="009B46C8" w:rsidRPr="00B62AC7" w:rsidRDefault="00C009DC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2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indices of residential premises by voivodships</w:t>
                        </w:r>
                      </w:hyperlink>
                    </w:p>
                    <w:p w:rsidR="009B46C8" w:rsidRPr="00B62AC7" w:rsidRDefault="00C009DC" w:rsidP="00EF53D1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3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Price of one square meter of usable floor space of a residential building</w:t>
                        </w:r>
                      </w:hyperlink>
                    </w:p>
                    <w:p w:rsidR="009B46C8" w:rsidRPr="00950DBD" w:rsidRDefault="00950DBD" w:rsidP="00CA7351">
                      <w:pPr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 w:rsidR="009E4AB2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>HYPERLINK "https://stat.gov.pl/en/topics/municipal-infrastructure/municipal-infrastructure/real-estate-sales-in-2019,2,12.html"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50DBD">
                        <w:rPr>
                          <w:rStyle w:val="Hipercze"/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  <w:t>Real estate sales in 2019</w:t>
                      </w:r>
                    </w:p>
                    <w:p w:rsidR="00950DBD" w:rsidRPr="00EF53D1" w:rsidRDefault="00950DBD" w:rsidP="00CA735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:rsidR="009B46C8" w:rsidRPr="00B62AC7" w:rsidRDefault="00C009DC" w:rsidP="00CA7351">
                      <w:pPr>
                        <w:rPr>
                          <w:rFonts w:cs="Fira Sans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4" w:history="1">
                        <w:r w:rsidR="009B46C8" w:rsidRPr="00B62AC7">
                          <w:rPr>
                            <w:rStyle w:val="Hipercze"/>
                            <w:rFonts w:cs="Fira Sans"/>
                            <w:color w:val="001D77"/>
                            <w:sz w:val="18"/>
                            <w:szCs w:val="18"/>
                            <w:lang w:val="en-US"/>
                          </w:rPr>
                          <w:t>Knowledge Databases (DBW) Prices</w:t>
                        </w:r>
                      </w:hyperlink>
                    </w:p>
                    <w:p w:rsidR="009B46C8" w:rsidRPr="0026348E" w:rsidRDefault="00C009DC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  <w:hyperlink r:id="rId35" w:history="1">
                        <w:r w:rsidR="0026348E" w:rsidRPr="0026348E">
                          <w:rPr>
                            <w:rStyle w:val="Hipercze"/>
                            <w:rFonts w:cstheme="minorBidi"/>
                            <w:color w:val="001D77"/>
                            <w:szCs w:val="24"/>
                            <w:lang w:val="en-US"/>
                          </w:rPr>
                          <w:t>Local Data Bank – Real Estate Market</w:t>
                        </w:r>
                      </w:hyperlink>
                    </w:p>
                    <w:p w:rsidR="0026348E" w:rsidRPr="0026348E" w:rsidRDefault="0026348E" w:rsidP="00CA7351">
                      <w:pPr>
                        <w:rPr>
                          <w:color w:val="001D77"/>
                          <w:szCs w:val="24"/>
                          <w:lang w:val="en-US"/>
                        </w:rPr>
                      </w:pPr>
                    </w:p>
                    <w:p w:rsidR="009B46C8" w:rsidRPr="004802D4" w:rsidRDefault="009B46C8" w:rsidP="00EF53D1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4802D4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</w:t>
                      </w:r>
                      <w: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rms used in official statistics</w:t>
                      </w:r>
                    </w:p>
                    <w:p w:rsidR="009B46C8" w:rsidRPr="00B62AC7" w:rsidRDefault="00C009DC" w:rsidP="00EF53D1">
                      <w:pPr>
                        <w:rPr>
                          <w:color w:val="001D77"/>
                          <w:lang w:val="en-US"/>
                        </w:rPr>
                      </w:pPr>
                      <w:hyperlink r:id="rId36" w:history="1">
                        <w:r w:rsidR="009B46C8" w:rsidRPr="00B62AC7">
                          <w:rPr>
                            <w:rStyle w:val="Hipercze"/>
                            <w:rFonts w:cstheme="minorBidi"/>
                            <w:color w:val="001D77"/>
                            <w:lang w:val="en-US"/>
                          </w:rPr>
                          <w:t>Real estate turnover</w:t>
                        </w:r>
                      </w:hyperlink>
                    </w:p>
                    <w:p w:rsidR="009B46C8" w:rsidRPr="00B62AC7" w:rsidRDefault="00C009DC" w:rsidP="00EF53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Register of Real Estate Prices and Values</w:t>
                        </w:r>
                      </w:hyperlink>
                    </w:p>
                    <w:p w:rsidR="009B46C8" w:rsidRPr="00B62AC7" w:rsidRDefault="00C009DC" w:rsidP="00EF53D1">
                      <w:pPr>
                        <w:spacing w:line="240" w:lineRule="auto"/>
                        <w:rPr>
                          <w:rFonts w:cs="Arial"/>
                          <w:color w:val="001D77"/>
                          <w:sz w:val="18"/>
                          <w:szCs w:val="30"/>
                          <w:u w:val="single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9B46C8" w:rsidRPr="00B62AC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Premises</w:t>
                        </w:r>
                      </w:hyperlink>
                    </w:p>
                    <w:p w:rsidR="009B46C8" w:rsidRPr="00B129EC" w:rsidRDefault="00C009DC" w:rsidP="00627594">
                      <w:pPr>
                        <w:spacing w:line="240" w:lineRule="auto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indices of reside</w:t>
                        </w:r>
                        <w:bookmarkStart w:id="1" w:name="_GoBack"/>
                        <w:bookmarkEnd w:id="1"/>
                        <w:r w:rsidR="00627594" w:rsidRPr="00627594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ntial premises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B62AC7" w:rsidSect="003B18B6">
      <w:headerReference w:type="default" r:id="rId40"/>
      <w:footerReference w:type="default" r:id="rId4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784" w:rsidRDefault="00792784" w:rsidP="000662E2">
      <w:pPr>
        <w:spacing w:after="0" w:line="240" w:lineRule="auto"/>
      </w:pPr>
      <w:r>
        <w:separator/>
      </w:r>
    </w:p>
  </w:endnote>
  <w:endnote w:type="continuationSeparator" w:id="0">
    <w:p w:rsidR="00792784" w:rsidRDefault="0079278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67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2B0BCB" w:rsidRDefault="002B0BCB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678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9B46C8" w:rsidRDefault="00E47048" w:rsidP="003B18B6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C0678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784" w:rsidRDefault="00792784" w:rsidP="000662E2">
      <w:pPr>
        <w:spacing w:after="0" w:line="240" w:lineRule="auto"/>
      </w:pPr>
      <w:r>
        <w:separator/>
      </w:r>
    </w:p>
  </w:footnote>
  <w:footnote w:type="continuationSeparator" w:id="0">
    <w:p w:rsidR="00792784" w:rsidRDefault="00792784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4D06F" wp14:editId="273D2125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E17213"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2B0BCB" w:rsidRDefault="002B0B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BCB" w:rsidRDefault="002B0BCB">
    <w:pPr>
      <w:pStyle w:val="Nagwek"/>
      <w:rPr>
        <w:noProof/>
        <w:lang w:eastAsia="pl-PL"/>
      </w:rPr>
    </w:pPr>
    <w:r w:rsidRPr="00981C2B">
      <w:rPr>
        <w:noProof/>
        <w:lang w:eastAsia="pl-PL"/>
      </w:rPr>
      <w:drawing>
        <wp:inline distT="0" distB="0" distL="0" distR="0" wp14:anchorId="6F2D54B7" wp14:editId="3917ED3D">
          <wp:extent cx="2080803" cy="71965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ang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3" cy="71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5F50145" wp14:editId="033E922E">
              <wp:simplePos x="0" y="0"/>
              <wp:positionH relativeFrom="column">
                <wp:posOffset>5219700</wp:posOffset>
              </wp:positionH>
              <wp:positionV relativeFrom="paragraph">
                <wp:posOffset>782955</wp:posOffset>
              </wp:positionV>
              <wp:extent cx="1432560" cy="336550"/>
              <wp:effectExtent l="0" t="0" r="0" b="635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0BCB" w:rsidRPr="00D3193A" w:rsidRDefault="004F376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06.04.</w:t>
                          </w:r>
                          <w:r w:rsidR="002B0BCB" w:rsidRPr="00D3193A">
                            <w:rPr>
                              <w:rFonts w:ascii="Fira Sans SemiBold" w:hAnsi="Fira Sans SemiBold"/>
                              <w:color w:val="001D77"/>
                            </w:rPr>
                            <w:t>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F5014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61.6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" filled="f" stroked="f">
              <v:textbox>
                <w:txbxContent>
                  <w:p w:rsidR="002B0BCB" w:rsidRPr="00D3193A" w:rsidRDefault="004F376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3193A">
                      <w:rPr>
                        <w:rFonts w:ascii="Fira Sans SemiBold" w:hAnsi="Fira Sans SemiBold"/>
                        <w:color w:val="001D77"/>
                      </w:rPr>
                      <w:t>06.04.</w:t>
                    </w:r>
                    <w:r w:rsidR="002B0BCB" w:rsidRPr="00D3193A">
                      <w:rPr>
                        <w:rFonts w:ascii="Fira Sans SemiBold" w:hAnsi="Fira Sans SemiBold"/>
                        <w:color w:val="001D77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AA796" wp14:editId="067BD3C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2B0BCB" w:rsidRPr="003C6C8D" w:rsidRDefault="002B0B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7AA796" id="Schemat blokowy: opóźnienie 6" o:spid="_x0000_s1032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2F2SQYAACo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2B0BCB" w:rsidRPr="003C6C8D" w:rsidRDefault="002B0B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77933B1" wp14:editId="5FC0ED6F">
              <wp:simplePos x="0" y="0"/>
              <wp:positionH relativeFrom="column">
                <wp:posOffset>5220970</wp:posOffset>
              </wp:positionH>
              <wp:positionV relativeFrom="paragraph">
                <wp:posOffset>511810</wp:posOffset>
              </wp:positionV>
              <wp:extent cx="1871980" cy="22905085"/>
              <wp:effectExtent l="1270" t="0" r="3175" b="0"/>
              <wp:wrapNone/>
              <wp:docPr id="3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ECADBB" id="Prostokąt 10" o:spid="_x0000_s1026" style="position:absolute;margin-left:411.1pt;margin-top:40.3pt;width:147.4pt;height:1803.5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" fillcolor="#f2f2f2" stroked="f" strokeweight="1pt">
              <v:path arrowok="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46C8" w:rsidRDefault="009B46C8">
    <w:pPr>
      <w:pStyle w:val="Nagwek"/>
    </w:pPr>
  </w:p>
  <w:p w:rsidR="009B46C8" w:rsidRDefault="009B46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1.6pt;height:121.6pt;visibility:visible;mso-wrap-style:square" o:bullet="t">
        <v:imagedata r:id="rId1" o:title=""/>
      </v:shape>
    </w:pict>
  </w:numPicBullet>
  <w:numPicBullet w:numPicBulletId="1">
    <w:pict>
      <v:shape id="_x0000_i1029" type="#_x0000_t75" style="width:121.6pt;height:121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5E2"/>
    <w:rsid w:val="00001C5B"/>
    <w:rsid w:val="00003437"/>
    <w:rsid w:val="00004870"/>
    <w:rsid w:val="0000709F"/>
    <w:rsid w:val="000108B8"/>
    <w:rsid w:val="00015039"/>
    <w:rsid w:val="000152F5"/>
    <w:rsid w:val="000359A8"/>
    <w:rsid w:val="0004582E"/>
    <w:rsid w:val="000470AA"/>
    <w:rsid w:val="00053CA1"/>
    <w:rsid w:val="00053FC8"/>
    <w:rsid w:val="000574B9"/>
    <w:rsid w:val="00057CA1"/>
    <w:rsid w:val="00057DB8"/>
    <w:rsid w:val="000645CF"/>
    <w:rsid w:val="000662E2"/>
    <w:rsid w:val="00066883"/>
    <w:rsid w:val="000725E2"/>
    <w:rsid w:val="00074DD8"/>
    <w:rsid w:val="00075C06"/>
    <w:rsid w:val="000806F7"/>
    <w:rsid w:val="000841E8"/>
    <w:rsid w:val="00087F0A"/>
    <w:rsid w:val="000904CB"/>
    <w:rsid w:val="00097840"/>
    <w:rsid w:val="000A2B95"/>
    <w:rsid w:val="000B0727"/>
    <w:rsid w:val="000B670C"/>
    <w:rsid w:val="000C03C0"/>
    <w:rsid w:val="000C0AC8"/>
    <w:rsid w:val="000C135D"/>
    <w:rsid w:val="000C4A9C"/>
    <w:rsid w:val="000D1D43"/>
    <w:rsid w:val="000D225C"/>
    <w:rsid w:val="000D2A5C"/>
    <w:rsid w:val="000D6F7D"/>
    <w:rsid w:val="000E0918"/>
    <w:rsid w:val="000E27C8"/>
    <w:rsid w:val="000E729C"/>
    <w:rsid w:val="000F4033"/>
    <w:rsid w:val="000F4F85"/>
    <w:rsid w:val="000F6D5A"/>
    <w:rsid w:val="001003B7"/>
    <w:rsid w:val="001011C3"/>
    <w:rsid w:val="001034CE"/>
    <w:rsid w:val="00110D87"/>
    <w:rsid w:val="001121DF"/>
    <w:rsid w:val="00114DB9"/>
    <w:rsid w:val="00116087"/>
    <w:rsid w:val="00116B3F"/>
    <w:rsid w:val="00117B13"/>
    <w:rsid w:val="00122EFD"/>
    <w:rsid w:val="00124E28"/>
    <w:rsid w:val="00126565"/>
    <w:rsid w:val="00130296"/>
    <w:rsid w:val="00133BDA"/>
    <w:rsid w:val="00140AD8"/>
    <w:rsid w:val="001423B6"/>
    <w:rsid w:val="00144766"/>
    <w:rsid w:val="001448A7"/>
    <w:rsid w:val="001461CC"/>
    <w:rsid w:val="00146621"/>
    <w:rsid w:val="0015044B"/>
    <w:rsid w:val="00151B91"/>
    <w:rsid w:val="001531F8"/>
    <w:rsid w:val="00157425"/>
    <w:rsid w:val="00162325"/>
    <w:rsid w:val="00171C8A"/>
    <w:rsid w:val="001951DA"/>
    <w:rsid w:val="00195BF1"/>
    <w:rsid w:val="001A0198"/>
    <w:rsid w:val="001A0BF7"/>
    <w:rsid w:val="001A15C5"/>
    <w:rsid w:val="001A297A"/>
    <w:rsid w:val="001A3839"/>
    <w:rsid w:val="001B12D0"/>
    <w:rsid w:val="001C3269"/>
    <w:rsid w:val="001D1DB4"/>
    <w:rsid w:val="001D3639"/>
    <w:rsid w:val="001E1388"/>
    <w:rsid w:val="001F043B"/>
    <w:rsid w:val="001F327E"/>
    <w:rsid w:val="001F6AC4"/>
    <w:rsid w:val="00200AEC"/>
    <w:rsid w:val="00202CB0"/>
    <w:rsid w:val="00213227"/>
    <w:rsid w:val="00231100"/>
    <w:rsid w:val="00251900"/>
    <w:rsid w:val="002535A3"/>
    <w:rsid w:val="002574F1"/>
    <w:rsid w:val="002574F9"/>
    <w:rsid w:val="00262B61"/>
    <w:rsid w:val="0026348E"/>
    <w:rsid w:val="00266F56"/>
    <w:rsid w:val="00276811"/>
    <w:rsid w:val="00282699"/>
    <w:rsid w:val="0028505D"/>
    <w:rsid w:val="00287AF2"/>
    <w:rsid w:val="00291813"/>
    <w:rsid w:val="002926DF"/>
    <w:rsid w:val="00293B62"/>
    <w:rsid w:val="002940EF"/>
    <w:rsid w:val="00296697"/>
    <w:rsid w:val="002A160D"/>
    <w:rsid w:val="002A453B"/>
    <w:rsid w:val="002A7E3F"/>
    <w:rsid w:val="002B0472"/>
    <w:rsid w:val="002B04E4"/>
    <w:rsid w:val="002B0BCB"/>
    <w:rsid w:val="002B3B27"/>
    <w:rsid w:val="002B6B12"/>
    <w:rsid w:val="002D2BEB"/>
    <w:rsid w:val="002D5D8C"/>
    <w:rsid w:val="002D72B8"/>
    <w:rsid w:val="002E46B7"/>
    <w:rsid w:val="002E6140"/>
    <w:rsid w:val="002E6985"/>
    <w:rsid w:val="002E71B6"/>
    <w:rsid w:val="002F03BC"/>
    <w:rsid w:val="002F25C1"/>
    <w:rsid w:val="002F4A00"/>
    <w:rsid w:val="002F6F06"/>
    <w:rsid w:val="002F77C8"/>
    <w:rsid w:val="0030246A"/>
    <w:rsid w:val="00304F22"/>
    <w:rsid w:val="00306C7C"/>
    <w:rsid w:val="0031305A"/>
    <w:rsid w:val="00322EDD"/>
    <w:rsid w:val="00332320"/>
    <w:rsid w:val="00333542"/>
    <w:rsid w:val="00341947"/>
    <w:rsid w:val="00344C07"/>
    <w:rsid w:val="00347D72"/>
    <w:rsid w:val="00351D92"/>
    <w:rsid w:val="003563F6"/>
    <w:rsid w:val="00357611"/>
    <w:rsid w:val="003601A9"/>
    <w:rsid w:val="0036562A"/>
    <w:rsid w:val="00367237"/>
    <w:rsid w:val="0037077F"/>
    <w:rsid w:val="00371102"/>
    <w:rsid w:val="00371AA7"/>
    <w:rsid w:val="00372411"/>
    <w:rsid w:val="00373882"/>
    <w:rsid w:val="003843DB"/>
    <w:rsid w:val="00393761"/>
    <w:rsid w:val="00395FE6"/>
    <w:rsid w:val="00397D18"/>
    <w:rsid w:val="003A1B36"/>
    <w:rsid w:val="003A3455"/>
    <w:rsid w:val="003A4393"/>
    <w:rsid w:val="003B1454"/>
    <w:rsid w:val="003B18B6"/>
    <w:rsid w:val="003B46F7"/>
    <w:rsid w:val="003B56C8"/>
    <w:rsid w:val="003C138C"/>
    <w:rsid w:val="003C59E0"/>
    <w:rsid w:val="003C6C8D"/>
    <w:rsid w:val="003D14C1"/>
    <w:rsid w:val="003D1DDA"/>
    <w:rsid w:val="003D4F95"/>
    <w:rsid w:val="003D5F42"/>
    <w:rsid w:val="003D60A9"/>
    <w:rsid w:val="003D6185"/>
    <w:rsid w:val="003D7815"/>
    <w:rsid w:val="003F4C97"/>
    <w:rsid w:val="003F7FE6"/>
    <w:rsid w:val="00400193"/>
    <w:rsid w:val="00403C1A"/>
    <w:rsid w:val="00416BEF"/>
    <w:rsid w:val="004178B0"/>
    <w:rsid w:val="00417B27"/>
    <w:rsid w:val="004212E7"/>
    <w:rsid w:val="00423C60"/>
    <w:rsid w:val="0042446D"/>
    <w:rsid w:val="00427BF8"/>
    <w:rsid w:val="004313A1"/>
    <w:rsid w:val="00431C02"/>
    <w:rsid w:val="00431FFC"/>
    <w:rsid w:val="004347C3"/>
    <w:rsid w:val="00437162"/>
    <w:rsid w:val="00437395"/>
    <w:rsid w:val="00437A70"/>
    <w:rsid w:val="00445047"/>
    <w:rsid w:val="00451870"/>
    <w:rsid w:val="00462BE1"/>
    <w:rsid w:val="00463E39"/>
    <w:rsid w:val="004657FC"/>
    <w:rsid w:val="004733F6"/>
    <w:rsid w:val="00474E69"/>
    <w:rsid w:val="00480C23"/>
    <w:rsid w:val="00482A0D"/>
    <w:rsid w:val="00483BBF"/>
    <w:rsid w:val="0049621B"/>
    <w:rsid w:val="004A3D09"/>
    <w:rsid w:val="004B09A3"/>
    <w:rsid w:val="004C03B9"/>
    <w:rsid w:val="004C1895"/>
    <w:rsid w:val="004C2285"/>
    <w:rsid w:val="004C6D40"/>
    <w:rsid w:val="004D4E8A"/>
    <w:rsid w:val="004E0A1B"/>
    <w:rsid w:val="004E6E19"/>
    <w:rsid w:val="004F0C3C"/>
    <w:rsid w:val="004F376E"/>
    <w:rsid w:val="004F407F"/>
    <w:rsid w:val="004F5944"/>
    <w:rsid w:val="004F63FC"/>
    <w:rsid w:val="005039C5"/>
    <w:rsid w:val="00505A92"/>
    <w:rsid w:val="00505EF2"/>
    <w:rsid w:val="0051704F"/>
    <w:rsid w:val="005203F1"/>
    <w:rsid w:val="00521BC3"/>
    <w:rsid w:val="00522E01"/>
    <w:rsid w:val="00525655"/>
    <w:rsid w:val="00531FB4"/>
    <w:rsid w:val="005326DA"/>
    <w:rsid w:val="00533632"/>
    <w:rsid w:val="00541E6E"/>
    <w:rsid w:val="0054251F"/>
    <w:rsid w:val="00542A9E"/>
    <w:rsid w:val="00544C28"/>
    <w:rsid w:val="00550D92"/>
    <w:rsid w:val="005520D8"/>
    <w:rsid w:val="00553BB8"/>
    <w:rsid w:val="00556CF1"/>
    <w:rsid w:val="00563A09"/>
    <w:rsid w:val="0057058B"/>
    <w:rsid w:val="005707B3"/>
    <w:rsid w:val="0057227D"/>
    <w:rsid w:val="00573E8B"/>
    <w:rsid w:val="005762A7"/>
    <w:rsid w:val="00577B61"/>
    <w:rsid w:val="00577E69"/>
    <w:rsid w:val="005916D7"/>
    <w:rsid w:val="0059548E"/>
    <w:rsid w:val="005A45AB"/>
    <w:rsid w:val="005A4B04"/>
    <w:rsid w:val="005A698C"/>
    <w:rsid w:val="005A77FF"/>
    <w:rsid w:val="005B370F"/>
    <w:rsid w:val="005B4788"/>
    <w:rsid w:val="005D0622"/>
    <w:rsid w:val="005E0799"/>
    <w:rsid w:val="005E2468"/>
    <w:rsid w:val="005E3B8D"/>
    <w:rsid w:val="005E5558"/>
    <w:rsid w:val="005F2681"/>
    <w:rsid w:val="005F4B77"/>
    <w:rsid w:val="005F5A2A"/>
    <w:rsid w:val="005F5A80"/>
    <w:rsid w:val="005F65FB"/>
    <w:rsid w:val="00600DCF"/>
    <w:rsid w:val="00602ECE"/>
    <w:rsid w:val="006044FF"/>
    <w:rsid w:val="00607CC5"/>
    <w:rsid w:val="00614519"/>
    <w:rsid w:val="0061700A"/>
    <w:rsid w:val="006228D1"/>
    <w:rsid w:val="00627594"/>
    <w:rsid w:val="00633014"/>
    <w:rsid w:val="0063437B"/>
    <w:rsid w:val="0064187B"/>
    <w:rsid w:val="00646923"/>
    <w:rsid w:val="0064699F"/>
    <w:rsid w:val="00652F27"/>
    <w:rsid w:val="00653B61"/>
    <w:rsid w:val="00663083"/>
    <w:rsid w:val="00665BD6"/>
    <w:rsid w:val="006673CA"/>
    <w:rsid w:val="00672450"/>
    <w:rsid w:val="00673C26"/>
    <w:rsid w:val="006769CE"/>
    <w:rsid w:val="006812AF"/>
    <w:rsid w:val="0068327D"/>
    <w:rsid w:val="00687D47"/>
    <w:rsid w:val="00694AF0"/>
    <w:rsid w:val="00694CA5"/>
    <w:rsid w:val="006A2E32"/>
    <w:rsid w:val="006A3AD7"/>
    <w:rsid w:val="006A4686"/>
    <w:rsid w:val="006B0714"/>
    <w:rsid w:val="006B0E9E"/>
    <w:rsid w:val="006B20B0"/>
    <w:rsid w:val="006B3F47"/>
    <w:rsid w:val="006B5AE4"/>
    <w:rsid w:val="006B7192"/>
    <w:rsid w:val="006C24D2"/>
    <w:rsid w:val="006C50D6"/>
    <w:rsid w:val="006C723C"/>
    <w:rsid w:val="006D1507"/>
    <w:rsid w:val="006D4054"/>
    <w:rsid w:val="006E01B6"/>
    <w:rsid w:val="006E02EC"/>
    <w:rsid w:val="006E095C"/>
    <w:rsid w:val="006F46FF"/>
    <w:rsid w:val="006F57E5"/>
    <w:rsid w:val="0070110C"/>
    <w:rsid w:val="007068CE"/>
    <w:rsid w:val="0071184B"/>
    <w:rsid w:val="00713D6B"/>
    <w:rsid w:val="007211B1"/>
    <w:rsid w:val="00730963"/>
    <w:rsid w:val="0073406E"/>
    <w:rsid w:val="007343FA"/>
    <w:rsid w:val="00742FC2"/>
    <w:rsid w:val="00746187"/>
    <w:rsid w:val="00746E58"/>
    <w:rsid w:val="007613CA"/>
    <w:rsid w:val="0076254F"/>
    <w:rsid w:val="00762C47"/>
    <w:rsid w:val="007704D1"/>
    <w:rsid w:val="00773983"/>
    <w:rsid w:val="0077463A"/>
    <w:rsid w:val="00776C35"/>
    <w:rsid w:val="007801F5"/>
    <w:rsid w:val="00783415"/>
    <w:rsid w:val="00783CA4"/>
    <w:rsid w:val="007842FB"/>
    <w:rsid w:val="00785DE5"/>
    <w:rsid w:val="00786124"/>
    <w:rsid w:val="00792784"/>
    <w:rsid w:val="0079514B"/>
    <w:rsid w:val="007A2DC1"/>
    <w:rsid w:val="007B0DC0"/>
    <w:rsid w:val="007B0E88"/>
    <w:rsid w:val="007B1A1E"/>
    <w:rsid w:val="007B6C60"/>
    <w:rsid w:val="007C36C0"/>
    <w:rsid w:val="007D15EA"/>
    <w:rsid w:val="007D3319"/>
    <w:rsid w:val="007D335D"/>
    <w:rsid w:val="007D787C"/>
    <w:rsid w:val="007E1DC4"/>
    <w:rsid w:val="007E2C09"/>
    <w:rsid w:val="007E3314"/>
    <w:rsid w:val="007E4B03"/>
    <w:rsid w:val="007F0D10"/>
    <w:rsid w:val="007F324B"/>
    <w:rsid w:val="0080553C"/>
    <w:rsid w:val="00805B46"/>
    <w:rsid w:val="00807A9E"/>
    <w:rsid w:val="008115B1"/>
    <w:rsid w:val="0081672B"/>
    <w:rsid w:val="0081720D"/>
    <w:rsid w:val="0082084A"/>
    <w:rsid w:val="00825DC2"/>
    <w:rsid w:val="00834AD3"/>
    <w:rsid w:val="00836A8E"/>
    <w:rsid w:val="00841D17"/>
    <w:rsid w:val="00843795"/>
    <w:rsid w:val="008464A2"/>
    <w:rsid w:val="00847F0F"/>
    <w:rsid w:val="00852448"/>
    <w:rsid w:val="00855753"/>
    <w:rsid w:val="00866DA3"/>
    <w:rsid w:val="0087115A"/>
    <w:rsid w:val="00871864"/>
    <w:rsid w:val="00874D83"/>
    <w:rsid w:val="00877C40"/>
    <w:rsid w:val="0088088D"/>
    <w:rsid w:val="0088258A"/>
    <w:rsid w:val="0088490C"/>
    <w:rsid w:val="00885566"/>
    <w:rsid w:val="00886332"/>
    <w:rsid w:val="008A080B"/>
    <w:rsid w:val="008A26D9"/>
    <w:rsid w:val="008A6DEF"/>
    <w:rsid w:val="008B15C2"/>
    <w:rsid w:val="008B6C72"/>
    <w:rsid w:val="008C0C29"/>
    <w:rsid w:val="008C2F01"/>
    <w:rsid w:val="008C3AD3"/>
    <w:rsid w:val="008D0769"/>
    <w:rsid w:val="008D1A46"/>
    <w:rsid w:val="008D6BB0"/>
    <w:rsid w:val="008E2F67"/>
    <w:rsid w:val="008F3638"/>
    <w:rsid w:val="008F4441"/>
    <w:rsid w:val="008F6F31"/>
    <w:rsid w:val="008F74DF"/>
    <w:rsid w:val="0090392A"/>
    <w:rsid w:val="00907E1E"/>
    <w:rsid w:val="009127BA"/>
    <w:rsid w:val="00916910"/>
    <w:rsid w:val="00921153"/>
    <w:rsid w:val="009227A6"/>
    <w:rsid w:val="00923C49"/>
    <w:rsid w:val="00933EC1"/>
    <w:rsid w:val="00944210"/>
    <w:rsid w:val="00950DBD"/>
    <w:rsid w:val="009530DB"/>
    <w:rsid w:val="00953676"/>
    <w:rsid w:val="0096551C"/>
    <w:rsid w:val="009705EE"/>
    <w:rsid w:val="00977927"/>
    <w:rsid w:val="0098135C"/>
    <w:rsid w:val="0098156A"/>
    <w:rsid w:val="00981C2B"/>
    <w:rsid w:val="009828B9"/>
    <w:rsid w:val="009866EF"/>
    <w:rsid w:val="00990C87"/>
    <w:rsid w:val="00991BAC"/>
    <w:rsid w:val="0099386D"/>
    <w:rsid w:val="00993B2B"/>
    <w:rsid w:val="00996EC5"/>
    <w:rsid w:val="009979C9"/>
    <w:rsid w:val="009A6EA0"/>
    <w:rsid w:val="009B46C8"/>
    <w:rsid w:val="009B6319"/>
    <w:rsid w:val="009C1335"/>
    <w:rsid w:val="009C1AB2"/>
    <w:rsid w:val="009C3C87"/>
    <w:rsid w:val="009C7251"/>
    <w:rsid w:val="009D1AAD"/>
    <w:rsid w:val="009D7487"/>
    <w:rsid w:val="009D7EA7"/>
    <w:rsid w:val="009E09D9"/>
    <w:rsid w:val="009E181A"/>
    <w:rsid w:val="009E2E91"/>
    <w:rsid w:val="009E325B"/>
    <w:rsid w:val="009E4AB2"/>
    <w:rsid w:val="009F7474"/>
    <w:rsid w:val="00A01C7B"/>
    <w:rsid w:val="00A07E99"/>
    <w:rsid w:val="00A119BE"/>
    <w:rsid w:val="00A1305E"/>
    <w:rsid w:val="00A139F5"/>
    <w:rsid w:val="00A26FE1"/>
    <w:rsid w:val="00A32458"/>
    <w:rsid w:val="00A365F4"/>
    <w:rsid w:val="00A36A68"/>
    <w:rsid w:val="00A42229"/>
    <w:rsid w:val="00A4228F"/>
    <w:rsid w:val="00A42BEF"/>
    <w:rsid w:val="00A47D80"/>
    <w:rsid w:val="00A53132"/>
    <w:rsid w:val="00A54567"/>
    <w:rsid w:val="00A563F2"/>
    <w:rsid w:val="00A566E8"/>
    <w:rsid w:val="00A57627"/>
    <w:rsid w:val="00A65754"/>
    <w:rsid w:val="00A665AD"/>
    <w:rsid w:val="00A676B2"/>
    <w:rsid w:val="00A810F9"/>
    <w:rsid w:val="00A86ECC"/>
    <w:rsid w:val="00A86FCC"/>
    <w:rsid w:val="00AA6B32"/>
    <w:rsid w:val="00AA710D"/>
    <w:rsid w:val="00AB1D28"/>
    <w:rsid w:val="00AB2FF4"/>
    <w:rsid w:val="00AB397C"/>
    <w:rsid w:val="00AB6D25"/>
    <w:rsid w:val="00AC0190"/>
    <w:rsid w:val="00AD13BB"/>
    <w:rsid w:val="00AD2379"/>
    <w:rsid w:val="00AD25B8"/>
    <w:rsid w:val="00AD30C3"/>
    <w:rsid w:val="00AD3EDF"/>
    <w:rsid w:val="00AD4ECB"/>
    <w:rsid w:val="00AD70D1"/>
    <w:rsid w:val="00AE2D4B"/>
    <w:rsid w:val="00AE3070"/>
    <w:rsid w:val="00AE4F99"/>
    <w:rsid w:val="00B0058F"/>
    <w:rsid w:val="00B03365"/>
    <w:rsid w:val="00B0437F"/>
    <w:rsid w:val="00B05AE7"/>
    <w:rsid w:val="00B0739B"/>
    <w:rsid w:val="00B11B69"/>
    <w:rsid w:val="00B129EC"/>
    <w:rsid w:val="00B12F6E"/>
    <w:rsid w:val="00B14952"/>
    <w:rsid w:val="00B14CB7"/>
    <w:rsid w:val="00B30C2B"/>
    <w:rsid w:val="00B31E5A"/>
    <w:rsid w:val="00B47416"/>
    <w:rsid w:val="00B54BCC"/>
    <w:rsid w:val="00B55189"/>
    <w:rsid w:val="00B62AC7"/>
    <w:rsid w:val="00B653AB"/>
    <w:rsid w:val="00B65F9E"/>
    <w:rsid w:val="00B66B19"/>
    <w:rsid w:val="00B67457"/>
    <w:rsid w:val="00B714E0"/>
    <w:rsid w:val="00B73097"/>
    <w:rsid w:val="00B76A98"/>
    <w:rsid w:val="00B7755D"/>
    <w:rsid w:val="00B83925"/>
    <w:rsid w:val="00B86DF8"/>
    <w:rsid w:val="00B870B3"/>
    <w:rsid w:val="00B914E9"/>
    <w:rsid w:val="00B916DE"/>
    <w:rsid w:val="00B9401E"/>
    <w:rsid w:val="00B94D3E"/>
    <w:rsid w:val="00B956EE"/>
    <w:rsid w:val="00BA00F2"/>
    <w:rsid w:val="00BA2BA1"/>
    <w:rsid w:val="00BA3562"/>
    <w:rsid w:val="00BA3B26"/>
    <w:rsid w:val="00BA474D"/>
    <w:rsid w:val="00BA6018"/>
    <w:rsid w:val="00BB2630"/>
    <w:rsid w:val="00BB4F09"/>
    <w:rsid w:val="00BB5809"/>
    <w:rsid w:val="00BD4E33"/>
    <w:rsid w:val="00BD5E55"/>
    <w:rsid w:val="00BE22CE"/>
    <w:rsid w:val="00BE7B43"/>
    <w:rsid w:val="00BF0C5F"/>
    <w:rsid w:val="00BF1B1F"/>
    <w:rsid w:val="00BF5920"/>
    <w:rsid w:val="00C009DC"/>
    <w:rsid w:val="00C030DE"/>
    <w:rsid w:val="00C04936"/>
    <w:rsid w:val="00C0678B"/>
    <w:rsid w:val="00C1695A"/>
    <w:rsid w:val="00C2101F"/>
    <w:rsid w:val="00C22105"/>
    <w:rsid w:val="00C244B6"/>
    <w:rsid w:val="00C25A0A"/>
    <w:rsid w:val="00C2775E"/>
    <w:rsid w:val="00C3032C"/>
    <w:rsid w:val="00C32CB6"/>
    <w:rsid w:val="00C356C0"/>
    <w:rsid w:val="00C366D2"/>
    <w:rsid w:val="00C3702F"/>
    <w:rsid w:val="00C44EB3"/>
    <w:rsid w:val="00C44F86"/>
    <w:rsid w:val="00C4500A"/>
    <w:rsid w:val="00C45AAB"/>
    <w:rsid w:val="00C47F04"/>
    <w:rsid w:val="00C55682"/>
    <w:rsid w:val="00C56EEC"/>
    <w:rsid w:val="00C64A37"/>
    <w:rsid w:val="00C7158E"/>
    <w:rsid w:val="00C7250B"/>
    <w:rsid w:val="00C72FC4"/>
    <w:rsid w:val="00C7346B"/>
    <w:rsid w:val="00C737F5"/>
    <w:rsid w:val="00C7541C"/>
    <w:rsid w:val="00C77C0E"/>
    <w:rsid w:val="00C85CE7"/>
    <w:rsid w:val="00C90318"/>
    <w:rsid w:val="00C91687"/>
    <w:rsid w:val="00C924A8"/>
    <w:rsid w:val="00C93808"/>
    <w:rsid w:val="00C945FE"/>
    <w:rsid w:val="00C96FAA"/>
    <w:rsid w:val="00C974C9"/>
    <w:rsid w:val="00C97A04"/>
    <w:rsid w:val="00CA107B"/>
    <w:rsid w:val="00CA484D"/>
    <w:rsid w:val="00CA4FB6"/>
    <w:rsid w:val="00CA7351"/>
    <w:rsid w:val="00CB1805"/>
    <w:rsid w:val="00CC20A6"/>
    <w:rsid w:val="00CC5832"/>
    <w:rsid w:val="00CC739E"/>
    <w:rsid w:val="00CC7C9C"/>
    <w:rsid w:val="00CD1D82"/>
    <w:rsid w:val="00CD5410"/>
    <w:rsid w:val="00CD58B7"/>
    <w:rsid w:val="00CE6424"/>
    <w:rsid w:val="00CF3D9C"/>
    <w:rsid w:val="00CF4099"/>
    <w:rsid w:val="00CF5256"/>
    <w:rsid w:val="00D00796"/>
    <w:rsid w:val="00D11B38"/>
    <w:rsid w:val="00D156B6"/>
    <w:rsid w:val="00D23DF2"/>
    <w:rsid w:val="00D24CF3"/>
    <w:rsid w:val="00D261A2"/>
    <w:rsid w:val="00D309C3"/>
    <w:rsid w:val="00D30B17"/>
    <w:rsid w:val="00D3193A"/>
    <w:rsid w:val="00D340FA"/>
    <w:rsid w:val="00D346A4"/>
    <w:rsid w:val="00D41C51"/>
    <w:rsid w:val="00D430A0"/>
    <w:rsid w:val="00D434D0"/>
    <w:rsid w:val="00D616D2"/>
    <w:rsid w:val="00D63B5F"/>
    <w:rsid w:val="00D70EF7"/>
    <w:rsid w:val="00D74B00"/>
    <w:rsid w:val="00D80A54"/>
    <w:rsid w:val="00D8397C"/>
    <w:rsid w:val="00D84AB9"/>
    <w:rsid w:val="00D94EED"/>
    <w:rsid w:val="00D96026"/>
    <w:rsid w:val="00DA399D"/>
    <w:rsid w:val="00DA437A"/>
    <w:rsid w:val="00DA7A12"/>
    <w:rsid w:val="00DA7C1C"/>
    <w:rsid w:val="00DB147A"/>
    <w:rsid w:val="00DB1B7A"/>
    <w:rsid w:val="00DC1228"/>
    <w:rsid w:val="00DC639A"/>
    <w:rsid w:val="00DC6708"/>
    <w:rsid w:val="00DE0F55"/>
    <w:rsid w:val="00DE5CD1"/>
    <w:rsid w:val="00E01393"/>
    <w:rsid w:val="00E01436"/>
    <w:rsid w:val="00E025F8"/>
    <w:rsid w:val="00E045BD"/>
    <w:rsid w:val="00E073B0"/>
    <w:rsid w:val="00E07DBA"/>
    <w:rsid w:val="00E17B77"/>
    <w:rsid w:val="00E23337"/>
    <w:rsid w:val="00E259EA"/>
    <w:rsid w:val="00E32061"/>
    <w:rsid w:val="00E33AFB"/>
    <w:rsid w:val="00E36CE6"/>
    <w:rsid w:val="00E42FF9"/>
    <w:rsid w:val="00E47048"/>
    <w:rsid w:val="00E4714C"/>
    <w:rsid w:val="00E47437"/>
    <w:rsid w:val="00E51AEB"/>
    <w:rsid w:val="00E522A7"/>
    <w:rsid w:val="00E54452"/>
    <w:rsid w:val="00E56DF4"/>
    <w:rsid w:val="00E664C5"/>
    <w:rsid w:val="00E671A2"/>
    <w:rsid w:val="00E728B9"/>
    <w:rsid w:val="00E75984"/>
    <w:rsid w:val="00E76D26"/>
    <w:rsid w:val="00E80DC2"/>
    <w:rsid w:val="00E82CFE"/>
    <w:rsid w:val="00E866C0"/>
    <w:rsid w:val="00E9407E"/>
    <w:rsid w:val="00E945B7"/>
    <w:rsid w:val="00E96378"/>
    <w:rsid w:val="00E970BA"/>
    <w:rsid w:val="00EA11F2"/>
    <w:rsid w:val="00EA5966"/>
    <w:rsid w:val="00EA6148"/>
    <w:rsid w:val="00EB1390"/>
    <w:rsid w:val="00EB2C71"/>
    <w:rsid w:val="00EB4340"/>
    <w:rsid w:val="00EB556D"/>
    <w:rsid w:val="00EB5A7D"/>
    <w:rsid w:val="00EB780E"/>
    <w:rsid w:val="00EC646D"/>
    <w:rsid w:val="00ED1246"/>
    <w:rsid w:val="00ED5044"/>
    <w:rsid w:val="00ED55C0"/>
    <w:rsid w:val="00ED682B"/>
    <w:rsid w:val="00EE41D5"/>
    <w:rsid w:val="00EE456A"/>
    <w:rsid w:val="00EE4611"/>
    <w:rsid w:val="00EF3DC7"/>
    <w:rsid w:val="00EF4160"/>
    <w:rsid w:val="00EF53D1"/>
    <w:rsid w:val="00F037A4"/>
    <w:rsid w:val="00F06319"/>
    <w:rsid w:val="00F111EF"/>
    <w:rsid w:val="00F11DE6"/>
    <w:rsid w:val="00F12112"/>
    <w:rsid w:val="00F140E4"/>
    <w:rsid w:val="00F27C8F"/>
    <w:rsid w:val="00F31DFD"/>
    <w:rsid w:val="00F32749"/>
    <w:rsid w:val="00F352F0"/>
    <w:rsid w:val="00F364DD"/>
    <w:rsid w:val="00F37172"/>
    <w:rsid w:val="00F413E7"/>
    <w:rsid w:val="00F4477E"/>
    <w:rsid w:val="00F503E2"/>
    <w:rsid w:val="00F50E87"/>
    <w:rsid w:val="00F53E18"/>
    <w:rsid w:val="00F655C8"/>
    <w:rsid w:val="00F6670A"/>
    <w:rsid w:val="00F67D8F"/>
    <w:rsid w:val="00F70A90"/>
    <w:rsid w:val="00F725D5"/>
    <w:rsid w:val="00F802BE"/>
    <w:rsid w:val="00F80E93"/>
    <w:rsid w:val="00F83BF4"/>
    <w:rsid w:val="00F86024"/>
    <w:rsid w:val="00F8611A"/>
    <w:rsid w:val="00F94B6A"/>
    <w:rsid w:val="00F95B4F"/>
    <w:rsid w:val="00FA5128"/>
    <w:rsid w:val="00FA6812"/>
    <w:rsid w:val="00FB42D4"/>
    <w:rsid w:val="00FB5906"/>
    <w:rsid w:val="00FB762F"/>
    <w:rsid w:val="00FC2AED"/>
    <w:rsid w:val="00FC370E"/>
    <w:rsid w:val="00FC4E4F"/>
    <w:rsid w:val="00FC5121"/>
    <w:rsid w:val="00FD22C1"/>
    <w:rsid w:val="00FD5EA7"/>
    <w:rsid w:val="00FE1D60"/>
    <w:rsid w:val="00FF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9CB122-C42E-4FFF-B8D3-84673F275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0">
    <w:name w:val="Siatka tabeli — jasna1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">
    <w:name w:val="Siatka tabeli — jasna2"/>
    <w:basedOn w:val="Standardowy"/>
    <w:uiPriority w:val="40"/>
    <w:rsid w:val="0070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11">
    <w:name w:val="Siatka tabeli — jasna11"/>
    <w:basedOn w:val="Standardowy"/>
    <w:uiPriority w:val="40"/>
    <w:rsid w:val="00437A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80B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80B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80B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AB2F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2.xml"/><Relationship Id="rId26" Type="http://schemas.openxmlformats.org/officeDocument/2006/relationships/hyperlink" Target="http://swaid.stat.gov.pl/EN/SitePagesDBW/Ceny.aspx" TargetMode="External"/><Relationship Id="rId39" Type="http://schemas.openxmlformats.org/officeDocument/2006/relationships/hyperlink" Target="https://stat.gov.pl/en/metainformation/glossary/terms-used-in-official-statistics/4103,term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EN/SitePagesDBW/Ceny.aspx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s://stat.gov.pl/en/metainformation/glossary/terms-used-in-official-statistics/3015,term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s://stat.gov.pl/en/latest-statistical-news/communications-and-announcements/8,2021,category.html" TargetMode="External"/><Relationship Id="rId32" Type="http://schemas.openxmlformats.org/officeDocument/2006/relationships/hyperlink" Target="https://stat.gov.pl/en/latest-statistical-news/communications-and-announcements/8,2021,category.html" TargetMode="External"/><Relationship Id="rId37" Type="http://schemas.openxmlformats.org/officeDocument/2006/relationships/hyperlink" Target="https://stat.gov.pl/en/metainformation/glossary/terms-used-in-official-statistics/3015,term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chart" Target="charts/chart4.xml"/><Relationship Id="rId23" Type="http://schemas.openxmlformats.org/officeDocument/2006/relationships/image" Target="media/image7.png"/><Relationship Id="rId28" Type="http://schemas.openxmlformats.org/officeDocument/2006/relationships/hyperlink" Target="https://stat.gov.pl/en/metainformation/glossary/terms-used-in-official-statistics/966,term.html" TargetMode="External"/><Relationship Id="rId36" Type="http://schemas.openxmlformats.org/officeDocument/2006/relationships/hyperlink" Target="https://stat.gov.pl/en/metainformation/glossary/terms-used-in-official-statistics/966,term.html" TargetMode="External"/><Relationship Id="rId10" Type="http://schemas.openxmlformats.org/officeDocument/2006/relationships/image" Target="media/image3.emf"/><Relationship Id="rId19" Type="http://schemas.openxmlformats.org/officeDocument/2006/relationships/footer" Target="footer2.xml"/><Relationship Id="rId31" Type="http://schemas.openxmlformats.org/officeDocument/2006/relationships/hyperlink" Target="https://stat.gov.pl/en/metainformation/glossary/terms-used-in-official-statistics/4103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6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s://stat.gov.pl/en/metainformation/glossary/terms-used-in-official-statistics/1984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1.xml"/><Relationship Id="rId25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4th-quarter-of-2020,270,29.html" TargetMode="External"/><Relationship Id="rId33" Type="http://schemas.openxmlformats.org/officeDocument/2006/relationships/hyperlink" Target="https://stat.gov.pl/en/latest-statistical-news/communications-and-announcements/list-of-communiques-and-announcements/price-of-one-square-meter-of-usable-floor-space-of-a-residential-building-in-the-4th-quarter-of-2020,270,29.html" TargetMode="External"/><Relationship Id="rId38" Type="http://schemas.openxmlformats.org/officeDocument/2006/relationships/hyperlink" Target="https://stat.gov.pl/en/metainformation/glossary/terms-used-in-official-statistics/1984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mfgus01a\d04\W8_Nieruchomo&#347;ci\11_Informacje_sygnalne\Wska&#378;niki%20cen%20lokali%20mieszkalnych\2020\1.%20kwarta&#322;%202020\Wykresy_do_info_syg_I_2020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4_kwarta&#322;_2020\Wykresy_do_info_syg_IV_kw_2020.xlsx" TargetMode="External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\\Cmfgus01a\d04\W8_Nieruchomo&#347;ci\11_Informacje_sygnalne\Wska&#378;niki_cen_lokali_mieszkalnych\2020\4_kwarta&#322;_2020\Wykresy_do_info_syg_IV_kw_2020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\\Cmfgus01a\d04\W8_Nieruchomo&#347;ci\11_Informacje_sygnalne\Wska&#378;niki_cen_lokali_mieszkalnych\2020\4_kwarta&#322;_2020\Wykresy_do_info_syg_IV_kw_2020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wykres_1_ang!$B$2</c:f>
              <c:strCache>
                <c:ptCount val="1"/>
                <c:pt idx="0">
                  <c:v>primary market</c:v>
                </c:pt>
              </c:strCache>
            </c:strRef>
          </c:tx>
          <c:spPr>
            <a:solidFill>
              <a:srgbClr val="001D77"/>
            </a:solidFill>
            <a:ln>
              <a:solidFill>
                <a:schemeClr val="tx1">
                  <a:tint val="75000"/>
                </a:schemeClr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wykres_1_ang!$B$3</c:f>
              <c:numCache>
                <c:formatCode>0.0%</c:formatCode>
                <c:ptCount val="1"/>
                <c:pt idx="0">
                  <c:v>0.42399999999999999</c:v>
                </c:pt>
              </c:numCache>
            </c:numRef>
          </c:val>
        </c:ser>
        <c:ser>
          <c:idx val="2"/>
          <c:order val="1"/>
          <c:tx>
            <c:strRef>
              <c:f>wykres_1_ang!$C$2</c:f>
              <c:strCache>
                <c:ptCount val="1"/>
                <c:pt idx="0">
                  <c:v>secondary market</c:v>
                </c:pt>
              </c:strCache>
            </c:strRef>
          </c:tx>
          <c:spPr>
            <a:solidFill>
              <a:srgbClr val="008542"/>
            </a:solidFill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solidFill>
                      <a:schemeClr val="bg1"/>
                    </a:solidFill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wykres_1_ang!$A$3</c:f>
              <c:strCache>
                <c:ptCount val="1"/>
                <c:pt idx="0">
                  <c:v>Poland</c:v>
                </c:pt>
              </c:strCache>
            </c:strRef>
          </c:cat>
          <c:val>
            <c:numRef>
              <c:f>wykres_1_ang!$C$3</c:f>
              <c:numCache>
                <c:formatCode>0.0%</c:formatCode>
                <c:ptCount val="1"/>
                <c:pt idx="0">
                  <c:v>0.57599999999999996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706276816"/>
        <c:axId val="-706282800"/>
      </c:barChart>
      <c:catAx>
        <c:axId val="-70627681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900">
                <a:latin typeface="Fira Sans" pitchFamily="34" charset="0"/>
                <a:ea typeface="Fira Sans" pitchFamily="34" charset="0"/>
                <a:cs typeface="Times New Roman" pitchFamily="18" charset="0"/>
              </a:defRPr>
            </a:pPr>
            <a:endParaRPr lang="pl-PL"/>
          </a:p>
        </c:txPr>
        <c:crossAx val="-706282800"/>
        <c:crosses val="autoZero"/>
        <c:auto val="1"/>
        <c:lblAlgn val="ctr"/>
        <c:lblOffset val="100"/>
        <c:noMultiLvlLbl val="0"/>
      </c:catAx>
      <c:valAx>
        <c:axId val="-706282800"/>
        <c:scaling>
          <c:orientation val="minMax"/>
        </c:scaling>
        <c:delete val="1"/>
        <c:axPos val="t"/>
        <c:majorGridlines>
          <c:spPr>
            <a:ln>
              <a:noFill/>
              <a:prstDash val="solid"/>
            </a:ln>
          </c:spPr>
        </c:majorGridlines>
        <c:numFmt formatCode="0%" sourceLinked="1"/>
        <c:majorTickMark val="out"/>
        <c:minorTickMark val="none"/>
        <c:tickLblPos val="none"/>
        <c:crossAx val="-70627681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900">
              <a:latin typeface="Fira Sans" pitchFamily="34" charset="0"/>
              <a:ea typeface="Fira Sans" pitchFamily="34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9037185569195154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786749482401656E-2"/>
          <c:y val="6.6477809254013226E-2"/>
          <c:w val="0.94178053830227748"/>
          <c:h val="0.6992937922419753"/>
        </c:manualLayout>
      </c:layout>
      <c:lineChart>
        <c:grouping val="standard"/>
        <c:varyColors val="0"/>
        <c:ser>
          <c:idx val="0"/>
          <c:order val="0"/>
          <c:tx>
            <c:strRef>
              <c:f>wykres_2_ang!$A$9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wykres_2_ang!$B$9:$AR$9</c:f>
              <c:numCache>
                <c:formatCode>General</c:formatCode>
                <c:ptCount val="43"/>
                <c:pt idx="0">
                  <c:v>1.2</c:v>
                </c:pt>
                <c:pt idx="1">
                  <c:v>9.9999999999994302E-2</c:v>
                </c:pt>
                <c:pt idx="2">
                  <c:v>-9.9999999999994302E-2</c:v>
                </c:pt>
                <c:pt idx="3">
                  <c:v>-9.9999999999994302E-2</c:v>
                </c:pt>
                <c:pt idx="4">
                  <c:v>0.70000000000000295</c:v>
                </c:pt>
                <c:pt idx="5">
                  <c:v>-1.0999999999999901</c:v>
                </c:pt>
                <c:pt idx="6">
                  <c:v>-0.5</c:v>
                </c:pt>
                <c:pt idx="7">
                  <c:v>-1.4000000000000099</c:v>
                </c:pt>
                <c:pt idx="8">
                  <c:v>-0.70000000000000295</c:v>
                </c:pt>
                <c:pt idx="9">
                  <c:v>-1.4000000000000099</c:v>
                </c:pt>
                <c:pt idx="10">
                  <c:v>-1.0999999999999901</c:v>
                </c:pt>
                <c:pt idx="11">
                  <c:v>-2.5999999999999899</c:v>
                </c:pt>
                <c:pt idx="12">
                  <c:v>-0.20000000000000301</c:v>
                </c:pt>
                <c:pt idx="13">
                  <c:v>-9.9999999999994302E-2</c:v>
                </c:pt>
                <c:pt idx="14">
                  <c:v>9.9999999999994302E-2</c:v>
                </c:pt>
                <c:pt idx="15">
                  <c:v>-0.29999999999999699</c:v>
                </c:pt>
                <c:pt idx="16">
                  <c:v>2.2000000000000002</c:v>
                </c:pt>
                <c:pt idx="17">
                  <c:v>-0.59999999999999398</c:v>
                </c:pt>
                <c:pt idx="18">
                  <c:v>0.20000000000000301</c:v>
                </c:pt>
                <c:pt idx="19">
                  <c:v>0.20000000000000301</c:v>
                </c:pt>
                <c:pt idx="20">
                  <c:v>1.4000000000000099</c:v>
                </c:pt>
                <c:pt idx="21">
                  <c:v>0.20000000000000301</c:v>
                </c:pt>
                <c:pt idx="22">
                  <c:v>-0.70000000000000295</c:v>
                </c:pt>
                <c:pt idx="23">
                  <c:v>9.9999999999994302E-2</c:v>
                </c:pt>
                <c:pt idx="24">
                  <c:v>0.79999999999999705</c:v>
                </c:pt>
                <c:pt idx="25">
                  <c:v>1.9000000000000099</c:v>
                </c:pt>
                <c:pt idx="26">
                  <c:v>1.0999999999999901</c:v>
                </c:pt>
                <c:pt idx="27">
                  <c:v>-0.5</c:v>
                </c:pt>
                <c:pt idx="28">
                  <c:v>2</c:v>
                </c:pt>
                <c:pt idx="29">
                  <c:v>1</c:v>
                </c:pt>
                <c:pt idx="30">
                  <c:v>1.3</c:v>
                </c:pt>
                <c:pt idx="31">
                  <c:v>1.5</c:v>
                </c:pt>
                <c:pt idx="32">
                  <c:v>2.2999999999999998</c:v>
                </c:pt>
                <c:pt idx="33">
                  <c:v>1.3</c:v>
                </c:pt>
                <c:pt idx="34">
                  <c:v>2.4000000000000101</c:v>
                </c:pt>
                <c:pt idx="35">
                  <c:v>1.9000000000000099</c:v>
                </c:pt>
                <c:pt idx="36">
                  <c:v>2.2999999999999998</c:v>
                </c:pt>
                <c:pt idx="37">
                  <c:v>2.0999999999999899</c:v>
                </c:pt>
                <c:pt idx="38">
                  <c:v>2.8</c:v>
                </c:pt>
                <c:pt idx="39">
                  <c:v>3.5999999999999899</c:v>
                </c:pt>
                <c:pt idx="40" formatCode="0.0">
                  <c:v>2</c:v>
                </c:pt>
                <c:pt idx="41" formatCode="0.0">
                  <c:v>2</c:v>
                </c:pt>
                <c:pt idx="42" formatCode="0.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wykres_2_ang!$A$10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wykres_2_ang!$B$10:$AR$10</c:f>
              <c:numCache>
                <c:formatCode>General</c:formatCode>
                <c:ptCount val="43"/>
                <c:pt idx="0">
                  <c:v>-0.59999999999999398</c:v>
                </c:pt>
                <c:pt idx="1">
                  <c:v>1.0999999999999901</c:v>
                </c:pt>
                <c:pt idx="2">
                  <c:v>1.8</c:v>
                </c:pt>
                <c:pt idx="3">
                  <c:v>-0.59999999999999398</c:v>
                </c:pt>
                <c:pt idx="4">
                  <c:v>-0.20000000000000301</c:v>
                </c:pt>
                <c:pt idx="5">
                  <c:v>-0.29999999999999699</c:v>
                </c:pt>
                <c:pt idx="6">
                  <c:v>1.0999999999999901</c:v>
                </c:pt>
                <c:pt idx="7">
                  <c:v>-0.20000000000000301</c:v>
                </c:pt>
                <c:pt idx="8">
                  <c:v>-0.59999999999999398</c:v>
                </c:pt>
                <c:pt idx="9">
                  <c:v>-0.79999999999999705</c:v>
                </c:pt>
                <c:pt idx="10">
                  <c:v>9.9999999999994302E-2</c:v>
                </c:pt>
                <c:pt idx="11">
                  <c:v>-3.2</c:v>
                </c:pt>
                <c:pt idx="12">
                  <c:v>-0.90000000000000602</c:v>
                </c:pt>
                <c:pt idx="13">
                  <c:v>-1.3</c:v>
                </c:pt>
                <c:pt idx="14">
                  <c:v>-9.9999999999994302E-2</c:v>
                </c:pt>
                <c:pt idx="15">
                  <c:v>-0.79999999999999705</c:v>
                </c:pt>
                <c:pt idx="16">
                  <c:v>3.2</c:v>
                </c:pt>
                <c:pt idx="17">
                  <c:v>-0.70000000000000295</c:v>
                </c:pt>
                <c:pt idx="18">
                  <c:v>0.79999999999999705</c:v>
                </c:pt>
                <c:pt idx="19">
                  <c:v>0.5</c:v>
                </c:pt>
                <c:pt idx="20">
                  <c:v>1.5</c:v>
                </c:pt>
                <c:pt idx="21">
                  <c:v>0.40000000000000602</c:v>
                </c:pt>
                <c:pt idx="22">
                  <c:v>-1</c:v>
                </c:pt>
                <c:pt idx="23">
                  <c:v>0.59999999999999398</c:v>
                </c:pt>
                <c:pt idx="24">
                  <c:v>-1</c:v>
                </c:pt>
                <c:pt idx="25">
                  <c:v>1.9000000000000099</c:v>
                </c:pt>
                <c:pt idx="26">
                  <c:v>1.9000000000000099</c:v>
                </c:pt>
                <c:pt idx="27">
                  <c:v>-0.90000000000000602</c:v>
                </c:pt>
                <c:pt idx="28">
                  <c:v>1.5</c:v>
                </c:pt>
                <c:pt idx="29">
                  <c:v>1</c:v>
                </c:pt>
                <c:pt idx="30">
                  <c:v>1.4000000000000099</c:v>
                </c:pt>
                <c:pt idx="31">
                  <c:v>1.4000000000000099</c:v>
                </c:pt>
                <c:pt idx="32">
                  <c:v>1.5</c:v>
                </c:pt>
                <c:pt idx="33">
                  <c:v>0.29999999999999699</c:v>
                </c:pt>
                <c:pt idx="34">
                  <c:v>3</c:v>
                </c:pt>
                <c:pt idx="35">
                  <c:v>1.5999999999999901</c:v>
                </c:pt>
                <c:pt idx="36">
                  <c:v>1.5999999999999901</c:v>
                </c:pt>
                <c:pt idx="37">
                  <c:v>0.40000000000000602</c:v>
                </c:pt>
                <c:pt idx="38">
                  <c:v>2.8</c:v>
                </c:pt>
                <c:pt idx="39">
                  <c:v>1.5999999999999901</c:v>
                </c:pt>
                <c:pt idx="40" formatCode="0.0">
                  <c:v>0.4</c:v>
                </c:pt>
                <c:pt idx="41" formatCode="0.0">
                  <c:v>2.2000000000000002</c:v>
                </c:pt>
                <c:pt idx="42" formatCode="0.0">
                  <c:v>1.7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wykres_2_ang!$A$11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wykres_2_ang!$B$7:$AR$8</c:f>
              <c:multiLvlStrCache>
                <c:ptCount val="43"/>
                <c:lvl>
                  <c:pt idx="0">
                    <c:v>04-06</c:v>
                  </c:pt>
                  <c:pt idx="1">
                    <c:v>07-09</c:v>
                  </c:pt>
                  <c:pt idx="2">
                    <c:v>10-12</c:v>
                  </c:pt>
                  <c:pt idx="3">
                    <c:v>01-03</c:v>
                  </c:pt>
                  <c:pt idx="4">
                    <c:v>04-06</c:v>
                  </c:pt>
                  <c:pt idx="5">
                    <c:v>07-09</c:v>
                  </c:pt>
                  <c:pt idx="6">
                    <c:v>10-12</c:v>
                  </c:pt>
                  <c:pt idx="7">
                    <c:v>01-03</c:v>
                  </c:pt>
                  <c:pt idx="8">
                    <c:v>04-06</c:v>
                  </c:pt>
                  <c:pt idx="9">
                    <c:v>07-09</c:v>
                  </c:pt>
                  <c:pt idx="10">
                    <c:v>10-12</c:v>
                  </c:pt>
                  <c:pt idx="11">
                    <c:v>01-03</c:v>
                  </c:pt>
                  <c:pt idx="12">
                    <c:v>04-06</c:v>
                  </c:pt>
                  <c:pt idx="13">
                    <c:v>07-09</c:v>
                  </c:pt>
                  <c:pt idx="14">
                    <c:v>10-12</c:v>
                  </c:pt>
                  <c:pt idx="15">
                    <c:v>01-03</c:v>
                  </c:pt>
                  <c:pt idx="16">
                    <c:v>04-06</c:v>
                  </c:pt>
                  <c:pt idx="17">
                    <c:v>07-09</c:v>
                  </c:pt>
                  <c:pt idx="18">
                    <c:v>10-12</c:v>
                  </c:pt>
                  <c:pt idx="19">
                    <c:v>01-03</c:v>
                  </c:pt>
                  <c:pt idx="20">
                    <c:v>04-06</c:v>
                  </c:pt>
                  <c:pt idx="21">
                    <c:v>07-09</c:v>
                  </c:pt>
                  <c:pt idx="22">
                    <c:v>10-12</c:v>
                  </c:pt>
                  <c:pt idx="23">
                    <c:v>01-03</c:v>
                  </c:pt>
                  <c:pt idx="24">
                    <c:v>04-06</c:v>
                  </c:pt>
                  <c:pt idx="25">
                    <c:v>07-09</c:v>
                  </c:pt>
                  <c:pt idx="26">
                    <c:v>10-12</c:v>
                  </c:pt>
                  <c:pt idx="27">
                    <c:v>01-03</c:v>
                  </c:pt>
                  <c:pt idx="28">
                    <c:v>04-06</c:v>
                  </c:pt>
                  <c:pt idx="29">
                    <c:v>07-09</c:v>
                  </c:pt>
                  <c:pt idx="30">
                    <c:v>10-12</c:v>
                  </c:pt>
                  <c:pt idx="31">
                    <c:v>01-03</c:v>
                  </c:pt>
                  <c:pt idx="32">
                    <c:v>04-06</c:v>
                  </c:pt>
                  <c:pt idx="33">
                    <c:v>07-09</c:v>
                  </c:pt>
                  <c:pt idx="34">
                    <c:v>10-12</c:v>
                  </c:pt>
                  <c:pt idx="35">
                    <c:v>01-03</c:v>
                  </c:pt>
                  <c:pt idx="36">
                    <c:v>04-06</c:v>
                  </c:pt>
                  <c:pt idx="37">
                    <c:v>07-09</c:v>
                  </c:pt>
                  <c:pt idx="38">
                    <c:v>10-12</c:v>
                  </c:pt>
                  <c:pt idx="39">
                    <c:v>01-03</c:v>
                  </c:pt>
                  <c:pt idx="40">
                    <c:v>04-06</c:v>
                  </c:pt>
                  <c:pt idx="41">
                    <c:v>07-09</c:v>
                  </c:pt>
                  <c:pt idx="42">
                    <c:v>10-12</c:v>
                  </c:pt>
                </c:lvl>
                <c:lvl>
                  <c:pt idx="0">
                    <c:v>2010</c:v>
                  </c:pt>
                  <c:pt idx="3">
                    <c:v>2011</c:v>
                  </c:pt>
                  <c:pt idx="7">
                    <c:v>2012</c:v>
                  </c:pt>
                  <c:pt idx="11">
                    <c:v>2013</c:v>
                  </c:pt>
                  <c:pt idx="15">
                    <c:v>2014</c:v>
                  </c:pt>
                  <c:pt idx="19">
                    <c:v>2015</c:v>
                  </c:pt>
                  <c:pt idx="23">
                    <c:v>2016</c:v>
                  </c:pt>
                  <c:pt idx="27">
                    <c:v>2017</c:v>
                  </c:pt>
                  <c:pt idx="31">
                    <c:v>2018</c:v>
                  </c:pt>
                  <c:pt idx="35">
                    <c:v>2019</c:v>
                  </c:pt>
                  <c:pt idx="39">
                    <c:v>2020</c:v>
                  </c:pt>
                </c:lvl>
              </c:multiLvlStrCache>
            </c:multiLvlStrRef>
          </c:cat>
          <c:val>
            <c:numRef>
              <c:f>wykres_2_ang!$B$11:$AR$11</c:f>
              <c:numCache>
                <c:formatCode>General</c:formatCode>
                <c:ptCount val="43"/>
                <c:pt idx="0">
                  <c:v>2.0999999999999899</c:v>
                </c:pt>
                <c:pt idx="1">
                  <c:v>-0.29999999999999699</c:v>
                </c:pt>
                <c:pt idx="2">
                  <c:v>-1</c:v>
                </c:pt>
                <c:pt idx="3">
                  <c:v>0.20000000000000301</c:v>
                </c:pt>
                <c:pt idx="4">
                  <c:v>1.0999999999999901</c:v>
                </c:pt>
                <c:pt idx="5">
                  <c:v>-1.5</c:v>
                </c:pt>
                <c:pt idx="6">
                  <c:v>-1.2</c:v>
                </c:pt>
                <c:pt idx="7">
                  <c:v>-1.9000000000000099</c:v>
                </c:pt>
                <c:pt idx="8">
                  <c:v>-0.70000000000000295</c:v>
                </c:pt>
                <c:pt idx="9">
                  <c:v>-1.7</c:v>
                </c:pt>
                <c:pt idx="10">
                  <c:v>-1.8</c:v>
                </c:pt>
                <c:pt idx="11">
                  <c:v>-2.0999999999999899</c:v>
                </c:pt>
                <c:pt idx="12">
                  <c:v>0.29999999999999699</c:v>
                </c:pt>
                <c:pt idx="13">
                  <c:v>0.79999999999999705</c:v>
                </c:pt>
                <c:pt idx="14">
                  <c:v>9.9999999999994302E-2</c:v>
                </c:pt>
                <c:pt idx="15">
                  <c:v>0</c:v>
                </c:pt>
                <c:pt idx="16">
                  <c:v>1.4000000000000099</c:v>
                </c:pt>
                <c:pt idx="17">
                  <c:v>-0.59999999999999398</c:v>
                </c:pt>
                <c:pt idx="18">
                  <c:v>-0.29999999999999699</c:v>
                </c:pt>
                <c:pt idx="19">
                  <c:v>-9.9999999999994302E-2</c:v>
                </c:pt>
                <c:pt idx="20">
                  <c:v>1.3</c:v>
                </c:pt>
                <c:pt idx="21">
                  <c:v>9.9999999999994302E-2</c:v>
                </c:pt>
                <c:pt idx="22">
                  <c:v>-0.5</c:v>
                </c:pt>
                <c:pt idx="23">
                  <c:v>-0.29999999999999699</c:v>
                </c:pt>
                <c:pt idx="24">
                  <c:v>2.5</c:v>
                </c:pt>
                <c:pt idx="25">
                  <c:v>1.8</c:v>
                </c:pt>
                <c:pt idx="26">
                  <c:v>0.40000000000000602</c:v>
                </c:pt>
                <c:pt idx="27">
                  <c:v>-9.9999999999994302E-2</c:v>
                </c:pt>
                <c:pt idx="28">
                  <c:v>2.5</c:v>
                </c:pt>
                <c:pt idx="29">
                  <c:v>1</c:v>
                </c:pt>
                <c:pt idx="30">
                  <c:v>1.0999999999999901</c:v>
                </c:pt>
                <c:pt idx="31">
                  <c:v>1.5999999999999901</c:v>
                </c:pt>
                <c:pt idx="32">
                  <c:v>2.9000000000000101</c:v>
                </c:pt>
                <c:pt idx="33">
                  <c:v>2.0999999999999899</c:v>
                </c:pt>
                <c:pt idx="34">
                  <c:v>1.8</c:v>
                </c:pt>
                <c:pt idx="35">
                  <c:v>2.2000000000000002</c:v>
                </c:pt>
                <c:pt idx="36">
                  <c:v>3</c:v>
                </c:pt>
                <c:pt idx="37">
                  <c:v>3.5</c:v>
                </c:pt>
                <c:pt idx="38">
                  <c:v>2.8</c:v>
                </c:pt>
                <c:pt idx="39">
                  <c:v>5.0999999999999899</c:v>
                </c:pt>
                <c:pt idx="40" formatCode="0.0">
                  <c:v>3.2</c:v>
                </c:pt>
                <c:pt idx="41" formatCode="0.0">
                  <c:v>2</c:v>
                </c:pt>
                <c:pt idx="42" formatCode="0.0">
                  <c:v>0.5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06275728"/>
        <c:axId val="-706282256"/>
      </c:lineChart>
      <c:catAx>
        <c:axId val="-706275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6282256"/>
        <c:crosses val="autoZero"/>
        <c:auto val="0"/>
        <c:lblAlgn val="ctr"/>
        <c:lblOffset val="100"/>
        <c:noMultiLvlLbl val="0"/>
      </c:catAx>
      <c:valAx>
        <c:axId val="-706282256"/>
        <c:scaling>
          <c:orientation val="minMax"/>
          <c:max val="6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6275728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8325763853709437E-2"/>
          <c:y val="0.93695196173748274"/>
          <c:w val="0.95326541787334229"/>
          <c:h val="6.304803967492732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7586206896551721E-2"/>
          <c:y val="7.9320113314447591E-2"/>
          <c:w val="0.93134099616858235"/>
          <c:h val="0.67512004342233423"/>
        </c:manualLayout>
      </c:layout>
      <c:lineChart>
        <c:grouping val="standard"/>
        <c:varyColors val="0"/>
        <c:ser>
          <c:idx val="0"/>
          <c:order val="0"/>
          <c:tx>
            <c:strRef>
              <c:f>wykres_3_ang!$A$9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wykres_3_ang!$B$9:$AO$9</c:f>
              <c:numCache>
                <c:formatCode>General</c:formatCode>
                <c:ptCount val="40"/>
                <c:pt idx="0">
                  <c:v>1.0999999999999901</c:v>
                </c:pt>
                <c:pt idx="1">
                  <c:v>0.59999999999999398</c:v>
                </c:pt>
                <c:pt idx="2">
                  <c:v>-0.59999999999999398</c:v>
                </c:pt>
                <c:pt idx="3">
                  <c:v>-1</c:v>
                </c:pt>
                <c:pt idx="4">
                  <c:v>-2.2999999999999998</c:v>
                </c:pt>
                <c:pt idx="5">
                  <c:v>-3.7</c:v>
                </c:pt>
                <c:pt idx="6">
                  <c:v>-3.9000000000000101</c:v>
                </c:pt>
                <c:pt idx="7">
                  <c:v>-4.5</c:v>
                </c:pt>
                <c:pt idx="8">
                  <c:v>-5.7</c:v>
                </c:pt>
                <c:pt idx="9">
                  <c:v>-5.2</c:v>
                </c:pt>
                <c:pt idx="10">
                  <c:v>-4</c:v>
                </c:pt>
                <c:pt idx="11">
                  <c:v>-2.8</c:v>
                </c:pt>
                <c:pt idx="12">
                  <c:v>-0.5</c:v>
                </c:pt>
                <c:pt idx="13">
                  <c:v>1.9000000000000099</c:v>
                </c:pt>
                <c:pt idx="14">
                  <c:v>1.4000000000000099</c:v>
                </c:pt>
                <c:pt idx="15">
                  <c:v>1.5</c:v>
                </c:pt>
                <c:pt idx="16">
                  <c:v>2</c:v>
                </c:pt>
                <c:pt idx="17">
                  <c:v>1.2</c:v>
                </c:pt>
                <c:pt idx="18">
                  <c:v>2</c:v>
                </c:pt>
                <c:pt idx="19">
                  <c:v>1.0999999999999901</c:v>
                </c:pt>
                <c:pt idx="20">
                  <c:v>1</c:v>
                </c:pt>
                <c:pt idx="21">
                  <c:v>0.40000000000000602</c:v>
                </c:pt>
                <c:pt idx="22">
                  <c:v>2.0999999999999899</c:v>
                </c:pt>
                <c:pt idx="23">
                  <c:v>3.9000000000000101</c:v>
                </c:pt>
                <c:pt idx="24">
                  <c:v>3.3</c:v>
                </c:pt>
                <c:pt idx="25">
                  <c:v>4.5999999999999899</c:v>
                </c:pt>
                <c:pt idx="26">
                  <c:v>3.5999999999999899</c:v>
                </c:pt>
                <c:pt idx="27">
                  <c:v>3.8</c:v>
                </c:pt>
                <c:pt idx="28">
                  <c:v>5.9000000000000101</c:v>
                </c:pt>
                <c:pt idx="29">
                  <c:v>6.2</c:v>
                </c:pt>
                <c:pt idx="30">
                  <c:v>6.5999999999999899</c:v>
                </c:pt>
                <c:pt idx="31">
                  <c:v>7.7</c:v>
                </c:pt>
                <c:pt idx="32">
                  <c:v>8.0999999999999908</c:v>
                </c:pt>
                <c:pt idx="33">
                  <c:v>8.0999999999999908</c:v>
                </c:pt>
                <c:pt idx="34" formatCode="0.0">
                  <c:v>9</c:v>
                </c:pt>
                <c:pt idx="35" formatCode="0.0">
                  <c:v>9.4</c:v>
                </c:pt>
                <c:pt idx="36">
                  <c:v>11.3</c:v>
                </c:pt>
                <c:pt idx="37">
                  <c:v>10.9</c:v>
                </c:pt>
                <c:pt idx="38">
                  <c:v>10.9</c:v>
                </c:pt>
                <c:pt idx="39" formatCode="0.0">
                  <c:v>8.9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wykres_3_ang!$A$10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wykres_3_ang!$B$10:$AO$10</c:f>
              <c:numCache>
                <c:formatCode>General</c:formatCode>
                <c:ptCount val="40"/>
                <c:pt idx="0">
                  <c:v>1.7</c:v>
                </c:pt>
                <c:pt idx="1">
                  <c:v>2.0999999999999899</c:v>
                </c:pt>
                <c:pt idx="2">
                  <c:v>0.70000000000000295</c:v>
                </c:pt>
                <c:pt idx="3">
                  <c:v>0</c:v>
                </c:pt>
                <c:pt idx="4">
                  <c:v>0.40000000000000602</c:v>
                </c:pt>
                <c:pt idx="5">
                  <c:v>0</c:v>
                </c:pt>
                <c:pt idx="6">
                  <c:v>-0.5</c:v>
                </c:pt>
                <c:pt idx="7">
                  <c:v>-1.5</c:v>
                </c:pt>
                <c:pt idx="8">
                  <c:v>-4.5</c:v>
                </c:pt>
                <c:pt idx="9">
                  <c:v>-4.7</c:v>
                </c:pt>
                <c:pt idx="10">
                  <c:v>-5.2</c:v>
                </c:pt>
                <c:pt idx="11">
                  <c:v>-5.4000000000000101</c:v>
                </c:pt>
                <c:pt idx="12">
                  <c:v>-3.0999999999999899</c:v>
                </c:pt>
                <c:pt idx="13">
                  <c:v>0.90000000000000602</c:v>
                </c:pt>
                <c:pt idx="14">
                  <c:v>1.5999999999999901</c:v>
                </c:pt>
                <c:pt idx="15">
                  <c:v>2.5</c:v>
                </c:pt>
                <c:pt idx="16">
                  <c:v>3.8</c:v>
                </c:pt>
                <c:pt idx="17">
                  <c:v>2.0999999999999899</c:v>
                </c:pt>
                <c:pt idx="18">
                  <c:v>3.2</c:v>
                </c:pt>
                <c:pt idx="19">
                  <c:v>1.4000000000000099</c:v>
                </c:pt>
                <c:pt idx="20">
                  <c:v>1.5</c:v>
                </c:pt>
                <c:pt idx="21">
                  <c:v>-1</c:v>
                </c:pt>
                <c:pt idx="22">
                  <c:v>0.5</c:v>
                </c:pt>
                <c:pt idx="23">
                  <c:v>3.4000000000000101</c:v>
                </c:pt>
                <c:pt idx="24">
                  <c:v>1.9000000000000099</c:v>
                </c:pt>
                <c:pt idx="25">
                  <c:v>4.4000000000000101</c:v>
                </c:pt>
                <c:pt idx="26">
                  <c:v>3.5</c:v>
                </c:pt>
                <c:pt idx="27">
                  <c:v>3</c:v>
                </c:pt>
                <c:pt idx="28">
                  <c:v>5.4000000000000101</c:v>
                </c:pt>
                <c:pt idx="29">
                  <c:v>5.4000000000000101</c:v>
                </c:pt>
                <c:pt idx="30">
                  <c:v>4.7</c:v>
                </c:pt>
                <c:pt idx="31">
                  <c:v>6.3</c:v>
                </c:pt>
                <c:pt idx="32">
                  <c:v>6.5</c:v>
                </c:pt>
                <c:pt idx="33">
                  <c:v>6.5999999999999899</c:v>
                </c:pt>
                <c:pt idx="34">
                  <c:v>6.7</c:v>
                </c:pt>
                <c:pt idx="35">
                  <c:v>6.5</c:v>
                </c:pt>
                <c:pt idx="36">
                  <c:v>6.5</c:v>
                </c:pt>
                <c:pt idx="37">
                  <c:v>5.3</c:v>
                </c:pt>
                <c:pt idx="38">
                  <c:v>7.2</c:v>
                </c:pt>
                <c:pt idx="39" formatCode="0.0">
                  <c:v>6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wykres_3_ang!$A$11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  <a:effectLst/>
            </c:spPr>
          </c:marker>
          <c:cat>
            <c:multiLvlStrRef>
              <c:f>wykres_3_ang!$B$7:$AO$8</c:f>
              <c:multiLvlStrCache>
                <c:ptCount val="40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</c:lvl>
                <c:lvl>
                  <c:pt idx="0">
                    <c:v>2011</c:v>
                  </c:pt>
                  <c:pt idx="4">
                    <c:v>2012</c:v>
                  </c:pt>
                  <c:pt idx="8">
                    <c:v>2013</c:v>
                  </c:pt>
                  <c:pt idx="12">
                    <c:v>2014</c:v>
                  </c:pt>
                  <c:pt idx="16">
                    <c:v>2015</c:v>
                  </c:pt>
                  <c:pt idx="20">
                    <c:v>2016</c:v>
                  </c:pt>
                  <c:pt idx="24">
                    <c:v>2017</c:v>
                  </c:pt>
                  <c:pt idx="28">
                    <c:v>2018</c:v>
                  </c:pt>
                  <c:pt idx="32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wykres_3_ang!$B$11:$AO$11</c:f>
              <c:numCache>
                <c:formatCode>General</c:formatCode>
                <c:ptCount val="40"/>
                <c:pt idx="0">
                  <c:v>1</c:v>
                </c:pt>
                <c:pt idx="1">
                  <c:v>0</c:v>
                </c:pt>
                <c:pt idx="2">
                  <c:v>-1.2</c:v>
                </c:pt>
                <c:pt idx="3">
                  <c:v>-1.4000000000000099</c:v>
                </c:pt>
                <c:pt idx="4">
                  <c:v>-3.5</c:v>
                </c:pt>
                <c:pt idx="5">
                  <c:v>-5.2</c:v>
                </c:pt>
                <c:pt idx="6">
                  <c:v>-5.4000000000000101</c:v>
                </c:pt>
                <c:pt idx="7">
                  <c:v>-6</c:v>
                </c:pt>
                <c:pt idx="8">
                  <c:v>-6.2</c:v>
                </c:pt>
                <c:pt idx="9">
                  <c:v>-5.2</c:v>
                </c:pt>
                <c:pt idx="10">
                  <c:v>-2.8</c:v>
                </c:pt>
                <c:pt idx="11">
                  <c:v>-0.90000000000000602</c:v>
                </c:pt>
                <c:pt idx="12">
                  <c:v>1.2</c:v>
                </c:pt>
                <c:pt idx="13">
                  <c:v>2.2999999999999998</c:v>
                </c:pt>
                <c:pt idx="14">
                  <c:v>0.90000000000000602</c:v>
                </c:pt>
                <c:pt idx="15">
                  <c:v>0.5</c:v>
                </c:pt>
                <c:pt idx="16">
                  <c:v>0.40000000000000602</c:v>
                </c:pt>
                <c:pt idx="17">
                  <c:v>0.29999999999999699</c:v>
                </c:pt>
                <c:pt idx="18">
                  <c:v>1</c:v>
                </c:pt>
                <c:pt idx="19">
                  <c:v>0.79999999999999705</c:v>
                </c:pt>
                <c:pt idx="20">
                  <c:v>0.59999999999999398</c:v>
                </c:pt>
                <c:pt idx="21">
                  <c:v>1.8</c:v>
                </c:pt>
                <c:pt idx="22">
                  <c:v>3.5</c:v>
                </c:pt>
                <c:pt idx="23">
                  <c:v>4.4000000000000101</c:v>
                </c:pt>
                <c:pt idx="24">
                  <c:v>4.7</c:v>
                </c:pt>
                <c:pt idx="25">
                  <c:v>4.7</c:v>
                </c:pt>
                <c:pt idx="26">
                  <c:v>3.8</c:v>
                </c:pt>
                <c:pt idx="27">
                  <c:v>4.5999999999999899</c:v>
                </c:pt>
                <c:pt idx="28">
                  <c:v>6.3</c:v>
                </c:pt>
                <c:pt idx="29">
                  <c:v>6.8</c:v>
                </c:pt>
                <c:pt idx="30">
                  <c:v>7.9000000000000101</c:v>
                </c:pt>
                <c:pt idx="31">
                  <c:v>8.6999999999999993</c:v>
                </c:pt>
                <c:pt idx="32">
                  <c:v>9.3000000000000007</c:v>
                </c:pt>
                <c:pt idx="33">
                  <c:v>9.4000000000000092</c:v>
                </c:pt>
                <c:pt idx="34">
                  <c:v>10.9</c:v>
                </c:pt>
                <c:pt idx="35" formatCode="0.0">
                  <c:v>12</c:v>
                </c:pt>
                <c:pt idx="36">
                  <c:v>15.2</c:v>
                </c:pt>
                <c:pt idx="37">
                  <c:v>15.4</c:v>
                </c:pt>
                <c:pt idx="38">
                  <c:v>13.7</c:v>
                </c:pt>
                <c:pt idx="39" formatCode="0.0">
                  <c:v>11.2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06288784"/>
        <c:axId val="-706287696"/>
      </c:lineChart>
      <c:catAx>
        <c:axId val="-70628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6287696"/>
        <c:crosses val="autoZero"/>
        <c:auto val="0"/>
        <c:lblAlgn val="ctr"/>
        <c:lblOffset val="100"/>
        <c:noMultiLvlLbl val="0"/>
      </c:catAx>
      <c:valAx>
        <c:axId val="-706287696"/>
        <c:scaling>
          <c:orientation val="minMax"/>
          <c:max val="16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pl-PL" sz="80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</a:rPr>
                  <a:t>%</a:t>
                </a:r>
                <a:endParaRPr lang="pl-PL"/>
              </a:p>
            </c:rich>
          </c:tx>
          <c:layout>
            <c:manualLayout>
              <c:xMode val="edge"/>
              <c:yMode val="edge"/>
              <c:x val="2.1072796934865901E-2"/>
              <c:y val="8.5607429382941868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pl-PL"/>
            </a:p>
          </c:txPr>
        </c:title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6288784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pl-PL" sz="800" b="0">
                <a:latin typeface="Fira Sans" panose="020B0503050000020004" pitchFamily="34" charset="0"/>
                <a:ea typeface="Fira Sans" panose="020B0503050000020004" pitchFamily="34" charset="0"/>
              </a:rPr>
              <a:t>%</a:t>
            </a:r>
          </a:p>
        </c:rich>
      </c:tx>
      <c:layout>
        <c:manualLayout>
          <c:xMode val="edge"/>
          <c:yMode val="edge"/>
          <c:x val="1.4896398819712756E-2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5.4275280807290396E-2"/>
          <c:y val="7.0254957507082161E-2"/>
          <c:w val="0.92709117882003877"/>
          <c:h val="0.69551664398890634"/>
        </c:manualLayout>
      </c:layout>
      <c:lineChart>
        <c:grouping val="standard"/>
        <c:varyColors val="0"/>
        <c:ser>
          <c:idx val="0"/>
          <c:order val="0"/>
          <c:tx>
            <c:strRef>
              <c:f>wykres_4_ang!$A$9</c:f>
              <c:strCache>
                <c:ptCount val="1"/>
                <c:pt idx="0">
                  <c:v>total</c:v>
                </c:pt>
              </c:strCache>
            </c:strRef>
          </c:tx>
          <c:spPr>
            <a:ln w="22225" cap="rnd">
              <a:solidFill>
                <a:srgbClr val="AAA9A9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AAA9A9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wykres_4_ang!$B$9:$AS$9</c:f>
              <c:numCache>
                <c:formatCode>0.0</c:formatCode>
                <c:ptCount val="44"/>
                <c:pt idx="0">
                  <c:v>4.5999999999999996</c:v>
                </c:pt>
                <c:pt idx="1">
                  <c:v>5.9</c:v>
                </c:pt>
                <c:pt idx="2">
                  <c:v>6</c:v>
                </c:pt>
                <c:pt idx="3">
                  <c:v>5.9</c:v>
                </c:pt>
                <c:pt idx="4">
                  <c:v>5.9</c:v>
                </c:pt>
                <c:pt idx="5">
                  <c:v>6.6</c:v>
                </c:pt>
                <c:pt idx="6">
                  <c:v>5.4</c:v>
                </c:pt>
                <c:pt idx="7">
                  <c:v>4.9000000000000004</c:v>
                </c:pt>
                <c:pt idx="8">
                  <c:v>3.5</c:v>
                </c:pt>
                <c:pt idx="9">
                  <c:v>2.8</c:v>
                </c:pt>
                <c:pt idx="10">
                  <c:v>1.4</c:v>
                </c:pt>
                <c:pt idx="11">
                  <c:v>0.3</c:v>
                </c:pt>
                <c:pt idx="12">
                  <c:v>-2.2999999999999998</c:v>
                </c:pt>
                <c:pt idx="13">
                  <c:v>-2.5</c:v>
                </c:pt>
                <c:pt idx="14">
                  <c:v>-2.6</c:v>
                </c:pt>
                <c:pt idx="15">
                  <c:v>-2.5</c:v>
                </c:pt>
                <c:pt idx="16">
                  <c:v>-2.8</c:v>
                </c:pt>
                <c:pt idx="17">
                  <c:v>-0.7</c:v>
                </c:pt>
                <c:pt idx="18">
                  <c:v>-1.3</c:v>
                </c:pt>
                <c:pt idx="19">
                  <c:v>-1.1000000000000001</c:v>
                </c:pt>
                <c:pt idx="20">
                  <c:v>-0.9</c:v>
                </c:pt>
                <c:pt idx="21">
                  <c:v>0.4</c:v>
                </c:pt>
                <c:pt idx="22">
                  <c:v>0.6</c:v>
                </c:pt>
                <c:pt idx="23">
                  <c:v>-0.1</c:v>
                </c:pt>
                <c:pt idx="24">
                  <c:v>0</c:v>
                </c:pt>
                <c:pt idx="25">
                  <c:v>0.8</c:v>
                </c:pt>
                <c:pt idx="26">
                  <c:v>2.7</c:v>
                </c:pt>
                <c:pt idx="27">
                  <c:v>3.9</c:v>
                </c:pt>
                <c:pt idx="28">
                  <c:v>3.3</c:v>
                </c:pt>
                <c:pt idx="29">
                  <c:v>5.4</c:v>
                </c:pt>
                <c:pt idx="30">
                  <c:v>6.5</c:v>
                </c:pt>
                <c:pt idx="31">
                  <c:v>7.9</c:v>
                </c:pt>
                <c:pt idx="32">
                  <c:v>9.5</c:v>
                </c:pt>
                <c:pt idx="33">
                  <c:v>12</c:v>
                </c:pt>
                <c:pt idx="34">
                  <c:v>13.4</c:v>
                </c:pt>
                <c:pt idx="35">
                  <c:v>16.100000000000001</c:v>
                </c:pt>
                <c:pt idx="36" formatCode="General">
                  <c:v>18.3</c:v>
                </c:pt>
                <c:pt idx="37" formatCode="General">
                  <c:v>21.1</c:v>
                </c:pt>
                <c:pt idx="38">
                  <c:v>23.6</c:v>
                </c:pt>
                <c:pt idx="39">
                  <c:v>27.1</c:v>
                </c:pt>
                <c:pt idx="40" formatCode="General">
                  <c:v>31.7</c:v>
                </c:pt>
                <c:pt idx="41" formatCode="General">
                  <c:v>34.299999999999997</c:v>
                </c:pt>
                <c:pt idx="42" formatCode="General">
                  <c:v>37.1</c:v>
                </c:pt>
                <c:pt idx="43" formatCode="General">
                  <c:v>38.4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wykres_4_ang!$A$10</c:f>
              <c:strCache>
                <c:ptCount val="1"/>
                <c:pt idx="0">
                  <c:v>primary market</c:v>
                </c:pt>
              </c:strCache>
            </c:strRef>
          </c:tx>
          <c:spPr>
            <a:ln w="2222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1D77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wykres_4_ang!$B$10:$AS$10</c:f>
              <c:numCache>
                <c:formatCode>0.0</c:formatCode>
                <c:ptCount val="44"/>
                <c:pt idx="0">
                  <c:v>0.7</c:v>
                </c:pt>
                <c:pt idx="1">
                  <c:v>0.1</c:v>
                </c:pt>
                <c:pt idx="2">
                  <c:v>1.2</c:v>
                </c:pt>
                <c:pt idx="3">
                  <c:v>3</c:v>
                </c:pt>
                <c:pt idx="4">
                  <c:v>2.4</c:v>
                </c:pt>
                <c:pt idx="5">
                  <c:v>2.2000000000000002</c:v>
                </c:pt>
                <c:pt idx="6">
                  <c:v>1.9</c:v>
                </c:pt>
                <c:pt idx="7">
                  <c:v>3</c:v>
                </c:pt>
                <c:pt idx="8">
                  <c:v>2.8</c:v>
                </c:pt>
                <c:pt idx="9">
                  <c:v>2.1</c:v>
                </c:pt>
                <c:pt idx="10">
                  <c:v>1.4</c:v>
                </c:pt>
                <c:pt idx="11">
                  <c:v>1.5</c:v>
                </c:pt>
                <c:pt idx="12">
                  <c:v>-1.8</c:v>
                </c:pt>
                <c:pt idx="13">
                  <c:v>-2.6</c:v>
                </c:pt>
                <c:pt idx="14">
                  <c:v>-3.9</c:v>
                </c:pt>
                <c:pt idx="15">
                  <c:v>-3.9</c:v>
                </c:pt>
                <c:pt idx="16">
                  <c:v>-4.7</c:v>
                </c:pt>
                <c:pt idx="17">
                  <c:v>-1.6</c:v>
                </c:pt>
                <c:pt idx="18">
                  <c:v>-2.2999999999999998</c:v>
                </c:pt>
                <c:pt idx="19">
                  <c:v>-1.5</c:v>
                </c:pt>
                <c:pt idx="20">
                  <c:v>-1</c:v>
                </c:pt>
                <c:pt idx="21">
                  <c:v>0.5</c:v>
                </c:pt>
                <c:pt idx="22">
                  <c:v>0.8</c:v>
                </c:pt>
                <c:pt idx="23">
                  <c:v>-0.2</c:v>
                </c:pt>
                <c:pt idx="24">
                  <c:v>0.4</c:v>
                </c:pt>
                <c:pt idx="25">
                  <c:v>-0.6</c:v>
                </c:pt>
                <c:pt idx="26">
                  <c:v>1.3</c:v>
                </c:pt>
                <c:pt idx="27">
                  <c:v>3.2</c:v>
                </c:pt>
                <c:pt idx="28">
                  <c:v>2.2999999999999998</c:v>
                </c:pt>
                <c:pt idx="29">
                  <c:v>3.8</c:v>
                </c:pt>
                <c:pt idx="30">
                  <c:v>4.9000000000000004</c:v>
                </c:pt>
                <c:pt idx="31">
                  <c:v>6.3</c:v>
                </c:pt>
                <c:pt idx="32">
                  <c:v>7.8</c:v>
                </c:pt>
                <c:pt idx="33">
                  <c:v>9.4</c:v>
                </c:pt>
                <c:pt idx="34">
                  <c:v>9.8000000000000007</c:v>
                </c:pt>
                <c:pt idx="35">
                  <c:v>13.1</c:v>
                </c:pt>
                <c:pt idx="36" formatCode="General">
                  <c:v>15</c:v>
                </c:pt>
                <c:pt idx="37" formatCode="General">
                  <c:v>16.8</c:v>
                </c:pt>
                <c:pt idx="38">
                  <c:v>17.2</c:v>
                </c:pt>
                <c:pt idx="39">
                  <c:v>20.5</c:v>
                </c:pt>
                <c:pt idx="40" formatCode="General">
                  <c:v>22.5</c:v>
                </c:pt>
                <c:pt idx="41" formatCode="General">
                  <c:v>22.9</c:v>
                </c:pt>
                <c:pt idx="42" formatCode="General">
                  <c:v>25.6</c:v>
                </c:pt>
                <c:pt idx="43" formatCode="General">
                  <c:v>27.7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wykres_4_ang!$A$11</c:f>
              <c:strCache>
                <c:ptCount val="1"/>
                <c:pt idx="0">
                  <c:v>secondary market</c:v>
                </c:pt>
              </c:strCache>
            </c:strRef>
          </c:tx>
          <c:spPr>
            <a:ln w="2222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ysClr val="window" lastClr="FFFFFF"/>
              </a:solidFill>
              <a:ln w="12700">
                <a:solidFill>
                  <a:srgbClr val="008542"/>
                </a:solidFill>
              </a:ln>
            </c:spPr>
          </c:marker>
          <c:cat>
            <c:multiLvlStrRef>
              <c:f>wykres_4_ang!$B$7:$AS$8</c:f>
              <c:multiLvlStrCache>
                <c:ptCount val="44"/>
                <c:lvl>
                  <c:pt idx="0">
                    <c:v>01-03</c:v>
                  </c:pt>
                  <c:pt idx="1">
                    <c:v>04-06</c:v>
                  </c:pt>
                  <c:pt idx="2">
                    <c:v>07-09</c:v>
                  </c:pt>
                  <c:pt idx="3">
                    <c:v>10-12</c:v>
                  </c:pt>
                  <c:pt idx="4">
                    <c:v>01-03</c:v>
                  </c:pt>
                  <c:pt idx="5">
                    <c:v>04-06</c:v>
                  </c:pt>
                  <c:pt idx="6">
                    <c:v>07-09</c:v>
                  </c:pt>
                  <c:pt idx="7">
                    <c:v>10-12</c:v>
                  </c:pt>
                  <c:pt idx="8">
                    <c:v>01-03</c:v>
                  </c:pt>
                  <c:pt idx="9">
                    <c:v>04-06</c:v>
                  </c:pt>
                  <c:pt idx="10">
                    <c:v>07-09</c:v>
                  </c:pt>
                  <c:pt idx="11">
                    <c:v>10-12</c:v>
                  </c:pt>
                  <c:pt idx="12">
                    <c:v>01-03</c:v>
                  </c:pt>
                  <c:pt idx="13">
                    <c:v>04-06</c:v>
                  </c:pt>
                  <c:pt idx="14">
                    <c:v>07-09</c:v>
                  </c:pt>
                  <c:pt idx="15">
                    <c:v>10-12</c:v>
                  </c:pt>
                  <c:pt idx="16">
                    <c:v>01-03</c:v>
                  </c:pt>
                  <c:pt idx="17">
                    <c:v>04-06</c:v>
                  </c:pt>
                  <c:pt idx="18">
                    <c:v>07-09</c:v>
                  </c:pt>
                  <c:pt idx="19">
                    <c:v>10-12</c:v>
                  </c:pt>
                  <c:pt idx="20">
                    <c:v>01-03</c:v>
                  </c:pt>
                  <c:pt idx="21">
                    <c:v>04-06</c:v>
                  </c:pt>
                  <c:pt idx="22">
                    <c:v>07-09</c:v>
                  </c:pt>
                  <c:pt idx="23">
                    <c:v>10-12</c:v>
                  </c:pt>
                  <c:pt idx="24">
                    <c:v>01-03</c:v>
                  </c:pt>
                  <c:pt idx="25">
                    <c:v>04-06</c:v>
                  </c:pt>
                  <c:pt idx="26">
                    <c:v>07-09</c:v>
                  </c:pt>
                  <c:pt idx="27">
                    <c:v>10-12</c:v>
                  </c:pt>
                  <c:pt idx="28">
                    <c:v>01-03</c:v>
                  </c:pt>
                  <c:pt idx="29">
                    <c:v>04-06</c:v>
                  </c:pt>
                  <c:pt idx="30">
                    <c:v>07-09</c:v>
                  </c:pt>
                  <c:pt idx="31">
                    <c:v>10-12</c:v>
                  </c:pt>
                  <c:pt idx="32">
                    <c:v>01-03</c:v>
                  </c:pt>
                  <c:pt idx="33">
                    <c:v>04-06</c:v>
                  </c:pt>
                  <c:pt idx="34">
                    <c:v>07-09</c:v>
                  </c:pt>
                  <c:pt idx="35">
                    <c:v>10-12</c:v>
                  </c:pt>
                  <c:pt idx="36">
                    <c:v>01-03</c:v>
                  </c:pt>
                  <c:pt idx="37">
                    <c:v>04-06</c:v>
                  </c:pt>
                  <c:pt idx="38">
                    <c:v>07-09</c:v>
                  </c:pt>
                  <c:pt idx="39">
                    <c:v>10-12</c:v>
                  </c:pt>
                  <c:pt idx="40">
                    <c:v>01-03</c:v>
                  </c:pt>
                  <c:pt idx="41">
                    <c:v>04-06</c:v>
                  </c:pt>
                  <c:pt idx="42">
                    <c:v>07-09</c:v>
                  </c:pt>
                  <c:pt idx="43">
                    <c:v>10-12</c:v>
                  </c:pt>
                </c:lvl>
                <c:lvl>
                  <c:pt idx="0">
                    <c:v>2010</c:v>
                  </c:pt>
                  <c:pt idx="4">
                    <c:v>2011</c:v>
                  </c:pt>
                  <c:pt idx="8">
                    <c:v>2012</c:v>
                  </c:pt>
                  <c:pt idx="12">
                    <c:v>2013</c:v>
                  </c:pt>
                  <c:pt idx="16">
                    <c:v>2014</c:v>
                  </c:pt>
                  <c:pt idx="20">
                    <c:v>2015</c:v>
                  </c:pt>
                  <c:pt idx="24">
                    <c:v>2016</c:v>
                  </c:pt>
                  <c:pt idx="28">
                    <c:v>2017</c:v>
                  </c:pt>
                  <c:pt idx="32">
                    <c:v>2018</c:v>
                  </c:pt>
                  <c:pt idx="36">
                    <c:v>2019</c:v>
                  </c:pt>
                  <c:pt idx="40">
                    <c:v>2020</c:v>
                  </c:pt>
                </c:lvl>
              </c:multiLvlStrCache>
            </c:multiLvlStrRef>
          </c:cat>
          <c:val>
            <c:numRef>
              <c:f>wykres_4_ang!$B$11:$AS$11</c:f>
              <c:numCache>
                <c:formatCode>0.0</c:formatCode>
                <c:ptCount val="44"/>
                <c:pt idx="0">
                  <c:v>6.5</c:v>
                </c:pt>
                <c:pt idx="1">
                  <c:v>8.6999999999999993</c:v>
                </c:pt>
                <c:pt idx="2">
                  <c:v>8.4</c:v>
                </c:pt>
                <c:pt idx="3">
                  <c:v>7.3</c:v>
                </c:pt>
                <c:pt idx="4">
                  <c:v>7.6</c:v>
                </c:pt>
                <c:pt idx="5">
                  <c:v>8.6999999999999993</c:v>
                </c:pt>
                <c:pt idx="6">
                  <c:v>7.1</c:v>
                </c:pt>
                <c:pt idx="7">
                  <c:v>5.8</c:v>
                </c:pt>
                <c:pt idx="8">
                  <c:v>3.7</c:v>
                </c:pt>
                <c:pt idx="9">
                  <c:v>3</c:v>
                </c:pt>
                <c:pt idx="10">
                  <c:v>1.3</c:v>
                </c:pt>
                <c:pt idx="11">
                  <c:v>-0.6</c:v>
                </c:pt>
                <c:pt idx="12">
                  <c:v>-2.6</c:v>
                </c:pt>
                <c:pt idx="13">
                  <c:v>-2.2999999999999998</c:v>
                </c:pt>
                <c:pt idx="14">
                  <c:v>-1.5</c:v>
                </c:pt>
                <c:pt idx="15">
                  <c:v>-1.3</c:v>
                </c:pt>
                <c:pt idx="16">
                  <c:v>-1.4</c:v>
                </c:pt>
                <c:pt idx="17">
                  <c:v>0.1</c:v>
                </c:pt>
                <c:pt idx="18">
                  <c:v>-0.5</c:v>
                </c:pt>
                <c:pt idx="19">
                  <c:v>-0.8</c:v>
                </c:pt>
                <c:pt idx="20">
                  <c:v>-0.9</c:v>
                </c:pt>
                <c:pt idx="21">
                  <c:v>0.4</c:v>
                </c:pt>
                <c:pt idx="22">
                  <c:v>0.5</c:v>
                </c:pt>
                <c:pt idx="23">
                  <c:v>0</c:v>
                </c:pt>
                <c:pt idx="24">
                  <c:v>-0.4</c:v>
                </c:pt>
                <c:pt idx="25">
                  <c:v>2.1</c:v>
                </c:pt>
                <c:pt idx="26">
                  <c:v>4</c:v>
                </c:pt>
                <c:pt idx="27">
                  <c:v>4.4000000000000004</c:v>
                </c:pt>
                <c:pt idx="28">
                  <c:v>4.3</c:v>
                </c:pt>
                <c:pt idx="29">
                  <c:v>7</c:v>
                </c:pt>
                <c:pt idx="30">
                  <c:v>8</c:v>
                </c:pt>
                <c:pt idx="31">
                  <c:v>9.1999999999999993</c:v>
                </c:pt>
                <c:pt idx="32">
                  <c:v>11</c:v>
                </c:pt>
                <c:pt idx="33">
                  <c:v>14.2</c:v>
                </c:pt>
                <c:pt idx="34">
                  <c:v>16.7</c:v>
                </c:pt>
                <c:pt idx="35">
                  <c:v>18.8</c:v>
                </c:pt>
                <c:pt idx="36" formatCode="General">
                  <c:v>21.3</c:v>
                </c:pt>
                <c:pt idx="37" formatCode="General">
                  <c:v>25</c:v>
                </c:pt>
                <c:pt idx="38">
                  <c:v>29.4</c:v>
                </c:pt>
                <c:pt idx="39">
                  <c:v>33</c:v>
                </c:pt>
                <c:pt idx="40" formatCode="General">
                  <c:v>39.700000000000003</c:v>
                </c:pt>
                <c:pt idx="41" formatCode="General">
                  <c:v>44.2</c:v>
                </c:pt>
                <c:pt idx="42">
                  <c:v>47</c:v>
                </c:pt>
                <c:pt idx="43">
                  <c:v>47.8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706277904"/>
        <c:axId val="-706284976"/>
      </c:lineChart>
      <c:catAx>
        <c:axId val="-706277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6284976"/>
        <c:crossesAt val="0"/>
        <c:auto val="0"/>
        <c:lblAlgn val="ctr"/>
        <c:lblOffset val="100"/>
        <c:noMultiLvlLbl val="0"/>
      </c:catAx>
      <c:valAx>
        <c:axId val="-706284976"/>
        <c:scaling>
          <c:orientation val="minMax"/>
          <c:max val="48"/>
          <c:min val="-8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706277904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69120164327285"/>
          <c:y val="0.9331748120720037"/>
          <c:w val="0.56617596713454299"/>
          <c:h val="4.416229840958265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Wskaźniki_cen_lokali_mieszkalnych_w_I_kw_2020_ang.docx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STAT\KACZORM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2153F044-6EA6-4563-8DDF-EF1523D80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FED92C-40C5-4A5F-9C9E-1092F84C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349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2020-07-02T07:04:00Z</cp:lastPrinted>
  <dcterms:created xsi:type="dcterms:W3CDTF">2020-07-15T05:19:00Z</dcterms:created>
  <dcterms:modified xsi:type="dcterms:W3CDTF">2021-04-02T05:33:00Z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