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9B6319">
        <w:rPr>
          <w:shd w:val="clear" w:color="auto" w:fill="FFFFFF"/>
          <w:lang w:val="en-US"/>
        </w:rPr>
        <w:t>thir</w:t>
      </w:r>
      <w:r w:rsidR="0073406E">
        <w:rPr>
          <w:shd w:val="clear" w:color="auto" w:fill="FFFFFF"/>
          <w:lang w:val="en-US"/>
        </w:rPr>
        <w:t>d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2020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7340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10.9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9B6319">
                              <w:rPr>
                                <w:lang w:val="en-US"/>
                              </w:rPr>
                              <w:t>3r</w:t>
                            </w:r>
                            <w:r w:rsidR="0073406E">
                              <w:rPr>
                                <w:lang w:val="en-US"/>
                              </w:rPr>
                              <w:t>d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</w:t>
                            </w:r>
                            <w:r w:rsidR="0073406E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31100">
                              <w:rPr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7340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10.9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9B6319">
                        <w:rPr>
                          <w:lang w:val="en-US"/>
                        </w:rPr>
                        <w:t>3r</w:t>
                      </w:r>
                      <w:r w:rsidR="0073406E">
                        <w:rPr>
                          <w:lang w:val="en-US"/>
                        </w:rPr>
                        <w:t>d</w:t>
                      </w:r>
                      <w:r w:rsidR="00231100">
                        <w:rPr>
                          <w:lang w:val="en-US"/>
                        </w:rPr>
                        <w:t xml:space="preserve"> quarter </w:t>
                      </w:r>
                      <w:r w:rsidR="0073406E">
                        <w:rPr>
                          <w:lang w:val="en-US"/>
                        </w:rPr>
                        <w:t xml:space="preserve">of </w:t>
                      </w:r>
                      <w:r w:rsidR="00231100">
                        <w:rPr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 xml:space="preserve">in the </w:t>
      </w:r>
      <w:r w:rsidR="009B6319">
        <w:rPr>
          <w:lang w:val="en-US"/>
        </w:rPr>
        <w:t>thir</w:t>
      </w:r>
      <w:r w:rsidR="0073406E">
        <w:rPr>
          <w:lang w:val="en-US"/>
        </w:rPr>
        <w:t xml:space="preserve">d quarter of </w:t>
      </w:r>
      <w:r w:rsidR="001F327E">
        <w:rPr>
          <w:lang w:val="en-US"/>
        </w:rPr>
        <w:t>2020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1F327E">
        <w:rPr>
          <w:lang w:val="en-US"/>
        </w:rPr>
        <w:t xml:space="preserve"> </w:t>
      </w:r>
      <w:r w:rsidR="009B6319">
        <w:rPr>
          <w:lang w:val="en-US"/>
        </w:rPr>
        <w:t>second</w:t>
      </w:r>
      <w:r w:rsidR="001F327E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20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2.0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9B6319">
        <w:rPr>
          <w:lang w:val="en-US"/>
        </w:rPr>
        <w:t>2.2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secondary market - by </w:t>
      </w:r>
      <w:r w:rsidR="009B6319">
        <w:rPr>
          <w:lang w:val="en-US"/>
        </w:rPr>
        <w:t>2.0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646923">
        <w:rPr>
          <w:lang w:val="en-US"/>
        </w:rPr>
        <w:t>19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73406E">
        <w:rPr>
          <w:lang w:val="en-US"/>
        </w:rPr>
        <w:t>10.9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9B6319">
        <w:rPr>
          <w:lang w:val="en-US"/>
        </w:rPr>
        <w:t>7.2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1F327E">
        <w:rPr>
          <w:lang w:val="en-US"/>
        </w:rPr>
        <w:t>1</w:t>
      </w:r>
      <w:r w:rsidR="009B6319">
        <w:rPr>
          <w:lang w:val="en-US"/>
        </w:rPr>
        <w:t>3.7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Price indices of residential premises 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in the </w:t>
      </w:r>
      <w:r w:rsidR="009B6319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thir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d quarter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of </w:t>
      </w:r>
      <w:r w:rsidR="001F327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2020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7D15EA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7D15EA" w:rsidRDefault="0073406E" w:rsidP="009B6319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Q</w:t>
            </w:r>
            <w:r w:rsidR="001F327E"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uarter</w:t>
            </w:r>
            <w:proofErr w:type="spellEnd"/>
            <w:r w:rsidR="001F327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9B6319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1F327E" w:rsidRPr="007D15EA" w:rsidTr="001F327E">
        <w:trPr>
          <w:trHeight w:val="56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</w:tcPr>
          <w:p w:rsidR="001F327E" w:rsidRPr="007D15EA" w:rsidRDefault="0073406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quarter</w:t>
            </w:r>
            <w:proofErr w:type="spellEnd"/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</w:t>
            </w:r>
            <w:r w:rsidR="009B6319">
              <w:rPr>
                <w:rFonts w:eastAsia="Fira Sans Light" w:cs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Fira Sans Light" w:cs="Times New Roman"/>
                <w:color w:val="000000"/>
                <w:sz w:val="16"/>
                <w:szCs w:val="16"/>
              </w:rPr>
              <w:t>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73406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quarter</w:t>
            </w:r>
            <w:proofErr w:type="spellEnd"/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</w:t>
            </w:r>
            <w:r w:rsidR="009B6319">
              <w:rPr>
                <w:rFonts w:eastAsia="Fira Sans Light" w:cs="Times New Roman"/>
                <w:color w:val="000000"/>
                <w:sz w:val="16"/>
                <w:szCs w:val="16"/>
              </w:rPr>
              <w:t>3</w:t>
            </w:r>
            <w:r w:rsidR="009E325B">
              <w:rPr>
                <w:rFonts w:eastAsia="Fira Sans Light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Fira Sans Light" w:cs="Times New Roman"/>
                <w:color w:val="000000"/>
                <w:sz w:val="16"/>
                <w:szCs w:val="16"/>
              </w:rPr>
              <w:t>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9B6319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9B6319" w:rsidRPr="007D15EA" w:rsidRDefault="009B6319" w:rsidP="009B631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6319" w:rsidRPr="00013EF3" w:rsidRDefault="009B6319" w:rsidP="009B6319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6319" w:rsidRPr="00013EF3" w:rsidRDefault="009B6319" w:rsidP="009B6319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110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9B6319" w:rsidRPr="00013EF3" w:rsidRDefault="009B6319" w:rsidP="009B6319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137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9B6319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9B6319" w:rsidRPr="007D15EA" w:rsidRDefault="009B6319" w:rsidP="009B631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Primary</w:t>
            </w:r>
            <w:proofErr w:type="spellEnd"/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6319" w:rsidRPr="00606999" w:rsidRDefault="009B6319" w:rsidP="009B6319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6319" w:rsidRPr="00606999" w:rsidRDefault="009B6319" w:rsidP="009B6319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9B6319" w:rsidRPr="00606999" w:rsidRDefault="009B6319" w:rsidP="009B6319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9B6319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9B6319" w:rsidRPr="007D15EA" w:rsidRDefault="009B6319" w:rsidP="009B6319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Seconda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ry</w:t>
            </w:r>
            <w:proofErr w:type="spellEnd"/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9B6319" w:rsidRPr="00606999" w:rsidRDefault="009B6319" w:rsidP="009B6319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9B6319" w:rsidRPr="00606999" w:rsidRDefault="009B6319" w:rsidP="009B6319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9B6319" w:rsidRPr="00606999" w:rsidRDefault="009B6319" w:rsidP="009B6319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20,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>weight of 5</w:t>
                            </w:r>
                            <w:r w:rsidR="001F327E">
                              <w:rPr>
                                <w:lang w:val="en-US"/>
                              </w:rPr>
                              <w:t>7.6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>mary market – 4</w:t>
                            </w:r>
                            <w:r w:rsidR="001F327E">
                              <w:rPr>
                                <w:lang w:val="en-US"/>
                              </w:rPr>
                              <w:t>2.4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+9EwIAAAA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20,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>weight of 5</w:t>
                      </w:r>
                      <w:r w:rsidR="001F327E">
                        <w:rPr>
                          <w:lang w:val="en-US"/>
                        </w:rPr>
                        <w:t>7.6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>mary market – 4</w:t>
                      </w:r>
                      <w:r w:rsidR="001F327E">
                        <w:rPr>
                          <w:lang w:val="en-US"/>
                        </w:rPr>
                        <w:t>2.4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2020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769" cy="1123949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9B6319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E4A3A6A" wp14:editId="0B6FEB1F">
            <wp:extent cx="5172832" cy="2807970"/>
            <wp:effectExtent l="0" t="0" r="889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841D17">
        <w:rPr>
          <w:b/>
          <w:sz w:val="18"/>
          <w:lang w:val="en-US"/>
        </w:rPr>
        <w:t>c</w:t>
      </w:r>
      <w:r w:rsidR="0057227D">
        <w:rPr>
          <w:b/>
          <w:sz w:val="18"/>
          <w:lang w:val="en-US"/>
        </w:rPr>
        <w:t>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9B6319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091B4B89" wp14:editId="7DFA9014">
            <wp:extent cx="5214026" cy="3122295"/>
            <wp:effectExtent l="0" t="0" r="5715" b="190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950DBD">
                              <w:rPr>
                                <w:lang w:val="en-US"/>
                              </w:rPr>
                              <w:t>second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20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C974C9">
                              <w:rPr>
                                <w:lang w:val="en-US"/>
                              </w:rPr>
                              <w:t>3</w:t>
                            </w:r>
                            <w:r w:rsidR="009B6319">
                              <w:rPr>
                                <w:lang w:val="en-US"/>
                              </w:rPr>
                              <w:t>7.1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7E1DC4">
                              <w:rPr>
                                <w:lang w:val="en-US"/>
                              </w:rPr>
                              <w:t>2</w:t>
                            </w:r>
                            <w:r w:rsidR="009B6319">
                              <w:rPr>
                                <w:lang w:val="en-US"/>
                              </w:rPr>
                              <w:t>5.6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841D17">
                              <w:rPr>
                                <w:lang w:val="en-US"/>
                              </w:rPr>
                              <w:t>4</w:t>
                            </w:r>
                            <w:r w:rsidR="009B6319">
                              <w:rPr>
                                <w:lang w:val="en-US"/>
                              </w:rPr>
                              <w:t>7.0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950DBD">
                        <w:rPr>
                          <w:lang w:val="en-US"/>
                        </w:rPr>
                        <w:t>second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20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C974C9">
                        <w:rPr>
                          <w:lang w:val="en-US"/>
                        </w:rPr>
                        <w:t>3</w:t>
                      </w:r>
                      <w:r w:rsidR="009B6319">
                        <w:rPr>
                          <w:lang w:val="en-US"/>
                        </w:rPr>
                        <w:t>7.1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7E1DC4">
                        <w:rPr>
                          <w:lang w:val="en-US"/>
                        </w:rPr>
                        <w:t>2</w:t>
                      </w:r>
                      <w:r w:rsidR="009B6319">
                        <w:rPr>
                          <w:lang w:val="en-US"/>
                        </w:rPr>
                        <w:t>5.6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841D17">
                        <w:rPr>
                          <w:lang w:val="en-US"/>
                        </w:rPr>
                        <w:t>4</w:t>
                      </w:r>
                      <w:r w:rsidR="009B6319">
                        <w:rPr>
                          <w:lang w:val="en-US"/>
                        </w:rPr>
                        <w:t>7.0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9B6319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47B9A9BD" wp14:editId="4BCAA5C6">
            <wp:extent cx="5122545" cy="3842426"/>
            <wp:effectExtent l="0" t="0" r="1905" b="571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739140</wp:posOffset>
                </wp:positionV>
                <wp:extent cx="1788795" cy="1847850"/>
                <wp:effectExtent l="0" t="0" r="0" b="0"/>
                <wp:wrapTight wrapText="bothSides">
                  <wp:wrapPolygon edited="0">
                    <wp:start x="690" y="0"/>
                    <wp:lineTo x="690" y="21377"/>
                    <wp:lineTo x="20703" y="21377"/>
                    <wp:lineTo x="20703" y="0"/>
                    <wp:lineTo x="690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7D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9B6319">
                              <w:rPr>
                                <w:lang w:val="en-US"/>
                              </w:rPr>
                              <w:t>3r</w:t>
                            </w:r>
                            <w:r w:rsidR="00950DBD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 xml:space="preserve">of 2020, compared to </w:t>
                            </w:r>
                            <w:r w:rsidR="00950DB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9B6319">
                              <w:rPr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in the </w:t>
                            </w:r>
                            <w:proofErr w:type="spellStart"/>
                            <w:r w:rsidR="009B6319">
                              <w:rPr>
                                <w:lang w:val="en-US"/>
                              </w:rPr>
                              <w:t>Mazowieckie</w:t>
                            </w:r>
                            <w:proofErr w:type="spellEnd"/>
                            <w:r w:rsidR="009B63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9B6319">
                              <w:rPr>
                                <w:lang w:val="en-US"/>
                              </w:rPr>
                              <w:t>3.8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505EF2">
                              <w:rPr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lang w:val="en-US"/>
                              </w:rPr>
                              <w:t>s were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proofErr w:type="spellStart"/>
                            <w:r w:rsidR="009B6319">
                              <w:rPr>
                                <w:lang w:val="en-US"/>
                              </w:rPr>
                              <w:t>Opolsk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proofErr w:type="spellEnd"/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9B6319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9B6319">
                              <w:rPr>
                                <w:lang w:val="en-US"/>
                              </w:rPr>
                              <w:t>Swietokrzyskie</w:t>
                            </w:r>
                            <w:proofErr w:type="spellEnd"/>
                            <w:r w:rsidR="009B631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and </w:t>
                            </w:r>
                            <w:proofErr w:type="spellStart"/>
                            <w:r w:rsidR="009B6319">
                              <w:rPr>
                                <w:lang w:val="en-US"/>
                              </w:rPr>
                              <w:t>Lubuskie</w:t>
                            </w:r>
                            <w:proofErr w:type="spellEnd"/>
                            <w:r w:rsidR="009B6319">
                              <w:rPr>
                                <w:lang w:val="en-US"/>
                              </w:rPr>
                              <w:t xml:space="preserve"> Voivodship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3.6pt;margin-top:58.2pt;width:140.85pt;height:145.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" filled="f" stroked="f">
                <v:textbox>
                  <w:txbxContent>
                    <w:p w:rsidR="0057227D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9B6319">
                        <w:rPr>
                          <w:lang w:val="en-US"/>
                        </w:rPr>
                        <w:t>3r</w:t>
                      </w:r>
                      <w:r w:rsidR="00950DBD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 xml:space="preserve">of 2020, compared to </w:t>
                      </w:r>
                      <w:r w:rsidR="00950DBD">
                        <w:rPr>
                          <w:lang w:val="en-US"/>
                        </w:rPr>
                        <w:t xml:space="preserve">the </w:t>
                      </w:r>
                      <w:r w:rsidR="009B6319">
                        <w:rPr>
                          <w:lang w:val="en-US"/>
                        </w:rPr>
                        <w:t>2nd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premises </w:t>
                      </w:r>
                      <w:r w:rsidR="00D41C51">
                        <w:rPr>
                          <w:lang w:val="en-US"/>
                        </w:rPr>
                        <w:t xml:space="preserve">was recorded in the </w:t>
                      </w:r>
                      <w:proofErr w:type="spellStart"/>
                      <w:r w:rsidR="009B6319">
                        <w:rPr>
                          <w:lang w:val="en-US"/>
                        </w:rPr>
                        <w:t>Mazowieckie</w:t>
                      </w:r>
                      <w:proofErr w:type="spellEnd"/>
                      <w:r w:rsidR="009B6319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 w:rsidR="009B6319">
                        <w:rPr>
                          <w:lang w:val="en-US"/>
                        </w:rPr>
                        <w:t>3.8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de</w:t>
                      </w:r>
                      <w:r w:rsidR="00505EF2">
                        <w:rPr>
                          <w:lang w:val="en-US"/>
                        </w:rPr>
                        <w:t>crease</w:t>
                      </w:r>
                      <w:r>
                        <w:rPr>
                          <w:lang w:val="en-US"/>
                        </w:rPr>
                        <w:t>s were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proofErr w:type="spellStart"/>
                      <w:r w:rsidR="009B6319">
                        <w:rPr>
                          <w:lang w:val="en-US"/>
                        </w:rPr>
                        <w:t>Opolsk</w:t>
                      </w:r>
                      <w:r>
                        <w:rPr>
                          <w:lang w:val="en-US"/>
                        </w:rPr>
                        <w:t>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9B6319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="009B6319">
                        <w:rPr>
                          <w:lang w:val="en-US"/>
                        </w:rPr>
                        <w:t>Swietokrzyskie</w:t>
                      </w:r>
                      <w:proofErr w:type="spellEnd"/>
                      <w:r w:rsidR="009B6319">
                        <w:rPr>
                          <w:lang w:val="en-US"/>
                        </w:rPr>
                        <w:t xml:space="preserve"> Voivodship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and </w:t>
                      </w:r>
                      <w:proofErr w:type="spellStart"/>
                      <w:r w:rsidR="009B6319">
                        <w:rPr>
                          <w:lang w:val="en-US"/>
                        </w:rPr>
                        <w:t>Lubuskie</w:t>
                      </w:r>
                      <w:proofErr w:type="spellEnd"/>
                      <w:r w:rsidR="009B6319">
                        <w:rPr>
                          <w:lang w:val="en-US"/>
                        </w:rPr>
                        <w:t xml:space="preserve"> Voivodship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in the </w:t>
      </w:r>
      <w:r w:rsidR="009B6319">
        <w:rPr>
          <w:b/>
          <w:spacing w:val="-2"/>
          <w:sz w:val="18"/>
          <w:shd w:val="clear" w:color="auto" w:fill="FFFFFF"/>
          <w:lang w:val="en-US"/>
        </w:rPr>
        <w:t>thir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d quarter </w:t>
      </w:r>
      <w:r w:rsidR="00841D17">
        <w:rPr>
          <w:b/>
          <w:spacing w:val="-2"/>
          <w:sz w:val="18"/>
          <w:shd w:val="clear" w:color="auto" w:fill="FFFFFF"/>
          <w:lang w:val="en-US"/>
        </w:rPr>
        <w:t>of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b/>
          <w:spacing w:val="-2"/>
          <w:sz w:val="18"/>
          <w:shd w:val="clear" w:color="auto" w:fill="FFFFFF"/>
          <w:lang w:val="en-US"/>
        </w:rPr>
        <w:t>2020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841D17" w:rsidP="009B6319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uarter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B6319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/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730963" w:rsidP="009B631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B6319">
              <w:rPr>
                <w:color w:val="000000" w:themeColor="text1"/>
                <w:sz w:val="16"/>
                <w:szCs w:val="16"/>
                <w:lang w:val="en-GB"/>
              </w:rPr>
              <w:t>2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/2020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730963" w:rsidP="009B631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B6319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/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2019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9B6319" w:rsidRPr="00F95B4F" w:rsidRDefault="009B6319" w:rsidP="009B631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9B6319" w:rsidRPr="00FC00DC" w:rsidRDefault="009B6319" w:rsidP="009B6319">
            <w:pPr>
              <w:jc w:val="center"/>
              <w:rPr>
                <w:b/>
                <w:sz w:val="16"/>
                <w:szCs w:val="16"/>
              </w:rPr>
            </w:pPr>
            <w:r w:rsidRPr="00FC00DC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>.</w:t>
            </w:r>
            <w:r w:rsidRPr="00FC00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9B6319" w:rsidRPr="00FC00DC" w:rsidRDefault="009B6319" w:rsidP="009B6319">
            <w:pPr>
              <w:jc w:val="center"/>
              <w:rPr>
                <w:b/>
                <w:sz w:val="16"/>
                <w:szCs w:val="16"/>
              </w:rPr>
            </w:pPr>
            <w:r w:rsidRPr="00FC00DC">
              <w:rPr>
                <w:b/>
                <w:sz w:val="16"/>
                <w:szCs w:val="16"/>
              </w:rPr>
              <w:t>110</w:t>
            </w:r>
            <w:r>
              <w:rPr>
                <w:b/>
                <w:sz w:val="16"/>
                <w:szCs w:val="16"/>
              </w:rPr>
              <w:t>.</w:t>
            </w:r>
            <w:r w:rsidRPr="00FC00DC">
              <w:rPr>
                <w:b/>
                <w:sz w:val="16"/>
                <w:szCs w:val="16"/>
              </w:rPr>
              <w:t>9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9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9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1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4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3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7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5</w:t>
            </w:r>
          </w:p>
        </w:tc>
      </w:tr>
      <w:tr w:rsidR="009B6319" w:rsidRPr="00F95B4F" w:rsidTr="00416F7B">
        <w:trPr>
          <w:trHeight w:val="57"/>
        </w:trPr>
        <w:tc>
          <w:tcPr>
            <w:tcW w:w="3494" w:type="dxa"/>
            <w:vAlign w:val="center"/>
          </w:tcPr>
          <w:p w:rsidR="009B6319" w:rsidRPr="00F95B4F" w:rsidRDefault="009B6319" w:rsidP="009B6319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9B6319" w:rsidRPr="00BC3205" w:rsidRDefault="009B6319" w:rsidP="009B6319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FC00DC">
              <w:rPr>
                <w:sz w:val="16"/>
                <w:szCs w:val="16"/>
              </w:rPr>
              <w:t>2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73406E" w:rsidRDefault="003D7815" w:rsidP="00E76D26">
      <w:pPr>
        <w:rPr>
          <w:sz w:val="18"/>
          <w:lang w:val="en-US"/>
        </w:rPr>
        <w:sectPr w:rsidR="0059548E" w:rsidRPr="0073406E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DA437A">
        <w:rPr>
          <w:rFonts w:cs="Arial"/>
          <w:color w:val="000000" w:themeColor="text1"/>
          <w:sz w:val="20"/>
          <w:lang w:val="en-US"/>
        </w:rPr>
        <w:t>figures from Statistics Poland”.</w:t>
      </w:r>
      <w:bookmarkStart w:id="0" w:name="_GoBack"/>
      <w:bookmarkEnd w:id="0"/>
    </w:p>
    <w:p w:rsidR="000470AA" w:rsidRPr="0073406E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CA7351" w:rsidRPr="00DA437A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  <w:proofErr w:type="spellEnd"/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DA437A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DA437A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DA437A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950DBD" w:rsidRDefault="00950DBD" w:rsidP="00CA7351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9E4AB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"https://stat.gov.pl/en/topics/municipal-infrastructure/municipal-infrastructure/real-estate-sales-in-2019,2,12.html"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2019</w:t>
                            </w:r>
                          </w:p>
                          <w:p w:rsidR="00950DBD" w:rsidRPr="00EF53D1" w:rsidRDefault="00950DBD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DA437A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DA437A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DA437A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DA437A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9B46C8" w:rsidRPr="00B62AC7" w:rsidRDefault="00DA437A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DA437A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57058B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premises by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v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oivodships</w:t>
                        </w:r>
                      </w:hyperlink>
                    </w:p>
                    <w:p w:rsidR="009B46C8" w:rsidRPr="00B62AC7" w:rsidRDefault="0057058B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 of one square meter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f usable floor space of a reside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tial building</w:t>
                        </w:r>
                      </w:hyperlink>
                    </w:p>
                    <w:p w:rsidR="009B46C8" w:rsidRPr="00950DBD" w:rsidRDefault="00950DBD" w:rsidP="00CA7351">
                      <w:pPr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9E4AB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"https://stat.gov.pl/en/topics/municipal-infrastructure/municipal-infrastructure/real-estate-sales-in-2019,2,12.html"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Real estate s</w:t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les</w:t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in 2019</w:t>
                      </w:r>
                    </w:p>
                    <w:p w:rsidR="00950DBD" w:rsidRPr="00EF53D1" w:rsidRDefault="00950DBD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57058B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</w:t>
                        </w:r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a</w:t>
                        </w:r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tabases (DBW) Prices</w:t>
                        </w:r>
                      </w:hyperlink>
                    </w:p>
                    <w:p w:rsidR="009B46C8" w:rsidRPr="0026348E" w:rsidRDefault="0057058B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5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 xml:space="preserve">Local Data Bank – 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R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eal Estate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57058B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a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te turnover</w:t>
                        </w:r>
                      </w:hyperlink>
                    </w:p>
                    <w:p w:rsidR="009B46C8" w:rsidRPr="00B62AC7" w:rsidRDefault="0057058B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 Estate Prices and Values</w:t>
                        </w:r>
                      </w:hyperlink>
                    </w:p>
                    <w:p w:rsidR="009B46C8" w:rsidRPr="00B62AC7" w:rsidRDefault="0057058B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es</w:t>
                        </w:r>
                      </w:hyperlink>
                    </w:p>
                    <w:p w:rsidR="009B46C8" w:rsidRPr="00B129EC" w:rsidRDefault="0057058B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Price indices of 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esidential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86" w:rsidRDefault="00C44F86" w:rsidP="000662E2">
      <w:pPr>
        <w:spacing w:after="0" w:line="240" w:lineRule="auto"/>
      </w:pPr>
      <w:r>
        <w:separator/>
      </w:r>
    </w:p>
  </w:endnote>
  <w:end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43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4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43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86" w:rsidRDefault="00C44F86" w:rsidP="000662E2">
      <w:pPr>
        <w:spacing w:after="0" w:line="240" w:lineRule="auto"/>
      </w:pPr>
      <w:r>
        <w:separator/>
      </w:r>
    </w:p>
  </w:footnote>
  <w:foot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6C8" w:rsidRPr="00C97596" w:rsidRDefault="009B631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9B46C8" w:rsidRPr="00C97596" w:rsidRDefault="009B631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3BB8"/>
    <w:rsid w:val="00556CF1"/>
    <w:rsid w:val="00563A09"/>
    <w:rsid w:val="0057058B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B6319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E325B"/>
    <w:rsid w:val="009E4AB2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437A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s://stat.gov.pl/en/metainformations/glossary/terms-used-in-official-statistics/4103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3015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8,2020,category.html" TargetMode="External"/><Relationship Id="rId32" Type="http://schemas.openxmlformats.org/officeDocument/2006/relationships/hyperlink" Target="https://stat.gov.pl/en/latest-statistical-news/communications-and-announcements/8,2020,category.html" TargetMode="External"/><Relationship Id="rId37" Type="http://schemas.openxmlformats.org/officeDocument/2006/relationships/hyperlink" Target="http://stat.gov.pl/en/metainformations/glossary/terms-used-in-official-statistics/301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966,term.html" TargetMode="External"/><Relationship Id="rId36" Type="http://schemas.openxmlformats.org/officeDocument/2006/relationships/hyperlink" Target="http://stat.gov.pl/en/metainformations/glossary/terms-used-in-official-statistics/966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s/glossary/terms-used-in-official-statistics/410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1984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third-quarter-of-2020,270,28.html" TargetMode="External"/><Relationship Id="rId33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third-quarter-of-2020,270,28.html" TargetMode="External"/><Relationship Id="rId38" Type="http://schemas.openxmlformats.org/officeDocument/2006/relationships/hyperlink" Target="http://stat.gov.pl/en/metainformations/glossary/terms-used-in-official-statistics/198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3_kwarta&#322;_2020\Wykresy_do_info_syg_III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0\3_kwarta&#322;_2020\Wykresy_do_info_syg_III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3_kwarta&#322;_2020\Wykresy_do_info_syg_III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928736528"/>
        <c:axId val="-928737616"/>
      </c:barChart>
      <c:catAx>
        <c:axId val="-9287365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928737616"/>
        <c:crosses val="autoZero"/>
        <c:auto val="1"/>
        <c:lblAlgn val="ctr"/>
        <c:lblOffset val="100"/>
        <c:noMultiLvlLbl val="0"/>
      </c:catAx>
      <c:valAx>
        <c:axId val="-928737616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92873652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835221769633327"/>
          <c:h val="0.68572527484267987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  <c:pt idx="40" formatCode="0.0">
                  <c:v>2</c:v>
                </c:pt>
                <c:pt idx="41" formatCode="0.0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  <c:pt idx="40" formatCode="0.0">
                  <c:v>0.4</c:v>
                </c:pt>
                <c:pt idx="41" formatCode="0.0">
                  <c:v>2.2000000000000002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  <c:pt idx="40" formatCode="0.0">
                  <c:v>3.2</c:v>
                </c:pt>
                <c:pt idx="41" formatCode="0.0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8735984"/>
        <c:axId val="-928735440"/>
      </c:lineChart>
      <c:catAx>
        <c:axId val="-92873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8735440"/>
        <c:crosses val="autoZero"/>
        <c:auto val="0"/>
        <c:lblAlgn val="ctr"/>
        <c:lblOffset val="100"/>
        <c:noMultiLvlLbl val="0"/>
      </c:catAx>
      <c:valAx>
        <c:axId val="-928735440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87359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443460233145832"/>
          <c:y val="0.93695196032507266"/>
          <c:w val="0.58137995859480007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7512004342233423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74866992"/>
        <c:axId val="-874864816"/>
      </c:lineChart>
      <c:catAx>
        <c:axId val="-87486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4864816"/>
        <c:crosses val="autoZero"/>
        <c:auto val="0"/>
        <c:lblAlgn val="ctr"/>
        <c:lblOffset val="100"/>
        <c:noMultiLvlLbl val="0"/>
      </c:catAx>
      <c:valAx>
        <c:axId val="-874864816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486699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229015810363859"/>
          <c:y val="0.92473485048658122"/>
          <c:w val="0.61541968379272283"/>
          <c:h val="5.08600244371527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275280807290396E-2"/>
          <c:y val="7.0254957507082161E-2"/>
          <c:w val="0.94138421429191932"/>
          <c:h val="0.69551664398890634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  <c:pt idx="41" formatCode="General">
                  <c:v>34.299999999999997</c:v>
                </c:pt>
                <c:pt idx="42" formatCode="General">
                  <c:v>37.1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  <c:pt idx="41" formatCode="General">
                  <c:v>22.9</c:v>
                </c:pt>
                <c:pt idx="42" formatCode="General">
                  <c:v>25.6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  <c:pt idx="41" formatCode="General">
                  <c:v>44.2</c:v>
                </c:pt>
                <c:pt idx="42">
                  <c:v>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74865360"/>
        <c:axId val="-874867536"/>
      </c:lineChart>
      <c:catAx>
        <c:axId val="-87486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4867536"/>
        <c:crossesAt val="0"/>
        <c:auto val="0"/>
        <c:lblAlgn val="ctr"/>
        <c:lblOffset val="100"/>
        <c:noMultiLvlLbl val="0"/>
      </c:catAx>
      <c:valAx>
        <c:axId val="-874867536"/>
        <c:scaling>
          <c:orientation val="minMax"/>
          <c:max val="4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4865360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45195503406997"/>
          <c:y val="0.9331748120720037"/>
          <c:w val="0.69261704875213392"/>
          <c:h val="4.4162298409582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purl.org/dc/terms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8C029B3F-2CC4-4A59-AF0D-A90575FA337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EDE10-BAB7-4A41-AFFC-B94ABB02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Kaczor Małgorzata</cp:lastModifiedBy>
  <cp:revision>12</cp:revision>
  <cp:lastPrinted>2020-07-02T07:04:00Z</cp:lastPrinted>
  <dcterms:created xsi:type="dcterms:W3CDTF">2020-07-15T05:19:00Z</dcterms:created>
  <dcterms:modified xsi:type="dcterms:W3CDTF">2021-01-07T08:05:00Z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