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5E85E097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2505DC">
        <w:rPr>
          <w:shd w:val="clear" w:color="auto" w:fill="FFFFFF"/>
          <w:lang w:val="en-GB"/>
        </w:rPr>
        <w:t>November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3F7409B3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7F5CFBD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9F18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12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F18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</w:p>
                          <w:p w:rsidRPr="008B6B17" w:rsidR="001863AF" w:rsidP="001863AF" w:rsidRDefault="001863AF" w14:paraId="732EB229" w14:textId="7525F54F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F185C">
                              <w:rPr>
                                <w:lang w:val="en-US"/>
                              </w:rPr>
                              <w:t>November</w:t>
                            </w:r>
                            <w:r w:rsidR="00F309B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7F5CFBD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9F18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12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F18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</w:p>
                    <w:p w:rsidRPr="008B6B17" w:rsidR="001863AF" w:rsidP="001863AF" w:rsidRDefault="001863AF" w14:paraId="732EB229" w14:textId="7525F54F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9F185C">
                        <w:rPr>
                          <w:lang w:val="en-US"/>
                        </w:rPr>
                        <w:t>November</w:t>
                      </w:r>
                      <w:r w:rsidR="00F309BF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54B" w:rsidR="001863AF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Pr="00D562F3" w:rsidR="0056316C">
        <w:rPr>
          <w:shd w:val="clear" w:color="auto" w:fill="FFFFFF"/>
          <w:lang w:val="en-GB"/>
        </w:rPr>
        <w:t>,</w:t>
      </w:r>
      <w:r w:rsidRPr="00B05798" w:rsidR="001863AF">
        <w:rPr>
          <w:shd w:val="clear" w:color="auto" w:fill="FFFFFF"/>
          <w:lang w:val="en-GB"/>
        </w:rPr>
        <w:t xml:space="preserve"> </w:t>
      </w:r>
      <w:r w:rsidR="00682699">
        <w:rPr>
          <w:lang w:val="en-GB"/>
        </w:rPr>
        <w:t xml:space="preserve">in </w:t>
      </w:r>
      <w:r w:rsidR="009F185C">
        <w:rPr>
          <w:lang w:val="en-GB"/>
        </w:rPr>
        <w:t>November</w:t>
      </w:r>
      <w:r w:rsidR="00682699">
        <w:rPr>
          <w:lang w:val="en-GB"/>
        </w:rPr>
        <w:t xml:space="preserve"> 2021, </w:t>
      </w:r>
      <w:r w:rsidRPr="005A06CC" w:rsidR="00682699">
        <w:rPr>
          <w:lang w:val="en-GB"/>
        </w:rPr>
        <w:t xml:space="preserve">construction and assembly production (in constant prices) carried out domestically by construction enterprises employing more than 9 persons was by </w:t>
      </w:r>
      <w:r w:rsidR="009F185C">
        <w:rPr>
          <w:lang w:val="en-GB"/>
        </w:rPr>
        <w:t>12</w:t>
      </w:r>
      <w:r w:rsidR="00AE0CA9">
        <w:rPr>
          <w:lang w:val="en-GB"/>
        </w:rPr>
        <w:t>.</w:t>
      </w:r>
      <w:r w:rsidR="009F185C">
        <w:rPr>
          <w:lang w:val="en-GB"/>
        </w:rPr>
        <w:t>7</w:t>
      </w:r>
      <w:r w:rsidRPr="005A06CC" w:rsidR="00682699">
        <w:rPr>
          <w:lang w:val="en-GB"/>
        </w:rPr>
        <w:t xml:space="preserve">% higher than </w:t>
      </w:r>
      <w:r w:rsidR="00682699">
        <w:rPr>
          <w:lang w:val="en-GB"/>
        </w:rPr>
        <w:t xml:space="preserve">in the corresponding period of 2020 </w:t>
      </w:r>
      <w:r w:rsidRPr="005A06CC" w:rsidR="00682699">
        <w:rPr>
          <w:lang w:val="en-GB"/>
        </w:rPr>
        <w:t xml:space="preserve">(a decrease </w:t>
      </w:r>
      <w:r w:rsidR="00682699">
        <w:rPr>
          <w:lang w:val="en-GB"/>
        </w:rPr>
        <w:t>of</w:t>
      </w:r>
      <w:r w:rsidR="00AE0CA9">
        <w:rPr>
          <w:lang w:val="en-GB"/>
        </w:rPr>
        <w:t xml:space="preserve"> </w:t>
      </w:r>
      <w:r w:rsidR="009F185C">
        <w:rPr>
          <w:lang w:val="en-GB"/>
        </w:rPr>
        <w:t>4</w:t>
      </w:r>
      <w:r w:rsidR="00AE0CA9">
        <w:rPr>
          <w:lang w:val="en-GB"/>
        </w:rPr>
        <w:t>.</w:t>
      </w:r>
      <w:r w:rsidR="009F185C">
        <w:rPr>
          <w:lang w:val="en-GB"/>
        </w:rPr>
        <w:t>9</w:t>
      </w:r>
      <w:r w:rsidRPr="005A06CC" w:rsidR="00682699">
        <w:rPr>
          <w:lang w:val="en-GB"/>
        </w:rPr>
        <w:t xml:space="preserve">% the year before) and by </w:t>
      </w:r>
      <w:r w:rsidR="009F185C">
        <w:rPr>
          <w:lang w:val="en-GB"/>
        </w:rPr>
        <w:t>8</w:t>
      </w:r>
      <w:r w:rsidR="00AE0CA9">
        <w:rPr>
          <w:lang w:val="en-GB"/>
        </w:rPr>
        <w:t>.</w:t>
      </w:r>
      <w:r w:rsidR="009F185C">
        <w:rPr>
          <w:lang w:val="en-GB"/>
        </w:rPr>
        <w:t>9</w:t>
      </w:r>
      <w:r w:rsidRPr="005A06CC" w:rsidR="00682699">
        <w:rPr>
          <w:lang w:val="en-GB"/>
        </w:rPr>
        <w:t xml:space="preserve">% </w:t>
      </w:r>
      <w:r w:rsidR="00627E49">
        <w:rPr>
          <w:lang w:val="en-GB"/>
        </w:rPr>
        <w:t>higher</w:t>
      </w:r>
      <w:r w:rsidRPr="005A06CC" w:rsidR="00682699">
        <w:rPr>
          <w:lang w:val="en-GB"/>
        </w:rPr>
        <w:t xml:space="preserve"> compared </w:t>
      </w:r>
      <w:r w:rsidR="00682699">
        <w:rPr>
          <w:lang w:val="en-GB"/>
        </w:rPr>
        <w:t>to</w:t>
      </w:r>
      <w:r w:rsidR="00AE0CA9">
        <w:rPr>
          <w:lang w:val="en-GB"/>
        </w:rPr>
        <w:t xml:space="preserve"> </w:t>
      </w:r>
      <w:r w:rsidR="009F185C">
        <w:rPr>
          <w:lang w:val="en-GB"/>
        </w:rPr>
        <w:t>October</w:t>
      </w:r>
      <w:r w:rsidR="005C082F">
        <w:rPr>
          <w:lang w:val="en-GB"/>
        </w:rPr>
        <w:t xml:space="preserve"> 2021 (an in</w:t>
      </w:r>
      <w:r w:rsidRPr="005A06CC" w:rsidR="00682699">
        <w:rPr>
          <w:lang w:val="en-GB"/>
        </w:rPr>
        <w:t xml:space="preserve">crease </w:t>
      </w:r>
      <w:r w:rsidR="00EF0D6C">
        <w:rPr>
          <w:lang w:val="en-GB"/>
        </w:rPr>
        <w:t>of</w:t>
      </w:r>
      <w:r w:rsidRPr="005A06CC" w:rsidR="00682699">
        <w:rPr>
          <w:lang w:val="en-GB"/>
        </w:rPr>
        <w:t xml:space="preserve"> </w:t>
      </w:r>
      <w:r w:rsidR="006442B0">
        <w:rPr>
          <w:lang w:val="en-GB"/>
        </w:rPr>
        <w:t>0</w:t>
      </w:r>
      <w:r w:rsidR="009F185C">
        <w:rPr>
          <w:lang w:val="en-GB"/>
        </w:rPr>
        <w:t>.6</w:t>
      </w:r>
      <w:r w:rsidRPr="005A06CC" w:rsidR="00682699">
        <w:rPr>
          <w:lang w:val="en-GB"/>
        </w:rPr>
        <w:t>% the year before</w:t>
      </w:r>
      <w:r w:rsidR="00682699">
        <w:rPr>
          <w:lang w:val="en-GB"/>
        </w:rPr>
        <w:t>)</w:t>
      </w:r>
      <w:r w:rsidRPr="00F821EC" w:rsidR="001863AF">
        <w:rPr>
          <w:lang w:val="en-GB"/>
        </w:rPr>
        <w:t xml:space="preserve">.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F7422E" w:rsidRDefault="005C082F" w14:paraId="36BA09E5" w14:textId="78BB171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174BBB">
              <w:rPr>
                <w:sz w:val="16"/>
                <w:szCs w:val="18"/>
                <w:shd w:val="clear" w:color="auto" w:fill="FFFFFF"/>
              </w:rPr>
              <w:t>I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F7422E" w:rsidRDefault="0078737A" w14:paraId="1A1A5489" w14:textId="017DFF1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C082F">
              <w:rPr>
                <w:sz w:val="16"/>
                <w:szCs w:val="18"/>
                <w:shd w:val="clear" w:color="auto" w:fill="FFFFFF"/>
              </w:rPr>
              <w:t>X</w:t>
            </w:r>
            <w:r w:rsidR="007741CA">
              <w:rPr>
                <w:sz w:val="16"/>
                <w:szCs w:val="18"/>
                <w:shd w:val="clear" w:color="auto" w:fill="FFFFFF"/>
              </w:rPr>
              <w:t>I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1863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CA774E" w14:paraId="7C68B17D" w14:textId="3C72A6D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F7422E" w:rsidRDefault="005C082F" w14:paraId="576DFC8D" w14:textId="1577C1A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174BBB">
              <w:rPr>
                <w:sz w:val="16"/>
                <w:szCs w:val="18"/>
                <w:shd w:val="clear" w:color="auto" w:fill="FFFFFF"/>
              </w:rPr>
              <w:t>I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F7422E" w:rsidRDefault="0078737A" w14:paraId="317E83EA" w14:textId="59AEB6B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C082F">
              <w:rPr>
                <w:sz w:val="16"/>
                <w:szCs w:val="18"/>
                <w:shd w:val="clear" w:color="auto" w:fill="FFFFFF"/>
              </w:rPr>
              <w:t>X</w:t>
            </w:r>
            <w:r w:rsidR="007741CA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C73C9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C73C9F" w:rsidP="00C73C9F" w:rsidRDefault="00C73C9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C73C9F" w:rsidP="00174BBB" w:rsidRDefault="00627E49" w14:paraId="2ED53666" w14:textId="18ED0A7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8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C73C9F" w:rsidP="00174BBB" w:rsidRDefault="00627E49" w14:paraId="4494AD43" w14:textId="282F51E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12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C73C9F" w:rsidP="00174BBB" w:rsidRDefault="00627E49" w14:paraId="16C7C4C0" w14:textId="135F035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3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174BBB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</w:tr>
      <w:tr w:rsidRPr="00CA774E" w:rsidR="00C73C9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C73C9F" w:rsidP="00C73C9F" w:rsidRDefault="00C73C9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CA774E" w:rsidR="00C73C9F" w:rsidP="00174BBB" w:rsidRDefault="00174BBB" w14:paraId="35E581FB" w14:textId="28DF69C7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110</w:t>
            </w:r>
            <w:r w:rsidRPr="00CA774E" w:rsid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9</w:t>
            </w:r>
          </w:p>
        </w:tc>
        <w:tc>
          <w:tcPr>
            <w:tcW w:w="1514" w:type="dxa"/>
            <w:vAlign w:val="center"/>
          </w:tcPr>
          <w:p w:rsidRPr="00CA774E" w:rsidR="00C73C9F" w:rsidP="00174BBB" w:rsidRDefault="00174BBB" w14:paraId="40B83B85" w14:textId="69CB212D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112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6</w:t>
            </w:r>
          </w:p>
        </w:tc>
        <w:tc>
          <w:tcPr>
            <w:tcW w:w="1392" w:type="dxa"/>
            <w:vAlign w:val="center"/>
          </w:tcPr>
          <w:p w:rsidRPr="00CA774E" w:rsidR="00C73C9F" w:rsidP="00174BBB" w:rsidRDefault="00CA774E" w14:paraId="76D04623" w14:textId="2242EA69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9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8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4</w:t>
            </w:r>
          </w:p>
        </w:tc>
      </w:tr>
      <w:tr w:rsidRPr="00CA774E" w:rsidR="00C73C9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CA774E" w:rsidR="00C73C9F" w:rsidP="00C73C9F" w:rsidRDefault="00C73C9F" w14:paraId="6DE31D8F" w14:textId="77777777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CA774E">
              <w:rPr>
                <w:sz w:val="16"/>
                <w:szCs w:val="18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CA774E" w:rsidR="00C73C9F" w:rsidP="00174BBB" w:rsidRDefault="00174BBB" w14:paraId="3CF1F7AD" w14:textId="4482C5A7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109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vAlign w:val="center"/>
          </w:tcPr>
          <w:p w:rsidRPr="00CA774E" w:rsidR="00C73C9F" w:rsidP="00174BBB" w:rsidRDefault="005C082F" w14:paraId="29B78416" w14:textId="45AA14B4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10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4</w:t>
            </w:r>
          </w:p>
        </w:tc>
        <w:tc>
          <w:tcPr>
            <w:tcW w:w="1392" w:type="dxa"/>
            <w:vAlign w:val="center"/>
          </w:tcPr>
          <w:p w:rsidRPr="00CA774E" w:rsidR="00C73C9F" w:rsidP="00174BBB" w:rsidRDefault="005C082F" w14:paraId="00530A7A" w14:textId="66248579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03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7</w:t>
            </w:r>
          </w:p>
        </w:tc>
      </w:tr>
      <w:tr w:rsidRPr="00CA774E" w:rsidR="00C73C9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CA774E" w:rsidR="00C73C9F" w:rsidP="00C73C9F" w:rsidRDefault="00C73C9F" w14:paraId="11AE4A88" w14:textId="77777777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CA774E" w:rsidR="00C73C9F" w:rsidP="00CA774E" w:rsidRDefault="00174BBB" w14:paraId="666DF991" w14:textId="4B3FDC35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105.3</w:t>
            </w:r>
          </w:p>
        </w:tc>
        <w:tc>
          <w:tcPr>
            <w:tcW w:w="1514" w:type="dxa"/>
            <w:vAlign w:val="center"/>
          </w:tcPr>
          <w:p w:rsidRPr="00CA774E" w:rsidR="00C73C9F" w:rsidP="00174BBB" w:rsidRDefault="005C082F" w14:paraId="240C2D25" w14:textId="711C8C99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7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174BBB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</w:p>
        </w:tc>
        <w:tc>
          <w:tcPr>
            <w:tcW w:w="1392" w:type="dxa"/>
            <w:vAlign w:val="center"/>
          </w:tcPr>
          <w:p w:rsidRPr="00CA774E" w:rsidR="00C73C9F" w:rsidP="007741CA" w:rsidRDefault="00CA774E" w14:paraId="022CB12C" w14:textId="645DE744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7741CA">
              <w:rPr>
                <w:sz w:val="16"/>
                <w:szCs w:val="18"/>
                <w:shd w:val="clear" w:color="auto" w:fill="FFFFFF"/>
                <w:lang w:val="en-GB"/>
              </w:rPr>
              <w:t>10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7741CA">
              <w:rPr>
                <w:sz w:val="16"/>
                <w:szCs w:val="18"/>
                <w:shd w:val="clear" w:color="auto" w:fill="FFFFFF"/>
                <w:lang w:val="en-GB"/>
              </w:rPr>
              <w:t>4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Pr="00CA774E"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  <w:lang w:val="en-GB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D93CE2" w:rsidP="001863AF" w:rsidRDefault="00D93CE2" w14:paraId="5470AF03" w14:textId="77777777">
      <w:pPr>
        <w:suppressAutoHyphens/>
        <w:rPr>
          <w:szCs w:val="19"/>
          <w:lang w:val="en-GB"/>
        </w:rPr>
      </w:pPr>
    </w:p>
    <w:p w:rsidRPr="00B945D6" w:rsidR="002E74F0" w:rsidP="00D93CE2" w:rsidRDefault="00632D91" w14:paraId="18817C33" w14:textId="2E1E7B0C">
      <w:pPr>
        <w:suppressAutoHyphens/>
        <w:rPr>
          <w:rFonts w:cs="Arial"/>
          <w:i/>
          <w:lang w:val="en"/>
        </w:rPr>
      </w:pPr>
      <w:r w:rsidRPr="00B114D1">
        <w:rPr>
          <w:color w:val="000000" w:themeColor="text1"/>
          <w:szCs w:val="19"/>
          <w:lang w:val="en-GB"/>
        </w:rPr>
        <w:t>Sales of construction and assembly production in November 2021, compared to the corresponding period of 2020</w:t>
      </w:r>
      <w:r w:rsidR="007B1AD7">
        <w:rPr>
          <w:color w:val="000000" w:themeColor="text1"/>
          <w:szCs w:val="19"/>
          <w:lang w:val="en-GB"/>
        </w:rPr>
        <w:t>,</w:t>
      </w:r>
      <w:r w:rsidRPr="00B114D1">
        <w:rPr>
          <w:color w:val="000000" w:themeColor="text1"/>
          <w:szCs w:val="19"/>
          <w:lang w:val="en-GB"/>
        </w:rPr>
        <w:t xml:space="preserve"> </w:t>
      </w:r>
      <w:r w:rsidRPr="00B114D1" w:rsidR="00F7422E">
        <w:rPr>
          <w:color w:val="000000" w:themeColor="text1"/>
          <w:shd w:val="clear" w:color="auto" w:fill="FFFFFF"/>
          <w:lang w:val="en-GB"/>
        </w:rPr>
        <w:t>in</w:t>
      </w:r>
      <w:r w:rsidRPr="00B114D1">
        <w:rPr>
          <w:color w:val="000000" w:themeColor="text1"/>
          <w:shd w:val="clear" w:color="auto" w:fill="FFFFFF"/>
          <w:lang w:val="en-GB"/>
        </w:rPr>
        <w:t xml:space="preserve">creased in all division of </w:t>
      </w:r>
      <w:r w:rsidRPr="009933C4">
        <w:rPr>
          <w:color w:val="000000" w:themeColor="text1"/>
          <w:shd w:val="clear" w:color="auto" w:fill="FFFFFF"/>
          <w:lang w:val="en-GB"/>
        </w:rPr>
        <w:t xml:space="preserve">construction, in entities </w:t>
      </w:r>
      <w:r w:rsidRPr="00B114D1">
        <w:rPr>
          <w:color w:val="000000" w:themeColor="text1"/>
          <w:shd w:val="clear" w:color="auto" w:fill="FFFFFF"/>
          <w:lang w:val="en-GB"/>
        </w:rPr>
        <w:t xml:space="preserve">performing specialised construction </w:t>
      </w:r>
      <w:r w:rsidR="007B1AD7">
        <w:rPr>
          <w:color w:val="000000" w:themeColor="text1"/>
          <w:shd w:val="clear" w:color="auto" w:fill="FFFFFF"/>
          <w:lang w:val="en-GB"/>
        </w:rPr>
        <w:t>activities by</w:t>
      </w:r>
      <w:r w:rsidRPr="00B114D1">
        <w:rPr>
          <w:color w:val="000000" w:themeColor="text1"/>
          <w:shd w:val="clear" w:color="auto" w:fill="FFFFFF"/>
          <w:lang w:val="en-GB"/>
        </w:rPr>
        <w:t xml:space="preserve"> 17.1%, in entities whose basic type of activity was construction of buildings </w:t>
      </w:r>
      <w:r w:rsidR="007B1AD7">
        <w:rPr>
          <w:color w:val="000000" w:themeColor="text1"/>
          <w:shd w:val="clear" w:color="auto" w:fill="FFFFFF"/>
          <w:lang w:val="en-GB"/>
        </w:rPr>
        <w:t>by</w:t>
      </w:r>
      <w:r w:rsidRPr="00B114D1">
        <w:rPr>
          <w:color w:val="000000" w:themeColor="text1"/>
          <w:shd w:val="clear" w:color="auto" w:fill="FFFFFF"/>
          <w:lang w:val="en-GB"/>
        </w:rPr>
        <w:t xml:space="preserve"> 12.6% and </w:t>
      </w:r>
      <w:r w:rsidRPr="00B114D1">
        <w:rPr>
          <w:color w:val="000000" w:themeColor="text1"/>
          <w:szCs w:val="19"/>
          <w:lang w:val="en-GB"/>
        </w:rPr>
        <w:t xml:space="preserve">dealing mainly with </w:t>
      </w:r>
      <w:r w:rsidR="007B1AD7">
        <w:rPr>
          <w:color w:val="000000" w:themeColor="text1"/>
          <w:szCs w:val="19"/>
          <w:lang w:val="en-GB"/>
        </w:rPr>
        <w:t>civil engineering works by</w:t>
      </w:r>
      <w:r w:rsidRPr="00B114D1">
        <w:rPr>
          <w:color w:val="000000" w:themeColor="text1"/>
          <w:szCs w:val="19"/>
          <w:lang w:val="en-GB"/>
        </w:rPr>
        <w:t xml:space="preserve"> </w:t>
      </w:r>
      <w:r w:rsidRPr="00B114D1" w:rsidR="00412916">
        <w:rPr>
          <w:color w:val="000000" w:themeColor="text1"/>
          <w:szCs w:val="19"/>
          <w:lang w:val="en-GB"/>
        </w:rPr>
        <w:t>10.4</w:t>
      </w:r>
      <w:r w:rsidRPr="00B114D1">
        <w:rPr>
          <w:color w:val="000000" w:themeColor="text1"/>
          <w:szCs w:val="19"/>
          <w:lang w:val="en-GB"/>
        </w:rPr>
        <w:t>%</w:t>
      </w:r>
      <w:r w:rsidRPr="00B945D6" w:rsidR="00412916">
        <w:rPr>
          <w:i/>
          <w:szCs w:val="19"/>
          <w:lang w:val="en-GB"/>
        </w:rPr>
        <w:t xml:space="preserve">. </w:t>
      </w:r>
    </w:p>
    <w:p w:rsidR="00D93CE2" w:rsidP="001863AF" w:rsidRDefault="00D93CE2" w14:paraId="4C4AB4AC" w14:textId="77777777">
      <w:pPr>
        <w:suppressAutoHyphens/>
        <w:rPr>
          <w:rFonts w:cs="Arial"/>
          <w:lang w:val="en"/>
        </w:rPr>
      </w:pPr>
    </w:p>
    <w:p w:rsidRPr="00B114D1" w:rsidR="00627E49" w:rsidP="001863AF" w:rsidRDefault="001863AF" w14:paraId="7A2020C0" w14:textId="12DFCDB7">
      <w:pPr>
        <w:suppressAutoHyphens/>
        <w:rPr>
          <w:rFonts w:cs="Arial"/>
          <w:b/>
          <w:color w:val="000000" w:themeColor="text1"/>
          <w:lang w:val="en"/>
        </w:rPr>
      </w:pPr>
      <w:r w:rsidRPr="00B114D1">
        <w:rPr>
          <w:rFonts w:cs="Arial"/>
          <w:color w:val="000000" w:themeColor="text1"/>
          <w:lang w:val="en"/>
        </w:rPr>
        <w:lastRenderedPageBreak/>
        <w:t xml:space="preserve">Compared </w:t>
      </w:r>
      <w:r w:rsidRPr="00B114D1" w:rsidR="00D562F3">
        <w:rPr>
          <w:rFonts w:cs="Arial"/>
          <w:color w:val="000000" w:themeColor="text1"/>
          <w:lang w:val="en"/>
        </w:rPr>
        <w:t>to</w:t>
      </w:r>
      <w:r w:rsidRPr="00B114D1">
        <w:rPr>
          <w:rFonts w:cs="Arial"/>
          <w:color w:val="000000" w:themeColor="text1"/>
          <w:lang w:val="en"/>
        </w:rPr>
        <w:t xml:space="preserve"> </w:t>
      </w:r>
      <w:r w:rsidRPr="00B114D1" w:rsidR="00194317">
        <w:rPr>
          <w:rFonts w:cs="Arial"/>
          <w:color w:val="000000" w:themeColor="text1"/>
          <w:lang w:val="en"/>
        </w:rPr>
        <w:t xml:space="preserve">October </w:t>
      </w:r>
      <w:r w:rsidRPr="00B114D1">
        <w:rPr>
          <w:rFonts w:cs="Arial"/>
          <w:color w:val="000000" w:themeColor="text1"/>
          <w:lang w:val="en"/>
        </w:rPr>
        <w:t>2021</w:t>
      </w:r>
      <w:r w:rsidRPr="00B114D1" w:rsidR="00DA2BF1">
        <w:rPr>
          <w:rFonts w:cs="Arial"/>
          <w:color w:val="000000" w:themeColor="text1"/>
          <w:lang w:val="en"/>
        </w:rPr>
        <w:t>,</w:t>
      </w:r>
      <w:r w:rsidRPr="00B114D1">
        <w:rPr>
          <w:rFonts w:cs="Arial"/>
          <w:color w:val="000000" w:themeColor="text1"/>
          <w:lang w:val="en"/>
        </w:rPr>
        <w:t xml:space="preserve"> </w:t>
      </w:r>
      <w:r w:rsidRPr="00B114D1" w:rsidR="00444EC3">
        <w:rPr>
          <w:rFonts w:cs="Arial"/>
          <w:color w:val="000000" w:themeColor="text1"/>
          <w:lang w:val="en"/>
        </w:rPr>
        <w:t xml:space="preserve">an </w:t>
      </w:r>
      <w:r w:rsidRPr="00B114D1" w:rsidR="00627E49">
        <w:rPr>
          <w:color w:val="000000" w:themeColor="text1"/>
          <w:shd w:val="clear" w:color="auto" w:fill="FFFFFF"/>
          <w:lang w:val="en-GB"/>
        </w:rPr>
        <w:t>in</w:t>
      </w:r>
      <w:r w:rsidRPr="00B114D1">
        <w:rPr>
          <w:color w:val="000000" w:themeColor="text1"/>
          <w:shd w:val="clear" w:color="auto" w:fill="FFFFFF"/>
          <w:lang w:val="en-GB"/>
        </w:rPr>
        <w:t>crease</w:t>
      </w:r>
      <w:r w:rsidRPr="00B114D1">
        <w:rPr>
          <w:rFonts w:cs="Arial"/>
          <w:color w:val="000000" w:themeColor="text1"/>
          <w:lang w:val="en"/>
        </w:rPr>
        <w:t xml:space="preserve"> in the value of works carried out </w:t>
      </w:r>
      <w:r w:rsidRPr="00B114D1" w:rsidR="005D6C1B">
        <w:rPr>
          <w:rFonts w:cs="Arial"/>
          <w:color w:val="000000" w:themeColor="text1"/>
          <w:lang w:val="en"/>
        </w:rPr>
        <w:t>was</w:t>
      </w:r>
      <w:r w:rsidRPr="00B114D1" w:rsidR="00874DB4">
        <w:rPr>
          <w:rFonts w:cs="Arial"/>
          <w:color w:val="000000" w:themeColor="text1"/>
          <w:lang w:val="en"/>
        </w:rPr>
        <w:t xml:space="preserve"> </w:t>
      </w:r>
      <w:r w:rsidRPr="00B114D1">
        <w:rPr>
          <w:rFonts w:cs="Arial"/>
          <w:color w:val="000000" w:themeColor="text1"/>
          <w:lang w:val="en"/>
        </w:rPr>
        <w:t>noted</w:t>
      </w:r>
      <w:r w:rsidRPr="00B114D1" w:rsidR="00627E49">
        <w:rPr>
          <w:rFonts w:cs="Arial"/>
          <w:color w:val="000000" w:themeColor="text1"/>
          <w:lang w:val="en"/>
        </w:rPr>
        <w:t xml:space="preserve"> </w:t>
      </w:r>
      <w:r w:rsidRPr="00B114D1" w:rsidR="00194317">
        <w:rPr>
          <w:color w:val="000000" w:themeColor="text1"/>
          <w:szCs w:val="19"/>
          <w:lang w:val="en-GB"/>
        </w:rPr>
        <w:t xml:space="preserve">in entities whose basic type of activity was construction of buildings </w:t>
      </w:r>
      <w:r w:rsidR="000D0649">
        <w:rPr>
          <w:color w:val="000000" w:themeColor="text1"/>
          <w:szCs w:val="19"/>
          <w:lang w:val="en-GB"/>
        </w:rPr>
        <w:t>of</w:t>
      </w:r>
      <w:r w:rsidRPr="00B114D1" w:rsidR="00194317">
        <w:rPr>
          <w:color w:val="000000" w:themeColor="text1"/>
          <w:szCs w:val="19"/>
          <w:lang w:val="en-GB"/>
        </w:rPr>
        <w:t xml:space="preserve"> 10.9% and de</w:t>
      </w:r>
      <w:r w:rsidRPr="00B114D1" w:rsidR="00444EC3">
        <w:rPr>
          <w:color w:val="000000" w:themeColor="text1"/>
          <w:szCs w:val="19"/>
          <w:lang w:val="en-GB"/>
        </w:rPr>
        <w:t>aling mainly with civil engineering works</w:t>
      </w:r>
      <w:r w:rsidRPr="00B114D1" w:rsidR="00627E49">
        <w:rPr>
          <w:color w:val="000000" w:themeColor="text1"/>
          <w:szCs w:val="19"/>
          <w:lang w:val="en-GB"/>
        </w:rPr>
        <w:t xml:space="preserve"> </w:t>
      </w:r>
      <w:r w:rsidRPr="00B114D1" w:rsidR="00194317">
        <w:rPr>
          <w:color w:val="000000" w:themeColor="text1"/>
          <w:szCs w:val="19"/>
          <w:lang w:val="en-GB"/>
        </w:rPr>
        <w:t>of 9</w:t>
      </w:r>
      <w:r w:rsidRPr="00B114D1" w:rsidR="00444EC3">
        <w:rPr>
          <w:color w:val="000000" w:themeColor="text1"/>
          <w:szCs w:val="19"/>
          <w:lang w:val="en-GB"/>
        </w:rPr>
        <w:t>.</w:t>
      </w:r>
      <w:r w:rsidRPr="00B114D1" w:rsidR="00194317">
        <w:rPr>
          <w:color w:val="000000" w:themeColor="text1"/>
          <w:szCs w:val="19"/>
          <w:lang w:val="en-GB"/>
        </w:rPr>
        <w:t>7</w:t>
      </w:r>
      <w:r w:rsidRPr="00B114D1" w:rsidR="00444EC3">
        <w:rPr>
          <w:color w:val="000000" w:themeColor="text1"/>
          <w:szCs w:val="19"/>
          <w:lang w:val="en-GB"/>
        </w:rPr>
        <w:t xml:space="preserve">%. In </w:t>
      </w:r>
      <w:r w:rsidRPr="00B114D1" w:rsidR="00444EC3">
        <w:rPr>
          <w:rFonts w:cs="Arial"/>
          <w:color w:val="000000" w:themeColor="text1"/>
          <w:lang w:val="en"/>
        </w:rPr>
        <w:t xml:space="preserve">entities </w:t>
      </w:r>
      <w:r w:rsidRPr="00B114D1" w:rsidR="00444EC3">
        <w:rPr>
          <w:color w:val="000000" w:themeColor="text1"/>
          <w:szCs w:val="19"/>
          <w:lang w:val="en-GB"/>
        </w:rPr>
        <w:t xml:space="preserve">performing specialised construction activities the </w:t>
      </w:r>
      <w:r w:rsidRPr="009933C4" w:rsidR="00444EC3">
        <w:rPr>
          <w:color w:val="000000" w:themeColor="text1"/>
          <w:szCs w:val="19"/>
          <w:lang w:val="en-GB"/>
        </w:rPr>
        <w:t xml:space="preserve">value </w:t>
      </w:r>
      <w:r w:rsidRPr="009933C4" w:rsidR="00322404">
        <w:rPr>
          <w:color w:val="000000" w:themeColor="text1"/>
          <w:szCs w:val="19"/>
          <w:lang w:val="en-GB"/>
        </w:rPr>
        <w:t>increased by 5.3</w:t>
      </w:r>
      <w:r w:rsidRPr="00B114D1" w:rsidR="00322404">
        <w:rPr>
          <w:color w:val="000000" w:themeColor="text1"/>
          <w:szCs w:val="19"/>
          <w:lang w:val="en-GB"/>
        </w:rPr>
        <w:t xml:space="preserve">%. </w:t>
      </w:r>
    </w:p>
    <w:p w:rsidRPr="00B114D1" w:rsidR="00CD7BE0" w:rsidP="001863AF" w:rsidRDefault="001863AF" w14:paraId="53DAA201" w14:textId="3D5A194C">
      <w:pPr>
        <w:suppressAutoHyphens/>
        <w:rPr>
          <w:color w:val="000000" w:themeColor="text1"/>
          <w:szCs w:val="19"/>
          <w:lang w:val="en-GB"/>
        </w:rPr>
      </w:pPr>
      <w:r w:rsidRPr="00B114D1">
        <w:rPr>
          <w:color w:val="000000" w:themeColor="text1"/>
          <w:szCs w:val="19"/>
          <w:lang w:val="en-GB"/>
        </w:rPr>
        <w:t xml:space="preserve">In the period </w:t>
      </w:r>
      <w:r w:rsidRPr="00B114D1" w:rsidR="008C0DFF">
        <w:rPr>
          <w:color w:val="000000" w:themeColor="text1"/>
          <w:szCs w:val="19"/>
          <w:lang w:val="en-GB"/>
        </w:rPr>
        <w:t xml:space="preserve">of </w:t>
      </w:r>
      <w:r w:rsidRPr="00B114D1" w:rsidR="005702CC">
        <w:rPr>
          <w:color w:val="000000" w:themeColor="text1"/>
          <w:szCs w:val="19"/>
          <w:lang w:val="en-GB"/>
        </w:rPr>
        <w:t>January-November</w:t>
      </w:r>
      <w:r w:rsidRPr="00B114D1" w:rsidR="004B012D">
        <w:rPr>
          <w:color w:val="000000" w:themeColor="text1"/>
          <w:szCs w:val="19"/>
          <w:lang w:val="en-GB"/>
        </w:rPr>
        <w:t xml:space="preserve"> 2021, </w:t>
      </w:r>
      <w:r w:rsidRPr="00B114D1" w:rsidR="006D55C2">
        <w:rPr>
          <w:color w:val="000000" w:themeColor="text1"/>
          <w:shd w:val="clear" w:color="auto" w:fill="FFFFFF"/>
          <w:lang w:val="en-GB"/>
        </w:rPr>
        <w:t>i</w:t>
      </w:r>
      <w:r w:rsidRPr="00B114D1" w:rsidR="00F309BF">
        <w:rPr>
          <w:color w:val="000000" w:themeColor="text1"/>
          <w:shd w:val="clear" w:color="auto" w:fill="FFFFFF"/>
          <w:lang w:val="en-GB"/>
        </w:rPr>
        <w:t xml:space="preserve">n relation to the same period </w:t>
      </w:r>
      <w:r w:rsidRPr="00B114D1" w:rsidR="00EE7FEC">
        <w:rPr>
          <w:color w:val="000000" w:themeColor="text1"/>
          <w:shd w:val="clear" w:color="auto" w:fill="FFFFFF"/>
          <w:lang w:val="en-GB"/>
        </w:rPr>
        <w:t>of the previous year</w:t>
      </w:r>
      <w:r w:rsidRPr="00B114D1" w:rsidR="006D55C2">
        <w:rPr>
          <w:color w:val="000000" w:themeColor="text1"/>
          <w:shd w:val="clear" w:color="auto" w:fill="FFFFFF"/>
          <w:lang w:val="en-GB"/>
        </w:rPr>
        <w:t xml:space="preserve">, </w:t>
      </w:r>
      <w:r w:rsidRPr="00B114D1" w:rsidR="008C0DFF">
        <w:rPr>
          <w:color w:val="000000" w:themeColor="text1"/>
          <w:szCs w:val="19"/>
          <w:lang w:val="en-GB"/>
        </w:rPr>
        <w:t>an</w:t>
      </w:r>
      <w:r w:rsidRPr="00B114D1">
        <w:rPr>
          <w:color w:val="000000" w:themeColor="text1"/>
          <w:szCs w:val="19"/>
          <w:lang w:val="en-GB"/>
        </w:rPr>
        <w:t xml:space="preserve"> </w:t>
      </w:r>
      <w:r w:rsidRPr="00B114D1" w:rsidR="009E4FD1">
        <w:rPr>
          <w:color w:val="000000" w:themeColor="text1"/>
          <w:szCs w:val="19"/>
          <w:lang w:val="en-GB"/>
        </w:rPr>
        <w:t>in</w:t>
      </w:r>
      <w:r w:rsidRPr="00B114D1">
        <w:rPr>
          <w:color w:val="000000" w:themeColor="text1"/>
          <w:szCs w:val="19"/>
          <w:lang w:val="en-GB"/>
        </w:rPr>
        <w:t xml:space="preserve">crease in the </w:t>
      </w:r>
      <w:r w:rsidRPr="00B114D1">
        <w:rPr>
          <w:color w:val="000000" w:themeColor="text1"/>
          <w:shd w:val="clear" w:color="auto" w:fill="FFFFFF"/>
          <w:lang w:val="en-GB"/>
        </w:rPr>
        <w:t>value of construction and assembly production</w:t>
      </w:r>
      <w:r w:rsidRPr="00B114D1"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B114D1">
        <w:rPr>
          <w:color w:val="000000" w:themeColor="text1"/>
          <w:szCs w:val="19"/>
          <w:lang w:val="en-GB"/>
        </w:rPr>
        <w:t xml:space="preserve">was noted </w:t>
      </w:r>
      <w:r w:rsidRPr="00B114D1" w:rsidR="000571FC">
        <w:rPr>
          <w:color w:val="000000" w:themeColor="text1"/>
          <w:szCs w:val="19"/>
          <w:lang w:val="en-GB"/>
        </w:rPr>
        <w:t>in</w:t>
      </w:r>
      <w:r w:rsidRPr="00B114D1">
        <w:rPr>
          <w:color w:val="000000" w:themeColor="text1"/>
          <w:szCs w:val="19"/>
          <w:lang w:val="en-GB"/>
        </w:rPr>
        <w:t xml:space="preserve"> entities </w:t>
      </w:r>
      <w:r w:rsidRPr="00B114D1" w:rsidR="00FF5EB7">
        <w:rPr>
          <w:color w:val="000000" w:themeColor="text1"/>
          <w:szCs w:val="19"/>
          <w:lang w:val="en-GB"/>
        </w:rPr>
        <w:t>performing specialised construction activities</w:t>
      </w:r>
      <w:r w:rsidRPr="00B114D1" w:rsidR="00FA20C9">
        <w:rPr>
          <w:color w:val="000000" w:themeColor="text1"/>
          <w:szCs w:val="19"/>
          <w:lang w:val="en-GB"/>
        </w:rPr>
        <w:t xml:space="preserve"> of</w:t>
      </w:r>
      <w:r w:rsidRPr="00B114D1" w:rsidR="00FF5EB7">
        <w:rPr>
          <w:color w:val="000000" w:themeColor="text1"/>
          <w:szCs w:val="19"/>
          <w:lang w:val="en-GB"/>
        </w:rPr>
        <w:t xml:space="preserve"> </w:t>
      </w:r>
      <w:r w:rsidRPr="00B114D1" w:rsidR="005702CC">
        <w:rPr>
          <w:color w:val="000000" w:themeColor="text1"/>
          <w:szCs w:val="19"/>
          <w:lang w:val="en-GB"/>
        </w:rPr>
        <w:t>10</w:t>
      </w:r>
      <w:r w:rsidRPr="00B114D1" w:rsidR="009954D9">
        <w:rPr>
          <w:color w:val="000000" w:themeColor="text1"/>
          <w:szCs w:val="19"/>
          <w:lang w:val="en-GB"/>
        </w:rPr>
        <w:t>.</w:t>
      </w:r>
      <w:r w:rsidRPr="00B114D1" w:rsidR="005702CC">
        <w:rPr>
          <w:color w:val="000000" w:themeColor="text1"/>
          <w:szCs w:val="19"/>
          <w:lang w:val="en-GB"/>
        </w:rPr>
        <w:t>4</w:t>
      </w:r>
      <w:r w:rsidRPr="00B114D1" w:rsidR="00EE7FEC">
        <w:rPr>
          <w:color w:val="000000" w:themeColor="text1"/>
          <w:szCs w:val="19"/>
          <w:lang w:val="en-GB"/>
        </w:rPr>
        <w:t>%</w:t>
      </w:r>
      <w:r w:rsidRPr="00B114D1" w:rsidR="00FA20C9">
        <w:rPr>
          <w:color w:val="000000" w:themeColor="text1"/>
          <w:szCs w:val="19"/>
          <w:lang w:val="en-GB"/>
        </w:rPr>
        <w:t xml:space="preserve"> and</w:t>
      </w:r>
      <w:r w:rsidRPr="00B114D1" w:rsidR="005702CC">
        <w:rPr>
          <w:color w:val="000000" w:themeColor="text1"/>
          <w:szCs w:val="19"/>
          <w:lang w:val="en-GB"/>
        </w:rPr>
        <w:t xml:space="preserve"> in dealing mainly with c</w:t>
      </w:r>
      <w:r w:rsidRPr="00B114D1" w:rsidR="001628CE">
        <w:rPr>
          <w:color w:val="000000" w:themeColor="text1"/>
          <w:szCs w:val="19"/>
          <w:lang w:val="en-GB"/>
        </w:rPr>
        <w:t xml:space="preserve">ivil engineering works </w:t>
      </w:r>
      <w:r w:rsidRPr="00B114D1" w:rsidR="005702CC">
        <w:rPr>
          <w:color w:val="000000" w:themeColor="text1"/>
          <w:szCs w:val="19"/>
          <w:lang w:val="en-GB"/>
        </w:rPr>
        <w:t>of 3,7</w:t>
      </w:r>
      <w:r w:rsidRPr="00B114D1" w:rsidR="002036AE">
        <w:rPr>
          <w:color w:val="000000" w:themeColor="text1"/>
          <w:szCs w:val="19"/>
          <w:lang w:val="en-GB"/>
        </w:rPr>
        <w:t>%</w:t>
      </w:r>
      <w:r w:rsidRPr="00B114D1" w:rsidR="00B86E6E">
        <w:rPr>
          <w:color w:val="000000" w:themeColor="text1"/>
          <w:szCs w:val="19"/>
          <w:lang w:val="en-GB"/>
        </w:rPr>
        <w:t>, whereas a decre</w:t>
      </w:r>
      <w:bookmarkStart w:name="_GoBack" w:id="0"/>
      <w:bookmarkEnd w:id="0"/>
      <w:r w:rsidRPr="00B114D1" w:rsidR="00B86E6E">
        <w:rPr>
          <w:color w:val="000000" w:themeColor="text1"/>
          <w:szCs w:val="19"/>
          <w:lang w:val="en-GB"/>
        </w:rPr>
        <w:t xml:space="preserve">ase was recorded in entities </w:t>
      </w:r>
      <w:r w:rsidRPr="00B114D1" w:rsidR="002036AE">
        <w:rPr>
          <w:color w:val="000000" w:themeColor="text1"/>
          <w:szCs w:val="19"/>
          <w:lang w:val="en-GB"/>
        </w:rPr>
        <w:t xml:space="preserve">whose basic type of activity was </w:t>
      </w:r>
      <w:r w:rsidRPr="00B114D1" w:rsidR="00B86E6E">
        <w:rPr>
          <w:color w:val="000000" w:themeColor="text1"/>
          <w:szCs w:val="19"/>
          <w:lang w:val="en-GB"/>
        </w:rPr>
        <w:t xml:space="preserve">construction of buildings </w:t>
      </w:r>
      <w:r w:rsidRPr="00B114D1" w:rsidR="00A70091">
        <w:rPr>
          <w:color w:val="000000" w:themeColor="text1"/>
          <w:szCs w:val="19"/>
          <w:lang w:val="en-GB"/>
        </w:rPr>
        <w:t xml:space="preserve">of </w:t>
      </w:r>
      <w:r w:rsidRPr="00B114D1" w:rsidR="00B86E6E">
        <w:rPr>
          <w:color w:val="000000" w:themeColor="text1"/>
          <w:szCs w:val="19"/>
          <w:lang w:val="en-GB"/>
        </w:rPr>
        <w:t>1.6</w:t>
      </w:r>
      <w:r w:rsidRPr="00B114D1" w:rsidR="00A70091">
        <w:rPr>
          <w:color w:val="000000" w:themeColor="text1"/>
          <w:szCs w:val="19"/>
          <w:lang w:val="en-GB"/>
        </w:rPr>
        <w:t xml:space="preserve">%. </w:t>
      </w:r>
    </w:p>
    <w:p w:rsidRPr="002036AE" w:rsidR="00026E94" w:rsidP="00682699" w:rsidRDefault="00E348CF" w14:paraId="74671B88" w14:textId="5FE399B9">
      <w:pPr>
        <w:suppressAutoHyphens/>
        <w:rPr>
          <w:color w:val="000000" w:themeColor="text1"/>
          <w:shd w:val="clear" w:color="auto" w:fill="FFFFFF"/>
          <w:lang w:val="en-GB"/>
        </w:rPr>
      </w:pPr>
      <w:r w:rsidRPr="002036AE">
        <w:rPr>
          <w:color w:val="000000" w:themeColor="text1"/>
          <w:szCs w:val="19"/>
          <w:lang w:val="en-GB"/>
        </w:rPr>
        <w:t>Sales</w:t>
      </w:r>
      <w:r w:rsidRPr="002036AE" w:rsidR="00026E94">
        <w:rPr>
          <w:color w:val="000000" w:themeColor="text1"/>
          <w:szCs w:val="19"/>
          <w:lang w:val="en-GB"/>
        </w:rPr>
        <w:t xml:space="preserve"> of </w:t>
      </w:r>
      <w:r w:rsidRPr="002036AE" w:rsidR="00026E94">
        <w:rPr>
          <w:color w:val="000000" w:themeColor="text1"/>
          <w:shd w:val="clear" w:color="auto" w:fill="FFFFFF"/>
          <w:lang w:val="en-GB"/>
        </w:rPr>
        <w:t>construction and assembly production</w:t>
      </w:r>
      <w:r w:rsidRPr="002036AE">
        <w:rPr>
          <w:color w:val="000000" w:themeColor="text1"/>
          <w:shd w:val="clear" w:color="auto" w:fill="FFFFFF"/>
          <w:lang w:val="en-GB"/>
        </w:rPr>
        <w:t xml:space="preserve"> in </w:t>
      </w:r>
      <w:r w:rsidRPr="002036AE" w:rsidR="00AD5604">
        <w:rPr>
          <w:color w:val="000000" w:themeColor="text1"/>
          <w:shd w:val="clear" w:color="auto" w:fill="FFFFFF"/>
          <w:lang w:val="en-GB"/>
        </w:rPr>
        <w:t>November</w:t>
      </w:r>
      <w:r w:rsidRPr="002036AE">
        <w:rPr>
          <w:color w:val="000000" w:themeColor="text1"/>
          <w:shd w:val="clear" w:color="auto" w:fill="FFFFFF"/>
          <w:lang w:val="en-GB"/>
        </w:rPr>
        <w:t xml:space="preserve"> 2021, compared to t</w:t>
      </w:r>
      <w:r w:rsidRPr="002036AE" w:rsidR="004952AD">
        <w:rPr>
          <w:color w:val="000000" w:themeColor="text1"/>
          <w:shd w:val="clear" w:color="auto" w:fill="FFFFFF"/>
          <w:lang w:val="en-GB"/>
        </w:rPr>
        <w:t>he corresponding period of 2020</w:t>
      </w:r>
      <w:r w:rsidRPr="002036AE">
        <w:rPr>
          <w:color w:val="000000" w:themeColor="text1"/>
          <w:shd w:val="clear" w:color="auto" w:fill="FFFFFF"/>
          <w:lang w:val="en-GB"/>
        </w:rPr>
        <w:t xml:space="preserve"> increased</w:t>
      </w:r>
      <w:r w:rsidRPr="002036AE" w:rsidR="004952AD">
        <w:rPr>
          <w:color w:val="000000" w:themeColor="text1"/>
          <w:shd w:val="clear" w:color="auto" w:fill="FFFFFF"/>
          <w:lang w:val="en-GB"/>
        </w:rPr>
        <w:t xml:space="preserve"> both</w:t>
      </w:r>
      <w:r w:rsidRPr="002036AE">
        <w:rPr>
          <w:color w:val="000000" w:themeColor="text1"/>
          <w:shd w:val="clear" w:color="auto" w:fill="FFFFFF"/>
          <w:lang w:val="en-GB"/>
        </w:rPr>
        <w:t xml:space="preserve"> for </w:t>
      </w:r>
      <w:r w:rsidRPr="002036AE" w:rsidR="00026E94">
        <w:rPr>
          <w:color w:val="000000" w:themeColor="text1"/>
          <w:shd w:val="clear" w:color="auto" w:fill="FFFFFF"/>
          <w:lang w:val="en-GB"/>
        </w:rPr>
        <w:t xml:space="preserve">investment works </w:t>
      </w:r>
      <w:r w:rsidRPr="002036AE">
        <w:rPr>
          <w:color w:val="000000" w:themeColor="text1"/>
          <w:shd w:val="clear" w:color="auto" w:fill="FFFFFF"/>
          <w:lang w:val="en-GB"/>
        </w:rPr>
        <w:t xml:space="preserve">by </w:t>
      </w:r>
      <w:r w:rsidRPr="002036AE" w:rsidR="00AD5604">
        <w:rPr>
          <w:color w:val="000000" w:themeColor="text1"/>
          <w:shd w:val="clear" w:color="auto" w:fill="FFFFFF"/>
          <w:lang w:val="en-GB"/>
        </w:rPr>
        <w:t>7</w:t>
      </w:r>
      <w:r w:rsidRPr="002036AE" w:rsidR="00026E94">
        <w:rPr>
          <w:color w:val="000000" w:themeColor="text1"/>
          <w:shd w:val="clear" w:color="auto" w:fill="FFFFFF"/>
          <w:lang w:val="en-GB"/>
        </w:rPr>
        <w:t>.</w:t>
      </w:r>
      <w:r w:rsidRPr="002036AE" w:rsidR="00AD5604">
        <w:rPr>
          <w:color w:val="000000" w:themeColor="text1"/>
          <w:shd w:val="clear" w:color="auto" w:fill="FFFFFF"/>
          <w:lang w:val="en-GB"/>
        </w:rPr>
        <w:t>1</w:t>
      </w:r>
      <w:r w:rsidRPr="002036AE" w:rsidR="00026E94">
        <w:rPr>
          <w:color w:val="000000" w:themeColor="text1"/>
          <w:shd w:val="clear" w:color="auto" w:fill="FFFFFF"/>
          <w:lang w:val="en-GB"/>
        </w:rPr>
        <w:t>%</w:t>
      </w:r>
      <w:r w:rsidRPr="002036AE"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2036AE">
        <w:rPr>
          <w:color w:val="000000" w:themeColor="text1"/>
          <w:shd w:val="clear" w:color="auto" w:fill="FFFFFF"/>
          <w:lang w:val="en-GB"/>
        </w:rPr>
        <w:t xml:space="preserve">and </w:t>
      </w:r>
      <w:r w:rsidRPr="002036AE">
        <w:rPr>
          <w:color w:val="000000" w:themeColor="text1"/>
          <w:szCs w:val="19"/>
          <w:lang w:val="en-GB"/>
        </w:rPr>
        <w:t>restoration</w:t>
      </w:r>
      <w:r w:rsidRPr="002036AE" w:rsidR="00537337">
        <w:rPr>
          <w:color w:val="000000" w:themeColor="text1"/>
          <w:shd w:val="clear" w:color="auto" w:fill="FFFFFF"/>
          <w:lang w:val="en-GB"/>
        </w:rPr>
        <w:t xml:space="preserve"> works by </w:t>
      </w:r>
      <w:r w:rsidRPr="002036AE" w:rsidR="00AD5604">
        <w:rPr>
          <w:color w:val="000000" w:themeColor="text1"/>
          <w:shd w:val="clear" w:color="auto" w:fill="FFFFFF"/>
          <w:lang w:val="en-GB"/>
        </w:rPr>
        <w:t>21</w:t>
      </w:r>
      <w:r w:rsidRPr="002036AE" w:rsidR="006D55C2">
        <w:rPr>
          <w:color w:val="000000" w:themeColor="text1"/>
          <w:shd w:val="clear" w:color="auto" w:fill="FFFFFF"/>
          <w:lang w:val="en-GB"/>
        </w:rPr>
        <w:t>.</w:t>
      </w:r>
      <w:r w:rsidRPr="002036AE" w:rsidR="00AD5604">
        <w:rPr>
          <w:color w:val="000000" w:themeColor="text1"/>
          <w:shd w:val="clear" w:color="auto" w:fill="FFFFFF"/>
          <w:lang w:val="en-GB"/>
        </w:rPr>
        <w:t>9</w:t>
      </w:r>
      <w:r w:rsidRPr="002036AE" w:rsidR="006D55C2">
        <w:rPr>
          <w:color w:val="000000" w:themeColor="text1"/>
          <w:shd w:val="clear" w:color="auto" w:fill="FFFFFF"/>
          <w:lang w:val="en-GB"/>
        </w:rPr>
        <w:t xml:space="preserve">% </w:t>
      </w:r>
      <w:r w:rsidRPr="002036AE">
        <w:rPr>
          <w:color w:val="000000" w:themeColor="text1"/>
          <w:shd w:val="clear" w:color="auto" w:fill="FFFFFF"/>
          <w:lang w:val="en-GB"/>
        </w:rPr>
        <w:t>(</w:t>
      </w:r>
      <w:r w:rsidRPr="002036AE" w:rsidR="00026E94">
        <w:rPr>
          <w:color w:val="000000" w:themeColor="text1"/>
          <w:szCs w:val="19"/>
          <w:lang w:val="en-GB"/>
        </w:rPr>
        <w:t>decrease</w:t>
      </w:r>
      <w:r w:rsidRPr="002036AE">
        <w:rPr>
          <w:color w:val="000000" w:themeColor="text1"/>
          <w:szCs w:val="19"/>
          <w:lang w:val="en-GB"/>
        </w:rPr>
        <w:t>s</w:t>
      </w:r>
      <w:r w:rsidRPr="002036AE" w:rsidR="00D85C20">
        <w:rPr>
          <w:color w:val="000000" w:themeColor="text1"/>
          <w:szCs w:val="19"/>
          <w:lang w:val="en-GB"/>
        </w:rPr>
        <w:t xml:space="preserve">, respectively </w:t>
      </w:r>
      <w:r w:rsidRPr="002036AE" w:rsidR="00EF0D6C">
        <w:rPr>
          <w:color w:val="000000" w:themeColor="text1"/>
          <w:szCs w:val="19"/>
          <w:lang w:val="en-GB"/>
        </w:rPr>
        <w:t>of</w:t>
      </w:r>
      <w:r w:rsidRPr="002036AE" w:rsidR="00026E94">
        <w:rPr>
          <w:color w:val="000000" w:themeColor="text1"/>
          <w:szCs w:val="19"/>
          <w:lang w:val="en-GB"/>
        </w:rPr>
        <w:t xml:space="preserve"> </w:t>
      </w:r>
      <w:r w:rsidRPr="002036AE" w:rsidR="00D85C20">
        <w:rPr>
          <w:color w:val="000000" w:themeColor="text1"/>
          <w:szCs w:val="19"/>
          <w:lang w:val="en-GB"/>
        </w:rPr>
        <w:t>4</w:t>
      </w:r>
      <w:r w:rsidRPr="002036AE" w:rsidR="00026E94">
        <w:rPr>
          <w:color w:val="000000" w:themeColor="text1"/>
          <w:szCs w:val="19"/>
          <w:lang w:val="en-GB"/>
        </w:rPr>
        <w:t>.</w:t>
      </w:r>
      <w:r w:rsidRPr="002036AE" w:rsidR="00AD5604">
        <w:rPr>
          <w:color w:val="000000" w:themeColor="text1"/>
          <w:szCs w:val="19"/>
          <w:lang w:val="en-GB"/>
        </w:rPr>
        <w:t>6</w:t>
      </w:r>
      <w:r w:rsidRPr="002036AE" w:rsidR="00026E94">
        <w:rPr>
          <w:color w:val="000000" w:themeColor="text1"/>
          <w:szCs w:val="19"/>
          <w:lang w:val="en-GB"/>
        </w:rPr>
        <w:t xml:space="preserve">% </w:t>
      </w:r>
      <w:r w:rsidRPr="002036AE" w:rsidR="00AD5604">
        <w:rPr>
          <w:color w:val="000000" w:themeColor="text1"/>
          <w:szCs w:val="19"/>
          <w:lang w:val="en-GB"/>
        </w:rPr>
        <w:t>and of 5</w:t>
      </w:r>
      <w:r w:rsidRPr="002036AE">
        <w:rPr>
          <w:color w:val="000000" w:themeColor="text1"/>
          <w:szCs w:val="19"/>
          <w:lang w:val="en-GB"/>
        </w:rPr>
        <w:t>.</w:t>
      </w:r>
      <w:r w:rsidRPr="002036AE" w:rsidR="00AD5604">
        <w:rPr>
          <w:color w:val="000000" w:themeColor="text1"/>
          <w:szCs w:val="19"/>
          <w:lang w:val="en-GB"/>
        </w:rPr>
        <w:t>4</w:t>
      </w:r>
      <w:r w:rsidRPr="002036AE">
        <w:rPr>
          <w:color w:val="000000" w:themeColor="text1"/>
          <w:szCs w:val="19"/>
          <w:lang w:val="en-GB"/>
        </w:rPr>
        <w:t xml:space="preserve">% </w:t>
      </w:r>
      <w:r w:rsidRPr="002036AE" w:rsidR="00026E94">
        <w:rPr>
          <w:color w:val="000000" w:themeColor="text1"/>
          <w:szCs w:val="19"/>
          <w:lang w:val="en-GB"/>
        </w:rPr>
        <w:t>the year before)</w:t>
      </w:r>
      <w:r w:rsidRPr="002036AE">
        <w:rPr>
          <w:color w:val="000000" w:themeColor="text1"/>
          <w:szCs w:val="19"/>
          <w:lang w:val="en-GB"/>
        </w:rPr>
        <w:t>.</w:t>
      </w:r>
    </w:p>
    <w:p w:rsidRPr="002036AE" w:rsidR="00E85F49" w:rsidP="00682699" w:rsidRDefault="001863AF" w14:paraId="647FB384" w14:textId="72CCD348">
      <w:pPr>
        <w:suppressAutoHyphens/>
        <w:rPr>
          <w:shd w:val="clear" w:color="auto" w:fill="FFFFFF"/>
          <w:lang w:val="en-GB"/>
        </w:rPr>
      </w:pPr>
      <w:r w:rsidRPr="002036AE">
        <w:rPr>
          <w:szCs w:val="19"/>
          <w:lang w:val="en-GB"/>
        </w:rPr>
        <w:t xml:space="preserve">In the period </w:t>
      </w:r>
      <w:r w:rsidRPr="002036AE" w:rsidR="000571FC">
        <w:rPr>
          <w:szCs w:val="19"/>
          <w:lang w:val="en-GB"/>
        </w:rPr>
        <w:t xml:space="preserve">of </w:t>
      </w:r>
      <w:r w:rsidRPr="002036AE">
        <w:rPr>
          <w:szCs w:val="19"/>
          <w:lang w:val="en-GB"/>
        </w:rPr>
        <w:t>January-</w:t>
      </w:r>
      <w:r w:rsidRPr="002036AE" w:rsidR="005702CC">
        <w:rPr>
          <w:szCs w:val="19"/>
          <w:lang w:val="en-GB"/>
        </w:rPr>
        <w:t>November</w:t>
      </w:r>
      <w:r w:rsidRPr="002036AE">
        <w:rPr>
          <w:szCs w:val="19"/>
          <w:lang w:val="en-GB"/>
        </w:rPr>
        <w:t xml:space="preserve"> 202</w:t>
      </w:r>
      <w:r w:rsidRPr="002036AE" w:rsidR="008D4A79">
        <w:rPr>
          <w:szCs w:val="19"/>
          <w:lang w:val="en-GB"/>
        </w:rPr>
        <w:t>1</w:t>
      </w:r>
      <w:r w:rsidRPr="002036AE" w:rsidR="000571FC">
        <w:rPr>
          <w:szCs w:val="19"/>
          <w:lang w:val="en-GB"/>
        </w:rPr>
        <w:t>,</w:t>
      </w:r>
      <w:r w:rsidRPr="002036AE">
        <w:rPr>
          <w:szCs w:val="19"/>
          <w:lang w:val="en-GB"/>
        </w:rPr>
        <w:t xml:space="preserve"> </w:t>
      </w:r>
      <w:r w:rsidRPr="002036AE" w:rsidR="00311CB9">
        <w:rPr>
          <w:rFonts w:cs="Arial"/>
          <w:lang w:val="en"/>
        </w:rPr>
        <w:t>in relation to the same period of the previ</w:t>
      </w:r>
      <w:r w:rsidRPr="002036AE" w:rsidR="00395121">
        <w:rPr>
          <w:rFonts w:cs="Arial"/>
          <w:lang w:val="en"/>
        </w:rPr>
        <w:t>ous year, there was a decrease</w:t>
      </w:r>
      <w:r w:rsidRPr="002036AE" w:rsidR="006D55C2">
        <w:rPr>
          <w:rFonts w:cs="Arial"/>
          <w:lang w:val="en"/>
        </w:rPr>
        <w:t xml:space="preserve"> in the value of investment works</w:t>
      </w:r>
      <w:r w:rsidRPr="002036AE" w:rsidR="00EF0D6C">
        <w:rPr>
          <w:rFonts w:cs="Arial"/>
          <w:lang w:val="en"/>
        </w:rPr>
        <w:t xml:space="preserve"> of</w:t>
      </w:r>
      <w:r w:rsidRPr="002036AE" w:rsidR="00395121">
        <w:rPr>
          <w:rFonts w:cs="Arial"/>
          <w:lang w:val="en"/>
        </w:rPr>
        <w:t xml:space="preserve"> </w:t>
      </w:r>
      <w:r w:rsidRPr="002036AE" w:rsidR="005702CC">
        <w:rPr>
          <w:rFonts w:cs="Arial"/>
          <w:lang w:val="en"/>
        </w:rPr>
        <w:t>1</w:t>
      </w:r>
      <w:r w:rsidRPr="002036AE" w:rsidR="00026E94">
        <w:rPr>
          <w:rFonts w:cs="Arial"/>
          <w:lang w:val="en"/>
        </w:rPr>
        <w:t>.</w:t>
      </w:r>
      <w:r w:rsidRPr="002036AE" w:rsidR="005702CC">
        <w:rPr>
          <w:rFonts w:cs="Arial"/>
          <w:lang w:val="en"/>
        </w:rPr>
        <w:t>3</w:t>
      </w:r>
      <w:r w:rsidRPr="002036AE" w:rsidR="00311CB9">
        <w:rPr>
          <w:rFonts w:cs="Arial"/>
          <w:lang w:val="en"/>
        </w:rPr>
        <w:t xml:space="preserve">% </w:t>
      </w:r>
      <w:r w:rsidRPr="002036AE" w:rsidR="00D85C20">
        <w:rPr>
          <w:shd w:val="clear" w:color="auto" w:fill="FFFFFF"/>
          <w:lang w:val="en-GB"/>
        </w:rPr>
        <w:t>and an increase w</w:t>
      </w:r>
      <w:r w:rsidRPr="002036AE" w:rsidR="00095AFD">
        <w:rPr>
          <w:shd w:val="clear" w:color="auto" w:fill="FFFFFF"/>
          <w:lang w:val="en-GB"/>
        </w:rPr>
        <w:t xml:space="preserve">orks with </w:t>
      </w:r>
      <w:r w:rsidRPr="002036AE" w:rsidR="00095AFD">
        <w:rPr>
          <w:shd w:val="clear" w:color="auto" w:fill="FFFFFF"/>
          <w:lang w:val="en-GB"/>
        </w:rPr>
        <w:br/>
        <w:t xml:space="preserve">a </w:t>
      </w:r>
      <w:r w:rsidRPr="002036AE" w:rsidR="006D55C2">
        <w:rPr>
          <w:shd w:val="clear" w:color="auto" w:fill="FFFFFF"/>
          <w:lang w:val="en-GB"/>
        </w:rPr>
        <w:t>restoration</w:t>
      </w:r>
      <w:r w:rsidRPr="002036AE" w:rsidR="005E7FB5">
        <w:rPr>
          <w:shd w:val="clear" w:color="auto" w:fill="FFFFFF"/>
          <w:lang w:val="en-GB"/>
        </w:rPr>
        <w:t xml:space="preserve"> character</w:t>
      </w:r>
      <w:r w:rsidRPr="002036AE" w:rsidR="006D55C2">
        <w:rPr>
          <w:shd w:val="clear" w:color="auto" w:fill="FFFFFF"/>
          <w:lang w:val="en-GB"/>
        </w:rPr>
        <w:t xml:space="preserve"> </w:t>
      </w:r>
      <w:r w:rsidRPr="002036AE" w:rsidR="00D85C20">
        <w:rPr>
          <w:shd w:val="clear" w:color="auto" w:fill="FFFFFF"/>
          <w:lang w:val="en-GB"/>
        </w:rPr>
        <w:t>of</w:t>
      </w:r>
      <w:r w:rsidRPr="002036AE" w:rsidR="005702CC">
        <w:rPr>
          <w:shd w:val="clear" w:color="auto" w:fill="FFFFFF"/>
          <w:lang w:val="en-GB"/>
        </w:rPr>
        <w:t xml:space="preserve"> 12</w:t>
      </w:r>
      <w:r w:rsidRPr="002036AE" w:rsidR="00311CB9">
        <w:rPr>
          <w:shd w:val="clear" w:color="auto" w:fill="FFFFFF"/>
          <w:lang w:val="en-GB"/>
        </w:rPr>
        <w:t>.</w:t>
      </w:r>
      <w:r w:rsidRPr="002036AE" w:rsidR="005702CC">
        <w:rPr>
          <w:shd w:val="clear" w:color="auto" w:fill="FFFFFF"/>
          <w:lang w:val="en-GB"/>
        </w:rPr>
        <w:t>0</w:t>
      </w:r>
      <w:r w:rsidRPr="002036AE" w:rsidR="00311CB9">
        <w:rPr>
          <w:shd w:val="clear" w:color="auto" w:fill="FFFFFF"/>
          <w:lang w:val="en-GB"/>
        </w:rPr>
        <w:t xml:space="preserve">% </w:t>
      </w:r>
      <w:r w:rsidRPr="002036AE">
        <w:rPr>
          <w:shd w:val="clear" w:color="auto" w:fill="FFFFFF"/>
          <w:lang w:val="en-GB"/>
        </w:rPr>
        <w:t>(</w:t>
      </w:r>
      <w:r w:rsidRPr="002036AE" w:rsidR="00D85C20">
        <w:rPr>
          <w:shd w:val="clear" w:color="auto" w:fill="FFFFFF"/>
          <w:lang w:val="en-GB"/>
        </w:rPr>
        <w:t>whereas</w:t>
      </w:r>
      <w:r w:rsidRPr="002036AE" w:rsidR="005E7FB5">
        <w:rPr>
          <w:shd w:val="clear" w:color="auto" w:fill="FFFFFF"/>
          <w:lang w:val="en-GB"/>
        </w:rPr>
        <w:t xml:space="preserve"> in 2020</w:t>
      </w:r>
      <w:r w:rsidRPr="002036AE" w:rsidR="00D85C20">
        <w:rPr>
          <w:shd w:val="clear" w:color="auto" w:fill="FFFFFF"/>
          <w:lang w:val="en-GB"/>
        </w:rPr>
        <w:t xml:space="preserve"> decreases were noted </w:t>
      </w:r>
      <w:r w:rsidRPr="002036AE" w:rsidR="00EF0D6C">
        <w:rPr>
          <w:shd w:val="clear" w:color="auto" w:fill="FFFFFF"/>
          <w:lang w:val="en-GB"/>
        </w:rPr>
        <w:t>of</w:t>
      </w:r>
      <w:r w:rsidRPr="002036AE" w:rsidR="00851FA1">
        <w:rPr>
          <w:shd w:val="clear" w:color="auto" w:fill="FFFFFF"/>
          <w:lang w:val="en-GB"/>
        </w:rPr>
        <w:t xml:space="preserve"> </w:t>
      </w:r>
      <w:r w:rsidRPr="002036AE" w:rsidR="005702CC">
        <w:rPr>
          <w:shd w:val="clear" w:color="auto" w:fill="FFFFFF"/>
          <w:lang w:val="en-GB"/>
        </w:rPr>
        <w:t>2</w:t>
      </w:r>
      <w:r w:rsidRPr="002036AE" w:rsidR="00D85C20">
        <w:rPr>
          <w:shd w:val="clear" w:color="auto" w:fill="FFFFFF"/>
          <w:lang w:val="en-GB"/>
        </w:rPr>
        <w:t>.</w:t>
      </w:r>
      <w:r w:rsidRPr="002036AE" w:rsidR="005702CC">
        <w:rPr>
          <w:shd w:val="clear" w:color="auto" w:fill="FFFFFF"/>
          <w:lang w:val="en-GB"/>
        </w:rPr>
        <w:t>1</w:t>
      </w:r>
      <w:r w:rsidRPr="002036AE" w:rsidR="00D85C20">
        <w:rPr>
          <w:shd w:val="clear" w:color="auto" w:fill="FFFFFF"/>
          <w:lang w:val="en-GB"/>
        </w:rPr>
        <w:t xml:space="preserve">% and of </w:t>
      </w:r>
      <w:r w:rsidRPr="002036AE" w:rsidR="0010557F">
        <w:rPr>
          <w:shd w:val="clear" w:color="auto" w:fill="FFFFFF"/>
          <w:lang w:val="en-GB"/>
        </w:rPr>
        <w:t>4</w:t>
      </w:r>
      <w:r w:rsidRPr="002036AE" w:rsidR="00026E94">
        <w:rPr>
          <w:shd w:val="clear" w:color="auto" w:fill="FFFFFF"/>
          <w:lang w:val="en-GB"/>
        </w:rPr>
        <w:t>.</w:t>
      </w:r>
      <w:r w:rsidRPr="002036AE" w:rsidR="005702CC">
        <w:rPr>
          <w:shd w:val="clear" w:color="auto" w:fill="FFFFFF"/>
          <w:lang w:val="en-GB"/>
        </w:rPr>
        <w:t>1</w:t>
      </w:r>
      <w:r w:rsidRPr="002036AE" w:rsidR="00851FA1">
        <w:rPr>
          <w:shd w:val="clear" w:color="auto" w:fill="FFFFFF"/>
          <w:lang w:val="en-GB"/>
        </w:rPr>
        <w:t>%</w:t>
      </w:r>
      <w:r w:rsidRPr="002036AE">
        <w:rPr>
          <w:shd w:val="clear" w:color="auto" w:fill="FFFFFF"/>
          <w:lang w:val="en-GB"/>
        </w:rPr>
        <w:t>)</w:t>
      </w:r>
      <w:r w:rsidRPr="002036AE" w:rsidR="00682699">
        <w:rPr>
          <w:shd w:val="clear" w:color="auto" w:fill="FFFFFF"/>
          <w:lang w:val="en-GB"/>
        </w:rPr>
        <w:t xml:space="preserve">. </w:t>
      </w: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56968C62" wp14:anchorId="015F3A7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122545" cy="358140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B114D1" w:rsidR="001863AF" w:rsidP="001863AF" w:rsidRDefault="001863AF" w14:paraId="531A525E" w14:textId="4110C39E">
      <w:pPr>
        <w:rPr>
          <w:szCs w:val="19"/>
          <w:lang w:val="en-GB"/>
        </w:rPr>
      </w:pPr>
      <w:r w:rsidRPr="00B114D1">
        <w:rPr>
          <w:szCs w:val="19"/>
          <w:lang w:val="en-GB"/>
        </w:rPr>
        <w:t xml:space="preserve">Index number of </w:t>
      </w:r>
      <w:r w:rsidRPr="00B114D1">
        <w:rPr>
          <w:szCs w:val="19"/>
          <w:shd w:val="clear" w:color="auto" w:fill="FFFFFF"/>
          <w:lang w:val="en-GB"/>
        </w:rPr>
        <w:t>construction and assembly production in</w:t>
      </w:r>
      <w:r w:rsidRPr="00B114D1" w:rsidR="00026E94">
        <w:rPr>
          <w:szCs w:val="19"/>
          <w:shd w:val="clear" w:color="auto" w:fill="FFFFFF"/>
          <w:lang w:val="en-GB"/>
        </w:rPr>
        <w:t xml:space="preserve"> </w:t>
      </w:r>
      <w:r w:rsidRPr="00B114D1" w:rsidR="00AD5604">
        <w:rPr>
          <w:szCs w:val="19"/>
          <w:shd w:val="clear" w:color="auto" w:fill="FFFFFF"/>
          <w:lang w:val="en-GB"/>
        </w:rPr>
        <w:t>November</w:t>
      </w:r>
      <w:r w:rsidRPr="00B114D1">
        <w:rPr>
          <w:szCs w:val="19"/>
          <w:shd w:val="clear" w:color="auto" w:fill="FFFFFF"/>
          <w:lang w:val="en-GB"/>
        </w:rPr>
        <w:t xml:space="preserve"> 2021 </w:t>
      </w:r>
      <w:r w:rsidRPr="00B114D1">
        <w:rPr>
          <w:shd w:val="clear" w:color="auto" w:fill="FFFFFF"/>
          <w:lang w:val="en-GB"/>
        </w:rPr>
        <w:t>(in constant prices)</w:t>
      </w:r>
      <w:r w:rsidRPr="00B114D1" w:rsidR="00AD5604">
        <w:rPr>
          <w:shd w:val="clear" w:color="auto" w:fill="FFFFFF"/>
          <w:lang w:val="en-GB"/>
        </w:rPr>
        <w:t>,</w:t>
      </w:r>
      <w:r w:rsidRPr="00B114D1">
        <w:rPr>
          <w:shd w:val="clear" w:color="auto" w:fill="FFFFFF"/>
          <w:lang w:val="en-GB"/>
        </w:rPr>
        <w:t xml:space="preserve"> </w:t>
      </w:r>
      <w:r w:rsidRPr="00B114D1">
        <w:rPr>
          <w:szCs w:val="19"/>
          <w:shd w:val="clear" w:color="auto" w:fill="FFFFFF"/>
          <w:lang w:val="en-GB"/>
        </w:rPr>
        <w:t>compared to the average monthly value of 2015</w:t>
      </w:r>
      <w:r w:rsidRPr="00B114D1" w:rsidR="00AD5604">
        <w:rPr>
          <w:szCs w:val="19"/>
          <w:shd w:val="clear" w:color="auto" w:fill="FFFFFF"/>
          <w:lang w:val="en-GB"/>
        </w:rPr>
        <w:t>,</w:t>
      </w:r>
      <w:r w:rsidRPr="00B114D1">
        <w:rPr>
          <w:szCs w:val="19"/>
          <w:shd w:val="clear" w:color="auto" w:fill="FFFFFF"/>
          <w:lang w:val="en-GB"/>
        </w:rPr>
        <w:t xml:space="preserve"> was </w:t>
      </w:r>
      <w:r w:rsidRPr="00B114D1" w:rsidR="00AD5604">
        <w:rPr>
          <w:szCs w:val="19"/>
          <w:shd w:val="clear" w:color="auto" w:fill="FFFFFF"/>
          <w:lang w:val="en-GB"/>
        </w:rPr>
        <w:t>148</w:t>
      </w:r>
      <w:r w:rsidRPr="00B114D1" w:rsidR="005E7FB5">
        <w:rPr>
          <w:szCs w:val="19"/>
          <w:shd w:val="clear" w:color="auto" w:fill="FFFFFF"/>
          <w:lang w:val="en-GB"/>
        </w:rPr>
        <w:t>.5</w:t>
      </w:r>
      <w:r w:rsidRPr="00B114D1">
        <w:rPr>
          <w:szCs w:val="19"/>
          <w:shd w:val="clear" w:color="auto" w:fill="FFFFFF"/>
          <w:lang w:val="en-GB"/>
        </w:rPr>
        <w:t>.</w:t>
      </w:r>
    </w:p>
    <w:p w:rsidRPr="00B114D1" w:rsidR="00B041EA" w:rsidP="00B041EA" w:rsidRDefault="001863AF" w14:paraId="7B823EB2" w14:textId="48CEE36B">
      <w:pPr>
        <w:rPr>
          <w:szCs w:val="19"/>
          <w:lang w:val="en-GB"/>
        </w:rPr>
      </w:pPr>
      <w:r w:rsidRPr="00B114D1">
        <w:rPr>
          <w:szCs w:val="19"/>
          <w:lang w:val="en-GB"/>
        </w:rPr>
        <w:t>After eliminating the seasonal factors</w:t>
      </w:r>
      <w:r w:rsidRPr="00B114D1" w:rsidR="000571FC">
        <w:rPr>
          <w:szCs w:val="19"/>
          <w:lang w:val="en-GB"/>
        </w:rPr>
        <w:t>,</w:t>
      </w:r>
      <w:r w:rsidRPr="00B114D1">
        <w:rPr>
          <w:szCs w:val="19"/>
          <w:lang w:val="en-GB"/>
        </w:rPr>
        <w:t xml:space="preserve"> construction and assembly production reached the level by </w:t>
      </w:r>
      <w:r w:rsidRPr="00B114D1" w:rsidR="00AD5604">
        <w:rPr>
          <w:szCs w:val="19"/>
          <w:lang w:val="en-GB"/>
        </w:rPr>
        <w:t>10.9</w:t>
      </w:r>
      <w:r w:rsidRPr="00B114D1">
        <w:rPr>
          <w:szCs w:val="19"/>
          <w:lang w:val="en-GB"/>
        </w:rPr>
        <w:t xml:space="preserve">% </w:t>
      </w:r>
      <w:r w:rsidRPr="00B114D1" w:rsidR="00EA56ED">
        <w:rPr>
          <w:szCs w:val="19"/>
          <w:lang w:val="en-GB"/>
        </w:rPr>
        <w:t>higher</w:t>
      </w:r>
      <w:r w:rsidRPr="00B114D1">
        <w:rPr>
          <w:szCs w:val="19"/>
          <w:lang w:val="en-GB"/>
        </w:rPr>
        <w:t xml:space="preserve"> than in </w:t>
      </w:r>
      <w:r w:rsidRPr="00B114D1" w:rsidR="000571FC">
        <w:rPr>
          <w:szCs w:val="19"/>
          <w:lang w:val="en-GB"/>
        </w:rPr>
        <w:t xml:space="preserve">the corresponding month </w:t>
      </w:r>
      <w:r w:rsidRPr="00B114D1">
        <w:rPr>
          <w:szCs w:val="19"/>
          <w:lang w:val="en-GB"/>
        </w:rPr>
        <w:t xml:space="preserve">2020 and by </w:t>
      </w:r>
      <w:r w:rsidRPr="00B114D1" w:rsidR="00AD5604">
        <w:rPr>
          <w:szCs w:val="19"/>
          <w:lang w:val="en-GB"/>
        </w:rPr>
        <w:t>3</w:t>
      </w:r>
      <w:r w:rsidRPr="00B114D1" w:rsidR="005E7FB5">
        <w:rPr>
          <w:szCs w:val="19"/>
          <w:lang w:val="en-GB"/>
        </w:rPr>
        <w:t>.6</w:t>
      </w:r>
      <w:r w:rsidRPr="00B114D1">
        <w:rPr>
          <w:szCs w:val="19"/>
          <w:lang w:val="en-GB"/>
        </w:rPr>
        <w:t xml:space="preserve">% </w:t>
      </w:r>
      <w:r w:rsidRPr="00B114D1" w:rsidR="005E7FB5">
        <w:rPr>
          <w:szCs w:val="19"/>
          <w:lang w:val="en-GB"/>
        </w:rPr>
        <w:t>higher</w:t>
      </w:r>
      <w:r w:rsidRPr="00B114D1" w:rsidR="0008374D">
        <w:rPr>
          <w:szCs w:val="19"/>
          <w:lang w:val="en-GB"/>
        </w:rPr>
        <w:t xml:space="preserve"> </w:t>
      </w:r>
      <w:r w:rsidRPr="00B114D1">
        <w:rPr>
          <w:szCs w:val="19"/>
          <w:lang w:val="en-GB"/>
        </w:rPr>
        <w:t xml:space="preserve">in comparison to </w:t>
      </w:r>
      <w:r w:rsidRPr="00B114D1" w:rsidR="00AD5604">
        <w:rPr>
          <w:szCs w:val="19"/>
          <w:lang w:val="en-GB"/>
        </w:rPr>
        <w:t>October</w:t>
      </w:r>
      <w:r w:rsidRPr="00B114D1" w:rsidR="0021782A">
        <w:rPr>
          <w:szCs w:val="19"/>
          <w:lang w:val="en-GB"/>
        </w:rPr>
        <w:t xml:space="preserve"> </w:t>
      </w:r>
      <w:r w:rsidRPr="00B114D1">
        <w:rPr>
          <w:szCs w:val="19"/>
          <w:lang w:val="en-GB"/>
        </w:rPr>
        <w:t>2021.</w:t>
      </w:r>
    </w:p>
    <w:p w:rsidRPr="007D5F5A" w:rsidR="006847F5" w:rsidP="006847F5" w:rsidRDefault="006847F5" w14:paraId="426F43BE" w14:textId="02ADBCFF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provide information: “Source of data: Statistics Poland” and in case of publishing calculations made on data published by Statistics Poland</w:t>
      </w:r>
      <w:r w:rsidR="00BE1878">
        <w:rPr>
          <w:szCs w:val="19"/>
          <w:lang w:val="en-GB"/>
        </w:rPr>
        <w:t xml:space="preserve"> p</w:t>
      </w:r>
      <w:r w:rsidRPr="007D5F5A">
        <w:rPr>
          <w:szCs w:val="19"/>
          <w:lang w:val="en-GB"/>
        </w:rPr>
        <w:t>lease include the following disclaimer: “Own study based on figures from Statistics Poland”</w:t>
      </w:r>
      <w:r w:rsidR="00863EC0">
        <w:rPr>
          <w:szCs w:val="19"/>
          <w:lang w:val="en-GB"/>
        </w:rPr>
        <w:t>.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E43CC5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13E361C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Pr="00C52703" w:rsidR="00793137">
              <w:rPr>
                <w:sz w:val="20"/>
                <w:lang w:val="en-GB"/>
              </w:rPr>
              <w:t xml:space="preserve">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86684A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86684A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86684A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86684A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86684A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86684A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86684A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86684A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0F273F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0F273F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0F273F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0F273F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0F273F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0F273F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0F273F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F3276" w14:textId="77777777" w:rsidR="0086684A" w:rsidRDefault="0086684A" w:rsidP="000662E2">
      <w:pPr>
        <w:spacing w:after="0" w:line="240" w:lineRule="auto"/>
      </w:pPr>
      <w:r>
        <w:separator/>
      </w:r>
    </w:p>
  </w:endnote>
  <w:endnote w:type="continuationSeparator" w:id="0">
    <w:p w14:paraId="3B16013B" w14:textId="77777777" w:rsidR="0086684A" w:rsidRDefault="0086684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C4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C4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C4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05AC1" w14:textId="77777777" w:rsidR="0086684A" w:rsidRDefault="0086684A" w:rsidP="000662E2">
      <w:pPr>
        <w:spacing w:after="0" w:line="240" w:lineRule="auto"/>
      </w:pPr>
      <w:r>
        <w:separator/>
      </w:r>
    </w:p>
  </w:footnote>
  <w:footnote w:type="continuationSeparator" w:id="0">
    <w:p w14:paraId="4AE9B0EA" w14:textId="77777777" w:rsidR="0086684A" w:rsidRDefault="0086684A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6BBCAA75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7741CA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 xml:space="preserve"> and reported data in</w:t>
      </w:r>
      <w:r w:rsidR="00761B6B">
        <w:rPr>
          <w:sz w:val="16"/>
          <w:szCs w:val="16"/>
          <w:lang w:val="en-GB"/>
        </w:rPr>
        <w:t xml:space="preserve"> </w:t>
      </w:r>
      <w:r w:rsidR="007741CA">
        <w:rPr>
          <w:sz w:val="16"/>
          <w:szCs w:val="16"/>
          <w:lang w:val="en-GB"/>
        </w:rPr>
        <w:t>November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0742461D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AD5604">
        <w:rPr>
          <w:sz w:val="16"/>
          <w:szCs w:val="16"/>
          <w:lang w:val="en-GB"/>
        </w:rPr>
        <w:t>November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04355E7B" w:rsidR="00FE2F2B" w:rsidRPr="000D6291" w:rsidRDefault="00863EC0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9F185C">
                            <w:rPr>
                              <w:rFonts w:ascii="Fira Sans SemiBold" w:hAnsi="Fira Sans SemiBold"/>
                            </w:rPr>
                            <w:t>1</w:t>
                          </w:r>
                          <w:r w:rsidR="00AE0CA9">
                            <w:rPr>
                              <w:rFonts w:ascii="Fira Sans SemiBold" w:hAnsi="Fira Sans SemiBold"/>
                            </w:rPr>
                            <w:t>.1</w:t>
                          </w:r>
                          <w:r w:rsidR="009F185C"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04355E7B" w:rsidR="00FE2F2B" w:rsidRPr="000D6291" w:rsidRDefault="00863EC0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</w:t>
                    </w:r>
                    <w:r w:rsidR="009F185C">
                      <w:rPr>
                        <w:rFonts w:ascii="Fira Sans SemiBold" w:hAnsi="Fira Sans SemiBold"/>
                      </w:rPr>
                      <w:t>1</w:t>
                    </w:r>
                    <w:r w:rsidR="00AE0CA9">
                      <w:rPr>
                        <w:rFonts w:ascii="Fira Sans SemiBold" w:hAnsi="Fira Sans SemiBold"/>
                      </w:rPr>
                      <w:t>.1</w:t>
                    </w:r>
                    <w:r w:rsidR="009F185C">
                      <w:rPr>
                        <w:rFonts w:ascii="Fira Sans SemiBold" w:hAnsi="Fira Sans SemiBold"/>
                      </w:rPr>
                      <w:t>2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29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26E94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6446"/>
    <w:rsid w:val="000470AA"/>
    <w:rsid w:val="0004727E"/>
    <w:rsid w:val="00050DAA"/>
    <w:rsid w:val="00051716"/>
    <w:rsid w:val="00052281"/>
    <w:rsid w:val="0005280B"/>
    <w:rsid w:val="0005545D"/>
    <w:rsid w:val="000571FC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3697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74D"/>
    <w:rsid w:val="00083AD4"/>
    <w:rsid w:val="000846B6"/>
    <w:rsid w:val="000850BC"/>
    <w:rsid w:val="000858A3"/>
    <w:rsid w:val="000879A4"/>
    <w:rsid w:val="000922F7"/>
    <w:rsid w:val="000934F7"/>
    <w:rsid w:val="0009394E"/>
    <w:rsid w:val="00095AFD"/>
    <w:rsid w:val="00097D58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51C"/>
    <w:rsid w:val="000C1F25"/>
    <w:rsid w:val="000C2B07"/>
    <w:rsid w:val="000C3693"/>
    <w:rsid w:val="000C5181"/>
    <w:rsid w:val="000C5358"/>
    <w:rsid w:val="000C5397"/>
    <w:rsid w:val="000D0649"/>
    <w:rsid w:val="000D1D43"/>
    <w:rsid w:val="000D225C"/>
    <w:rsid w:val="000D2A5C"/>
    <w:rsid w:val="000D34FE"/>
    <w:rsid w:val="000D41E2"/>
    <w:rsid w:val="000D6291"/>
    <w:rsid w:val="000D7754"/>
    <w:rsid w:val="000E02DE"/>
    <w:rsid w:val="000E0918"/>
    <w:rsid w:val="000E22E7"/>
    <w:rsid w:val="000E3E3B"/>
    <w:rsid w:val="000E4472"/>
    <w:rsid w:val="000E51CC"/>
    <w:rsid w:val="000E62BA"/>
    <w:rsid w:val="000E6CFB"/>
    <w:rsid w:val="000F21E9"/>
    <w:rsid w:val="000F273F"/>
    <w:rsid w:val="000F40A3"/>
    <w:rsid w:val="000F5D41"/>
    <w:rsid w:val="000F5DD1"/>
    <w:rsid w:val="001009DC"/>
    <w:rsid w:val="001011C3"/>
    <w:rsid w:val="00103447"/>
    <w:rsid w:val="0010557F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4FC7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28CE"/>
    <w:rsid w:val="00163A92"/>
    <w:rsid w:val="00170309"/>
    <w:rsid w:val="00170389"/>
    <w:rsid w:val="0017281A"/>
    <w:rsid w:val="001741E2"/>
    <w:rsid w:val="00174419"/>
    <w:rsid w:val="00174BBB"/>
    <w:rsid w:val="001758DE"/>
    <w:rsid w:val="00175EBE"/>
    <w:rsid w:val="00176A21"/>
    <w:rsid w:val="001802BD"/>
    <w:rsid w:val="00180640"/>
    <w:rsid w:val="001834E2"/>
    <w:rsid w:val="001863AF"/>
    <w:rsid w:val="00186D53"/>
    <w:rsid w:val="00194317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6C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8EA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52A9"/>
    <w:rsid w:val="002036AE"/>
    <w:rsid w:val="00203959"/>
    <w:rsid w:val="00211BD4"/>
    <w:rsid w:val="00212616"/>
    <w:rsid w:val="00214694"/>
    <w:rsid w:val="00215EF4"/>
    <w:rsid w:val="0021782A"/>
    <w:rsid w:val="00221039"/>
    <w:rsid w:val="0022389D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05DC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532D"/>
    <w:rsid w:val="00287354"/>
    <w:rsid w:val="00290365"/>
    <w:rsid w:val="00290E5E"/>
    <w:rsid w:val="0029212A"/>
    <w:rsid w:val="002926DF"/>
    <w:rsid w:val="00293256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E1E"/>
    <w:rsid w:val="00304F22"/>
    <w:rsid w:val="00304FA3"/>
    <w:rsid w:val="00305626"/>
    <w:rsid w:val="00306C7C"/>
    <w:rsid w:val="0030741C"/>
    <w:rsid w:val="00311CB9"/>
    <w:rsid w:val="00312FC3"/>
    <w:rsid w:val="00313C99"/>
    <w:rsid w:val="00316C71"/>
    <w:rsid w:val="0031744D"/>
    <w:rsid w:val="00320333"/>
    <w:rsid w:val="00322223"/>
    <w:rsid w:val="00322404"/>
    <w:rsid w:val="00322EDD"/>
    <w:rsid w:val="00326F83"/>
    <w:rsid w:val="00332320"/>
    <w:rsid w:val="00334D41"/>
    <w:rsid w:val="00334DDA"/>
    <w:rsid w:val="00337EFE"/>
    <w:rsid w:val="00342B6F"/>
    <w:rsid w:val="00343E5F"/>
    <w:rsid w:val="00345797"/>
    <w:rsid w:val="0034690A"/>
    <w:rsid w:val="003470F6"/>
    <w:rsid w:val="0034775E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8793F"/>
    <w:rsid w:val="003913D8"/>
    <w:rsid w:val="0039175D"/>
    <w:rsid w:val="0039240C"/>
    <w:rsid w:val="00393761"/>
    <w:rsid w:val="00395121"/>
    <w:rsid w:val="00395792"/>
    <w:rsid w:val="0039599C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555F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916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4EC3"/>
    <w:rsid w:val="00444ECA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638"/>
    <w:rsid w:val="00494ECF"/>
    <w:rsid w:val="004952AD"/>
    <w:rsid w:val="00495509"/>
    <w:rsid w:val="0049621B"/>
    <w:rsid w:val="004974CF"/>
    <w:rsid w:val="0049750D"/>
    <w:rsid w:val="004978D0"/>
    <w:rsid w:val="004A0666"/>
    <w:rsid w:val="004A645A"/>
    <w:rsid w:val="004A67A3"/>
    <w:rsid w:val="004B012D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47F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37337"/>
    <w:rsid w:val="0054251F"/>
    <w:rsid w:val="00545165"/>
    <w:rsid w:val="00547D36"/>
    <w:rsid w:val="00547DD0"/>
    <w:rsid w:val="00550618"/>
    <w:rsid w:val="00550FFC"/>
    <w:rsid w:val="00551685"/>
    <w:rsid w:val="005520D8"/>
    <w:rsid w:val="00556CF1"/>
    <w:rsid w:val="0056316C"/>
    <w:rsid w:val="005639CC"/>
    <w:rsid w:val="00563C76"/>
    <w:rsid w:val="005645ED"/>
    <w:rsid w:val="00566369"/>
    <w:rsid w:val="005702CC"/>
    <w:rsid w:val="00570D4C"/>
    <w:rsid w:val="00570F01"/>
    <w:rsid w:val="0057229A"/>
    <w:rsid w:val="005722E0"/>
    <w:rsid w:val="00575940"/>
    <w:rsid w:val="00575D28"/>
    <w:rsid w:val="005762A7"/>
    <w:rsid w:val="00576AC7"/>
    <w:rsid w:val="005801B2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06CC"/>
    <w:rsid w:val="005A2411"/>
    <w:rsid w:val="005A2E64"/>
    <w:rsid w:val="005A3C29"/>
    <w:rsid w:val="005A5994"/>
    <w:rsid w:val="005A64CB"/>
    <w:rsid w:val="005A698C"/>
    <w:rsid w:val="005A7C01"/>
    <w:rsid w:val="005B099D"/>
    <w:rsid w:val="005B121A"/>
    <w:rsid w:val="005B22BF"/>
    <w:rsid w:val="005B294A"/>
    <w:rsid w:val="005B3750"/>
    <w:rsid w:val="005B4A71"/>
    <w:rsid w:val="005B72FE"/>
    <w:rsid w:val="005C082F"/>
    <w:rsid w:val="005C1533"/>
    <w:rsid w:val="005C326E"/>
    <w:rsid w:val="005C63F1"/>
    <w:rsid w:val="005C6473"/>
    <w:rsid w:val="005C6CC5"/>
    <w:rsid w:val="005D10CB"/>
    <w:rsid w:val="005D188C"/>
    <w:rsid w:val="005D4BBC"/>
    <w:rsid w:val="005D4D7C"/>
    <w:rsid w:val="005D6C1B"/>
    <w:rsid w:val="005E0799"/>
    <w:rsid w:val="005E1E19"/>
    <w:rsid w:val="005E1E74"/>
    <w:rsid w:val="005E6E82"/>
    <w:rsid w:val="005E7AA5"/>
    <w:rsid w:val="005E7FB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27E49"/>
    <w:rsid w:val="006305F5"/>
    <w:rsid w:val="0063104C"/>
    <w:rsid w:val="00632B4B"/>
    <w:rsid w:val="00632D91"/>
    <w:rsid w:val="00632E93"/>
    <w:rsid w:val="00633014"/>
    <w:rsid w:val="00633EA6"/>
    <w:rsid w:val="0063437B"/>
    <w:rsid w:val="006369D6"/>
    <w:rsid w:val="00637B5D"/>
    <w:rsid w:val="00643957"/>
    <w:rsid w:val="006442B0"/>
    <w:rsid w:val="006460F8"/>
    <w:rsid w:val="0065120E"/>
    <w:rsid w:val="00657BEF"/>
    <w:rsid w:val="006608D1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2699"/>
    <w:rsid w:val="0068327D"/>
    <w:rsid w:val="006847F5"/>
    <w:rsid w:val="006863CF"/>
    <w:rsid w:val="00687904"/>
    <w:rsid w:val="006936E3"/>
    <w:rsid w:val="0069375E"/>
    <w:rsid w:val="00694AF0"/>
    <w:rsid w:val="006958B3"/>
    <w:rsid w:val="006959E8"/>
    <w:rsid w:val="00695C15"/>
    <w:rsid w:val="00695E41"/>
    <w:rsid w:val="00696DA5"/>
    <w:rsid w:val="006973DC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55C2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3C22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1B6B"/>
    <w:rsid w:val="0076254F"/>
    <w:rsid w:val="007625B7"/>
    <w:rsid w:val="00762624"/>
    <w:rsid w:val="00763370"/>
    <w:rsid w:val="007641BE"/>
    <w:rsid w:val="00767F59"/>
    <w:rsid w:val="0077217E"/>
    <w:rsid w:val="00773968"/>
    <w:rsid w:val="007741CA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1AD7"/>
    <w:rsid w:val="007B3894"/>
    <w:rsid w:val="007B4E61"/>
    <w:rsid w:val="007B595D"/>
    <w:rsid w:val="007B5CF4"/>
    <w:rsid w:val="007C42CE"/>
    <w:rsid w:val="007C6F3A"/>
    <w:rsid w:val="007C73C2"/>
    <w:rsid w:val="007C79C9"/>
    <w:rsid w:val="007C7A68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16A2C"/>
    <w:rsid w:val="00823814"/>
    <w:rsid w:val="00825DC2"/>
    <w:rsid w:val="00825FBA"/>
    <w:rsid w:val="00826251"/>
    <w:rsid w:val="008301CC"/>
    <w:rsid w:val="0083109F"/>
    <w:rsid w:val="00834AC9"/>
    <w:rsid w:val="00834AD3"/>
    <w:rsid w:val="00834E4D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1FA1"/>
    <w:rsid w:val="00852448"/>
    <w:rsid w:val="008569B2"/>
    <w:rsid w:val="008629DD"/>
    <w:rsid w:val="00863EC0"/>
    <w:rsid w:val="0086576C"/>
    <w:rsid w:val="00865964"/>
    <w:rsid w:val="0086684A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DFF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2448"/>
    <w:rsid w:val="00932932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3C4"/>
    <w:rsid w:val="00993D17"/>
    <w:rsid w:val="0099494A"/>
    <w:rsid w:val="009954D9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3161"/>
    <w:rsid w:val="009E4FD1"/>
    <w:rsid w:val="009E5005"/>
    <w:rsid w:val="009E5714"/>
    <w:rsid w:val="009E5C5B"/>
    <w:rsid w:val="009E6423"/>
    <w:rsid w:val="009E71B7"/>
    <w:rsid w:val="009F101D"/>
    <w:rsid w:val="009F185C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20E5"/>
    <w:rsid w:val="00A43598"/>
    <w:rsid w:val="00A43A33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0091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5604"/>
    <w:rsid w:val="00AD5FD7"/>
    <w:rsid w:val="00AD6497"/>
    <w:rsid w:val="00AD7B14"/>
    <w:rsid w:val="00AE02E0"/>
    <w:rsid w:val="00AE0CA9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14D1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8C9"/>
    <w:rsid w:val="00B46B52"/>
    <w:rsid w:val="00B5012B"/>
    <w:rsid w:val="00B5685C"/>
    <w:rsid w:val="00B5694A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891"/>
    <w:rsid w:val="00B76C01"/>
    <w:rsid w:val="00B77F98"/>
    <w:rsid w:val="00B823D5"/>
    <w:rsid w:val="00B86E6E"/>
    <w:rsid w:val="00B914E9"/>
    <w:rsid w:val="00B92F6B"/>
    <w:rsid w:val="00B945D6"/>
    <w:rsid w:val="00B956EE"/>
    <w:rsid w:val="00B970A4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1878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3CB9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1AC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A774E"/>
    <w:rsid w:val="00CB0412"/>
    <w:rsid w:val="00CB0E7E"/>
    <w:rsid w:val="00CB0EEF"/>
    <w:rsid w:val="00CB4F20"/>
    <w:rsid w:val="00CC09FD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D7BE0"/>
    <w:rsid w:val="00CE045D"/>
    <w:rsid w:val="00CE21C4"/>
    <w:rsid w:val="00CE2C29"/>
    <w:rsid w:val="00CE3B35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2BCC"/>
    <w:rsid w:val="00D0793C"/>
    <w:rsid w:val="00D12BF4"/>
    <w:rsid w:val="00D12D1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2494"/>
    <w:rsid w:val="00D47325"/>
    <w:rsid w:val="00D513CE"/>
    <w:rsid w:val="00D52A54"/>
    <w:rsid w:val="00D538F4"/>
    <w:rsid w:val="00D53E1E"/>
    <w:rsid w:val="00D5567F"/>
    <w:rsid w:val="00D562F3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5C20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2BF1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387"/>
    <w:rsid w:val="00DE393E"/>
    <w:rsid w:val="00DE5FC3"/>
    <w:rsid w:val="00DE7078"/>
    <w:rsid w:val="00DE724E"/>
    <w:rsid w:val="00DE7FAD"/>
    <w:rsid w:val="00DF246D"/>
    <w:rsid w:val="00DF4230"/>
    <w:rsid w:val="00DF7836"/>
    <w:rsid w:val="00DF7D74"/>
    <w:rsid w:val="00E008D5"/>
    <w:rsid w:val="00E01436"/>
    <w:rsid w:val="00E019BF"/>
    <w:rsid w:val="00E01E0C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48CF"/>
    <w:rsid w:val="00E35249"/>
    <w:rsid w:val="00E4017B"/>
    <w:rsid w:val="00E41462"/>
    <w:rsid w:val="00E42947"/>
    <w:rsid w:val="00E42FF9"/>
    <w:rsid w:val="00E43CC5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C66E3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40D"/>
    <w:rsid w:val="00EE36BD"/>
    <w:rsid w:val="00EE39D5"/>
    <w:rsid w:val="00EE3EDE"/>
    <w:rsid w:val="00EE41D5"/>
    <w:rsid w:val="00EE46F3"/>
    <w:rsid w:val="00EE6001"/>
    <w:rsid w:val="00EE62A3"/>
    <w:rsid w:val="00EE7FEC"/>
    <w:rsid w:val="00EF0D6C"/>
    <w:rsid w:val="00EF2A45"/>
    <w:rsid w:val="00EF559E"/>
    <w:rsid w:val="00EF633B"/>
    <w:rsid w:val="00EF7CA4"/>
    <w:rsid w:val="00F00B57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9B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4D1A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0C9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1E0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778686180404472E-2"/>
          <c:y val="0.14777644319883743"/>
          <c:w val="0.87129396325459318"/>
          <c:h val="0.69037750600323911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136.4</c:v>
                </c:pt>
                <c:pt idx="10">
                  <c:v>148.5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8850720"/>
        <c:axId val="288851504"/>
      </c:lineChart>
      <c:catAx>
        <c:axId val="2888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8851504"/>
        <c:crossesAt val="100"/>
        <c:auto val="1"/>
        <c:lblAlgn val="ctr"/>
        <c:lblOffset val="100"/>
        <c:noMultiLvlLbl val="0"/>
      </c:catAx>
      <c:valAx>
        <c:axId val="28885150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8885072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index_numbers_of_construction_and_assembly_production_in_november_2021.docx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5DA47FA-066C-471D-A395-9DA849D210FA}"/>
</file>

<file path=customXml/itemProps3.xml><?xml version="1.0" encoding="utf-8"?>
<ds:datastoreItem xmlns:ds="http://schemas.openxmlformats.org/officeDocument/2006/customXml" ds:itemID="{2AB7FD65-C9F9-4C9B-9F95-C4067FA80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2021</vt:lpstr>
    </vt:vector>
  </TitlesOfParts>
  <Company>Statistics Poland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cp:keywords/>
  <dc:description/>
  <cp:lastPrinted>2021-02-16T12:02:00Z</cp:lastPrinted>
  <dcterms:created xsi:type="dcterms:W3CDTF">2021-10-19T07:39:00Z</dcterms:created>
  <dcterms:modified xsi:type="dcterms:W3CDTF">2021-12-16T13:09:00Z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LUB-OSB.6362.1.2021.23</vt:lpwstr>
  </property>
  <property fmtid="{D5CDD505-2E9C-101B-9397-08002B2CF9AE}" pid="4" name="UNPPisma">
    <vt:lpwstr>2021-334650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listopadzie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2021-12-16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