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2228E376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841FC9">
        <w:rPr>
          <w:szCs w:val="32"/>
          <w:lang w:val="en-GB"/>
        </w:rPr>
        <w:t>X</w:t>
      </w:r>
      <w:r w:rsidR="00BD32C8">
        <w:rPr>
          <w:szCs w:val="32"/>
          <w:lang w:val="en-GB"/>
        </w:rPr>
        <w:t>I</w:t>
      </w:r>
      <w:r w:rsidR="00CF46EE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57F18895" w:rsidR="00095A18" w:rsidRPr="004829B9" w:rsidRDefault="005F302D" w:rsidP="00896EB9">
      <w:pPr>
        <w:pStyle w:val="LID"/>
        <w:rPr>
          <w:lang w:val="en-GB"/>
        </w:rPr>
      </w:pPr>
      <w:r w:rsidRPr="0015468F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574E89" w:rsidRPr="00612A93" w:rsidRDefault="00574E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574E89" w:rsidRPr="00F64AC1" w:rsidRDefault="00574E8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574E89" w:rsidRPr="00612A93" w:rsidRDefault="00574E8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574E89" w:rsidRPr="00F64AC1" w:rsidRDefault="00574E8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468F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665FB72F" w:rsidR="00574E89" w:rsidRPr="002C751B" w:rsidRDefault="00574E89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32C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105.3</w:t>
                            </w:r>
                          </w:p>
                          <w:p w14:paraId="4A535B62" w14:textId="2AEDB9F7" w:rsidR="00574E89" w:rsidRPr="002C751B" w:rsidRDefault="00574E89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665FB72F" w:rsidR="00574E89" w:rsidRPr="002C751B" w:rsidRDefault="00574E89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32C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105.3</w:t>
                      </w:r>
                    </w:p>
                    <w:p w14:paraId="4A535B62" w14:textId="2AEDB9F7" w:rsidR="00574E89" w:rsidRPr="002C751B" w:rsidRDefault="00574E89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5433" w:rsidRPr="0015468F">
        <w:rPr>
          <w:lang w:val="en-GB"/>
        </w:rPr>
        <w:t xml:space="preserve">In the period from January till the end of </w:t>
      </w:r>
      <w:r w:rsidR="00BD32C8">
        <w:rPr>
          <w:lang w:val="en-GB"/>
        </w:rPr>
        <w:t>November</w:t>
      </w:r>
      <w:r w:rsidR="00505433" w:rsidRPr="0015468F">
        <w:rPr>
          <w:lang w:val="en-GB"/>
        </w:rPr>
        <w:t xml:space="preserve"> </w:t>
      </w:r>
      <w:r w:rsidR="003D4820" w:rsidRPr="0015468F">
        <w:rPr>
          <w:lang w:val="en-GB"/>
        </w:rPr>
        <w:t>2021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E7E4591">
                <wp:simplePos x="0" y="0"/>
                <wp:positionH relativeFrom="rightMargin">
                  <wp:posOffset>125730</wp:posOffset>
                </wp:positionH>
                <wp:positionV relativeFrom="paragraph">
                  <wp:posOffset>113030</wp:posOffset>
                </wp:positionV>
                <wp:extent cx="1804670" cy="990600"/>
                <wp:effectExtent l="0" t="0" r="0" b="0"/>
                <wp:wrapTight wrapText="bothSides">
                  <wp:wrapPolygon edited="0">
                    <wp:start x="684" y="0"/>
                    <wp:lineTo x="684" y="21185"/>
                    <wp:lineTo x="20749" y="21185"/>
                    <wp:lineTo x="20749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351F51D9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BB44BD">
                              <w:rPr>
                                <w:lang w:val="en-US"/>
                              </w:rPr>
                              <w:t>estors completed respectively 60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BB44BD">
                              <w:rPr>
                                <w:lang w:val="en-US"/>
                              </w:rPr>
                              <w:t>3% and 37.7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9.9pt;margin-top:8.9pt;width:142.1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" filled="f" stroked="f">
                <v:textbox>
                  <w:txbxContent>
                    <w:p w14:paraId="55217834" w14:textId="351F51D9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BB44BD">
                        <w:rPr>
                          <w:lang w:val="en-US"/>
                        </w:rPr>
                        <w:t>estors completed respectively 60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BB44BD">
                        <w:rPr>
                          <w:lang w:val="en-US"/>
                        </w:rPr>
                        <w:t>3% and 37.7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28F57A00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BB44BD">
        <w:rPr>
          <w:spacing w:val="-4"/>
          <w:shd w:val="clear" w:color="auto" w:fill="FFFFFF"/>
          <w:lang w:val="en-GB"/>
        </w:rPr>
        <w:t>208</w:t>
      </w:r>
      <w:r w:rsidR="00ED2310">
        <w:rPr>
          <w:spacing w:val="-4"/>
          <w:shd w:val="clear" w:color="auto" w:fill="FFFFFF"/>
          <w:lang w:val="en-GB"/>
        </w:rPr>
        <w:t>.4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="00B416AE">
        <w:rPr>
          <w:spacing w:val="-4"/>
          <w:shd w:val="clear" w:color="auto" w:fill="FFFFFF"/>
          <w:lang w:val="en-GB"/>
        </w:rPr>
        <w:t xml:space="preserve"> of  I</w:t>
      </w:r>
      <w:r w:rsidR="00B416AE">
        <w:rPr>
          <w:spacing w:val="-4"/>
          <w:shd w:val="clear" w:color="auto" w:fill="FFFFFF"/>
          <w:lang w:val="en-GB"/>
        </w:rPr>
        <w:noBreakHyphen/>
      </w:r>
      <w:r w:rsidR="00505433">
        <w:rPr>
          <w:spacing w:val="-4"/>
          <w:shd w:val="clear" w:color="auto" w:fill="FFFFFF"/>
          <w:lang w:val="en-GB"/>
        </w:rPr>
        <w:t>X</w:t>
      </w:r>
      <w:r w:rsidR="00BB44BD">
        <w:rPr>
          <w:spacing w:val="-4"/>
          <w:shd w:val="clear" w:color="auto" w:fill="FFFFFF"/>
          <w:lang w:val="en-GB"/>
        </w:rPr>
        <w:t>I</w:t>
      </w:r>
      <w:r w:rsidR="00B416AE">
        <w:rPr>
          <w:spacing w:val="-4"/>
          <w:shd w:val="clear" w:color="auto" w:fill="FFFFFF"/>
          <w:lang w:val="en-GB"/>
        </w:rPr>
        <w:t> </w:t>
      </w:r>
      <w:r w:rsidR="004B638F" w:rsidRPr="004B638F">
        <w:rPr>
          <w:spacing w:val="-4"/>
          <w:shd w:val="clear" w:color="auto" w:fill="FFFFFF"/>
          <w:lang w:val="en-GB"/>
        </w:rPr>
        <w:t>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B416AE">
        <w:rPr>
          <w:spacing w:val="-4"/>
          <w:shd w:val="clear" w:color="auto" w:fill="FFFFFF"/>
          <w:lang w:val="en-GB"/>
        </w:rPr>
        <w:t>5.3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BB44BD">
        <w:rPr>
          <w:spacing w:val="-4"/>
          <w:shd w:val="clear" w:color="auto" w:fill="FFFFFF"/>
          <w:lang w:val="en-GB"/>
        </w:rPr>
        <w:t>125</w:t>
      </w:r>
      <w:r w:rsidR="00372328">
        <w:rPr>
          <w:spacing w:val="-4"/>
          <w:shd w:val="clear" w:color="auto" w:fill="FFFFFF"/>
          <w:lang w:val="en-GB"/>
        </w:rPr>
        <w:t>.</w:t>
      </w:r>
      <w:r w:rsidR="00BB44BD">
        <w:rPr>
          <w:spacing w:val="-4"/>
          <w:shd w:val="clear" w:color="auto" w:fill="FFFFFF"/>
          <w:lang w:val="en-GB"/>
        </w:rPr>
        <w:t>6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BB44BD">
        <w:rPr>
          <w:spacing w:val="-4"/>
          <w:shd w:val="clear" w:color="auto" w:fill="FFFFFF"/>
          <w:lang w:val="en-GB"/>
        </w:rPr>
        <w:t>2.0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BB44BD">
        <w:rPr>
          <w:spacing w:val="-4"/>
          <w:shd w:val="clear" w:color="auto" w:fill="FFFFFF"/>
          <w:lang w:val="en-GB"/>
        </w:rPr>
        <w:t>78</w:t>
      </w:r>
      <w:r w:rsidR="00372328">
        <w:rPr>
          <w:spacing w:val="-4"/>
          <w:shd w:val="clear" w:color="auto" w:fill="FFFFFF"/>
          <w:lang w:val="en-GB"/>
        </w:rPr>
        <w:t>.</w:t>
      </w:r>
      <w:r w:rsidR="00BB44BD">
        <w:rPr>
          <w:spacing w:val="-4"/>
          <w:shd w:val="clear" w:color="auto" w:fill="FFFFFF"/>
          <w:lang w:val="en-GB"/>
        </w:rPr>
        <w:t>6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BB44BD">
        <w:rPr>
          <w:spacing w:val="-4"/>
          <w:shd w:val="clear" w:color="auto" w:fill="FFFFFF"/>
          <w:lang w:val="en-GB"/>
        </w:rPr>
        <w:t>18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BB44BD">
        <w:rPr>
          <w:spacing w:val="-4"/>
          <w:shd w:val="clear" w:color="auto" w:fill="FFFFFF"/>
          <w:lang w:val="en-GB"/>
        </w:rPr>
        <w:t>8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BB44BD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BB44BD">
        <w:rPr>
          <w:spacing w:val="-4"/>
          <w:shd w:val="clear" w:color="auto" w:fill="FFFFFF"/>
          <w:lang w:val="en-GB"/>
        </w:rPr>
        <w:t>0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BB44BD">
        <w:rPr>
          <w:spacing w:val="-4"/>
          <w:shd w:val="clear" w:color="auto" w:fill="FFFFFF"/>
          <w:lang w:val="en-GB"/>
        </w:rPr>
        <w:t>4</w:t>
      </w:r>
      <w:r w:rsidR="003244EC">
        <w:rPr>
          <w:spacing w:val="-4"/>
          <w:shd w:val="clear" w:color="auto" w:fill="FFFFFF"/>
          <w:lang w:val="en-GB"/>
        </w:rPr>
        <w:t> </w:t>
      </w:r>
      <w:r w:rsidR="00BB44BD" w:rsidRPr="00BB44BD">
        <w:rPr>
          <w:spacing w:val="-4"/>
          <w:shd w:val="clear" w:color="auto" w:fill="FFFFFF"/>
          <w:lang w:val="en-GB"/>
        </w:rPr>
        <w:t>187 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3244EC">
        <w:rPr>
          <w:spacing w:val="-4"/>
          <w:shd w:val="clear" w:color="auto" w:fill="FFFFFF"/>
          <w:lang w:val="en-GB"/>
        </w:rPr>
        <w:t>3</w:t>
      </w:r>
      <w:r w:rsidR="00AD3F9F">
        <w:rPr>
          <w:spacing w:val="-4"/>
          <w:shd w:val="clear" w:color="auto" w:fill="FFFFFF"/>
          <w:lang w:val="en-GB"/>
        </w:rPr>
        <w:t xml:space="preserve"> </w:t>
      </w:r>
      <w:r w:rsidR="00BB44BD" w:rsidRPr="00BB44BD">
        <w:rPr>
          <w:spacing w:val="-4"/>
          <w:shd w:val="clear" w:color="auto" w:fill="FFFFFF"/>
          <w:lang w:val="en-GB"/>
        </w:rPr>
        <w:t xml:space="preserve">580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27DFD0EC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B416AE">
        <w:rPr>
          <w:shd w:val="clear" w:color="auto" w:fill="FFFFFF"/>
          <w:lang w:val="en-GB"/>
        </w:rPr>
        <w:t>November</w:t>
      </w:r>
      <w:r w:rsidR="00365663">
        <w:rPr>
          <w:shd w:val="clear" w:color="auto" w:fill="FFFFFF"/>
          <w:lang w:val="en-GB"/>
        </w:rPr>
        <w:t xml:space="preserve"> 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BB44BD">
        <w:rPr>
          <w:shd w:val="clear" w:color="auto" w:fill="FFFFFF"/>
          <w:lang w:val="en-GB"/>
        </w:rPr>
        <w:t>19</w:t>
      </w:r>
      <w:r w:rsidR="00837231" w:rsidRPr="004829B9">
        <w:rPr>
          <w:shd w:val="clear" w:color="auto" w:fill="FFFFFF"/>
          <w:lang w:val="en-GB"/>
        </w:rPr>
        <w:t>.</w:t>
      </w:r>
      <w:r w:rsidR="00BB44BD">
        <w:rPr>
          <w:shd w:val="clear" w:color="auto" w:fill="FFFFFF"/>
          <w:lang w:val="en-GB"/>
        </w:rPr>
        <w:t>3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BB44BD">
        <w:rPr>
          <w:shd w:val="clear" w:color="auto" w:fill="FFFFFF"/>
          <w:lang w:val="en-GB"/>
        </w:rPr>
        <w:t>10</w:t>
      </w:r>
      <w:r w:rsidR="00837231" w:rsidRPr="004829B9">
        <w:rPr>
          <w:shd w:val="clear" w:color="auto" w:fill="FFFFFF"/>
          <w:lang w:val="en-GB"/>
        </w:rPr>
        <w:t>.</w:t>
      </w:r>
      <w:r w:rsidR="00BB44BD">
        <w:rPr>
          <w:shd w:val="clear" w:color="auto" w:fill="FFFFFF"/>
          <w:lang w:val="en-GB"/>
        </w:rPr>
        <w:t>3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BB44BD">
        <w:rPr>
          <w:shd w:val="clear" w:color="auto" w:fill="FFFFFF"/>
          <w:lang w:val="en-GB"/>
        </w:rPr>
        <w:t>92</w:t>
      </w:r>
      <w:r w:rsidR="005D25AB" w:rsidRPr="004829B9">
        <w:rPr>
          <w:shd w:val="clear" w:color="auto" w:fill="FFFFFF"/>
          <w:lang w:val="en-GB"/>
        </w:rPr>
        <w:t>.</w:t>
      </w:r>
      <w:r w:rsidR="00BB44BD">
        <w:rPr>
          <w:shd w:val="clear" w:color="auto" w:fill="FFFFFF"/>
          <w:lang w:val="en-GB"/>
        </w:rPr>
        <w:t>8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679F1787" w14:textId="77777777" w:rsidR="00B64363" w:rsidRPr="004829B9" w:rsidRDefault="00B64363" w:rsidP="00896EB9">
      <w:pPr>
        <w:rPr>
          <w:shd w:val="clear" w:color="auto" w:fill="FFFFFF"/>
          <w:lang w:val="en-GB"/>
        </w:rPr>
      </w:pP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134"/>
        <w:gridCol w:w="1276"/>
      </w:tblGrid>
      <w:tr w:rsidR="00B64363" w:rsidRPr="003C2145" w14:paraId="3D74A51D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6DA6E46E" w14:textId="0739132C" w:rsidR="00B64363" w:rsidRPr="003C214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6964227" w14:textId="77777777" w:rsidR="00B64363" w:rsidRPr="003C2145" w:rsidRDefault="00B64363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363" w:rsidRPr="003C2145" w14:paraId="0D3C2463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EEF264C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79D0680" w14:textId="2222DBE4" w:rsidR="00B64363" w:rsidRPr="003C2145" w:rsidRDefault="00B64363" w:rsidP="00574E89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717E8B">
              <w:rPr>
                <w:color w:val="000000" w:themeColor="text1"/>
                <w:sz w:val="16"/>
                <w:szCs w:val="16"/>
              </w:rPr>
              <w:t>X</w:t>
            </w:r>
            <w:r w:rsidR="00BD32C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5E0F54FC" w14:textId="7A76E83C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17E8B">
              <w:rPr>
                <w:color w:val="000000" w:themeColor="text1"/>
                <w:sz w:val="16"/>
                <w:szCs w:val="16"/>
              </w:rPr>
              <w:t>X</w:t>
            </w:r>
            <w:r w:rsidR="00BD32C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64363" w:rsidRPr="003C2145" w14:paraId="451F7C87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4C9F76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8E663B" w14:textId="5818BE0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EF4C2A5" w14:textId="2E5A8535" w:rsidR="00B64363" w:rsidRPr="003C2145" w:rsidRDefault="00717E8B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BD32C8">
              <w:rPr>
                <w:color w:val="000000" w:themeColor="text1"/>
                <w:sz w:val="16"/>
                <w:szCs w:val="16"/>
              </w:rPr>
              <w:t>I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4EDC0C48" w14:textId="61B511C0" w:rsidR="00B64363" w:rsidRPr="003C2145" w:rsidRDefault="0050543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21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AD005EA" w14:textId="1EC2AB0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97FC117" w14:textId="3EB83ECE" w:rsidR="00B64363" w:rsidRPr="003C2145" w:rsidRDefault="005744C0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A58F4">
              <w:rPr>
                <w:color w:val="000000" w:themeColor="text1"/>
                <w:sz w:val="16"/>
                <w:szCs w:val="16"/>
              </w:rPr>
              <w:t>X</w:t>
            </w:r>
            <w:r w:rsidR="00BD32C8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20</w:t>
            </w:r>
            <w:r w:rsidR="00B64363">
              <w:rPr>
                <w:color w:val="000000" w:themeColor="text1"/>
                <w:sz w:val="16"/>
                <w:szCs w:val="16"/>
              </w:rPr>
              <w:t>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D32C8" w:rsidRPr="003C2145" w14:paraId="77C682AA" w14:textId="77777777" w:rsidTr="00247F9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3F91378" w14:textId="10364BB0" w:rsidR="00BD32C8" w:rsidRPr="003C2145" w:rsidRDefault="00BD32C8" w:rsidP="00BD32C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6CC6EC" w14:textId="2D84F7A8" w:rsidR="00BD32C8" w:rsidRPr="003C2145" w:rsidRDefault="00BD32C8" w:rsidP="00BD32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24 108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9182DE5" w14:textId="172B8D5F" w:rsidR="00BD32C8" w:rsidRPr="003C2145" w:rsidRDefault="00BD32C8" w:rsidP="00BD32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117.3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4FA55BB8" w14:textId="7B0BB66A" w:rsidR="00BD32C8" w:rsidRPr="003C2145" w:rsidRDefault="00BD32C8" w:rsidP="00BD32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120.7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15BC7E29" w14:textId="73C8CC2F" w:rsidR="00BD32C8" w:rsidRPr="003C2145" w:rsidRDefault="00BD32C8" w:rsidP="00BD32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208 365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B4095FA" w14:textId="3DC4C215" w:rsidR="00BD32C8" w:rsidRPr="003C2145" w:rsidRDefault="00BD32C8" w:rsidP="00BD32C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105.3</w:t>
            </w:r>
          </w:p>
        </w:tc>
      </w:tr>
      <w:tr w:rsidR="00BD32C8" w:rsidRPr="003C2145" w14:paraId="1D40C008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58FB4DD" w14:textId="085A529E" w:rsidR="00BD32C8" w:rsidRPr="003C214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51A3490" w14:textId="21CFD537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7 558</w:t>
            </w:r>
          </w:p>
        </w:tc>
        <w:tc>
          <w:tcPr>
            <w:tcW w:w="1206" w:type="dxa"/>
            <w:vAlign w:val="center"/>
          </w:tcPr>
          <w:p w14:paraId="195F4D95" w14:textId="00A32DDC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116.7</w:t>
            </w:r>
          </w:p>
        </w:tc>
        <w:tc>
          <w:tcPr>
            <w:tcW w:w="1209" w:type="dxa"/>
            <w:vAlign w:val="center"/>
          </w:tcPr>
          <w:p w14:paraId="78301BBA" w14:textId="485DA7E6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102.7</w:t>
            </w:r>
          </w:p>
        </w:tc>
        <w:tc>
          <w:tcPr>
            <w:tcW w:w="1134" w:type="dxa"/>
          </w:tcPr>
          <w:p w14:paraId="68A49D2A" w14:textId="09093478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78 574</w:t>
            </w:r>
          </w:p>
        </w:tc>
        <w:tc>
          <w:tcPr>
            <w:tcW w:w="1276" w:type="dxa"/>
            <w:vAlign w:val="center"/>
          </w:tcPr>
          <w:p w14:paraId="0E2E31FF" w14:textId="4EC4162E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118.8</w:t>
            </w:r>
          </w:p>
        </w:tc>
      </w:tr>
      <w:tr w:rsidR="00BD32C8" w:rsidRPr="003C2145" w14:paraId="508A87A2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5813B5D1" w14:textId="48E027A2" w:rsidR="00BD32C8" w:rsidRPr="003C214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0732F4A3" w14:textId="10129AC5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16 197</w:t>
            </w:r>
          </w:p>
        </w:tc>
        <w:tc>
          <w:tcPr>
            <w:tcW w:w="1206" w:type="dxa"/>
            <w:vAlign w:val="center"/>
          </w:tcPr>
          <w:p w14:paraId="48DFBF4C" w14:textId="4D1C1259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118.7</w:t>
            </w:r>
          </w:p>
        </w:tc>
        <w:tc>
          <w:tcPr>
            <w:tcW w:w="1209" w:type="dxa"/>
            <w:vAlign w:val="center"/>
          </w:tcPr>
          <w:p w14:paraId="4ABA9549" w14:textId="12F6FFE8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133.8</w:t>
            </w:r>
          </w:p>
        </w:tc>
        <w:tc>
          <w:tcPr>
            <w:tcW w:w="1134" w:type="dxa"/>
            <w:vAlign w:val="center"/>
          </w:tcPr>
          <w:p w14:paraId="72FDE0B7" w14:textId="39265DBC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125 604</w:t>
            </w:r>
          </w:p>
        </w:tc>
        <w:tc>
          <w:tcPr>
            <w:tcW w:w="1276" w:type="dxa"/>
            <w:vAlign w:val="center"/>
          </w:tcPr>
          <w:p w14:paraId="10A2CC76" w14:textId="68C31BB7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98.0</w:t>
            </w:r>
          </w:p>
        </w:tc>
      </w:tr>
      <w:tr w:rsidR="00BD32C8" w:rsidRPr="003C2145" w14:paraId="58824C75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6D82379A" w14:textId="48F6CDEB" w:rsidR="00BD32C8" w:rsidRPr="003C214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14:paraId="379C0269" w14:textId="348BB5EC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206" w:type="dxa"/>
            <w:vAlign w:val="center"/>
          </w:tcPr>
          <w:p w14:paraId="77154C89" w14:textId="0ABE781B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1209" w:type="dxa"/>
            <w:vAlign w:val="center"/>
          </w:tcPr>
          <w:p w14:paraId="07260E2C" w14:textId="0668B479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202.5</w:t>
            </w:r>
          </w:p>
        </w:tc>
        <w:tc>
          <w:tcPr>
            <w:tcW w:w="1134" w:type="dxa"/>
            <w:vAlign w:val="center"/>
          </w:tcPr>
          <w:p w14:paraId="59FA5EC3" w14:textId="7C00F02F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1 860</w:t>
            </w:r>
          </w:p>
        </w:tc>
        <w:tc>
          <w:tcPr>
            <w:tcW w:w="1276" w:type="dxa"/>
            <w:vAlign w:val="center"/>
          </w:tcPr>
          <w:p w14:paraId="75124231" w14:textId="68AA4981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144.5</w:t>
            </w:r>
          </w:p>
        </w:tc>
      </w:tr>
      <w:tr w:rsidR="00BD32C8" w:rsidRPr="003C2145" w14:paraId="2288CE1E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9BC0BAF" w14:textId="12E2EC41" w:rsidR="00BD32C8" w:rsidRPr="003C2145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18F09E" w14:textId="171DC442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206" w:type="dxa"/>
            <w:vAlign w:val="center"/>
          </w:tcPr>
          <w:p w14:paraId="7DD3D881" w14:textId="018BEA21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86.3</w:t>
            </w:r>
          </w:p>
        </w:tc>
        <w:tc>
          <w:tcPr>
            <w:tcW w:w="1209" w:type="dxa"/>
            <w:vAlign w:val="center"/>
          </w:tcPr>
          <w:p w14:paraId="4325B769" w14:textId="27AF6407" w:rsidR="00BD32C8" w:rsidRPr="003C214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1134" w:type="dxa"/>
            <w:vAlign w:val="center"/>
          </w:tcPr>
          <w:p w14:paraId="18FA1C60" w14:textId="4AEA0048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1 833</w:t>
            </w:r>
          </w:p>
        </w:tc>
        <w:tc>
          <w:tcPr>
            <w:tcW w:w="1276" w:type="dxa"/>
            <w:vAlign w:val="center"/>
          </w:tcPr>
          <w:p w14:paraId="4E1F5190" w14:textId="1D162618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144.9</w:t>
            </w:r>
          </w:p>
        </w:tc>
      </w:tr>
      <w:tr w:rsidR="00BD32C8" w:rsidRPr="003C2145" w14:paraId="3F448AE5" w14:textId="77777777" w:rsidTr="00152A93">
        <w:trPr>
          <w:trHeight w:val="308"/>
        </w:trPr>
        <w:tc>
          <w:tcPr>
            <w:tcW w:w="2049" w:type="dxa"/>
            <w:vAlign w:val="center"/>
          </w:tcPr>
          <w:p w14:paraId="75580F57" w14:textId="38954F52" w:rsidR="00BD32C8" w:rsidRPr="003C214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4E517085" w14:textId="3FE1E6CF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206" w:type="dxa"/>
            <w:vAlign w:val="center"/>
          </w:tcPr>
          <w:p w14:paraId="25567828" w14:textId="2615A3C1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221.6</w:t>
            </w:r>
          </w:p>
        </w:tc>
        <w:tc>
          <w:tcPr>
            <w:tcW w:w="1209" w:type="dxa"/>
            <w:vAlign w:val="center"/>
          </w:tcPr>
          <w:p w14:paraId="014C6835" w14:textId="3D9F7843" w:rsidR="00BD32C8" w:rsidRPr="003C214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48.8</w:t>
            </w:r>
          </w:p>
        </w:tc>
        <w:tc>
          <w:tcPr>
            <w:tcW w:w="1134" w:type="dxa"/>
          </w:tcPr>
          <w:p w14:paraId="6B466C47" w14:textId="215317AF" w:rsidR="00BD32C8" w:rsidRPr="00BC3F0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1 226</w:t>
            </w:r>
          </w:p>
        </w:tc>
        <w:tc>
          <w:tcPr>
            <w:tcW w:w="1276" w:type="dxa"/>
            <w:vAlign w:val="center"/>
          </w:tcPr>
          <w:p w14:paraId="07B4D463" w14:textId="6865E30E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132.0</w:t>
            </w:r>
          </w:p>
        </w:tc>
      </w:tr>
      <w:tr w:rsidR="00BD32C8" w:rsidRPr="003C2145" w14:paraId="0BA0AF5E" w14:textId="77777777" w:rsidTr="00E71068">
        <w:trPr>
          <w:trHeight w:val="220"/>
        </w:trPr>
        <w:tc>
          <w:tcPr>
            <w:tcW w:w="2049" w:type="dxa"/>
            <w:vAlign w:val="center"/>
          </w:tcPr>
          <w:p w14:paraId="43913E1F" w14:textId="45BC4A8B" w:rsidR="00BD32C8" w:rsidRPr="003C214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3608F751" w14:textId="5E0F541D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206" w:type="dxa"/>
            <w:vAlign w:val="center"/>
          </w:tcPr>
          <w:p w14:paraId="11049FEB" w14:textId="24D6E907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1209" w:type="dxa"/>
            <w:vAlign w:val="center"/>
          </w:tcPr>
          <w:p w14:paraId="7977A467" w14:textId="6B613942" w:rsidR="00BD32C8" w:rsidRPr="003C2145" w:rsidRDefault="00BD32C8" w:rsidP="006B2C7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  <w:r w:rsidR="006B2C7B">
              <w:rPr>
                <w:rFonts w:cs="Arial"/>
                <w:sz w:val="16"/>
                <w:szCs w:val="16"/>
              </w:rPr>
              <w:t>5-</w:t>
            </w: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</w:tcPr>
          <w:p w14:paraId="7DEAFFCC" w14:textId="57DDDF89" w:rsidR="00BD32C8" w:rsidRPr="001646C4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1 050</w:t>
            </w:r>
          </w:p>
        </w:tc>
        <w:tc>
          <w:tcPr>
            <w:tcW w:w="1276" w:type="dxa"/>
            <w:vAlign w:val="center"/>
          </w:tcPr>
          <w:p w14:paraId="3B642308" w14:textId="378D5ED6" w:rsidR="00BD32C8" w:rsidRPr="001646C4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77.2</w:t>
            </w:r>
          </w:p>
        </w:tc>
      </w:tr>
      <w:tr w:rsidR="00BD32C8" w:rsidRPr="003C2145" w14:paraId="0EA6F2E3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2E746B3D" w14:textId="3505B440" w:rsidR="00BD32C8" w:rsidRPr="003C214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4342BE94" w14:textId="42A974F8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72960F2D" w14:textId="677AC21D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01D12245" w14:textId="1F7C0CDB" w:rsidR="00BD32C8" w:rsidRPr="003C214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F1C5A5A" w14:textId="7F90D12D" w:rsidR="00BD32C8" w:rsidRPr="003C2145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276" w:type="dxa"/>
            <w:vAlign w:val="center"/>
          </w:tcPr>
          <w:p w14:paraId="0DC30BC3" w14:textId="427F2107" w:rsidR="00BD32C8" w:rsidRPr="003C2145" w:rsidRDefault="00BD32C8" w:rsidP="00BD32C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300.0</w:t>
            </w:r>
          </w:p>
        </w:tc>
      </w:tr>
      <w:bookmarkEnd w:id="0"/>
    </w:tbl>
    <w:p w14:paraId="4C4EBE85" w14:textId="7BD13EA5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6E432B7F" w14:textId="77777777" w:rsidR="007C58D3" w:rsidRDefault="007C58D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55D46D0" w14:textId="77777777" w:rsidR="00717E8B" w:rsidRDefault="00717E8B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3DD2FBFC" w14:textId="77777777" w:rsidR="00E71068" w:rsidRDefault="00E7106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>Dwellings for which permits have been granted or which have been registered wit</w:t>
      </w:r>
      <w:bookmarkStart w:id="1" w:name="_GoBack"/>
      <w:bookmarkEnd w:id="1"/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20874F6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4664CADF">
                <wp:simplePos x="0" y="0"/>
                <wp:positionH relativeFrom="rightMargin">
                  <wp:posOffset>89535</wp:posOffset>
                </wp:positionH>
                <wp:positionV relativeFrom="paragraph">
                  <wp:posOffset>6516</wp:posOffset>
                </wp:positionV>
                <wp:extent cx="179699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4AD888FF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0D0D69">
                              <w:rPr>
                                <w:lang w:val="en-US"/>
                              </w:rPr>
                              <w:t xml:space="preserve">in the period </w:t>
                            </w:r>
                            <w:r w:rsidR="005744C0">
                              <w:rPr>
                                <w:lang w:val="en-US"/>
                              </w:rPr>
                              <w:t>of I-</w:t>
                            </w:r>
                            <w:r w:rsidR="008A130C">
                              <w:rPr>
                                <w:lang w:val="en-US"/>
                              </w:rPr>
                              <w:t>X</w:t>
                            </w:r>
                            <w:r w:rsidR="00BB44BD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BB44BD">
                              <w:rPr>
                                <w:lang w:val="en-US"/>
                              </w:rPr>
                              <w:t>27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BB44BD">
                              <w:rPr>
                                <w:lang w:val="en-US"/>
                              </w:rPr>
                              <w:t>5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5D6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7.05pt;margin-top:.5pt;width:141.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" filled="f" stroked="f" strokeweight=".5pt">
                <v:textbox>
                  <w:txbxContent>
                    <w:p w14:paraId="35DCCB4E" w14:textId="4AD888FF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0D0D69">
                        <w:rPr>
                          <w:lang w:val="en-US"/>
                        </w:rPr>
                        <w:t xml:space="preserve">in the period </w:t>
                      </w:r>
                      <w:r w:rsidR="005744C0">
                        <w:rPr>
                          <w:lang w:val="en-US"/>
                        </w:rPr>
                        <w:t>of I-</w:t>
                      </w:r>
                      <w:r w:rsidR="008A130C">
                        <w:rPr>
                          <w:lang w:val="en-US"/>
                        </w:rPr>
                        <w:t>X</w:t>
                      </w:r>
                      <w:r w:rsidR="00BB44BD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BB44BD">
                        <w:rPr>
                          <w:lang w:val="en-US"/>
                        </w:rPr>
                        <w:t>27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BB44BD">
                        <w:rPr>
                          <w:lang w:val="en-US"/>
                        </w:rPr>
                        <w:t>5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A9A">
        <w:rPr>
          <w:noProof/>
          <w:lang w:val="en-GB" w:eastAsia="pl-PL"/>
        </w:rPr>
        <w:t xml:space="preserve">From the beginning of the year </w:t>
      </w:r>
      <w:r w:rsidR="005702F8">
        <w:rPr>
          <w:noProof/>
          <w:lang w:val="en-GB" w:eastAsia="pl-PL"/>
        </w:rPr>
        <w:t>until the end of</w:t>
      </w:r>
      <w:r w:rsidR="004A3A9A">
        <w:rPr>
          <w:noProof/>
          <w:lang w:val="en-GB" w:eastAsia="pl-PL"/>
        </w:rPr>
        <w:t xml:space="preserve"> </w:t>
      </w:r>
      <w:r w:rsidR="00BB44BD">
        <w:rPr>
          <w:noProof/>
          <w:lang w:val="en-GB" w:eastAsia="pl-PL"/>
        </w:rPr>
        <w:t>November</w:t>
      </w:r>
      <w:r w:rsidR="004A3A9A">
        <w:rPr>
          <w:noProof/>
          <w:lang w:val="en-GB" w:eastAsia="pl-PL"/>
        </w:rPr>
        <w:t xml:space="preserve"> 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BB44BD">
        <w:rPr>
          <w:shd w:val="clear" w:color="auto" w:fill="FFFFFF"/>
          <w:lang w:val="en-GB"/>
        </w:rPr>
        <w:t>307</w:t>
      </w:r>
      <w:r w:rsidR="00DE7DD4">
        <w:rPr>
          <w:shd w:val="clear" w:color="auto" w:fill="FFFFFF"/>
          <w:lang w:val="en-GB"/>
        </w:rPr>
        <w:t>.</w:t>
      </w:r>
      <w:r w:rsidR="00BB44BD">
        <w:rPr>
          <w:shd w:val="clear" w:color="auto" w:fill="FFFFFF"/>
          <w:lang w:val="en-GB"/>
        </w:rPr>
        <w:t>9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5415DA">
        <w:rPr>
          <w:shd w:val="clear" w:color="auto" w:fill="FFFFFF"/>
          <w:lang w:val="en-GB"/>
        </w:rPr>
        <w:t>2</w:t>
      </w:r>
      <w:r w:rsidR="00BB44BD">
        <w:rPr>
          <w:shd w:val="clear" w:color="auto" w:fill="FFFFFF"/>
          <w:lang w:val="en-GB"/>
        </w:rPr>
        <w:t>7</w:t>
      </w:r>
      <w:r w:rsidR="00E245E1" w:rsidRPr="004829B9">
        <w:rPr>
          <w:shd w:val="clear" w:color="auto" w:fill="FFFFFF"/>
          <w:lang w:val="en-GB"/>
        </w:rPr>
        <w:t>.</w:t>
      </w:r>
      <w:r w:rsidR="00BB44BD">
        <w:rPr>
          <w:shd w:val="clear" w:color="auto" w:fill="FFFFFF"/>
          <w:lang w:val="en-GB"/>
        </w:rPr>
        <w:t>5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BB44BD">
        <w:rPr>
          <w:shd w:val="clear" w:color="auto" w:fill="FFFFFF"/>
          <w:lang w:val="en-GB"/>
        </w:rPr>
        <w:t>189</w:t>
      </w:r>
      <w:r w:rsidR="00DE7DD4">
        <w:rPr>
          <w:shd w:val="clear" w:color="auto" w:fill="FFFFFF"/>
          <w:lang w:val="en-GB"/>
        </w:rPr>
        <w:t>.</w:t>
      </w:r>
      <w:r w:rsidR="00BB44BD">
        <w:rPr>
          <w:shd w:val="clear" w:color="auto" w:fill="FFFFFF"/>
          <w:lang w:val="en-GB"/>
        </w:rPr>
        <w:t>5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BB44BD">
        <w:rPr>
          <w:shd w:val="clear" w:color="auto" w:fill="FFFFFF"/>
          <w:lang w:val="en-GB"/>
        </w:rPr>
        <w:t xml:space="preserve"> increase of 29.2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BB44BD">
        <w:rPr>
          <w:shd w:val="clear" w:color="auto" w:fill="FFFFFF"/>
          <w:lang w:val="en-GB"/>
        </w:rPr>
        <w:t>114</w:t>
      </w:r>
      <w:r w:rsidR="00DE7DD4">
        <w:rPr>
          <w:shd w:val="clear" w:color="auto" w:fill="FFFFFF"/>
          <w:lang w:val="en-GB"/>
        </w:rPr>
        <w:t>.</w:t>
      </w:r>
      <w:r w:rsidR="00BB44BD">
        <w:rPr>
          <w:shd w:val="clear" w:color="auto" w:fill="FFFFFF"/>
          <w:lang w:val="en-GB"/>
        </w:rPr>
        <w:t>9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BB44BD">
        <w:rPr>
          <w:shd w:val="clear" w:color="auto" w:fill="FFFFFF"/>
          <w:lang w:val="en-GB"/>
        </w:rPr>
        <w:t>, an increase of 24</w:t>
      </w:r>
      <w:r w:rsidR="005415DA">
        <w:rPr>
          <w:shd w:val="clear" w:color="auto" w:fill="FFFFFF"/>
          <w:lang w:val="en-GB"/>
        </w:rPr>
        <w:t>.6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93EA6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9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5415DA">
        <w:rPr>
          <w:spacing w:val="-4"/>
          <w:shd w:val="clear" w:color="auto" w:fill="FFFFFF"/>
          <w:lang w:val="en-GB"/>
        </w:rPr>
        <w:t>3</w:t>
      </w:r>
      <w:r w:rsidR="00303D96">
        <w:rPr>
          <w:spacing w:val="-4"/>
          <w:shd w:val="clear" w:color="auto" w:fill="FFFFFF"/>
          <w:lang w:val="en-GB"/>
        </w:rPr>
        <w:t xml:space="preserve"> </w:t>
      </w:r>
      <w:r w:rsidR="00BB44BD" w:rsidRPr="00BB44BD">
        <w:rPr>
          <w:spacing w:val="-4"/>
          <w:shd w:val="clear" w:color="auto" w:fill="FFFFFF"/>
          <w:lang w:val="en-GB"/>
        </w:rPr>
        <w:t xml:space="preserve">492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6E35EE">
        <w:rPr>
          <w:shd w:val="clear" w:color="auto" w:fill="FFFFFF"/>
          <w:lang w:val="en-GB"/>
        </w:rPr>
        <w:t xml:space="preserve">2 </w:t>
      </w:r>
      <w:r w:rsidR="00BB44BD" w:rsidRPr="00BB44BD">
        <w:rPr>
          <w:shd w:val="clear" w:color="auto" w:fill="FFFFFF"/>
          <w:lang w:val="en-GB"/>
        </w:rPr>
        <w:t xml:space="preserve">642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9742AF" w:rsidRPr="004075A5" w14:paraId="652EDD20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A568A9" w14:textId="2D9D8E34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76ACFB3A" w14:textId="77777777" w:rsidR="009742AF" w:rsidRPr="004075A5" w:rsidRDefault="009742AF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4075A5" w14:paraId="407E8CA0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F49B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DE5D24B" w14:textId="0BDE7AFC" w:rsidR="009742AF" w:rsidRPr="004075A5" w:rsidRDefault="00774785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6B2C7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74C18E57" w14:textId="7120DF80" w:rsidR="009742AF" w:rsidRPr="004075A5" w:rsidRDefault="009742A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X</w:t>
            </w:r>
            <w:r w:rsidR="006B2C7B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4075A5" w14:paraId="34D84E6E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BB0D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45D542" w14:textId="018F2B6C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31348A1" w14:textId="152B160F" w:rsidR="009742AF" w:rsidRPr="004075A5" w:rsidRDefault="00774785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6B2C7B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5D60182" w14:textId="30F9E7EF" w:rsidR="009742AF" w:rsidRPr="004075A5" w:rsidRDefault="005415DA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04BAD5" w14:textId="3C487BCE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68058B7" w14:textId="7E439549" w:rsidR="009742AF" w:rsidRPr="004075A5" w:rsidRDefault="005744C0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X</w:t>
            </w:r>
            <w:r w:rsidR="006B2C7B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D32C8" w:rsidRPr="004075A5" w14:paraId="363C5E69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945A5CE" w14:textId="0F3C1913" w:rsidR="00BD32C8" w:rsidRPr="004075A5" w:rsidRDefault="00BD32C8" w:rsidP="00BD32C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FF6B37E" w14:textId="14169D37" w:rsidR="00BD32C8" w:rsidRPr="004075A5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23 904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2650B294" w14:textId="3A798B44" w:rsidR="00BD32C8" w:rsidRPr="004075A5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107.8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0DFAE63" w14:textId="73B3F526" w:rsidR="00BD32C8" w:rsidRPr="004075A5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83.2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031BE8B" w14:textId="46FE4A21" w:rsidR="00BD32C8" w:rsidRPr="004075A5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307 864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F67A547" w14:textId="41B4F6EE" w:rsidR="00BD32C8" w:rsidRPr="004075A5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127.5</w:t>
            </w:r>
          </w:p>
        </w:tc>
      </w:tr>
      <w:tr w:rsidR="00BD32C8" w:rsidRPr="005430E7" w14:paraId="5A60AF97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4FEBA86" w14:textId="3CBD3A6D" w:rsidR="00BD32C8" w:rsidRPr="004075A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7B4676B3" w14:textId="7BAB4C21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9 529</w:t>
            </w:r>
          </w:p>
        </w:tc>
        <w:tc>
          <w:tcPr>
            <w:tcW w:w="1281" w:type="dxa"/>
            <w:vAlign w:val="center"/>
          </w:tcPr>
          <w:p w14:paraId="5944B0EE" w14:textId="34DBEFC5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117.9</w:t>
            </w:r>
          </w:p>
        </w:tc>
        <w:tc>
          <w:tcPr>
            <w:tcW w:w="1134" w:type="dxa"/>
            <w:vAlign w:val="center"/>
          </w:tcPr>
          <w:p w14:paraId="3B4476B3" w14:textId="35B82DC0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83.9</w:t>
            </w:r>
          </w:p>
        </w:tc>
        <w:tc>
          <w:tcPr>
            <w:tcW w:w="1134" w:type="dxa"/>
            <w:vAlign w:val="center"/>
          </w:tcPr>
          <w:p w14:paraId="4C8A7B81" w14:textId="3E252A80" w:rsidR="00BD32C8" w:rsidRPr="004075A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114 913</w:t>
            </w:r>
          </w:p>
        </w:tc>
        <w:tc>
          <w:tcPr>
            <w:tcW w:w="1276" w:type="dxa"/>
            <w:vAlign w:val="center"/>
          </w:tcPr>
          <w:p w14:paraId="77B0F2D4" w14:textId="6B006A43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124.6</w:t>
            </w:r>
          </w:p>
        </w:tc>
      </w:tr>
      <w:tr w:rsidR="00BD32C8" w:rsidRPr="005430E7" w14:paraId="253F359E" w14:textId="77777777" w:rsidTr="00574E89">
        <w:trPr>
          <w:trHeight w:val="381"/>
        </w:trPr>
        <w:tc>
          <w:tcPr>
            <w:tcW w:w="2049" w:type="dxa"/>
            <w:vAlign w:val="center"/>
          </w:tcPr>
          <w:p w14:paraId="4A3D285E" w14:textId="713098B9" w:rsidR="00BD32C8" w:rsidRPr="005430E7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2742894C" w14:textId="0235A279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14 162</w:t>
            </w:r>
          </w:p>
        </w:tc>
        <w:tc>
          <w:tcPr>
            <w:tcW w:w="1281" w:type="dxa"/>
            <w:vAlign w:val="center"/>
          </w:tcPr>
          <w:p w14:paraId="3E99F8B5" w14:textId="7138D9EE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1134" w:type="dxa"/>
            <w:vAlign w:val="center"/>
          </w:tcPr>
          <w:p w14:paraId="33E71843" w14:textId="60F2A78D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83.8</w:t>
            </w:r>
          </w:p>
        </w:tc>
        <w:tc>
          <w:tcPr>
            <w:tcW w:w="1134" w:type="dxa"/>
            <w:vAlign w:val="center"/>
          </w:tcPr>
          <w:p w14:paraId="439A9A61" w14:textId="5B635EFB" w:rsidR="00BD32C8" w:rsidRPr="005430E7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189 459</w:t>
            </w:r>
          </w:p>
        </w:tc>
        <w:tc>
          <w:tcPr>
            <w:tcW w:w="1276" w:type="dxa"/>
            <w:vAlign w:val="center"/>
          </w:tcPr>
          <w:p w14:paraId="1D21657D" w14:textId="42E56106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129.2</w:t>
            </w:r>
          </w:p>
        </w:tc>
      </w:tr>
      <w:tr w:rsidR="00BD32C8" w:rsidRPr="005430E7" w14:paraId="49CCABB5" w14:textId="77777777" w:rsidTr="00574E89">
        <w:trPr>
          <w:trHeight w:val="254"/>
        </w:trPr>
        <w:tc>
          <w:tcPr>
            <w:tcW w:w="2049" w:type="dxa"/>
            <w:vAlign w:val="center"/>
          </w:tcPr>
          <w:p w14:paraId="04F8B3A3" w14:textId="40A4038A" w:rsidR="00BD32C8" w:rsidRPr="005430E7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4102165" w14:textId="4DD950FE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281" w:type="dxa"/>
            <w:vAlign w:val="center"/>
          </w:tcPr>
          <w:p w14:paraId="09DE0DD7" w14:textId="4D96DE34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6C5A508" w14:textId="71BC7535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758F907" w14:textId="44077039" w:rsidR="00BD32C8" w:rsidRPr="005430E7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738</w:t>
            </w:r>
          </w:p>
        </w:tc>
        <w:tc>
          <w:tcPr>
            <w:tcW w:w="1276" w:type="dxa"/>
            <w:vAlign w:val="center"/>
          </w:tcPr>
          <w:p w14:paraId="3736BBBA" w14:textId="35BE6BF3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63.0</w:t>
            </w:r>
          </w:p>
        </w:tc>
      </w:tr>
      <w:tr w:rsidR="00BD32C8" w:rsidRPr="005430E7" w14:paraId="6AE47FC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BE41020" w14:textId="03705341" w:rsidR="00BD32C8" w:rsidRPr="005430E7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074B7F82" w14:textId="05E1B260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281" w:type="dxa"/>
            <w:vAlign w:val="center"/>
          </w:tcPr>
          <w:p w14:paraId="75710FA7" w14:textId="55787616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B416AE">
              <w:rPr>
                <w:rFonts w:cs="Arial"/>
                <w:sz w:val="16"/>
                <w:szCs w:val="16"/>
              </w:rPr>
              <w:t>almost 6</w:t>
            </w:r>
            <w:r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br/>
              <w:t>fold more</w:t>
            </w:r>
          </w:p>
        </w:tc>
        <w:tc>
          <w:tcPr>
            <w:tcW w:w="1134" w:type="dxa"/>
            <w:vAlign w:val="center"/>
          </w:tcPr>
          <w:p w14:paraId="0D727A2C" w14:textId="61762315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44.1</w:t>
            </w:r>
          </w:p>
        </w:tc>
        <w:tc>
          <w:tcPr>
            <w:tcW w:w="1134" w:type="dxa"/>
            <w:vAlign w:val="center"/>
          </w:tcPr>
          <w:p w14:paraId="7BC5B13D" w14:textId="45E7C352" w:rsidR="00BD32C8" w:rsidRPr="005430E7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899</w:t>
            </w:r>
          </w:p>
        </w:tc>
        <w:tc>
          <w:tcPr>
            <w:tcW w:w="1276" w:type="dxa"/>
            <w:vAlign w:val="center"/>
          </w:tcPr>
          <w:p w14:paraId="6A2D6765" w14:textId="65A4A931" w:rsidR="00BD32C8" w:rsidRPr="005430E7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131.0</w:t>
            </w:r>
          </w:p>
        </w:tc>
      </w:tr>
      <w:tr w:rsidR="00BD32C8" w:rsidRPr="004075A5" w14:paraId="3743047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B07F42D" w14:textId="55C2ED06" w:rsidR="00BD32C8" w:rsidRPr="004075A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5B2F4361" w14:textId="1D0A2169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1281" w:type="dxa"/>
            <w:vAlign w:val="center"/>
          </w:tcPr>
          <w:p w14:paraId="3F38C2B2" w14:textId="77AE481C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220.6</w:t>
            </w:r>
          </w:p>
        </w:tc>
        <w:tc>
          <w:tcPr>
            <w:tcW w:w="1134" w:type="dxa"/>
            <w:vAlign w:val="center"/>
          </w:tcPr>
          <w:p w14:paraId="7F91F410" w14:textId="2CC24FDA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48.4</w:t>
            </w:r>
          </w:p>
        </w:tc>
        <w:tc>
          <w:tcPr>
            <w:tcW w:w="1134" w:type="dxa"/>
            <w:vAlign w:val="center"/>
          </w:tcPr>
          <w:p w14:paraId="1D4CFC01" w14:textId="469ADEDF" w:rsidR="00BD32C8" w:rsidRPr="004075A5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</w:t>
            </w:r>
          </w:p>
        </w:tc>
        <w:tc>
          <w:tcPr>
            <w:tcW w:w="1276" w:type="dxa"/>
            <w:vAlign w:val="center"/>
          </w:tcPr>
          <w:p w14:paraId="2D6C854F" w14:textId="6C15E677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219.4</w:t>
            </w:r>
          </w:p>
        </w:tc>
      </w:tr>
      <w:tr w:rsidR="00BD32C8" w:rsidRPr="005537BF" w14:paraId="600577D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10EF7C3" w14:textId="0E998393" w:rsidR="00BD32C8" w:rsidRPr="004075A5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5643C5F6" w14:textId="4598E2B5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281" w:type="dxa"/>
            <w:vAlign w:val="center"/>
          </w:tcPr>
          <w:p w14:paraId="010E4B35" w14:textId="558BEBAA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416AE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1134" w:type="dxa"/>
            <w:vAlign w:val="center"/>
          </w:tcPr>
          <w:p w14:paraId="1C67E5C1" w14:textId="243ECC59" w:rsidR="00BD32C8" w:rsidRPr="004075A5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9- fold less</w:t>
            </w:r>
          </w:p>
        </w:tc>
        <w:tc>
          <w:tcPr>
            <w:tcW w:w="1134" w:type="dxa"/>
            <w:vAlign w:val="center"/>
          </w:tcPr>
          <w:p w14:paraId="58E5EB1D" w14:textId="06CBD637" w:rsidR="00BD32C8" w:rsidRPr="004075A5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276" w:type="dxa"/>
            <w:vAlign w:val="center"/>
          </w:tcPr>
          <w:p w14:paraId="0779A040" w14:textId="10620D39" w:rsidR="00BD32C8" w:rsidRPr="005537B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B416AE">
              <w:rPr>
                <w:rFonts w:cs="Arial"/>
                <w:sz w:val="16"/>
                <w:szCs w:val="16"/>
              </w:rPr>
              <w:t>almost 8-</w:t>
            </w:r>
            <w:r>
              <w:rPr>
                <w:rFonts w:cs="Arial"/>
                <w:sz w:val="16"/>
                <w:szCs w:val="16"/>
              </w:rPr>
              <w:br/>
              <w:t>fold more</w:t>
            </w:r>
          </w:p>
        </w:tc>
      </w:tr>
      <w:bookmarkEnd w:id="2"/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367B487C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BC3F05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0363D0">
        <w:rPr>
          <w:b w:val="0"/>
          <w:sz w:val="19"/>
          <w:szCs w:val="19"/>
          <w:shd w:val="clear" w:color="auto" w:fill="FFFFFF"/>
          <w:lang w:val="en-GB"/>
        </w:rPr>
        <w:t>period of January-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November</w:t>
      </w:r>
      <w:r w:rsidR="000363D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21ABB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260.1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25</w:t>
      </w:r>
      <w:r w:rsidR="0072016D">
        <w:rPr>
          <w:b w:val="0"/>
          <w:sz w:val="19"/>
          <w:szCs w:val="19"/>
          <w:shd w:val="clear" w:color="auto" w:fill="FFFFFF"/>
          <w:lang w:val="en-GB"/>
        </w:rPr>
        <w:t>.8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153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7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29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72016D">
        <w:rPr>
          <w:b w:val="0"/>
          <w:sz w:val="19"/>
          <w:szCs w:val="19"/>
          <w:shd w:val="clear" w:color="auto" w:fill="FFFFFF"/>
          <w:lang w:val="en-GB"/>
        </w:rPr>
        <w:t>8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101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4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(by 19.0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1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9C2B30">
        <w:rPr>
          <w:b w:val="0"/>
          <w:sz w:val="19"/>
          <w:szCs w:val="19"/>
          <w:shd w:val="clear" w:color="auto" w:fill="FFFFFF"/>
          <w:lang w:val="en-GB"/>
        </w:rPr>
        <w:t>4 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994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3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 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167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9742AF" w:rsidRDefault="00B4601E" w:rsidP="007207E6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134"/>
        <w:gridCol w:w="1134"/>
        <w:gridCol w:w="1276"/>
      </w:tblGrid>
      <w:tr w:rsidR="009742AF" w:rsidRPr="009742AF" w14:paraId="42B31331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7AD684F9" w14:textId="5A20F73E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2B8481C" w14:textId="77777777" w:rsidR="009742AF" w:rsidRPr="009742AF" w:rsidRDefault="009742AF" w:rsidP="009742A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9742AF" w14:paraId="21415E6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AF4216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32B26E1F" w14:textId="01C30D15" w:rsidR="009742AF" w:rsidRPr="009742AF" w:rsidRDefault="00774785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6B2C7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02375EED" w14:textId="32D97FF9" w:rsidR="009742AF" w:rsidRPr="009742AF" w:rsidRDefault="005744C0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X</w:t>
            </w:r>
            <w:r w:rsidR="006B2C7B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9742AF" w14:paraId="20FBE1E6" w14:textId="77777777" w:rsidTr="00303D9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3CF40A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20F03018" w14:textId="40DE832C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71D200" w14:textId="5D0F46C7" w:rsidR="009742AF" w:rsidRPr="009742AF" w:rsidRDefault="00774785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6B2C7B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921633" w14:textId="2E1B3089" w:rsidR="009742AF" w:rsidRPr="009742AF" w:rsidRDefault="000363D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56A9851" w14:textId="1E7E7DE8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5622396" w14:textId="0102D8E2" w:rsidR="009742AF" w:rsidRPr="009742AF" w:rsidRDefault="005744C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X</w:t>
            </w:r>
            <w:r w:rsidR="006B2C7B">
              <w:rPr>
                <w:color w:val="000000" w:themeColor="text1"/>
                <w:sz w:val="16"/>
                <w:szCs w:val="16"/>
              </w:rPr>
              <w:t>I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BD32C8" w:rsidRPr="009742AF" w14:paraId="78BFCBE6" w14:textId="77777777" w:rsidTr="00303D9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15F511" w14:textId="7E144C87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37677614" w14:textId="6644015C" w:rsidR="00BD32C8" w:rsidRPr="009742AF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21 200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7299C22" w14:textId="1B534803" w:rsidR="00BD32C8" w:rsidRPr="009742AF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107.2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3257870A" w14:textId="19CF434D" w:rsidR="00BD32C8" w:rsidRPr="009742AF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94.1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2E4576F" w14:textId="61DD4F8C" w:rsidR="00BD32C8" w:rsidRPr="009742AF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260 061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CFB1E21" w14:textId="2B9A4D91" w:rsidR="00BD32C8" w:rsidRPr="009742AF" w:rsidRDefault="00BD32C8" w:rsidP="00BD32C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125.8</w:t>
            </w:r>
          </w:p>
        </w:tc>
      </w:tr>
      <w:tr w:rsidR="00BD32C8" w:rsidRPr="009742AF" w14:paraId="1AF51B79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70FE36C1" w14:textId="11A32CE6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12" w:type="dxa"/>
            <w:vAlign w:val="center"/>
          </w:tcPr>
          <w:p w14:paraId="63878239" w14:textId="67B83A6D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7 457</w:t>
            </w:r>
          </w:p>
        </w:tc>
        <w:tc>
          <w:tcPr>
            <w:tcW w:w="1275" w:type="dxa"/>
            <w:vAlign w:val="center"/>
          </w:tcPr>
          <w:p w14:paraId="609BA523" w14:textId="0AF663E7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114.6</w:t>
            </w:r>
          </w:p>
        </w:tc>
        <w:tc>
          <w:tcPr>
            <w:tcW w:w="1134" w:type="dxa"/>
            <w:vAlign w:val="center"/>
          </w:tcPr>
          <w:p w14:paraId="4E1B2726" w14:textId="52E49DA9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80.0</w:t>
            </w:r>
          </w:p>
        </w:tc>
        <w:tc>
          <w:tcPr>
            <w:tcW w:w="1134" w:type="dxa"/>
            <w:vAlign w:val="center"/>
          </w:tcPr>
          <w:p w14:paraId="02B9CB2E" w14:textId="357484AA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101 377</w:t>
            </w:r>
          </w:p>
        </w:tc>
        <w:tc>
          <w:tcPr>
            <w:tcW w:w="1276" w:type="dxa"/>
            <w:vAlign w:val="center"/>
          </w:tcPr>
          <w:p w14:paraId="2CB4462E" w14:textId="31F87A84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119.0</w:t>
            </w:r>
          </w:p>
        </w:tc>
      </w:tr>
      <w:tr w:rsidR="00BD32C8" w:rsidRPr="009742AF" w14:paraId="5438C4EC" w14:textId="77777777" w:rsidTr="00303D96">
        <w:trPr>
          <w:trHeight w:val="381"/>
        </w:trPr>
        <w:tc>
          <w:tcPr>
            <w:tcW w:w="2049" w:type="dxa"/>
            <w:vAlign w:val="center"/>
          </w:tcPr>
          <w:p w14:paraId="482BA362" w14:textId="1F4BF9AB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12" w:type="dxa"/>
            <w:vAlign w:val="center"/>
          </w:tcPr>
          <w:p w14:paraId="4D27C9CE" w14:textId="71031AF3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12 902</w:t>
            </w:r>
          </w:p>
        </w:tc>
        <w:tc>
          <w:tcPr>
            <w:tcW w:w="1275" w:type="dxa"/>
            <w:vAlign w:val="center"/>
          </w:tcPr>
          <w:p w14:paraId="0A75D08F" w14:textId="627549FF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1134" w:type="dxa"/>
            <w:vAlign w:val="center"/>
          </w:tcPr>
          <w:p w14:paraId="64CEC6ED" w14:textId="2637E8DF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1134" w:type="dxa"/>
            <w:vAlign w:val="center"/>
          </w:tcPr>
          <w:p w14:paraId="6BB26F27" w14:textId="42084468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153 690</w:t>
            </w:r>
          </w:p>
        </w:tc>
        <w:tc>
          <w:tcPr>
            <w:tcW w:w="1276" w:type="dxa"/>
            <w:vAlign w:val="center"/>
          </w:tcPr>
          <w:p w14:paraId="375F0B14" w14:textId="7F7202CE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129.8</w:t>
            </w:r>
          </w:p>
        </w:tc>
      </w:tr>
      <w:tr w:rsidR="00BD32C8" w:rsidRPr="009742AF" w14:paraId="0C63BA5A" w14:textId="77777777" w:rsidTr="00303D96">
        <w:trPr>
          <w:trHeight w:val="265"/>
        </w:trPr>
        <w:tc>
          <w:tcPr>
            <w:tcW w:w="2049" w:type="dxa"/>
            <w:vAlign w:val="center"/>
          </w:tcPr>
          <w:p w14:paraId="20E77697" w14:textId="1AF9CEF1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12" w:type="dxa"/>
            <w:vAlign w:val="center"/>
          </w:tcPr>
          <w:p w14:paraId="6ABD4510" w14:textId="7C251129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561</w:t>
            </w:r>
          </w:p>
        </w:tc>
        <w:tc>
          <w:tcPr>
            <w:tcW w:w="1275" w:type="dxa"/>
            <w:vAlign w:val="center"/>
          </w:tcPr>
          <w:p w14:paraId="1840E882" w14:textId="77777777" w:rsidR="006B2C7B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11-</w:t>
            </w:r>
          </w:p>
          <w:p w14:paraId="7A0F5837" w14:textId="0D2493DA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  <w:vAlign w:val="center"/>
          </w:tcPr>
          <w:p w14:paraId="4F48D6C1" w14:textId="77777777" w:rsidR="006B2C7B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62-</w:t>
            </w:r>
          </w:p>
          <w:p w14:paraId="39B83B47" w14:textId="38638BAC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  <w:vAlign w:val="center"/>
          </w:tcPr>
          <w:p w14:paraId="6BC6F206" w14:textId="31B4A139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1 463</w:t>
            </w:r>
          </w:p>
        </w:tc>
        <w:tc>
          <w:tcPr>
            <w:tcW w:w="1276" w:type="dxa"/>
            <w:vAlign w:val="center"/>
          </w:tcPr>
          <w:p w14:paraId="4A3FCB36" w14:textId="386BF711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144.9</w:t>
            </w:r>
          </w:p>
        </w:tc>
      </w:tr>
      <w:tr w:rsidR="00BD32C8" w:rsidRPr="009742AF" w14:paraId="4D26EBDA" w14:textId="77777777" w:rsidTr="00303D96">
        <w:trPr>
          <w:trHeight w:val="254"/>
        </w:trPr>
        <w:tc>
          <w:tcPr>
            <w:tcW w:w="2049" w:type="dxa"/>
            <w:vAlign w:val="center"/>
          </w:tcPr>
          <w:p w14:paraId="68F0B91A" w14:textId="0C9794B6" w:rsidR="00BD32C8" w:rsidRPr="009742AF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12" w:type="dxa"/>
            <w:vAlign w:val="center"/>
          </w:tcPr>
          <w:p w14:paraId="75FA134D" w14:textId="216BD68B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358</w:t>
            </w:r>
          </w:p>
        </w:tc>
        <w:tc>
          <w:tcPr>
            <w:tcW w:w="1275" w:type="dxa"/>
            <w:vAlign w:val="center"/>
          </w:tcPr>
          <w:p w14:paraId="15C370A7" w14:textId="0F0F430E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5-</w:t>
            </w:r>
            <w:r>
              <w:rPr>
                <w:rFonts w:cs="Arial"/>
                <w:sz w:val="16"/>
                <w:szCs w:val="16"/>
              </w:rPr>
              <w:br/>
              <w:t>fold more</w:t>
            </w:r>
          </w:p>
        </w:tc>
        <w:tc>
          <w:tcPr>
            <w:tcW w:w="1134" w:type="dxa"/>
            <w:vAlign w:val="center"/>
          </w:tcPr>
          <w:p w14:paraId="05C57DEE" w14:textId="38D74066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47CBCFA" w14:textId="69030769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1 913</w:t>
            </w:r>
          </w:p>
        </w:tc>
        <w:tc>
          <w:tcPr>
            <w:tcW w:w="1276" w:type="dxa"/>
            <w:vAlign w:val="center"/>
          </w:tcPr>
          <w:p w14:paraId="406A680F" w14:textId="016E24B6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129.3</w:t>
            </w:r>
          </w:p>
        </w:tc>
      </w:tr>
      <w:tr w:rsidR="00BD32C8" w:rsidRPr="009742AF" w14:paraId="75797574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6932F351" w14:textId="210E2910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12" w:type="dxa"/>
            <w:vAlign w:val="center"/>
          </w:tcPr>
          <w:p w14:paraId="62AD648F" w14:textId="2247B2CB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182</w:t>
            </w:r>
          </w:p>
        </w:tc>
        <w:tc>
          <w:tcPr>
            <w:tcW w:w="1275" w:type="dxa"/>
            <w:vAlign w:val="center"/>
          </w:tcPr>
          <w:p w14:paraId="30F79EA3" w14:textId="7EB55AD9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7-</w:t>
            </w:r>
            <w:r>
              <w:rPr>
                <w:rFonts w:cs="Arial"/>
                <w:sz w:val="16"/>
                <w:szCs w:val="16"/>
              </w:rPr>
              <w:br/>
              <w:t>fold more</w:t>
            </w:r>
          </w:p>
        </w:tc>
        <w:tc>
          <w:tcPr>
            <w:tcW w:w="1134" w:type="dxa"/>
            <w:vAlign w:val="center"/>
          </w:tcPr>
          <w:p w14:paraId="226BB853" w14:textId="36E2D428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141.1</w:t>
            </w:r>
          </w:p>
        </w:tc>
        <w:tc>
          <w:tcPr>
            <w:tcW w:w="1134" w:type="dxa"/>
            <w:vAlign w:val="center"/>
          </w:tcPr>
          <w:p w14:paraId="198AFE41" w14:textId="34F20C11" w:rsidR="00BD32C8" w:rsidRPr="009742AF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</w:tc>
        <w:tc>
          <w:tcPr>
            <w:tcW w:w="1276" w:type="dxa"/>
            <w:vAlign w:val="center"/>
          </w:tcPr>
          <w:p w14:paraId="0448BCA3" w14:textId="321DC3DF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272.9</w:t>
            </w:r>
          </w:p>
        </w:tc>
      </w:tr>
      <w:tr w:rsidR="00BD32C8" w:rsidRPr="009742AF" w14:paraId="19303E3E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4F9BE4D7" w14:textId="2EC3D680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12" w:type="dxa"/>
            <w:vAlign w:val="center"/>
          </w:tcPr>
          <w:p w14:paraId="2AA6F621" w14:textId="5BF376C9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301</w:t>
            </w:r>
          </w:p>
        </w:tc>
        <w:tc>
          <w:tcPr>
            <w:tcW w:w="1275" w:type="dxa"/>
            <w:vAlign w:val="center"/>
          </w:tcPr>
          <w:p w14:paraId="5F9A1A43" w14:textId="71400A5D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485.5</w:t>
            </w:r>
          </w:p>
        </w:tc>
        <w:tc>
          <w:tcPr>
            <w:tcW w:w="1134" w:type="dxa"/>
            <w:vAlign w:val="center"/>
          </w:tcPr>
          <w:p w14:paraId="35EE7520" w14:textId="75A33112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131.4</w:t>
            </w:r>
          </w:p>
        </w:tc>
        <w:tc>
          <w:tcPr>
            <w:tcW w:w="1134" w:type="dxa"/>
            <w:vAlign w:val="center"/>
          </w:tcPr>
          <w:p w14:paraId="18101EF9" w14:textId="547ACE94" w:rsidR="00BD32C8" w:rsidRPr="009742AF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1 896</w:t>
            </w:r>
          </w:p>
        </w:tc>
        <w:tc>
          <w:tcPr>
            <w:tcW w:w="1276" w:type="dxa"/>
            <w:vAlign w:val="center"/>
          </w:tcPr>
          <w:p w14:paraId="3D8101D6" w14:textId="23F13F57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163.0</w:t>
            </w:r>
          </w:p>
        </w:tc>
      </w:tr>
      <w:tr w:rsidR="00BD32C8" w:rsidRPr="009742AF" w14:paraId="08F9BC9D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6AD09FA5" w14:textId="2DB948C3" w:rsidR="00BD32C8" w:rsidRPr="009742AF" w:rsidRDefault="00BD32C8" w:rsidP="00BD32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12" w:type="dxa"/>
            <w:vAlign w:val="center"/>
          </w:tcPr>
          <w:p w14:paraId="608975F3" w14:textId="7D3DD84A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147ED29B" w14:textId="29F6AB20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0624A4A" w14:textId="2DACB78F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C8EBC0" w14:textId="7241FAB2" w:rsidR="00BD32C8" w:rsidRPr="009742AF" w:rsidRDefault="00BD32C8" w:rsidP="00BD32C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14:paraId="7808E9AE" w14:textId="1EA96629" w:rsidR="00BD32C8" w:rsidRPr="009742AF" w:rsidRDefault="00BD32C8" w:rsidP="00BD32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118.9</w:t>
            </w:r>
          </w:p>
        </w:tc>
      </w:tr>
    </w:tbl>
    <w:p w14:paraId="34D75009" w14:textId="729C8B0A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November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880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3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5.5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37A8AFFD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7DDCEC0" w14:textId="5CCE2544" w:rsidR="00F37978" w:rsidRPr="00D93EA6" w:rsidRDefault="007B2590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39A9D6B9">
                <wp:simplePos x="0" y="0"/>
                <wp:positionH relativeFrom="page">
                  <wp:posOffset>5724838</wp:posOffset>
                </wp:positionH>
                <wp:positionV relativeFrom="paragraph">
                  <wp:posOffset>188718</wp:posOffset>
                </wp:positionV>
                <wp:extent cx="1835785" cy="217233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17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4A2B6813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BB44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November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BB44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October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BB44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20.7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9C2B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BB44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="001546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BB44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16.8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9C2B3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BB44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1" type="#_x0000_t202" style="position:absolute;margin-left:450.75pt;margin-top:14.85pt;width:144.55pt;height:171.0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" filled="f" stroked="f">
                <v:textbox>
                  <w:txbxContent>
                    <w:p w14:paraId="58FBF1C9" w14:textId="4A2B6813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BB44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November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BB44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October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BB44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20.7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9C2B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BB44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="001546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BB44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16.8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9C2B3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BB44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B05FE" w:rsidRPr="001646C4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857B21">
        <w:rPr>
          <w:noProof/>
        </w:rPr>
        <w:drawing>
          <wp:inline distT="0" distB="0" distL="0" distR="0" wp14:anchorId="6B787C70" wp14:editId="33B8C43F">
            <wp:extent cx="5122545" cy="2538483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BFE4B9" w14:textId="77777777" w:rsidR="00010F9B" w:rsidRDefault="00010F9B" w:rsidP="00CB6084">
      <w:pPr>
        <w:rPr>
          <w:szCs w:val="19"/>
          <w:shd w:val="clear" w:color="auto" w:fill="FFFFFF"/>
          <w:lang w:val="en-GB"/>
        </w:rPr>
      </w:pPr>
    </w:p>
    <w:p w14:paraId="6B2C5EA1" w14:textId="36E2848C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>In the period of I-</w:t>
      </w:r>
      <w:r w:rsidR="00D6223C">
        <w:rPr>
          <w:szCs w:val="19"/>
          <w:shd w:val="clear" w:color="auto" w:fill="FFFFFF"/>
          <w:lang w:val="en-GB"/>
        </w:rPr>
        <w:t>X</w:t>
      </w:r>
      <w:r w:rsidR="00BB44BD">
        <w:rPr>
          <w:szCs w:val="19"/>
          <w:shd w:val="clear" w:color="auto" w:fill="FFFFFF"/>
          <w:lang w:val="en-GB"/>
        </w:rPr>
        <w:t>I</w:t>
      </w:r>
      <w:r w:rsidRPr="005702F8">
        <w:rPr>
          <w:szCs w:val="19"/>
          <w:shd w:val="clear" w:color="auto" w:fill="FFFFFF"/>
          <w:lang w:val="en-GB"/>
        </w:rPr>
        <w:t xml:space="preserve"> 2021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BB44BD">
        <w:rPr>
          <w:szCs w:val="19"/>
          <w:shd w:val="clear" w:color="auto" w:fill="FFFFFF"/>
          <w:lang w:val="en-GB"/>
        </w:rPr>
        <w:t>39</w:t>
      </w:r>
      <w:r w:rsidR="00D6223C">
        <w:rPr>
          <w:szCs w:val="19"/>
          <w:shd w:val="clear" w:color="auto" w:fill="FFFFFF"/>
          <w:lang w:val="en-GB"/>
        </w:rPr>
        <w:t>.</w:t>
      </w:r>
      <w:r w:rsidR="00BB44BD">
        <w:rPr>
          <w:szCs w:val="19"/>
          <w:shd w:val="clear" w:color="auto" w:fill="FFFFFF"/>
          <w:lang w:val="en-GB"/>
        </w:rPr>
        <w:t>2</w:t>
      </w:r>
      <w:r w:rsidR="0015468F">
        <w:rPr>
          <w:szCs w:val="19"/>
          <w:shd w:val="clear" w:color="auto" w:fill="FFFFFF"/>
          <w:lang w:val="en-GB"/>
        </w:rPr>
        <w:t xml:space="preserve"> 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>, 47.7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 and 55.9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D6223C">
        <w:rPr>
          <w:szCs w:val="19"/>
          <w:shd w:val="clear" w:color="auto" w:fill="FFFFFF"/>
          <w:lang w:val="en-GB"/>
        </w:rPr>
        <w:t xml:space="preserve">Wielkopolskie </w:t>
      </w:r>
      <w:r w:rsidR="00BB44BD">
        <w:rPr>
          <w:szCs w:val="19"/>
          <w:shd w:val="clear" w:color="auto" w:fill="FFFFFF"/>
          <w:lang w:val="en-GB"/>
        </w:rPr>
        <w:t>(24.9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BB44BD">
        <w:rPr>
          <w:szCs w:val="19"/>
          <w:shd w:val="clear" w:color="auto" w:fill="FFFFFF"/>
          <w:lang w:val="en-GB"/>
        </w:rPr>
        <w:t>, 27.8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BB44BD">
        <w:rPr>
          <w:szCs w:val="19"/>
          <w:shd w:val="clear" w:color="auto" w:fill="FFFFFF"/>
          <w:lang w:val="en-GB"/>
        </w:rPr>
        <w:t xml:space="preserve"> and 33.0</w:t>
      </w:r>
      <w:r w:rsidR="004A4E61">
        <w:rPr>
          <w:szCs w:val="19"/>
          <w:shd w:val="clear" w:color="auto" w:fill="FFFFFF"/>
          <w:lang w:val="en-GB"/>
        </w:rPr>
        <w:t> thousand) and</w:t>
      </w:r>
      <w:r w:rsidR="00D6223C">
        <w:rPr>
          <w:szCs w:val="19"/>
          <w:shd w:val="clear" w:color="auto" w:fill="FFFFFF"/>
          <w:lang w:val="en-GB"/>
        </w:rPr>
        <w:t xml:space="preserve"> Dolnośląskie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BB44BD">
        <w:rPr>
          <w:szCs w:val="19"/>
          <w:shd w:val="clear" w:color="auto" w:fill="FFFFFF"/>
          <w:lang w:val="en-GB"/>
        </w:rPr>
        <w:t>(22.6</w:t>
      </w:r>
      <w:r>
        <w:rPr>
          <w:szCs w:val="19"/>
          <w:shd w:val="clear" w:color="auto" w:fill="FFFFFF"/>
          <w:lang w:val="en-GB"/>
        </w:rPr>
        <w:t> </w:t>
      </w:r>
      <w:r w:rsidR="00BB44BD">
        <w:rPr>
          <w:szCs w:val="19"/>
          <w:shd w:val="clear" w:color="auto" w:fill="FFFFFF"/>
          <w:lang w:val="en-GB"/>
        </w:rPr>
        <w:t>thousand, 23.5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BB44BD">
        <w:rPr>
          <w:szCs w:val="19"/>
          <w:shd w:val="clear" w:color="auto" w:fill="FFFFFF"/>
          <w:lang w:val="en-GB"/>
        </w:rPr>
        <w:t xml:space="preserve"> 26.9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4A4E61">
        <w:rPr>
          <w:szCs w:val="19"/>
          <w:shd w:val="clear" w:color="auto" w:fill="FFFFFF"/>
          <w:lang w:val="en-GB"/>
        </w:rPr>
        <w:t>).</w:t>
      </w:r>
    </w:p>
    <w:p w14:paraId="73CBA65A" w14:textId="3133DC30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462D3F">
        <w:rPr>
          <w:color w:val="auto"/>
          <w:sz w:val="18"/>
          <w:szCs w:val="18"/>
          <w:lang w:val="en-GB"/>
        </w:rPr>
        <w:t>-</w:t>
      </w:r>
      <w:r w:rsidR="00BB44BD">
        <w:rPr>
          <w:color w:val="auto"/>
          <w:sz w:val="18"/>
          <w:szCs w:val="18"/>
          <w:lang w:val="en-GB"/>
        </w:rPr>
        <w:t>November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2B8FD8BC" w:rsidR="003A358E" w:rsidRPr="00BB44BD" w:rsidRDefault="00BB44BD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487A5CDE" wp14:editId="6F1585F1">
            <wp:extent cx="5122545" cy="252031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1B1E8DEE" w14:textId="77777777" w:rsidR="0015468F" w:rsidRPr="00A12B93" w:rsidRDefault="0015468F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Banaszek</w:t>
            </w:r>
            <w:proofErr w:type="spellEnd"/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BD32C8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574E89" w:rsidRDefault="00574E8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574E89" w:rsidRDefault="00574E8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574E89" w:rsidRPr="004E377B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574E89" w:rsidRPr="008235EC" w:rsidRDefault="00574E89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574E89" w:rsidRPr="005C7839" w:rsidRDefault="00B21A7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574E8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574E89" w:rsidRPr="00734C04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574E89" w:rsidRPr="0026083F" w:rsidRDefault="00B21A7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574E89" w:rsidRDefault="00B21A7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574E89" w:rsidRDefault="00574E8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08BD4F3D" w:rsidR="00574E89" w:rsidRPr="008235EC" w:rsidRDefault="00B21A7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2055407B" w:rsidR="00574E89" w:rsidRPr="00F11843" w:rsidRDefault="00B21A7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48375907" w:rsidR="00574E89" w:rsidRPr="00F11843" w:rsidRDefault="00B21A7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574E89" w:rsidRDefault="00574E8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574E89" w:rsidRPr="003B6350" w:rsidRDefault="00574E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574E89" w:rsidRDefault="00574E89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574E89" w:rsidRDefault="00574E8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574E89" w:rsidRPr="004E377B" w:rsidRDefault="00574E89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574E89" w:rsidRPr="008235EC" w:rsidRDefault="00574E89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574E89" w:rsidRPr="005C7839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574E8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74E8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574E89" w:rsidRPr="00734C04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574E89" w:rsidRPr="0026083F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574E89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574E89" w:rsidRDefault="00574E8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08BD4F3D" w:rsidR="00574E89" w:rsidRPr="008235EC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2055407B" w:rsidR="00574E89" w:rsidRPr="00F11843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48375907" w:rsidR="00574E89" w:rsidRPr="00F11843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574E89" w:rsidRDefault="00574E89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574E89" w:rsidRPr="003B6350" w:rsidRDefault="00574E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BA33F" w14:textId="77777777" w:rsidR="00B21A70" w:rsidRDefault="00B21A70" w:rsidP="000662E2">
      <w:pPr>
        <w:spacing w:after="0" w:line="240" w:lineRule="auto"/>
      </w:pPr>
      <w:r>
        <w:separator/>
      </w:r>
    </w:p>
  </w:endnote>
  <w:endnote w:type="continuationSeparator" w:id="0">
    <w:p w14:paraId="48796AF4" w14:textId="77777777" w:rsidR="00B21A70" w:rsidRDefault="00B21A7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0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BD6D" w14:textId="77777777" w:rsidR="00B21A70" w:rsidRDefault="00B21A70" w:rsidP="000662E2">
      <w:pPr>
        <w:spacing w:after="0" w:line="240" w:lineRule="auto"/>
      </w:pPr>
      <w:r>
        <w:separator/>
      </w:r>
    </w:p>
  </w:footnote>
  <w:footnote w:type="continuationSeparator" w:id="0">
    <w:p w14:paraId="518120F5" w14:textId="77777777" w:rsidR="00B21A70" w:rsidRDefault="00B21A70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09CF0CC" w:rsidR="00574E89" w:rsidRPr="00C97596" w:rsidRDefault="00BD32C8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21.12</w:t>
                          </w:r>
                          <w:r w:rsidR="00574E89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209CF0CC" w:rsidR="00574E89" w:rsidRPr="00C97596" w:rsidRDefault="00BD32C8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21.12</w:t>
                    </w:r>
                    <w:r w:rsidR="00574E89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B6F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2325"/>
    <w:rsid w:val="001646C4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BDB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244EC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33FB"/>
    <w:rsid w:val="004F4FCA"/>
    <w:rsid w:val="004F63FC"/>
    <w:rsid w:val="004F6903"/>
    <w:rsid w:val="00500D10"/>
    <w:rsid w:val="00505433"/>
    <w:rsid w:val="00505A92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938"/>
    <w:rsid w:val="006A37E8"/>
    <w:rsid w:val="006A46FA"/>
    <w:rsid w:val="006B0E9E"/>
    <w:rsid w:val="006B2C7B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74785"/>
    <w:rsid w:val="007801F5"/>
    <w:rsid w:val="00780316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C3F"/>
    <w:rsid w:val="007B3DB7"/>
    <w:rsid w:val="007B4E2B"/>
    <w:rsid w:val="007B4F73"/>
    <w:rsid w:val="007B5D10"/>
    <w:rsid w:val="007C2C9F"/>
    <w:rsid w:val="007C3CC8"/>
    <w:rsid w:val="007C58D3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1350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40A"/>
    <w:rsid w:val="00970194"/>
    <w:rsid w:val="009705EE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66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1F3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35C2E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1333"/>
    <w:rsid w:val="00EA20F6"/>
    <w:rsid w:val="00EA5D60"/>
    <w:rsid w:val="00EA644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397D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s://stat.gov.pl/en/metainformation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s://stat.gov.pl/en/metainformation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s://stat.gov.pl/en/metainformation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0398586341330801"/>
          <c:w val="0.8683723551868533"/>
          <c:h val="0.6293594211406586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Arkusz1!$B$4:$BH$4</c:f>
              <c:numCache>
                <c:formatCode>General</c:formatCode>
                <c:ptCount val="59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19116</c:v>
                </c:pt>
                <c:pt idx="55" formatCode="#,##0">
                  <c:v>18544</c:v>
                </c:pt>
                <c:pt idx="56">
                  <c:v>21040</c:v>
                </c:pt>
                <c:pt idx="57">
                  <c:v>19973</c:v>
                </c:pt>
                <c:pt idx="58">
                  <c:v>24108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Arkusz1!$B$16:$BH$16</c:f>
              <c:numCache>
                <c:formatCode>General</c:formatCode>
                <c:ptCount val="59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28922</c:v>
                </c:pt>
                <c:pt idx="55">
                  <c:v>27204</c:v>
                </c:pt>
                <c:pt idx="56">
                  <c:v>27397</c:v>
                </c:pt>
                <c:pt idx="57">
                  <c:v>28728</c:v>
                </c:pt>
                <c:pt idx="58">
                  <c:v>23904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Arkusz1!$B$2:$BH$3</c:f>
              <c:multiLvlStrCache>
                <c:ptCount val="5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  <c:pt idx="58">
                    <c:v>XI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Arkusz1!$B$10:$BH$10</c:f>
              <c:numCache>
                <c:formatCode>General</c:formatCode>
                <c:ptCount val="59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25837</c:v>
                </c:pt>
                <c:pt idx="55">
                  <c:v>23971</c:v>
                </c:pt>
                <c:pt idx="56">
                  <c:v>21959</c:v>
                </c:pt>
                <c:pt idx="57">
                  <c:v>22533</c:v>
                </c:pt>
                <c:pt idx="58">
                  <c:v>21200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7463232"/>
        <c:axId val="-2067462688"/>
      </c:lineChart>
      <c:catAx>
        <c:axId val="-206746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6268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2067462688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6746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859113975572693E-2"/>
          <c:y val="0.85129199745730066"/>
          <c:w val="0.81476277904830507"/>
          <c:h val="0.13384852379604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2.8625390080208233E-2"/>
          <c:w val="0.78147912136044484"/>
          <c:h val="0.7536847576592608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4125</c:v>
                </c:pt>
                <c:pt idx="1">
                  <c:v>5763</c:v>
                </c:pt>
                <c:pt idx="2">
                  <c:v>5907</c:v>
                </c:pt>
                <c:pt idx="3">
                  <c:v>7554</c:v>
                </c:pt>
                <c:pt idx="4">
                  <c:v>8061</c:v>
                </c:pt>
                <c:pt idx="5">
                  <c:v>12874</c:v>
                </c:pt>
                <c:pt idx="6">
                  <c:v>11932</c:v>
                </c:pt>
                <c:pt idx="7">
                  <c:v>10018</c:v>
                </c:pt>
                <c:pt idx="8">
                  <c:v>11238</c:v>
                </c:pt>
                <c:pt idx="9">
                  <c:v>16198</c:v>
                </c:pt>
                <c:pt idx="10">
                  <c:v>21619</c:v>
                </c:pt>
                <c:pt idx="11">
                  <c:v>22600</c:v>
                </c:pt>
                <c:pt idx="12">
                  <c:v>23275</c:v>
                </c:pt>
                <c:pt idx="13">
                  <c:v>23471</c:v>
                </c:pt>
                <c:pt idx="14">
                  <c:v>27764</c:v>
                </c:pt>
                <c:pt idx="15">
                  <c:v>47662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4541</c:v>
                </c:pt>
                <c:pt idx="1">
                  <c:v>6055</c:v>
                </c:pt>
                <c:pt idx="2">
                  <c:v>7098</c:v>
                </c:pt>
                <c:pt idx="3">
                  <c:v>9822</c:v>
                </c:pt>
                <c:pt idx="4">
                  <c:v>9001</c:v>
                </c:pt>
                <c:pt idx="5">
                  <c:v>14819</c:v>
                </c:pt>
                <c:pt idx="6">
                  <c:v>14462</c:v>
                </c:pt>
                <c:pt idx="7">
                  <c:v>11196</c:v>
                </c:pt>
                <c:pt idx="8">
                  <c:v>12766</c:v>
                </c:pt>
                <c:pt idx="9">
                  <c:v>20370</c:v>
                </c:pt>
                <c:pt idx="10">
                  <c:v>26682</c:v>
                </c:pt>
                <c:pt idx="11">
                  <c:v>28198</c:v>
                </c:pt>
                <c:pt idx="12">
                  <c:v>27103</c:v>
                </c:pt>
                <c:pt idx="13">
                  <c:v>26886</c:v>
                </c:pt>
                <c:pt idx="14">
                  <c:v>33001</c:v>
                </c:pt>
                <c:pt idx="15">
                  <c:v>55864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2880</c:v>
                </c:pt>
                <c:pt idx="1">
                  <c:v>4078</c:v>
                </c:pt>
                <c:pt idx="2">
                  <c:v>4449</c:v>
                </c:pt>
                <c:pt idx="3">
                  <c:v>5193</c:v>
                </c:pt>
                <c:pt idx="4">
                  <c:v>6879</c:v>
                </c:pt>
                <c:pt idx="5">
                  <c:v>7942</c:v>
                </c:pt>
                <c:pt idx="6">
                  <c:v>8501</c:v>
                </c:pt>
                <c:pt idx="7">
                  <c:v>8782</c:v>
                </c:pt>
                <c:pt idx="8">
                  <c:v>9197</c:v>
                </c:pt>
                <c:pt idx="9">
                  <c:v>11079</c:v>
                </c:pt>
                <c:pt idx="10">
                  <c:v>15239</c:v>
                </c:pt>
                <c:pt idx="11">
                  <c:v>18289</c:v>
                </c:pt>
                <c:pt idx="12">
                  <c:v>19149</c:v>
                </c:pt>
                <c:pt idx="13">
                  <c:v>22625</c:v>
                </c:pt>
                <c:pt idx="14">
                  <c:v>24923</c:v>
                </c:pt>
                <c:pt idx="15">
                  <c:v>39160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2067473024"/>
        <c:axId val="-2067467584"/>
      </c:barChart>
      <c:catAx>
        <c:axId val="-2067473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67467584"/>
        <c:crosses val="autoZero"/>
        <c:auto val="1"/>
        <c:lblAlgn val="ctr"/>
        <c:lblOffset val="100"/>
        <c:noMultiLvlLbl val="0"/>
      </c:catAx>
      <c:valAx>
        <c:axId val="-2067467584"/>
        <c:scaling>
          <c:orientation val="minMax"/>
          <c:max val="6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2067473024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59689080330187"/>
          <c:y val="0.85773167242983517"/>
          <c:w val="0.83688211129506873"/>
          <c:h val="0.136180199697260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residential_construction_in_the_period_of_i-xi_2021.docx.docx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BF7B257-98A6-4D1A-9F5A-EF79A74F8051}"/>
</file>

<file path=customXml/itemProps3.xml><?xml version="1.0" encoding="utf-8"?>
<ds:datastoreItem xmlns:ds="http://schemas.openxmlformats.org/officeDocument/2006/customXml" ds:itemID="{621A1630-9050-4896-9213-840638AE7A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2021</vt:lpstr>
    </vt:vector>
  </TitlesOfParts>
  <Company>Statistics Poland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2021</dc:title>
  <dc:subject>Residential construction</dc:subject>
  <cp:keywords>dwellings completed; dwellings under construction; dwellings started; building permit; useful floor area</cp:keywords>
  <cp:lastPrinted>2021-02-17T13:06:00Z</cp:lastPrinted>
  <dcterms:created xsi:type="dcterms:W3CDTF">2021-12-15T13:56:00Z</dcterms:created>
  <dcterms:modified xsi:type="dcterms:W3CDTF">2021-12-16T07:54:00Z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