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6E44322D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79134B">
        <w:rPr>
          <w:szCs w:val="32"/>
          <w:lang w:val="en-GB"/>
        </w:rPr>
        <w:t>the period of I-</w:t>
      </w:r>
      <w:r w:rsidR="00841FC9">
        <w:rPr>
          <w:szCs w:val="32"/>
          <w:lang w:val="en-GB"/>
        </w:rPr>
        <w:t>IX</w:t>
      </w:r>
      <w:r w:rsidR="00CF46EE">
        <w:rPr>
          <w:szCs w:val="32"/>
          <w:lang w:val="en-GB"/>
        </w:rPr>
        <w:t xml:space="preserve"> </w:t>
      </w:r>
      <w:r w:rsidR="003D4820">
        <w:rPr>
          <w:szCs w:val="32"/>
          <w:shd w:val="clear" w:color="auto" w:fill="FFFFFF"/>
          <w:lang w:val="en-GB"/>
        </w:rPr>
        <w:t>2021</w:t>
      </w:r>
    </w:p>
    <w:p w:rsidRPr="004829B9" w:rsidR="00393761" w:rsidP="00074DD8" w:rsidRDefault="005F302D" w14:paraId="138C7713" w14:textId="77777777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editId="3AA2B3BA" wp14:anchorId="5B252253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466B1" w:rsidR="00574E89" w:rsidP="00074DD8" w:rsidRDefault="00574E89" w14:paraId="47E9AF23" w14:textId="7777777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B252253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574E89" w:rsidP="00074DD8" w:rsidRDefault="00574E89" w14:paraId="47E9AF23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Pr="004829B9" w:rsidR="00095A18" w:rsidP="00896EB9" w:rsidRDefault="005F302D" w14:paraId="0EC0BCF7" w14:textId="021C0596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38DEB258" wp14:anchorId="0ED5BDC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12A93" w:rsidR="00574E89" w:rsidP="00633014" w:rsidRDefault="00574E89" w14:paraId="2CC185F8" w14:textId="7777777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:rsidRPr="00F64AC1" w:rsidR="00574E89" w:rsidP="00074DD8" w:rsidRDefault="00574E89" w14:paraId="173D3CF5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w14:anchorId="0ED5BDCA">
                <v:textbox>
                  <w:txbxContent>
                    <w:p w:rsidRPr="00612A93" w:rsidR="00574E89" w:rsidP="00633014" w:rsidRDefault="00574E89" w14:paraId="2CC185F8" w14:textId="7777777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Pr="00F64AC1" w:rsidR="00574E89" w:rsidP="00074DD8" w:rsidRDefault="00574E89" w14:paraId="173D3CF5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editId="2DC80E8E" wp14:anchorId="526CAA2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C751B" w:rsidR="00574E89" w:rsidP="004466B1" w:rsidRDefault="00574E89" w14:paraId="0DFD5284" w14:textId="316E272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2EEE19CB">
                                  <wp:extent cx="334699" cy="317472"/>
                                  <wp:effectExtent l="0" t="0" r="8255" b="698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91FC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105.2</w:t>
                            </w:r>
                          </w:p>
                          <w:p w:rsidRPr="002C751B" w:rsidR="00574E89" w:rsidP="004466B1" w:rsidRDefault="00574E89" w14:paraId="4A535B62" w14:textId="2AEDB9F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w14:anchorId="526CAA24">
                <v:textbox>
                  <w:txbxContent>
                    <w:p w:rsidRPr="002C751B" w:rsidR="00574E89" w:rsidP="004466B1" w:rsidRDefault="00574E89" w14:paraId="0DFD5284" w14:textId="316E272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2EEE19CB">
                            <wp:extent cx="334699" cy="317472"/>
                            <wp:effectExtent l="0" t="0" r="8255" b="698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91FC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105.2</w:t>
                      </w:r>
                    </w:p>
                    <w:p w:rsidRPr="002C751B" w:rsidR="00574E89" w:rsidP="004466B1" w:rsidRDefault="00574E89" w14:paraId="4A535B62" w14:textId="2AEDB9F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 w:rsidR="00AD1492">
        <w:rPr>
          <w:lang w:val="en-GB"/>
        </w:rPr>
        <w:t xml:space="preserve">In </w:t>
      </w:r>
      <w:r w:rsidR="00D92898">
        <w:rPr>
          <w:lang w:val="en-GB"/>
        </w:rPr>
        <w:t>the</w:t>
      </w:r>
      <w:r w:rsidR="0079134B">
        <w:rPr>
          <w:lang w:val="en-GB"/>
        </w:rPr>
        <w:t xml:space="preserve"> </w:t>
      </w:r>
      <w:r w:rsidR="00B500C4">
        <w:rPr>
          <w:lang w:val="en-GB"/>
        </w:rPr>
        <w:t xml:space="preserve">period </w:t>
      </w:r>
      <w:r w:rsidRPr="005702F8" w:rsidR="0079134B">
        <w:rPr>
          <w:lang w:val="en-GB"/>
        </w:rPr>
        <w:t>of</w:t>
      </w:r>
      <w:r w:rsidRPr="005702F8" w:rsidR="003D4820">
        <w:rPr>
          <w:lang w:val="en-GB"/>
        </w:rPr>
        <w:t xml:space="preserve"> </w:t>
      </w:r>
      <w:r w:rsidR="00521ABB">
        <w:rPr>
          <w:lang w:val="en-GB"/>
        </w:rPr>
        <w:t>three quarters</w:t>
      </w:r>
      <w:r w:rsidRPr="00B500C4" w:rsidR="00B500C4">
        <w:rPr>
          <w:color w:val="FF0000"/>
          <w:lang w:val="en-GB"/>
        </w:rPr>
        <w:t xml:space="preserve"> </w:t>
      </w:r>
      <w:r w:rsidRPr="00521ABB" w:rsidR="00521ABB">
        <w:rPr>
          <w:lang w:val="en-GB"/>
        </w:rPr>
        <w:t>of</w:t>
      </w:r>
      <w:r w:rsidR="00521ABB">
        <w:rPr>
          <w:color w:val="FF0000"/>
          <w:lang w:val="en-GB"/>
        </w:rPr>
        <w:t xml:space="preserve"> </w:t>
      </w:r>
      <w:r w:rsidR="003D4820">
        <w:rPr>
          <w:lang w:val="en-GB"/>
        </w:rPr>
        <w:t>2021</w:t>
      </w:r>
      <w:r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D92898">
        <w:rPr>
          <w:lang w:val="en-GB"/>
        </w:rPr>
        <w:t>more</w:t>
      </w:r>
      <w:r w:rsidRPr="004829B9" w:rsidR="00AD1492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Pr="00D92898" w:rsidR="00D92898">
        <w:rPr>
          <w:lang w:val="en-GB"/>
        </w:rPr>
        <w:t xml:space="preserve">dwellings for which permits have been granted or which have been registered with a construction project </w:t>
      </w:r>
      <w:r w:rsidR="00D92898">
        <w:rPr>
          <w:lang w:val="en-GB"/>
        </w:rPr>
        <w:t xml:space="preserve">as well as </w:t>
      </w:r>
      <w:r w:rsidRPr="00D14E83" w:rsidR="00D14E83">
        <w:rPr>
          <w:lang w:val="en-GB"/>
        </w:rPr>
        <w:t xml:space="preserve">dwellings in which construction has begun </w:t>
      </w:r>
      <w:r w:rsidR="00D92898">
        <w:rPr>
          <w:lang w:val="en-GB"/>
        </w:rPr>
        <w:t>also in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</w:p>
    <w:p w:rsidRPr="004829B9" w:rsidR="000D348A" w:rsidP="000D348A" w:rsidRDefault="00074DD8" w14:paraId="131E17E4" w14:textId="77777777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6FCA3159">
      <w:pPr>
        <w:pStyle w:val="LID"/>
        <w:jc w:val="both"/>
        <w:rPr>
          <w:shd w:val="clear" w:color="auto" w:fill="FFFFFF"/>
          <w:lang w:val="en-GB"/>
        </w:rPr>
      </w:pPr>
    </w:p>
    <w:p w:rsidRPr="004829B9" w:rsidR="00C733A3" w:rsidP="000D348A" w:rsidRDefault="00A87439" w14:paraId="52385C4F" w14:textId="3AD4051D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1E7E4591" wp14:anchorId="6EE33181">
                <wp:simplePos x="0" y="0"/>
                <wp:positionH relativeFrom="rightMargin">
                  <wp:posOffset>125730</wp:posOffset>
                </wp:positionH>
                <wp:positionV relativeFrom="paragraph">
                  <wp:posOffset>113030</wp:posOffset>
                </wp:positionV>
                <wp:extent cx="1804670" cy="990600"/>
                <wp:effectExtent l="0" t="0" r="0" b="0"/>
                <wp:wrapTight wrapText="bothSides">
                  <wp:wrapPolygon edited="0">
                    <wp:start x="684" y="0"/>
                    <wp:lineTo x="684" y="21185"/>
                    <wp:lineTo x="20749" y="21185"/>
                    <wp:lineTo x="20749" y="0"/>
                    <wp:lineTo x="68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574E89" w:rsidP="00B93B71" w:rsidRDefault="00574E89" w14:paraId="55217834" w14:textId="32572A34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ED2310">
                              <w:rPr>
                                <w:lang w:val="en-US"/>
                              </w:rPr>
                              <w:t>estors completed respectively 59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ED2310">
                              <w:rPr>
                                <w:lang w:val="en-US"/>
                              </w:rPr>
                              <w:t>2% and 38.8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9.9pt;margin-top:8.9pt;width:142.1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" w14:anchorId="6EE33181">
                <v:textbox>
                  <w:txbxContent>
                    <w:p w:rsidRPr="00AD1492" w:rsidR="00574E89" w:rsidP="00B93B71" w:rsidRDefault="00574E89" w14:paraId="55217834" w14:textId="32572A34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ED2310">
                        <w:rPr>
                          <w:lang w:val="en-US"/>
                        </w:rPr>
                        <w:t>estors completed respectively 59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ED2310">
                        <w:rPr>
                          <w:lang w:val="en-US"/>
                        </w:rPr>
                        <w:t>2% and 38.8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829B9" w:rsidR="00C733A3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:rsidRPr="004829B9" w:rsidR="0042048D" w:rsidP="00896EB9" w:rsidRDefault="00AD1492" w14:paraId="573A2B99" w14:textId="129CA511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Pr="004829B9" w:rsidR="00C733A3">
        <w:rPr>
          <w:spacing w:val="-4"/>
          <w:shd w:val="clear" w:color="auto" w:fill="FFFFFF"/>
          <w:lang w:val="en-GB"/>
        </w:rPr>
        <w:t xml:space="preserve">to </w:t>
      </w:r>
      <w:r w:rsidRPr="004829B9" w:rsidR="00F54505">
        <w:rPr>
          <w:spacing w:val="-4"/>
          <w:shd w:val="clear" w:color="auto" w:fill="FFFFFF"/>
          <w:lang w:val="en-GB"/>
        </w:rPr>
        <w:t xml:space="preserve">the </w:t>
      </w:r>
      <w:r w:rsidRPr="004829B9" w:rsidR="00111FD5">
        <w:rPr>
          <w:spacing w:val="-4"/>
          <w:shd w:val="clear" w:color="auto" w:fill="FFFFFF"/>
          <w:lang w:val="en-GB"/>
        </w:rPr>
        <w:t xml:space="preserve">preliminary </w:t>
      </w:r>
      <w:r w:rsidRPr="004829B9" w:rsidR="00A72CF4">
        <w:rPr>
          <w:spacing w:val="-4"/>
          <w:shd w:val="clear" w:color="auto" w:fill="FFFFFF"/>
          <w:lang w:val="en-GB"/>
        </w:rPr>
        <w:t xml:space="preserve">data, </w:t>
      </w:r>
      <w:r w:rsidR="00ED2310">
        <w:rPr>
          <w:spacing w:val="-4"/>
          <w:shd w:val="clear" w:color="auto" w:fill="FFFFFF"/>
          <w:lang w:val="en-GB"/>
        </w:rPr>
        <w:t>164.4</w:t>
      </w:r>
      <w:r w:rsidRPr="00581162" w:rsidR="00581162">
        <w:rPr>
          <w:spacing w:val="-4"/>
          <w:shd w:val="clear" w:color="auto" w:fill="FFFFFF"/>
          <w:lang w:val="en-GB"/>
        </w:rPr>
        <w:t> </w:t>
      </w:r>
      <w:r w:rsidRPr="004829B9" w:rsidR="00C733A3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Pr="004829B9" w:rsidR="00C733A3">
        <w:rPr>
          <w:spacing w:val="-4"/>
          <w:shd w:val="clear" w:color="auto" w:fill="FFFFFF"/>
          <w:lang w:val="en-GB"/>
        </w:rPr>
        <w:t xml:space="preserve"> dwellings were co</w:t>
      </w:r>
      <w:r w:rsidRPr="004829B9" w:rsidR="008B2394">
        <w:rPr>
          <w:spacing w:val="-4"/>
          <w:shd w:val="clear" w:color="auto" w:fill="FFFFFF"/>
          <w:lang w:val="en-GB"/>
        </w:rPr>
        <w:t xml:space="preserve">mpleted </w:t>
      </w:r>
      <w:r w:rsidR="004B638F">
        <w:rPr>
          <w:spacing w:val="-4"/>
          <w:shd w:val="clear" w:color="auto" w:fill="FFFFFF"/>
          <w:lang w:val="en-GB"/>
        </w:rPr>
        <w:t xml:space="preserve">in the </w:t>
      </w:r>
      <w:r w:rsidR="00D14E83">
        <w:rPr>
          <w:spacing w:val="-4"/>
          <w:shd w:val="clear" w:color="auto" w:fill="FFFFFF"/>
          <w:lang w:val="en-GB"/>
        </w:rPr>
        <w:t>period</w:t>
      </w:r>
      <w:r w:rsidRPr="004B638F" w:rsidR="004B638F">
        <w:rPr>
          <w:spacing w:val="-4"/>
          <w:shd w:val="clear" w:color="auto" w:fill="FFFFFF"/>
          <w:lang w:val="en-GB"/>
        </w:rPr>
        <w:t xml:space="preserve"> of</w:t>
      </w:r>
      <w:r w:rsidR="00D14E83">
        <w:rPr>
          <w:spacing w:val="-4"/>
          <w:shd w:val="clear" w:color="auto" w:fill="FFFFFF"/>
          <w:lang w:val="en-GB"/>
        </w:rPr>
        <w:t xml:space="preserve"> January-</w:t>
      </w:r>
      <w:r w:rsidR="00ED2310">
        <w:rPr>
          <w:spacing w:val="-4"/>
          <w:shd w:val="clear" w:color="auto" w:fill="FFFFFF"/>
          <w:lang w:val="en-GB"/>
        </w:rPr>
        <w:t>September</w:t>
      </w:r>
      <w:r w:rsidRPr="004B638F" w:rsidR="004B638F">
        <w:rPr>
          <w:spacing w:val="-4"/>
          <w:shd w:val="clear" w:color="auto" w:fill="FFFFFF"/>
          <w:lang w:val="en-GB"/>
        </w:rPr>
        <w:t xml:space="preserve"> 2021</w:t>
      </w:r>
      <w:r w:rsidRPr="004829B9" w:rsidR="009664CD">
        <w:rPr>
          <w:spacing w:val="-4"/>
          <w:shd w:val="clear" w:color="auto" w:fill="FFFFFF"/>
          <w:lang w:val="en-GB"/>
        </w:rPr>
        <w:t xml:space="preserve">, i.e. by </w:t>
      </w:r>
      <w:r w:rsidR="00ED2310">
        <w:rPr>
          <w:spacing w:val="-4"/>
          <w:shd w:val="clear" w:color="auto" w:fill="FFFFFF"/>
          <w:lang w:val="en-GB"/>
        </w:rPr>
        <w:t>5.2</w:t>
      </w:r>
      <w:r w:rsidRPr="004829B9" w:rsidR="00C733A3">
        <w:rPr>
          <w:spacing w:val="-4"/>
          <w:shd w:val="clear" w:color="auto" w:fill="FFFFFF"/>
          <w:lang w:val="en-GB"/>
        </w:rPr>
        <w:t xml:space="preserve">% </w:t>
      </w:r>
      <w:r w:rsidR="00D92898">
        <w:rPr>
          <w:spacing w:val="-4"/>
          <w:shd w:val="clear" w:color="auto" w:fill="FFFFFF"/>
          <w:lang w:val="en-GB"/>
        </w:rPr>
        <w:t>more</w:t>
      </w:r>
      <w:r w:rsidRPr="004829B9" w:rsidR="00C733A3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Pr="004829B9" w:rsidR="00C733A3">
        <w:rPr>
          <w:spacing w:val="-4"/>
          <w:shd w:val="clear" w:color="auto" w:fill="FFFFFF"/>
          <w:lang w:val="en-GB"/>
        </w:rPr>
        <w:t xml:space="preserve">. </w:t>
      </w:r>
      <w:r w:rsidRPr="004829B9" w:rsidR="00C733A3">
        <w:rPr>
          <w:b/>
          <w:spacing w:val="-4"/>
          <w:shd w:val="clear" w:color="auto" w:fill="FFFFFF"/>
          <w:lang w:val="en-GB"/>
        </w:rPr>
        <w:t>Developers</w:t>
      </w:r>
      <w:r w:rsidRPr="004829B9" w:rsidR="0058073C">
        <w:rPr>
          <w:spacing w:val="-4"/>
          <w:shd w:val="clear" w:color="auto" w:fill="FFFFFF"/>
          <w:lang w:val="en-GB"/>
        </w:rPr>
        <w:t xml:space="preserve"> </w:t>
      </w:r>
      <w:r w:rsidRPr="004829B9" w:rsidR="00C733A3">
        <w:rPr>
          <w:spacing w:val="-4"/>
          <w:shd w:val="clear" w:color="auto" w:fill="FFFFFF"/>
          <w:lang w:val="en-GB"/>
        </w:rPr>
        <w:t xml:space="preserve">completed </w:t>
      </w:r>
      <w:r w:rsidR="00ED2310">
        <w:rPr>
          <w:spacing w:val="-4"/>
          <w:shd w:val="clear" w:color="auto" w:fill="FFFFFF"/>
          <w:lang w:val="en-GB"/>
        </w:rPr>
        <w:t>97</w:t>
      </w:r>
      <w:r w:rsidR="00372328">
        <w:rPr>
          <w:spacing w:val="-4"/>
          <w:shd w:val="clear" w:color="auto" w:fill="FFFFFF"/>
          <w:lang w:val="en-GB"/>
        </w:rPr>
        <w:t>.</w:t>
      </w:r>
      <w:r w:rsidR="00ED2310">
        <w:rPr>
          <w:spacing w:val="-4"/>
          <w:shd w:val="clear" w:color="auto" w:fill="FFFFFF"/>
          <w:lang w:val="en-GB"/>
        </w:rPr>
        <w:t>3</w:t>
      </w:r>
      <w:r w:rsidRPr="00372328" w:rsidR="00372328">
        <w:rPr>
          <w:spacing w:val="-4"/>
          <w:shd w:val="clear" w:color="auto" w:fill="FFFFFF"/>
          <w:lang w:val="en-GB"/>
        </w:rPr>
        <w:t xml:space="preserve"> </w:t>
      </w:r>
      <w:r w:rsidRPr="004829B9" w:rsidR="00A72CF4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Pr="004829B9" w:rsidR="00A72CF4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Pr="00314007" w:rsidR="00016549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ED2310">
        <w:rPr>
          <w:spacing w:val="-4"/>
          <w:shd w:val="clear" w:color="auto" w:fill="FFFFFF"/>
          <w:lang w:val="en-GB"/>
        </w:rPr>
        <w:t>3.8</w:t>
      </w:r>
      <w:r w:rsidRPr="004829B9" w:rsidR="000E65E1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Pr="004829B9" w:rsidR="00C733A3">
        <w:rPr>
          <w:spacing w:val="-4"/>
          <w:shd w:val="clear" w:color="auto" w:fill="FFFFFF"/>
          <w:lang w:val="en-GB"/>
        </w:rPr>
        <w:t xml:space="preserve"> than in the </w:t>
      </w:r>
      <w:r w:rsidRPr="004829B9" w:rsidR="009664CD">
        <w:rPr>
          <w:spacing w:val="-4"/>
          <w:shd w:val="clear" w:color="auto" w:fill="FFFFFF"/>
          <w:lang w:val="en-GB"/>
        </w:rPr>
        <w:t>corresponding</w:t>
      </w:r>
      <w:r w:rsidRPr="004829B9" w:rsidR="00C733A3">
        <w:rPr>
          <w:spacing w:val="-4"/>
          <w:shd w:val="clear" w:color="auto" w:fill="FFFFFF"/>
          <w:lang w:val="en-GB"/>
        </w:rPr>
        <w:t xml:space="preserve"> </w:t>
      </w:r>
      <w:r w:rsidR="00CD7B5E">
        <w:rPr>
          <w:spacing w:val="-4"/>
          <w:shd w:val="clear" w:color="auto" w:fill="FFFFFF"/>
          <w:lang w:val="en-GB"/>
        </w:rPr>
        <w:t>period</w:t>
      </w:r>
      <w:r w:rsidR="004B638F">
        <w:rPr>
          <w:spacing w:val="-4"/>
          <w:shd w:val="clear" w:color="auto" w:fill="FFFFFF"/>
          <w:lang w:val="en-GB"/>
        </w:rPr>
        <w:t xml:space="preserve"> of 2020</w:t>
      </w:r>
      <w:r w:rsidRPr="004829B9" w:rsidR="00C733A3">
        <w:rPr>
          <w:spacing w:val="-4"/>
          <w:shd w:val="clear" w:color="auto" w:fill="FFFFFF"/>
          <w:lang w:val="en-GB"/>
        </w:rPr>
        <w:t xml:space="preserve">, whereas </w:t>
      </w:r>
      <w:r w:rsidRPr="004829B9" w:rsidR="00C733A3">
        <w:rPr>
          <w:b/>
          <w:spacing w:val="-4"/>
          <w:shd w:val="clear" w:color="auto" w:fill="FFFFFF"/>
          <w:lang w:val="en-GB"/>
        </w:rPr>
        <w:t>private</w:t>
      </w:r>
      <w:r w:rsidRPr="004829B9" w:rsidR="00C733A3">
        <w:rPr>
          <w:spacing w:val="-4"/>
          <w:shd w:val="clear" w:color="auto" w:fill="FFFFFF"/>
          <w:lang w:val="en-GB"/>
        </w:rPr>
        <w:t xml:space="preserve"> </w:t>
      </w:r>
      <w:r w:rsidRPr="004829B9" w:rsidR="00C733A3">
        <w:rPr>
          <w:b/>
          <w:spacing w:val="-4"/>
          <w:shd w:val="clear" w:color="auto" w:fill="FFFFFF"/>
          <w:lang w:val="en-GB"/>
        </w:rPr>
        <w:t>investors</w:t>
      </w:r>
      <w:r w:rsidRPr="004829B9" w:rsidR="00837231">
        <w:rPr>
          <w:spacing w:val="-4"/>
          <w:shd w:val="clear" w:color="auto" w:fill="FFFFFF"/>
          <w:lang w:val="en-GB"/>
        </w:rPr>
        <w:t xml:space="preserve"> completed </w:t>
      </w:r>
      <w:r w:rsidR="00ED2310">
        <w:rPr>
          <w:spacing w:val="-4"/>
          <w:shd w:val="clear" w:color="auto" w:fill="FFFFFF"/>
          <w:lang w:val="en-GB"/>
        </w:rPr>
        <w:t>63</w:t>
      </w:r>
      <w:r w:rsidR="00372328">
        <w:rPr>
          <w:spacing w:val="-4"/>
          <w:shd w:val="clear" w:color="auto" w:fill="FFFFFF"/>
          <w:lang w:val="en-GB"/>
        </w:rPr>
        <w:t>.</w:t>
      </w:r>
      <w:r w:rsidR="00ED2310">
        <w:rPr>
          <w:spacing w:val="-4"/>
          <w:shd w:val="clear" w:color="auto" w:fill="FFFFFF"/>
          <w:lang w:val="en-GB"/>
        </w:rPr>
        <w:t>8</w:t>
      </w:r>
      <w:r w:rsidR="00A7208C">
        <w:rPr>
          <w:spacing w:val="-4"/>
          <w:shd w:val="clear" w:color="auto" w:fill="FFFFFF"/>
          <w:lang w:val="en-GB"/>
        </w:rPr>
        <w:t> </w:t>
      </w:r>
      <w:r w:rsidRPr="004829B9" w:rsidR="00C733A3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Pr="004829B9" w:rsidR="00C733A3">
        <w:rPr>
          <w:spacing w:val="-4"/>
          <w:shd w:val="clear" w:color="auto" w:fill="FFFFFF"/>
          <w:lang w:val="en-GB"/>
        </w:rPr>
        <w:t xml:space="preserve"> dwellings, </w:t>
      </w:r>
      <w:r w:rsidRPr="004829B9" w:rsidR="009664CD">
        <w:rPr>
          <w:spacing w:val="-4"/>
          <w:shd w:val="clear" w:color="auto" w:fill="FFFFFF"/>
          <w:lang w:val="en-GB"/>
        </w:rPr>
        <w:t xml:space="preserve">i.e. by </w:t>
      </w:r>
      <w:r w:rsidR="00ED2310">
        <w:rPr>
          <w:spacing w:val="-4"/>
          <w:shd w:val="clear" w:color="auto" w:fill="FFFFFF"/>
          <w:lang w:val="en-GB"/>
        </w:rPr>
        <w:t>21</w:t>
      </w:r>
      <w:r w:rsidRPr="004829B9" w:rsidR="00837231">
        <w:rPr>
          <w:spacing w:val="-4"/>
          <w:shd w:val="clear" w:color="auto" w:fill="FFFFFF"/>
          <w:lang w:val="en-GB"/>
        </w:rPr>
        <w:t>.</w:t>
      </w:r>
      <w:r w:rsidR="00ED2310">
        <w:rPr>
          <w:spacing w:val="-4"/>
          <w:shd w:val="clear" w:color="auto" w:fill="FFFFFF"/>
          <w:lang w:val="en-GB"/>
        </w:rPr>
        <w:t>3</w:t>
      </w:r>
      <w:r w:rsidRPr="004829B9" w:rsidR="00C733A3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Pr="004829B9" w:rsidR="0071658F">
        <w:rPr>
          <w:spacing w:val="-4"/>
          <w:shd w:val="clear" w:color="auto" w:fill="FFFFFF"/>
          <w:lang w:val="en-GB"/>
        </w:rPr>
        <w:t xml:space="preserve">. Within these forms of </w:t>
      </w:r>
      <w:r w:rsidRPr="004829B9" w:rsidR="00435283">
        <w:rPr>
          <w:spacing w:val="-4"/>
          <w:shd w:val="clear" w:color="auto" w:fill="FFFFFF"/>
          <w:lang w:val="en-GB"/>
        </w:rPr>
        <w:t xml:space="preserve">construction, </w:t>
      </w:r>
      <w:r w:rsidR="00ED2310">
        <w:rPr>
          <w:spacing w:val="-4"/>
          <w:shd w:val="clear" w:color="auto" w:fill="FFFFFF"/>
          <w:lang w:val="en-GB"/>
        </w:rPr>
        <w:t>98</w:t>
      </w:r>
      <w:r w:rsidRPr="004829B9" w:rsidR="00E724BA">
        <w:rPr>
          <w:spacing w:val="-4"/>
          <w:shd w:val="clear" w:color="auto" w:fill="FFFFFF"/>
          <w:lang w:val="en-GB"/>
        </w:rPr>
        <w:t>.</w:t>
      </w:r>
      <w:r w:rsidR="00ED2310">
        <w:rPr>
          <w:spacing w:val="-4"/>
          <w:shd w:val="clear" w:color="auto" w:fill="FFFFFF"/>
          <w:lang w:val="en-GB"/>
        </w:rPr>
        <w:t>0</w:t>
      </w:r>
      <w:r w:rsidRPr="004829B9" w:rsidR="00C94AC8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Pr="004829B9" w:rsidR="00C94AC8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Pr="004829B9" w:rsidR="00C733A3">
        <w:rPr>
          <w:spacing w:val="-4"/>
          <w:shd w:val="clear" w:color="auto" w:fill="FFFFFF"/>
          <w:lang w:val="en-GB"/>
        </w:rPr>
        <w:t>comple</w:t>
      </w:r>
      <w:r w:rsidRPr="004829B9" w:rsidR="001C1808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Pr="004B638F" w:rsidR="004B638F">
        <w:rPr>
          <w:spacing w:val="-4"/>
          <w:shd w:val="clear" w:color="auto" w:fill="FFFFFF"/>
          <w:lang w:val="en-GB"/>
        </w:rPr>
        <w:t xml:space="preserve">ithin </w:t>
      </w:r>
      <w:r w:rsidRPr="00CD7B5E" w:rsidR="00CD7B5E">
        <w:rPr>
          <w:b/>
          <w:spacing w:val="-4"/>
          <w:shd w:val="clear" w:color="auto" w:fill="FFFFFF"/>
          <w:lang w:val="en-GB"/>
        </w:rPr>
        <w:t>other forms</w:t>
      </w:r>
      <w:r w:rsidRPr="00CD7B5E" w:rsid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Pr="00CD7B5E" w:rsid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Pr="004B638F" w:rsidR="004B638F">
        <w:rPr>
          <w:spacing w:val="-4"/>
          <w:shd w:val="clear" w:color="auto" w:fill="FFFFFF"/>
          <w:lang w:val="en-GB"/>
        </w:rPr>
        <w:t xml:space="preserve">construction </w:t>
      </w:r>
      <w:r w:rsidR="00303D96">
        <w:rPr>
          <w:spacing w:val="-4"/>
          <w:shd w:val="clear" w:color="auto" w:fill="FFFFFF"/>
          <w:lang w:val="en-GB"/>
        </w:rPr>
        <w:t>3</w:t>
      </w:r>
      <w:r w:rsidRPr="00581162" w:rsidR="00581162">
        <w:rPr>
          <w:spacing w:val="-4"/>
          <w:shd w:val="clear" w:color="auto" w:fill="FFFFFF"/>
          <w:lang w:val="en-GB"/>
        </w:rPr>
        <w:t> </w:t>
      </w:r>
      <w:r w:rsidR="00ED2310">
        <w:rPr>
          <w:spacing w:val="-4"/>
          <w:shd w:val="clear" w:color="auto" w:fill="FFFFFF"/>
          <w:lang w:val="en-GB"/>
        </w:rPr>
        <w:t>318</w:t>
      </w:r>
      <w:r w:rsidRPr="00581162" w:rsidR="00581162">
        <w:rPr>
          <w:spacing w:val="-4"/>
          <w:shd w:val="clear" w:color="auto" w:fill="FFFFFF"/>
          <w:lang w:val="en-GB"/>
        </w:rPr>
        <w:t xml:space="preserve"> </w:t>
      </w:r>
      <w:r w:rsidRPr="004829B9" w:rsidR="00C733A3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Pr="004829B9" w:rsidR="00C733A3">
        <w:rPr>
          <w:spacing w:val="-4"/>
          <w:shd w:val="clear" w:color="auto" w:fill="FFFFFF"/>
          <w:lang w:val="en-GB"/>
        </w:rPr>
        <w:t>(</w:t>
      </w:r>
      <w:r w:rsidR="00303D96">
        <w:rPr>
          <w:spacing w:val="-4"/>
          <w:shd w:val="clear" w:color="auto" w:fill="FFFFFF"/>
          <w:lang w:val="en-GB"/>
        </w:rPr>
        <w:t>2</w:t>
      </w:r>
      <w:r w:rsidR="00AD3F9F">
        <w:rPr>
          <w:spacing w:val="-4"/>
          <w:shd w:val="clear" w:color="auto" w:fill="FFFFFF"/>
          <w:lang w:val="en-GB"/>
        </w:rPr>
        <w:t xml:space="preserve"> </w:t>
      </w:r>
      <w:r w:rsidR="00ED2310">
        <w:rPr>
          <w:spacing w:val="-4"/>
          <w:shd w:val="clear" w:color="auto" w:fill="FFFFFF"/>
          <w:lang w:val="en-GB"/>
        </w:rPr>
        <w:t>567</w:t>
      </w:r>
      <w:r w:rsidRPr="00581162" w:rsidR="00581162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:rsidR="00054314" w:rsidP="00896EB9" w:rsidRDefault="000A7C88" w14:paraId="6DA771CF" w14:textId="595300A6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the period of</w:t>
      </w:r>
      <w:r w:rsidR="00365663">
        <w:rPr>
          <w:shd w:val="clear" w:color="auto" w:fill="FFFFFF"/>
          <w:lang w:val="en-GB"/>
        </w:rPr>
        <w:t xml:space="preserve"> January</w:t>
      </w:r>
      <w:r w:rsidR="00243A60">
        <w:rPr>
          <w:shd w:val="clear" w:color="auto" w:fill="FFFFFF"/>
          <w:lang w:val="en-GB"/>
        </w:rPr>
        <w:t>-</w:t>
      </w:r>
      <w:r w:rsidR="008A130C">
        <w:rPr>
          <w:shd w:val="clear" w:color="auto" w:fill="FFFFFF"/>
          <w:lang w:val="en-GB"/>
        </w:rPr>
        <w:t>September</w:t>
      </w:r>
      <w:r w:rsidR="00365663">
        <w:rPr>
          <w:shd w:val="clear" w:color="auto" w:fill="FFFFFF"/>
          <w:lang w:val="en-GB"/>
        </w:rPr>
        <w:t xml:space="preserve"> 2021</w:t>
      </w:r>
      <w:r w:rsidRPr="004829B9" w:rsidR="007C6C81">
        <w:rPr>
          <w:shd w:val="clear" w:color="auto" w:fill="FFFFFF"/>
          <w:lang w:val="en-GB"/>
        </w:rPr>
        <w:t xml:space="preserve"> </w:t>
      </w:r>
      <w:r w:rsidRPr="004829B9" w:rsidR="006A0E22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8A130C">
        <w:rPr>
          <w:shd w:val="clear" w:color="auto" w:fill="FFFFFF"/>
          <w:lang w:val="en-GB"/>
        </w:rPr>
        <w:t>15</w:t>
      </w:r>
      <w:r w:rsidRPr="004829B9" w:rsidR="00837231">
        <w:rPr>
          <w:shd w:val="clear" w:color="auto" w:fill="FFFFFF"/>
          <w:lang w:val="en-GB"/>
        </w:rPr>
        <w:t>.</w:t>
      </w:r>
      <w:r w:rsidR="008A130C">
        <w:rPr>
          <w:shd w:val="clear" w:color="auto" w:fill="FFFFFF"/>
          <w:lang w:val="en-GB"/>
        </w:rPr>
        <w:t>4</w:t>
      </w:r>
      <w:r w:rsidRPr="004829B9" w:rsidR="00837231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Pr="004829B9" w:rsidR="00837231">
        <w:rPr>
          <w:shd w:val="clear" w:color="auto" w:fill="FFFFFF"/>
          <w:lang w:val="en-GB"/>
        </w:rPr>
        <w:t>m</w:t>
      </w:r>
      <w:r w:rsidRPr="002C751B" w:rsidR="002C751B">
        <w:rPr>
          <w:shd w:val="clear" w:color="auto" w:fill="FFFFFF"/>
          <w:vertAlign w:val="superscript"/>
          <w:lang w:val="en-GB"/>
        </w:rPr>
        <w:t>2</w:t>
      </w:r>
      <w:r w:rsidRPr="004829B9" w:rsidR="00837231">
        <w:rPr>
          <w:shd w:val="clear" w:color="auto" w:fill="FFFFFF"/>
          <w:lang w:val="en-GB"/>
        </w:rPr>
        <w:t xml:space="preserve">, i.e. by </w:t>
      </w:r>
      <w:r w:rsidR="00303D96">
        <w:rPr>
          <w:shd w:val="clear" w:color="auto" w:fill="FFFFFF"/>
          <w:lang w:val="en-GB"/>
        </w:rPr>
        <w:t>11</w:t>
      </w:r>
      <w:r w:rsidRPr="004829B9" w:rsidR="00837231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0</w:t>
      </w:r>
      <w:r w:rsidRPr="004829B9" w:rsidR="00EF767E">
        <w:rPr>
          <w:shd w:val="clear" w:color="auto" w:fill="FFFFFF"/>
          <w:lang w:val="en-GB"/>
        </w:rPr>
        <w:t xml:space="preserve">% </w:t>
      </w:r>
      <w:r w:rsidR="00243A60">
        <w:rPr>
          <w:shd w:val="clear" w:color="auto" w:fill="FFFFFF"/>
          <w:lang w:val="en-GB"/>
        </w:rPr>
        <w:t>more</w:t>
      </w:r>
      <w:r w:rsidRPr="004829B9" w:rsidR="00EF767E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Pr="004829B9" w:rsidR="005E3825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Pr="004829B9" w:rsidR="00BF61F6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Pr="004829B9" w:rsidR="003460DF">
        <w:rPr>
          <w:shd w:val="clear" w:color="auto" w:fill="FFFFFF"/>
          <w:lang w:val="en-GB"/>
        </w:rPr>
        <w:t xml:space="preserve"> </w:t>
      </w:r>
      <w:r w:rsidR="008A130C">
        <w:rPr>
          <w:shd w:val="clear" w:color="auto" w:fill="FFFFFF"/>
          <w:lang w:val="en-GB"/>
        </w:rPr>
        <w:t>93</w:t>
      </w:r>
      <w:r w:rsidRPr="004829B9" w:rsidR="005D25AB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7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Pr="002C751B" w:rsid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:rsidRPr="004829B9" w:rsidR="00B64363" w:rsidP="00896EB9" w:rsidRDefault="00B64363" w14:paraId="679F1787" w14:textId="77777777">
      <w:pPr>
        <w:rPr>
          <w:shd w:val="clear" w:color="auto" w:fill="FFFFFF"/>
          <w:lang w:val="en-GB"/>
        </w:rPr>
      </w:pPr>
    </w:p>
    <w:p w:rsidRPr="004829B9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hAnsi="Fira Sans SemiBold" w:eastAsia="Times New Roman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134"/>
        <w:gridCol w:w="1276"/>
      </w:tblGrid>
      <w:tr w:rsidRPr="003C2145" w:rsidR="00B64363" w:rsidTr="00574E89" w14:paraId="3D74A51D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3C2145" w:rsidR="00B64363" w:rsidP="00574E89" w:rsidRDefault="009742AF" w14:paraId="6DA6E46E" w14:textId="0739132C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Pr="003C2145" w:rsidR="00B64363" w:rsidP="00574E89" w:rsidRDefault="00B64363" w14:paraId="36964227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Pr="003C2145" w:rsidR="00B64363" w:rsidTr="00247F97" w14:paraId="0D3C2463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B64363" w14:paraId="3EEF264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B64363" w14:paraId="779D0680" w14:textId="1DC29380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717E8B"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3C2145" w:rsidR="00B64363" w:rsidP="00574E89" w:rsidRDefault="00B64363" w14:paraId="5E0F54FC" w14:textId="5C69002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17E8B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Pr="003C2145" w:rsidR="00B64363" w:rsidTr="00247F97" w14:paraId="451F7C87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B64363" w14:paraId="574C9F7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B64363" w14:paraId="318E663B" w14:textId="5818BE0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717E8B" w14:paraId="3EF4C2A5" w14:textId="6F7965E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Pr="003C2145" w:rsidR="00B6436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>
              <w:rPr>
                <w:color w:val="000000" w:themeColor="text1"/>
                <w:sz w:val="16"/>
                <w:szCs w:val="16"/>
              </w:rPr>
              <w:t>2020</w:t>
            </w:r>
            <w:r w:rsidRPr="003C2145" w:rsidR="00B64363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774785" w14:paraId="4EDC0C48" w14:textId="2018876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VIII</w:t>
            </w:r>
            <w:r w:rsidRPr="003C2145" w:rsidR="00B64363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64363">
              <w:rPr>
                <w:color w:val="000000" w:themeColor="text1"/>
                <w:sz w:val="16"/>
                <w:szCs w:val="16"/>
              </w:rPr>
              <w:t>21</w:t>
            </w:r>
            <w:r w:rsidRPr="003C2145" w:rsidR="00B64363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B64363" w14:paraId="6AD005EA" w14:textId="1EC2AB0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3C2145" w:rsidR="00B64363" w:rsidP="00574E89" w:rsidRDefault="005744C0" w14:paraId="497FC117" w14:textId="1033FB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1A58F4">
              <w:rPr>
                <w:color w:val="000000" w:themeColor="text1"/>
                <w:sz w:val="16"/>
                <w:szCs w:val="16"/>
              </w:rPr>
              <w:t>IX</w:t>
            </w:r>
            <w:r w:rsidR="00247F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C2145" w:rsidR="00B64363">
              <w:rPr>
                <w:color w:val="000000" w:themeColor="text1"/>
                <w:sz w:val="16"/>
                <w:szCs w:val="16"/>
              </w:rPr>
              <w:t>20</w:t>
            </w:r>
            <w:r w:rsidR="00B64363">
              <w:rPr>
                <w:color w:val="000000" w:themeColor="text1"/>
                <w:sz w:val="16"/>
                <w:szCs w:val="16"/>
              </w:rPr>
              <w:t>20</w:t>
            </w:r>
            <w:r w:rsidRPr="003C2145" w:rsidR="00B64363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3C2145" w:rsidR="00F70DFA" w:rsidTr="00247F97" w14:paraId="77C682AA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3C2145" w:rsidR="00F70DFA" w:rsidP="00F70DFA" w:rsidRDefault="00F70DFA" w14:paraId="63F91378" w14:textId="10364BB0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3C2145" w:rsidR="00F70DFA" w:rsidP="00F70DFA" w:rsidRDefault="00717E8B" w14:paraId="656CC6EC" w14:textId="2BFF5413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17E8B">
              <w:rPr>
                <w:rFonts w:cs="Arial"/>
                <w:b/>
                <w:color w:val="000000" w:themeColor="text1"/>
                <w:sz w:val="16"/>
                <w:szCs w:val="16"/>
              </w:rPr>
              <w:t>21 905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3C2145" w:rsidR="00F70DFA" w:rsidP="00F70DFA" w:rsidRDefault="00CA7DBD" w14:paraId="19182DE5" w14:textId="1FD52DD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113.</w:t>
            </w:r>
            <w:r w:rsidRPr="00717E8B" w:rsidR="00717E8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9" w:type="dxa"/>
            <w:tcBorders>
              <w:top w:val="single" w:color="212492" w:sz="12" w:space="0"/>
            </w:tcBorders>
            <w:vAlign w:val="center"/>
          </w:tcPr>
          <w:p w:rsidRPr="003C2145" w:rsidR="00F70DFA" w:rsidP="00F70DFA" w:rsidRDefault="00CA7DBD" w14:paraId="4FA55BB8" w14:textId="1643B54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116.</w:t>
            </w:r>
            <w:r w:rsidRPr="00717E8B" w:rsidR="00717E8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</w:tcBorders>
          </w:tcPr>
          <w:p w:rsidRPr="003C2145" w:rsidR="00F70DFA" w:rsidP="00F70DFA" w:rsidRDefault="00691FC1" w14:paraId="15BC7E29" w14:textId="58C5C06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91FC1">
              <w:rPr>
                <w:rFonts w:cs="Arial"/>
                <w:b/>
                <w:color w:val="000000" w:themeColor="text1"/>
                <w:sz w:val="16"/>
                <w:szCs w:val="16"/>
              </w:rPr>
              <w:t>164 422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3C2145" w:rsidR="00F70DFA" w:rsidP="00F70DFA" w:rsidRDefault="00CA7DBD" w14:paraId="7B4095FA" w14:textId="1B5ED35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105.</w:t>
            </w:r>
            <w:r w:rsidRPr="00691FC1" w:rsidR="00691FC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Pr="003C2145" w:rsidR="00F70DFA" w:rsidTr="00247F97" w14:paraId="1D40C008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F70DFA" w:rsidP="00F70DFA" w:rsidRDefault="00F70DFA" w14:paraId="158FB4DD" w14:textId="085A529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717E8B" w14:paraId="451A3490" w14:textId="661FFD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17E8B">
              <w:rPr>
                <w:rFonts w:cs="Arial"/>
                <w:color w:val="000000" w:themeColor="text1"/>
                <w:sz w:val="16"/>
                <w:szCs w:val="16"/>
              </w:rPr>
              <w:t>7 194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CA7DBD" w14:paraId="195F4D95" w14:textId="1626F9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112.</w:t>
            </w:r>
            <w:r w:rsidRPr="00717E8B" w:rsidR="00717E8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9" w:type="dxa"/>
            <w:vAlign w:val="center"/>
          </w:tcPr>
          <w:p w:rsidRPr="003C2145" w:rsidR="00F70DFA" w:rsidP="00F70DFA" w:rsidRDefault="00CA7DBD" w14:paraId="78301BBA" w14:textId="734D4FC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Pr="00717E8B" w:rsidR="00717E8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Pr="003C2145" w:rsidR="00F70DFA" w:rsidP="00F70DFA" w:rsidRDefault="00691FC1" w14:paraId="68A49D2A" w14:textId="361B849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91FC1">
              <w:rPr>
                <w:rFonts w:cs="Arial"/>
                <w:color w:val="000000" w:themeColor="text1"/>
                <w:sz w:val="16"/>
                <w:szCs w:val="16"/>
              </w:rPr>
              <w:t>63 809</w:t>
            </w:r>
          </w:p>
        </w:tc>
        <w:tc>
          <w:tcPr>
            <w:tcW w:w="1276" w:type="dxa"/>
            <w:vAlign w:val="center"/>
          </w:tcPr>
          <w:p w:rsidRPr="003C2145" w:rsidR="00F70DFA" w:rsidP="00F70DFA" w:rsidRDefault="00CA7DBD" w14:paraId="0E2E31FF" w14:textId="09011F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121.</w:t>
            </w:r>
            <w:r w:rsidRPr="00691FC1" w:rsidR="00691FC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3C2145" w:rsidR="00F70DFA" w:rsidTr="00247F97" w14:paraId="508A87A2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F70DFA" w:rsidP="00F70DFA" w:rsidRDefault="00F70DFA" w14:paraId="5813B5D1" w14:textId="48E027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717E8B" w14:paraId="0732F4A3" w14:textId="6E46F2A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17E8B">
              <w:rPr>
                <w:rFonts w:cs="Arial"/>
                <w:color w:val="000000" w:themeColor="text1"/>
                <w:sz w:val="16"/>
                <w:szCs w:val="16"/>
              </w:rPr>
              <w:t>14 514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CA7DBD" w14:paraId="48DFBF4C" w14:textId="4E20483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116.</w:t>
            </w:r>
            <w:r w:rsidRPr="00717E8B" w:rsidR="00717E8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9" w:type="dxa"/>
            <w:vAlign w:val="center"/>
          </w:tcPr>
          <w:p w:rsidRPr="003C2145" w:rsidR="00F70DFA" w:rsidP="00F70DFA" w:rsidRDefault="00CA7DBD" w14:paraId="4ABA9549" w14:textId="5F64BBF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126.</w:t>
            </w:r>
            <w:r w:rsidRPr="00717E8B" w:rsidR="00717E8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Pr="003C2145" w:rsidR="00F70DFA" w:rsidP="00F70DFA" w:rsidRDefault="00691FC1" w14:paraId="72FDE0B7" w14:textId="3ED0695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91FC1">
              <w:rPr>
                <w:rFonts w:cs="Arial"/>
                <w:color w:val="000000" w:themeColor="text1"/>
                <w:sz w:val="16"/>
                <w:szCs w:val="16"/>
              </w:rPr>
              <w:t>97 295</w:t>
            </w:r>
          </w:p>
        </w:tc>
        <w:tc>
          <w:tcPr>
            <w:tcW w:w="1276" w:type="dxa"/>
            <w:vAlign w:val="center"/>
          </w:tcPr>
          <w:p w:rsidRPr="003C2145" w:rsidR="00F70DFA" w:rsidP="00F70DFA" w:rsidRDefault="00CA7DBD" w14:paraId="10A2CC76" w14:textId="7CB5392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</w:t>
            </w:r>
            <w:r w:rsidRPr="00691FC1" w:rsidR="00691FC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Pr="003C2145" w:rsidR="00F70DFA" w:rsidTr="00247F97" w14:paraId="58824C75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F70DFA" w:rsidP="00F70DFA" w:rsidRDefault="00F70DFA" w14:paraId="6D82379A" w14:textId="48F6CDE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717E8B" w14:paraId="379C0269" w14:textId="4AE8A1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17E8B">
              <w:rPr>
                <w:rFonts w:cs="Arial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CA7DBD" w14:paraId="77154C89" w14:textId="058A0E2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540.</w:t>
            </w:r>
            <w:r w:rsidRPr="00717E8B" w:rsidR="00717E8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9" w:type="dxa"/>
            <w:vAlign w:val="center"/>
          </w:tcPr>
          <w:p w:rsidRPr="003C2145" w:rsidR="00F70DFA" w:rsidP="00F70DFA" w:rsidRDefault="00CA7DBD" w14:paraId="07260E2C" w14:textId="1CF9FE1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54.</w:t>
            </w:r>
            <w:r w:rsidRPr="00717E8B" w:rsidR="00717E8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Pr="003C2145" w:rsidR="00F70DFA" w:rsidP="00F70DFA" w:rsidRDefault="00691FC1" w14:paraId="59FA5EC3" w14:textId="61C9A99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91FC1">
              <w:rPr>
                <w:rFonts w:cs="Arial"/>
                <w:color w:val="000000" w:themeColor="text1"/>
                <w:sz w:val="16"/>
                <w:szCs w:val="16"/>
              </w:rPr>
              <w:t>1 611</w:t>
            </w:r>
          </w:p>
        </w:tc>
        <w:tc>
          <w:tcPr>
            <w:tcW w:w="1276" w:type="dxa"/>
            <w:vAlign w:val="center"/>
          </w:tcPr>
          <w:p w:rsidRPr="003C2145" w:rsidR="00F70DFA" w:rsidP="00F70DFA" w:rsidRDefault="00CA7DBD" w14:paraId="75124231" w14:textId="2360E39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142.</w:t>
            </w:r>
            <w:r w:rsidRPr="00691FC1" w:rsidR="00691FC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3C2145" w:rsidR="00F70DFA" w:rsidTr="00247F97" w14:paraId="2288CE1E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F70DFA" w:rsidP="00F70DFA" w:rsidRDefault="00F70DFA" w14:paraId="19BC0BAF" w14:textId="12E2EC4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717E8B" w14:paraId="5E18F09E" w14:textId="3F6699D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717E8B" w14:paraId="7DD3D881" w14:textId="75F6734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:rsidRPr="003C2145" w:rsidR="00F70DFA" w:rsidP="00F70DFA" w:rsidRDefault="00717E8B" w14:paraId="4325B769" w14:textId="325605F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3C2145" w:rsidR="00F70DFA" w:rsidP="00F70DFA" w:rsidRDefault="00691FC1" w14:paraId="18FA1C60" w14:textId="5B0DE3B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91FC1">
              <w:rPr>
                <w:rFonts w:cs="Arial"/>
                <w:color w:val="000000" w:themeColor="text1"/>
                <w:sz w:val="16"/>
                <w:szCs w:val="16"/>
              </w:rPr>
              <w:t>1 352</w:t>
            </w:r>
          </w:p>
        </w:tc>
        <w:tc>
          <w:tcPr>
            <w:tcW w:w="1276" w:type="dxa"/>
            <w:vAlign w:val="center"/>
          </w:tcPr>
          <w:p w:rsidRPr="003C2145" w:rsidR="00F70DFA" w:rsidP="00F70DFA" w:rsidRDefault="00CA7DBD" w14:paraId="4E1F5190" w14:textId="57EF56B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135.</w:t>
            </w:r>
            <w:r w:rsidRPr="00691FC1" w:rsidR="00691FC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3C2145" w:rsidR="00F70DFA" w:rsidTr="00152A93" w14:paraId="3F448AE5" w14:textId="77777777">
        <w:trPr>
          <w:trHeight w:val="308"/>
        </w:trPr>
        <w:tc>
          <w:tcPr>
            <w:tcW w:w="2049" w:type="dxa"/>
            <w:vAlign w:val="center"/>
          </w:tcPr>
          <w:p w:rsidRPr="003C2145" w:rsidR="00F70DFA" w:rsidP="00F70DFA" w:rsidRDefault="00F70DFA" w14:paraId="75580F57" w14:textId="38954F5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717E8B" w14:paraId="4E517085" w14:textId="51E74E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17E8B">
              <w:rPr>
                <w:rFonts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06" w:type="dxa"/>
            <w:vAlign w:val="center"/>
          </w:tcPr>
          <w:p w:rsidRPr="003C2145" w:rsidR="00F70DFA" w:rsidP="00521ABB" w:rsidRDefault="00521ABB" w14:paraId="25567828" w14:textId="2031D58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 19-fold less</w:t>
            </w:r>
          </w:p>
        </w:tc>
        <w:tc>
          <w:tcPr>
            <w:tcW w:w="1209" w:type="dxa"/>
            <w:vAlign w:val="center"/>
          </w:tcPr>
          <w:p w:rsidRPr="003C2145" w:rsidR="00F70DFA" w:rsidP="00F70DFA" w:rsidRDefault="00CA7DBD" w14:paraId="014C6835" w14:textId="1AD7778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52.</w:t>
            </w:r>
            <w:r w:rsidRPr="00717E8B" w:rsidR="00717E8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Pr="00BC3F05" w:rsidR="00F70DFA" w:rsidP="00F70DFA" w:rsidRDefault="00691FC1" w14:paraId="6B466C47" w14:textId="2AAF54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91FC1">
              <w:rPr>
                <w:rFonts w:cs="Arial"/>
                <w:color w:val="000000" w:themeColor="text1"/>
                <w:sz w:val="16"/>
                <w:szCs w:val="16"/>
              </w:rPr>
              <w:t>964</w:t>
            </w:r>
          </w:p>
        </w:tc>
        <w:tc>
          <w:tcPr>
            <w:tcW w:w="1276" w:type="dxa"/>
            <w:vAlign w:val="center"/>
          </w:tcPr>
          <w:p w:rsidRPr="003C2145" w:rsidR="00F70DFA" w:rsidP="00F70DFA" w:rsidRDefault="00CA7DBD" w14:paraId="07B4D463" w14:textId="39E2E76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141.</w:t>
            </w:r>
            <w:r w:rsidRPr="00691FC1" w:rsidR="00691FC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3C2145" w:rsidR="00F70DFA" w:rsidTr="00247F97" w14:paraId="0BA0AF5E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F70DFA" w:rsidP="00F70DFA" w:rsidRDefault="00F70DFA" w14:paraId="43913E1F" w14:textId="45BC4A8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717E8B" w14:paraId="3608F751" w14:textId="1DD96A5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17E8B">
              <w:rPr>
                <w:rFonts w:cs="Arial"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CA7DBD" w14:paraId="11049FEB" w14:textId="7E4D338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354.</w:t>
            </w:r>
            <w:r w:rsidRPr="00717E8B" w:rsidR="00717E8B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9" w:type="dxa"/>
            <w:vAlign w:val="center"/>
          </w:tcPr>
          <w:p w:rsidRPr="003C2145" w:rsidR="00F70DFA" w:rsidP="00F70DFA" w:rsidRDefault="00CA7DBD" w14:paraId="7977A467" w14:textId="26952B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81.</w:t>
            </w:r>
            <w:r w:rsidRPr="00717E8B" w:rsidR="00717E8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Pr="003C2145" w:rsidR="00F70DFA" w:rsidP="00F70DFA" w:rsidRDefault="00691FC1" w14:paraId="7DEAFFCC" w14:textId="6A9C1AF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691FC1">
              <w:rPr>
                <w:rFonts w:cs="Arial"/>
                <w:color w:val="000000" w:themeColor="text1"/>
                <w:sz w:val="16"/>
                <w:szCs w:val="16"/>
              </w:rPr>
              <w:t>926</w:t>
            </w:r>
          </w:p>
        </w:tc>
        <w:tc>
          <w:tcPr>
            <w:tcW w:w="1276" w:type="dxa"/>
            <w:vAlign w:val="center"/>
          </w:tcPr>
          <w:p w:rsidRPr="003C2145" w:rsidR="00F70DFA" w:rsidP="00F70DFA" w:rsidRDefault="00CA7DBD" w14:paraId="3B642308" w14:textId="04E923C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Pr="00691FC1" w:rsidR="00691FC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Pr="003C2145" w:rsidR="00F70DFA" w:rsidTr="00247F97" w14:paraId="0EA6F2E3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F70DFA" w:rsidP="00F70DFA" w:rsidRDefault="00F70DFA" w14:paraId="2E746B3D" w14:textId="6F124B6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717E8B" w14:paraId="4342BE94" w14:textId="1FA1A8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17E8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Pr="003C2145" w:rsidR="00F70DFA" w:rsidP="00F70DFA" w:rsidRDefault="00717E8B" w14:paraId="72960F2D" w14:textId="53DE31F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:rsidRPr="003C2145" w:rsidR="00F70DFA" w:rsidP="00F70DFA" w:rsidRDefault="00CA7DBD" w14:paraId="01D12245" w14:textId="0B810F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</w:t>
            </w:r>
            <w:r w:rsidRPr="00717E8B" w:rsidR="00717E8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Pr="003C2145" w:rsidR="00F70DFA" w:rsidP="00F70DFA" w:rsidRDefault="00691FC1" w14:paraId="4F1C5A5A" w14:textId="7AA001A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691FC1"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276" w:type="dxa"/>
            <w:vAlign w:val="center"/>
          </w:tcPr>
          <w:p w:rsidRPr="003C2145" w:rsidR="00F70DFA" w:rsidP="00F70DFA" w:rsidRDefault="00CA7DBD" w14:paraId="0DC30BC3" w14:textId="4C0AEBE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330.</w:t>
            </w:r>
            <w:r w:rsidRPr="00691FC1" w:rsidR="00691FC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bookmarkEnd w:id="0"/>
    </w:tbl>
    <w:p w:rsidRPr="004829B9" w:rsidR="00054314" w:rsidP="00054314" w:rsidRDefault="00054314" w14:paraId="4C4EBE85" w14:textId="7BD13EA5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val="en-GB" w:eastAsia="pl-PL"/>
        </w:rPr>
      </w:pPr>
    </w:p>
    <w:p w:rsidRPr="004829B9" w:rsidR="00154AC9" w:rsidP="00896EB9" w:rsidRDefault="00154AC9" w14:paraId="03EFC1DF" w14:textId="77777777">
      <w:pPr>
        <w:rPr>
          <w:shd w:val="clear" w:color="auto" w:fill="FFFFFF"/>
          <w:lang w:val="en-GB"/>
        </w:rPr>
      </w:pPr>
    </w:p>
    <w:p w:rsidR="007C58D3" w:rsidP="008F6310" w:rsidRDefault="007C58D3" w14:paraId="6E432B7F" w14:textId="77777777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:rsidR="00F70DFA" w:rsidP="008F6310" w:rsidRDefault="00F70DFA" w14:paraId="17AF9227" w14:textId="77777777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:rsidR="00717E8B" w:rsidP="008F6310" w:rsidRDefault="00717E8B" w14:paraId="255D46D0" w14:textId="77777777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:rsidRPr="004829B9" w:rsidR="00896EB9" w:rsidP="008F6310" w:rsidRDefault="00896EB9" w14:paraId="2D03BCD7" w14:textId="4A2941C6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:rsidRPr="004829B9" w:rsidR="00C47CE4" w:rsidP="00896EB9" w:rsidRDefault="003557A1" w14:paraId="03705375" w14:textId="189EFDBE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editId="3BFE8BC8" wp14:anchorId="51E55D6D">
                <wp:simplePos x="0" y="0"/>
                <wp:positionH relativeFrom="rightMargin">
                  <wp:posOffset>89535</wp:posOffset>
                </wp:positionH>
                <wp:positionV relativeFrom="paragraph">
                  <wp:posOffset>6516</wp:posOffset>
                </wp:positionV>
                <wp:extent cx="179699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AD1492" w:rsidR="00574E89" w:rsidP="00C47CE4" w:rsidRDefault="00574E89" w14:paraId="35DCCB4E" w14:textId="53BBC73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0D0D69">
                              <w:rPr>
                                <w:lang w:val="en-US"/>
                              </w:rPr>
                              <w:t xml:space="preserve">in the period </w:t>
                            </w:r>
                            <w:r w:rsidR="005744C0">
                              <w:rPr>
                                <w:lang w:val="en-US"/>
                              </w:rPr>
                              <w:t>of I-</w:t>
                            </w:r>
                            <w:r w:rsidR="008A130C">
                              <w:rPr>
                                <w:lang w:val="en-US"/>
                              </w:rPr>
                              <w:t>IX</w:t>
                            </w:r>
                            <w:r>
                              <w:rPr>
                                <w:lang w:val="en-US"/>
                              </w:rPr>
                              <w:t xml:space="preserve"> 2021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8A130C">
                              <w:rPr>
                                <w:lang w:val="en-US"/>
                              </w:rPr>
                              <w:t>32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8A130C">
                              <w:rPr>
                                <w:lang w:val="en-US"/>
                              </w:rPr>
                              <w:t>4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E55D6D">
                <v:stroke joinstyle="miter"/>
                <v:path gradientshapeok="t" o:connecttype="rect"/>
              </v:shapetype>
              <v:shape id="Pole tekstowe 15" style="position:absolute;margin-left:7.05pt;margin-top:.5pt;width:141.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">
                <v:textbox>
                  <w:txbxContent>
                    <w:p w:rsidRPr="00AD1492" w:rsidR="00574E89" w:rsidP="00C47CE4" w:rsidRDefault="00574E89" w14:paraId="35DCCB4E" w14:textId="53BBC73D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0D0D69">
                        <w:rPr>
                          <w:lang w:val="en-US"/>
                        </w:rPr>
                        <w:t xml:space="preserve">in the period </w:t>
                      </w:r>
                      <w:r w:rsidR="005744C0">
                        <w:rPr>
                          <w:lang w:val="en-US"/>
                        </w:rPr>
                        <w:t>of I-</w:t>
                      </w:r>
                      <w:r w:rsidR="008A130C">
                        <w:rPr>
                          <w:lang w:val="en-US"/>
                        </w:rPr>
                        <w:t>IX</w:t>
                      </w:r>
                      <w:r>
                        <w:rPr>
                          <w:lang w:val="en-US"/>
                        </w:rPr>
                        <w:t xml:space="preserve"> 2021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 w:rsidR="008A130C">
                        <w:rPr>
                          <w:lang w:val="en-US"/>
                        </w:rPr>
                        <w:t>32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8A130C">
                        <w:rPr>
                          <w:lang w:val="en-US"/>
                        </w:rPr>
                        <w:t>4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A9A">
        <w:rPr>
          <w:noProof/>
          <w:lang w:val="en-GB" w:eastAsia="pl-PL"/>
        </w:rPr>
        <w:t xml:space="preserve">From the beginning of the year </w:t>
      </w:r>
      <w:r w:rsidR="005702F8">
        <w:rPr>
          <w:noProof/>
          <w:lang w:val="en-GB" w:eastAsia="pl-PL"/>
        </w:rPr>
        <w:t>until the end of</w:t>
      </w:r>
      <w:r w:rsidR="004A3A9A">
        <w:rPr>
          <w:noProof/>
          <w:lang w:val="en-GB" w:eastAsia="pl-PL"/>
        </w:rPr>
        <w:t xml:space="preserve"> </w:t>
      </w:r>
      <w:r w:rsidR="008A130C">
        <w:rPr>
          <w:noProof/>
          <w:lang w:val="en-GB" w:eastAsia="pl-PL"/>
        </w:rPr>
        <w:t>September</w:t>
      </w:r>
      <w:r w:rsidR="004A3A9A">
        <w:rPr>
          <w:noProof/>
          <w:lang w:val="en-GB" w:eastAsia="pl-PL"/>
        </w:rPr>
        <w:t xml:space="preserve"> 2021</w:t>
      </w:r>
      <w:r w:rsidR="000348CC">
        <w:rPr>
          <w:szCs w:val="19"/>
          <w:shd w:val="clear" w:color="auto" w:fill="FFFFFF"/>
          <w:lang w:val="en-GB"/>
        </w:rPr>
        <w:t>,</w:t>
      </w:r>
      <w:r w:rsidRPr="004829B9" w:rsidR="00BD1D77">
        <w:rPr>
          <w:szCs w:val="19"/>
          <w:shd w:val="clear" w:color="auto" w:fill="FFFFFF"/>
          <w:lang w:val="en-GB"/>
        </w:rPr>
        <w:t xml:space="preserve"> </w:t>
      </w:r>
      <w:r w:rsidRPr="004829B9" w:rsidR="00C47CE4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Pr="004829B9" w:rsidR="00C47CE4">
        <w:rPr>
          <w:shd w:val="clear" w:color="auto" w:fill="FFFFFF"/>
          <w:lang w:val="en-GB"/>
        </w:rPr>
        <w:t xml:space="preserve">construction of </w:t>
      </w:r>
      <w:r w:rsidR="008A130C">
        <w:rPr>
          <w:shd w:val="clear" w:color="auto" w:fill="FFFFFF"/>
          <w:lang w:val="en-GB"/>
        </w:rPr>
        <w:t>254</w:t>
      </w:r>
      <w:r w:rsidR="00DE7DD4">
        <w:rPr>
          <w:shd w:val="clear" w:color="auto" w:fill="FFFFFF"/>
          <w:lang w:val="en-GB"/>
        </w:rPr>
        <w:t>.</w:t>
      </w:r>
      <w:r w:rsidR="008A130C">
        <w:rPr>
          <w:shd w:val="clear" w:color="auto" w:fill="FFFFFF"/>
          <w:lang w:val="en-GB"/>
        </w:rPr>
        <w:t>7</w:t>
      </w:r>
      <w:r w:rsidR="00C571F3">
        <w:rPr>
          <w:shd w:val="clear" w:color="auto" w:fill="FFFFFF"/>
          <w:lang w:val="en-GB"/>
        </w:rPr>
        <w:t> </w:t>
      </w:r>
      <w:r w:rsidRPr="004829B9" w:rsidR="00086F9F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Pr="004829B9" w:rsidR="00FD0C2F">
        <w:rPr>
          <w:shd w:val="clear" w:color="auto" w:fill="FFFFFF"/>
          <w:lang w:val="en-GB"/>
        </w:rPr>
        <w:t xml:space="preserve"> dwellings, </w:t>
      </w:r>
      <w:r w:rsidRPr="004829B9" w:rsidR="00C47CE4">
        <w:rPr>
          <w:shd w:val="clear" w:color="auto" w:fill="FFFFFF"/>
          <w:lang w:val="en-GB"/>
        </w:rPr>
        <w:t xml:space="preserve">i.e. by </w:t>
      </w:r>
      <w:r w:rsidR="008A130C">
        <w:rPr>
          <w:shd w:val="clear" w:color="auto" w:fill="FFFFFF"/>
          <w:lang w:val="en-GB"/>
        </w:rPr>
        <w:t>32</w:t>
      </w:r>
      <w:r w:rsidRPr="004829B9" w:rsidR="00E245E1">
        <w:rPr>
          <w:shd w:val="clear" w:color="auto" w:fill="FFFFFF"/>
          <w:lang w:val="en-GB"/>
        </w:rPr>
        <w:t>.</w:t>
      </w:r>
      <w:r w:rsidR="008A130C">
        <w:rPr>
          <w:shd w:val="clear" w:color="auto" w:fill="FFFFFF"/>
          <w:lang w:val="en-GB"/>
        </w:rPr>
        <w:t>4</w:t>
      </w:r>
      <w:r w:rsidRPr="004829B9" w:rsidR="00C47CE4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Pr="004829B9" w:rsidR="00C47CE4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Pr="004829B9" w:rsidR="00856FE3">
        <w:rPr>
          <w:shd w:val="clear" w:color="auto" w:fill="FFFFFF"/>
          <w:lang w:val="en-GB"/>
        </w:rPr>
        <w:t xml:space="preserve">. </w:t>
      </w:r>
      <w:r w:rsidRPr="004829B9" w:rsidR="00C47CE4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Pr="004829B9" w:rsidR="00435283">
        <w:rPr>
          <w:b/>
          <w:shd w:val="clear" w:color="auto" w:fill="FFFFFF"/>
          <w:lang w:val="en-GB"/>
        </w:rPr>
        <w:t xml:space="preserve">developers </w:t>
      </w:r>
      <w:r w:rsidRPr="004829B9" w:rsidR="00BD1D77">
        <w:rPr>
          <w:shd w:val="clear" w:color="auto" w:fill="FFFFFF"/>
          <w:lang w:val="en-GB"/>
        </w:rPr>
        <w:t>(</w:t>
      </w:r>
      <w:r w:rsidR="008A130C">
        <w:rPr>
          <w:shd w:val="clear" w:color="auto" w:fill="FFFFFF"/>
          <w:lang w:val="en-GB"/>
        </w:rPr>
        <w:t>157</w:t>
      </w:r>
      <w:r w:rsidR="00DE7DD4">
        <w:rPr>
          <w:shd w:val="clear" w:color="auto" w:fill="FFFFFF"/>
          <w:lang w:val="en-GB"/>
        </w:rPr>
        <w:t>.</w:t>
      </w:r>
      <w:r w:rsidR="008A130C">
        <w:rPr>
          <w:shd w:val="clear" w:color="auto" w:fill="FFFFFF"/>
          <w:lang w:val="en-GB"/>
        </w:rPr>
        <w:t>5</w:t>
      </w:r>
      <w:r w:rsidR="000D0D69">
        <w:rPr>
          <w:shd w:val="clear" w:color="auto" w:fill="FFFFFF"/>
          <w:lang w:val="en-GB"/>
        </w:rPr>
        <w:t> </w:t>
      </w:r>
      <w:r w:rsidRPr="004829B9" w:rsidR="00086F9F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8A130C">
        <w:rPr>
          <w:shd w:val="clear" w:color="auto" w:fill="FFFFFF"/>
          <w:lang w:val="en-GB"/>
        </w:rPr>
        <w:t xml:space="preserve"> increase of 36.9%</w:t>
      </w:r>
      <w:r w:rsidR="00FE3A83">
        <w:rPr>
          <w:shd w:val="clear" w:color="auto" w:fill="FFFFFF"/>
          <w:lang w:val="en-GB"/>
        </w:rPr>
        <w:t xml:space="preserve"> y/y</w:t>
      </w:r>
      <w:r w:rsidRPr="004829B9" w:rsidR="00BD1D77">
        <w:rPr>
          <w:shd w:val="clear" w:color="auto" w:fill="FFFFFF"/>
          <w:lang w:val="en-GB"/>
        </w:rPr>
        <w:t>)</w:t>
      </w:r>
      <w:r w:rsidRPr="004829B9" w:rsidR="00C47CE4">
        <w:rPr>
          <w:shd w:val="clear" w:color="auto" w:fill="FFFFFF"/>
          <w:lang w:val="en-GB"/>
        </w:rPr>
        <w:t xml:space="preserve"> and to </w:t>
      </w:r>
      <w:r w:rsidRPr="004829B9" w:rsidR="00C47CE4">
        <w:rPr>
          <w:b/>
          <w:shd w:val="clear" w:color="auto" w:fill="FFFFFF"/>
          <w:lang w:val="en-GB"/>
        </w:rPr>
        <w:t>private investors</w:t>
      </w:r>
      <w:r w:rsidRPr="004829B9" w:rsidR="00BD1D77">
        <w:rPr>
          <w:shd w:val="clear" w:color="auto" w:fill="FFFFFF"/>
          <w:lang w:val="en-GB"/>
        </w:rPr>
        <w:t xml:space="preserve"> (</w:t>
      </w:r>
      <w:r w:rsidR="008A130C">
        <w:rPr>
          <w:shd w:val="clear" w:color="auto" w:fill="FFFFFF"/>
          <w:lang w:val="en-GB"/>
        </w:rPr>
        <w:t>94</w:t>
      </w:r>
      <w:r w:rsidR="00DE7DD4">
        <w:rPr>
          <w:shd w:val="clear" w:color="auto" w:fill="FFFFFF"/>
          <w:lang w:val="en-GB"/>
        </w:rPr>
        <w:t>.</w:t>
      </w:r>
      <w:r w:rsidR="008A130C">
        <w:rPr>
          <w:shd w:val="clear" w:color="auto" w:fill="FFFFFF"/>
          <w:lang w:val="en-GB"/>
        </w:rPr>
        <w:t>4</w:t>
      </w:r>
      <w:r w:rsidRPr="00DE7DD4" w:rsidR="00DE7DD4">
        <w:rPr>
          <w:shd w:val="clear" w:color="auto" w:fill="FFFFFF"/>
          <w:lang w:val="en-GB"/>
        </w:rPr>
        <w:t xml:space="preserve"> </w:t>
      </w:r>
      <w:r w:rsidRPr="004829B9" w:rsidR="00086F9F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8A130C">
        <w:rPr>
          <w:shd w:val="clear" w:color="auto" w:fill="FFFFFF"/>
          <w:lang w:val="en-GB"/>
        </w:rPr>
        <w:t>, an increase of 25.7</w:t>
      </w:r>
      <w:r w:rsidRPr="00B7342E" w:rsidR="00FE3A83">
        <w:rPr>
          <w:shd w:val="clear" w:color="auto" w:fill="FFFFFF"/>
          <w:lang w:val="en-GB"/>
        </w:rPr>
        <w:t>%</w:t>
      </w:r>
      <w:r w:rsidRPr="00B7342E" w:rsidR="00BD1D77">
        <w:rPr>
          <w:shd w:val="clear" w:color="auto" w:fill="FFFFFF"/>
          <w:lang w:val="en-GB"/>
        </w:rPr>
        <w:t>)</w:t>
      </w:r>
      <w:r w:rsidRPr="004829B9" w:rsidR="00CF36C5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Pr="004829B9" w:rsidR="00507D43">
        <w:rPr>
          <w:shd w:val="clear" w:color="auto" w:fill="FFFFFF"/>
          <w:lang w:val="en-GB"/>
        </w:rPr>
        <w:t xml:space="preserve"> </w:t>
      </w:r>
      <w:r w:rsidRPr="004829B9" w:rsidR="000A7C88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Pr="000A40DF" w:rsid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93EA6">
        <w:rPr>
          <w:shd w:val="clear" w:color="auto" w:fill="FFFFFF"/>
          <w:lang w:val="en-GB"/>
        </w:rPr>
        <w:t xml:space="preserve"> 98</w:t>
      </w:r>
      <w:r w:rsidRPr="004829B9" w:rsidR="001A1F89">
        <w:rPr>
          <w:shd w:val="clear" w:color="auto" w:fill="FFFFFF"/>
          <w:lang w:val="en-GB"/>
        </w:rPr>
        <w:t>.</w:t>
      </w:r>
      <w:r w:rsidR="00303D96">
        <w:rPr>
          <w:shd w:val="clear" w:color="auto" w:fill="FFFFFF"/>
          <w:lang w:val="en-GB"/>
        </w:rPr>
        <w:t>9</w:t>
      </w:r>
      <w:r w:rsidRPr="004829B9" w:rsidR="000A7C88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Pr="004829B9" w:rsidR="00507D43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Pr="004B638F" w:rsidR="00C214E1">
        <w:rPr>
          <w:spacing w:val="-4"/>
          <w:shd w:val="clear" w:color="auto" w:fill="FFFFFF"/>
          <w:lang w:val="en-GB"/>
        </w:rPr>
        <w:t xml:space="preserve"> </w:t>
      </w:r>
      <w:r w:rsidRPr="00B64363" w:rsid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Pr="00B64363" w:rsidR="00B64363">
        <w:rPr>
          <w:spacing w:val="-4"/>
          <w:shd w:val="clear" w:color="auto" w:fill="FFFFFF"/>
          <w:lang w:val="en-GB"/>
        </w:rPr>
        <w:t xml:space="preserve">of construction </w:t>
      </w:r>
      <w:r w:rsidR="00303D96">
        <w:rPr>
          <w:spacing w:val="-4"/>
          <w:shd w:val="clear" w:color="auto" w:fill="FFFFFF"/>
          <w:lang w:val="en-GB"/>
        </w:rPr>
        <w:t xml:space="preserve">2 </w:t>
      </w:r>
      <w:r w:rsidR="008A130C">
        <w:rPr>
          <w:spacing w:val="-4"/>
          <w:shd w:val="clear" w:color="auto" w:fill="FFFFFF"/>
          <w:lang w:val="en-GB"/>
        </w:rPr>
        <w:t>781</w:t>
      </w:r>
      <w:r w:rsidRPr="00D93EA6" w:rsidR="00D93EA6">
        <w:rPr>
          <w:spacing w:val="-4"/>
          <w:shd w:val="clear" w:color="auto" w:fill="FFFFFF"/>
          <w:lang w:val="en-GB"/>
        </w:rPr>
        <w:t xml:space="preserve"> </w:t>
      </w:r>
      <w:r w:rsidRPr="00B64363" w:rsid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Pr="004829B9" w:rsidR="00507D43">
        <w:rPr>
          <w:shd w:val="clear" w:color="auto" w:fill="FFFFFF"/>
          <w:lang w:val="en-GB"/>
        </w:rPr>
        <w:t xml:space="preserve">for which permits have been granted or which have been registered </w:t>
      </w:r>
      <w:r w:rsidRPr="004829B9" w:rsidR="000E65E1">
        <w:rPr>
          <w:shd w:val="clear" w:color="auto" w:fill="FFFFFF"/>
          <w:lang w:val="en-GB"/>
        </w:rPr>
        <w:t>with a </w:t>
      </w:r>
      <w:r w:rsidRPr="004829B9" w:rsidR="00507D43">
        <w:rPr>
          <w:shd w:val="clear" w:color="auto" w:fill="FFFFFF"/>
          <w:lang w:val="en-GB"/>
        </w:rPr>
        <w:t xml:space="preserve">construction project </w:t>
      </w:r>
      <w:r w:rsidRPr="004829B9" w:rsidR="00C47CE4">
        <w:rPr>
          <w:shd w:val="clear" w:color="auto" w:fill="FFFFFF"/>
          <w:lang w:val="en-GB"/>
        </w:rPr>
        <w:t xml:space="preserve">were </w:t>
      </w:r>
      <w:r w:rsidRPr="004829B9" w:rsidR="00CD44F1">
        <w:rPr>
          <w:shd w:val="clear" w:color="auto" w:fill="FFFFFF"/>
          <w:lang w:val="en-GB"/>
        </w:rPr>
        <w:t>not</w:t>
      </w:r>
      <w:r w:rsidRPr="004829B9" w:rsidR="00507D43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6E35EE">
        <w:rPr>
          <w:shd w:val="clear" w:color="auto" w:fill="FFFFFF"/>
          <w:lang w:val="en-GB"/>
        </w:rPr>
        <w:t xml:space="preserve">2 </w:t>
      </w:r>
      <w:r w:rsidR="008A130C">
        <w:rPr>
          <w:shd w:val="clear" w:color="auto" w:fill="FFFFFF"/>
          <w:lang w:val="en-GB"/>
        </w:rPr>
        <w:t>265</w:t>
      </w:r>
      <w:r w:rsidRPr="00D93EA6" w:rsidR="00D93EA6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:rsidRPr="004829B9" w:rsidR="00896EB9" w:rsidP="00DE7DD4" w:rsidRDefault="00896EB9" w14:paraId="073E70B2" w14:textId="77777777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Pr="004075A5" w:rsidR="009742AF" w:rsidTr="00574E89" w14:paraId="652EDD20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4075A5" w:rsidR="009742AF" w:rsidP="00574E89" w:rsidRDefault="009742AF" w14:paraId="3AA568A9" w14:textId="2D9D8E34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3" w:id="1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Pr="004075A5" w:rsidR="009742AF" w:rsidP="00574E89" w:rsidRDefault="009742AF" w14:paraId="76ACFB3A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4075A5" w:rsidR="009742AF" w:rsidTr="00574E89" w14:paraId="407E8CA0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9742AF" w14:paraId="51E5F49B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774785" w14:paraId="7DE5D24B" w14:textId="49C392E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4075A5" w:rsidR="009742AF" w:rsidP="00574E89" w:rsidRDefault="009742AF" w14:paraId="74C18E57" w14:textId="288D9C0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Pr="004075A5" w:rsidR="009742AF" w:rsidTr="00574E89" w14:paraId="34D84E6E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9742AF" w14:paraId="51E5BB0D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9742AF" w14:paraId="7545D542" w14:textId="018F2B6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81" w:type="dxa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774785" w14:paraId="131348A1" w14:textId="61D43F1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774785" w14:paraId="65D60182" w14:textId="081D92C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VIII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 xml:space="preserve"> 2</w:t>
            </w:r>
            <w:r w:rsidR="009742AF">
              <w:rPr>
                <w:color w:val="000000" w:themeColor="text1"/>
                <w:sz w:val="16"/>
                <w:szCs w:val="16"/>
              </w:rPr>
              <w:t>021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9742AF" w14:paraId="5E04BAD5" w14:textId="3C487BC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4075A5" w:rsidR="009742AF" w:rsidP="00574E89" w:rsidRDefault="005744C0" w14:paraId="768058B7" w14:textId="78FD52B3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IX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Pr="004075A5" w:rsidR="009742A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4075A5" w:rsidR="00F70DFA" w:rsidTr="00574E89" w14:paraId="363C5E69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4075A5" w:rsidR="00F70DFA" w:rsidP="00F70DFA" w:rsidRDefault="00F70DFA" w14:paraId="6945A5CE" w14:textId="0F3C1913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4075A5" w:rsidR="00F70DFA" w:rsidP="00F70DFA" w:rsidRDefault="001A58F4" w14:paraId="2FF6B37E" w14:textId="796B277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1A58F4">
              <w:rPr>
                <w:rFonts w:cs="Arial"/>
                <w:b/>
                <w:sz w:val="16"/>
                <w:szCs w:val="16"/>
              </w:rPr>
              <w:t>27 264</w:t>
            </w:r>
          </w:p>
        </w:tc>
        <w:tc>
          <w:tcPr>
            <w:tcW w:w="1281" w:type="dxa"/>
            <w:tcBorders>
              <w:top w:val="single" w:color="212492" w:sz="12" w:space="0"/>
            </w:tcBorders>
            <w:vAlign w:val="center"/>
          </w:tcPr>
          <w:p w:rsidRPr="004075A5" w:rsidR="00F70DFA" w:rsidP="00F70DFA" w:rsidRDefault="00CA7DBD" w14:paraId="2650B294" w14:textId="1608968B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114.</w:t>
            </w:r>
            <w:r w:rsidRPr="001A58F4" w:rsidR="001A58F4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F70DFA" w:rsidP="00F70DFA" w:rsidRDefault="00CA7DBD" w14:paraId="00DFAE63" w14:textId="13D97E2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101.</w:t>
            </w:r>
            <w:r w:rsidRPr="001A58F4" w:rsidR="001A58F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F70DFA" w:rsidP="00F70DFA" w:rsidRDefault="00774785" w14:paraId="2031BE8B" w14:textId="2FEC9A6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74785">
              <w:rPr>
                <w:rFonts w:cs="Arial"/>
                <w:b/>
                <w:sz w:val="16"/>
                <w:szCs w:val="16"/>
              </w:rPr>
              <w:t>254 666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4075A5" w:rsidR="00F70DFA" w:rsidP="00F70DFA" w:rsidRDefault="00CA7DBD" w14:paraId="2F67A547" w14:textId="60A008D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132.</w:t>
            </w:r>
            <w:r w:rsidRPr="005537BF" w:rsidR="005537BF">
              <w:rPr>
                <w:rFonts w:cs="Arial"/>
                <w:b/>
                <w:sz w:val="16"/>
                <w:szCs w:val="16"/>
              </w:rPr>
              <w:t>4</w:t>
            </w:r>
          </w:p>
        </w:tc>
      </w:tr>
      <w:tr w:rsidRPr="005430E7" w:rsidR="00F70DFA" w:rsidTr="00574E89" w14:paraId="5A60AF97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F70DFA" w:rsidP="00F70DFA" w:rsidRDefault="00F70DFA" w14:paraId="44FEBA86" w14:textId="3CBD3A6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:rsidRPr="004075A5" w:rsidR="00F70DFA" w:rsidP="00F70DFA" w:rsidRDefault="001A58F4" w14:paraId="7B4676B3" w14:textId="0ABAD66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A58F4">
              <w:rPr>
                <w:rFonts w:cs="Arial"/>
                <w:sz w:val="16"/>
                <w:szCs w:val="16"/>
              </w:rPr>
              <w:t>11 572</w:t>
            </w:r>
          </w:p>
        </w:tc>
        <w:tc>
          <w:tcPr>
            <w:tcW w:w="1281" w:type="dxa"/>
            <w:vAlign w:val="center"/>
          </w:tcPr>
          <w:p w:rsidRPr="004075A5" w:rsidR="00F70DFA" w:rsidP="00F70DFA" w:rsidRDefault="00CA7DBD" w14:paraId="5944B0EE" w14:textId="01BD06E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</w:t>
            </w:r>
            <w:r w:rsidRPr="001A58F4" w:rsidR="001A58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Pr="004075A5" w:rsidR="00F70DFA" w:rsidP="00F70DFA" w:rsidRDefault="00CA7DBD" w14:paraId="3B4476B3" w14:textId="3990343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</w:t>
            </w:r>
            <w:r w:rsidRPr="001A58F4" w:rsidR="001A58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Pr="004075A5" w:rsidR="00F70DFA" w:rsidP="00F70DFA" w:rsidRDefault="00774785" w14:paraId="4C8A7B81" w14:textId="6B11046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774785">
              <w:rPr>
                <w:rFonts w:eastAsiaTheme="majorEastAsia" w:cstheme="majorBidi"/>
                <w:sz w:val="16"/>
                <w:szCs w:val="16"/>
              </w:rPr>
              <w:t>94 351</w:t>
            </w:r>
          </w:p>
        </w:tc>
        <w:tc>
          <w:tcPr>
            <w:tcW w:w="1276" w:type="dxa"/>
            <w:vAlign w:val="center"/>
          </w:tcPr>
          <w:p w:rsidRPr="005430E7" w:rsidR="00F70DFA" w:rsidP="00F70DFA" w:rsidRDefault="005537BF" w14:paraId="77B0F2D4" w14:textId="20099BA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5537BF">
              <w:rPr>
                <w:rFonts w:cs="Arial"/>
                <w:sz w:val="16"/>
                <w:szCs w:val="16"/>
              </w:rPr>
              <w:t>125</w:t>
            </w:r>
            <w:r w:rsidR="00CA7DBD">
              <w:rPr>
                <w:rFonts w:cs="Arial"/>
                <w:sz w:val="16"/>
                <w:szCs w:val="16"/>
              </w:rPr>
              <w:t>.</w:t>
            </w:r>
            <w:r w:rsidRPr="005537BF">
              <w:rPr>
                <w:rFonts w:cs="Arial"/>
                <w:sz w:val="16"/>
                <w:szCs w:val="16"/>
              </w:rPr>
              <w:t>7</w:t>
            </w:r>
          </w:p>
        </w:tc>
      </w:tr>
      <w:tr w:rsidRPr="005430E7" w:rsidR="00F70DFA" w:rsidTr="00574E89" w14:paraId="253F359E" w14:textId="77777777">
        <w:trPr>
          <w:trHeight w:val="381"/>
        </w:trPr>
        <w:tc>
          <w:tcPr>
            <w:tcW w:w="2049" w:type="dxa"/>
            <w:vAlign w:val="center"/>
          </w:tcPr>
          <w:p w:rsidRPr="005430E7" w:rsidR="00F70DFA" w:rsidP="00F70DFA" w:rsidRDefault="00F70DFA" w14:paraId="4A3D285E" w14:textId="713098B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:rsidRPr="005430E7" w:rsidR="00F70DFA" w:rsidP="00F70DFA" w:rsidRDefault="001A58F4" w14:paraId="2742894C" w14:textId="6DB46CB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1A58F4">
              <w:rPr>
                <w:rFonts w:cs="Arial"/>
                <w:sz w:val="16"/>
                <w:szCs w:val="16"/>
              </w:rPr>
              <w:t>15 305</w:t>
            </w:r>
          </w:p>
        </w:tc>
        <w:tc>
          <w:tcPr>
            <w:tcW w:w="1281" w:type="dxa"/>
            <w:vAlign w:val="center"/>
          </w:tcPr>
          <w:p w:rsidRPr="005430E7" w:rsidR="00F70DFA" w:rsidP="00F70DFA" w:rsidRDefault="00CA7DBD" w14:paraId="3E99F8B5" w14:textId="679A06C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107.</w:t>
            </w:r>
            <w:r w:rsidRPr="001A58F4" w:rsidR="001A58F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Pr="005430E7" w:rsidR="00F70DFA" w:rsidP="00F70DFA" w:rsidRDefault="00CA7DBD" w14:paraId="33E71843" w14:textId="2D8B46F2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95.</w:t>
            </w:r>
            <w:r w:rsidRPr="001A58F4" w:rsidR="001A58F4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Pr="005430E7" w:rsidR="00F70DFA" w:rsidP="00F70DFA" w:rsidRDefault="00774785" w14:paraId="439A9A61" w14:textId="7293FC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 w:rsidRPr="00774785">
              <w:rPr>
                <w:rFonts w:eastAsiaTheme="majorEastAsia" w:cstheme="majorBidi"/>
                <w:sz w:val="16"/>
                <w:szCs w:val="16"/>
              </w:rPr>
              <w:t>157 534</w:t>
            </w:r>
          </w:p>
        </w:tc>
        <w:tc>
          <w:tcPr>
            <w:tcW w:w="1276" w:type="dxa"/>
            <w:vAlign w:val="center"/>
          </w:tcPr>
          <w:p w:rsidRPr="005430E7" w:rsidR="00F70DFA" w:rsidP="00F70DFA" w:rsidRDefault="00CA7DBD" w14:paraId="1D21657D" w14:textId="1E2A8C25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136.</w:t>
            </w:r>
            <w:r w:rsidRPr="005537BF" w:rsidR="005537BF">
              <w:rPr>
                <w:rFonts w:cs="Arial"/>
                <w:sz w:val="16"/>
                <w:szCs w:val="16"/>
              </w:rPr>
              <w:t>9</w:t>
            </w:r>
          </w:p>
        </w:tc>
      </w:tr>
      <w:tr w:rsidRPr="005430E7" w:rsidR="00F70DFA" w:rsidTr="00574E89" w14:paraId="49CCABB5" w14:textId="77777777">
        <w:trPr>
          <w:trHeight w:val="254"/>
        </w:trPr>
        <w:tc>
          <w:tcPr>
            <w:tcW w:w="2049" w:type="dxa"/>
            <w:vAlign w:val="center"/>
          </w:tcPr>
          <w:p w:rsidRPr="005430E7" w:rsidR="00F70DFA" w:rsidP="00F70DFA" w:rsidRDefault="00F70DFA" w14:paraId="04F8B3A3" w14:textId="40A4038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:rsidRPr="005430E7" w:rsidR="00F70DFA" w:rsidP="00F70DFA" w:rsidRDefault="001A58F4" w14:paraId="54102165" w14:textId="32248B1F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1A58F4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1281" w:type="dxa"/>
            <w:vAlign w:val="center"/>
          </w:tcPr>
          <w:p w:rsidRPr="005430E7" w:rsidR="00F70DFA" w:rsidP="00F70DFA" w:rsidRDefault="00CA7DBD" w14:paraId="09DE0DD7" w14:textId="0A4632D4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93.</w:t>
            </w:r>
            <w:r w:rsidRPr="001A58F4" w:rsidR="001A58F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Pr="005430E7" w:rsidR="00F70DFA" w:rsidP="001A58F4" w:rsidRDefault="001A58F4" w14:paraId="26C5A508" w14:textId="3112F909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  <w:r w:rsidRPr="00F70DFA" w:rsidR="00F70DFA">
              <w:rPr>
                <w:rFonts w:cs="Arial"/>
                <w:sz w:val="16"/>
                <w:szCs w:val="16"/>
              </w:rPr>
              <w:t>- fold</w:t>
            </w:r>
            <w:r w:rsidR="00F70DF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more</w:t>
            </w:r>
          </w:p>
        </w:tc>
        <w:tc>
          <w:tcPr>
            <w:tcW w:w="1134" w:type="dxa"/>
            <w:vAlign w:val="center"/>
          </w:tcPr>
          <w:p w:rsidRPr="005430E7" w:rsidR="00F70DFA" w:rsidP="00F70DFA" w:rsidRDefault="00774785" w14:paraId="0758F907" w14:textId="1C25EB5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 w:rsidRPr="00774785">
              <w:rPr>
                <w:rFonts w:eastAsiaTheme="majorEastAsia" w:cstheme="majorBidi"/>
                <w:sz w:val="16"/>
                <w:szCs w:val="16"/>
              </w:rPr>
              <w:t>726</w:t>
            </w:r>
          </w:p>
        </w:tc>
        <w:tc>
          <w:tcPr>
            <w:tcW w:w="1276" w:type="dxa"/>
            <w:vAlign w:val="center"/>
          </w:tcPr>
          <w:p w:rsidRPr="005430E7" w:rsidR="00F70DFA" w:rsidP="00F70DFA" w:rsidRDefault="00CA7DBD" w14:paraId="3736BBBA" w14:textId="3654D22D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64.</w:t>
            </w:r>
            <w:r w:rsidRPr="005537BF" w:rsidR="005537BF">
              <w:rPr>
                <w:rFonts w:cs="Arial"/>
                <w:sz w:val="16"/>
                <w:szCs w:val="16"/>
              </w:rPr>
              <w:t>5</w:t>
            </w:r>
          </w:p>
        </w:tc>
      </w:tr>
      <w:tr w:rsidRPr="005430E7" w:rsidR="00F70DFA" w:rsidTr="00574E89" w14:paraId="6AE47FCE" w14:textId="77777777">
        <w:trPr>
          <w:trHeight w:val="57"/>
        </w:trPr>
        <w:tc>
          <w:tcPr>
            <w:tcW w:w="2049" w:type="dxa"/>
            <w:vAlign w:val="center"/>
          </w:tcPr>
          <w:p w:rsidRPr="005430E7" w:rsidR="00F70DFA" w:rsidP="00F70DFA" w:rsidRDefault="00F70DFA" w14:paraId="4BE41020" w14:textId="0370534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:rsidRPr="005430E7" w:rsidR="00F70DFA" w:rsidP="00F70DFA" w:rsidRDefault="001A58F4" w14:paraId="074B7F82" w14:textId="2B55124B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1A58F4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1281" w:type="dxa"/>
            <w:vAlign w:val="center"/>
          </w:tcPr>
          <w:p w:rsidRPr="005430E7" w:rsidR="00F70DFA" w:rsidP="00F70DFA" w:rsidRDefault="001A58F4" w14:paraId="75710FA7" w14:textId="5605F2E8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almost 38-fold more</w:t>
            </w:r>
          </w:p>
        </w:tc>
        <w:tc>
          <w:tcPr>
            <w:tcW w:w="1134" w:type="dxa"/>
            <w:vAlign w:val="center"/>
          </w:tcPr>
          <w:p w:rsidRPr="005430E7" w:rsidR="00F70DFA" w:rsidP="00F70DFA" w:rsidRDefault="00CA7DBD" w14:paraId="0D727A2C" w14:textId="12605EEE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289.</w:t>
            </w:r>
            <w:r w:rsidRPr="001A58F4" w:rsidR="001A58F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Pr="005430E7" w:rsidR="00F70DFA" w:rsidP="00F70DFA" w:rsidRDefault="00774785" w14:paraId="7BC5B13D" w14:textId="5B45755D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774785">
              <w:rPr>
                <w:sz w:val="16"/>
                <w:szCs w:val="16"/>
              </w:rPr>
              <w:t>752</w:t>
            </w:r>
          </w:p>
        </w:tc>
        <w:tc>
          <w:tcPr>
            <w:tcW w:w="1276" w:type="dxa"/>
            <w:vAlign w:val="center"/>
          </w:tcPr>
          <w:p w:rsidRPr="005430E7" w:rsidR="00F70DFA" w:rsidP="00F70DFA" w:rsidRDefault="00CA7DBD" w14:paraId="6A2D6765" w14:textId="4FA45A43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126.</w:t>
            </w:r>
            <w:r w:rsidRPr="005537BF" w:rsidR="005537BF">
              <w:rPr>
                <w:rFonts w:cs="Arial"/>
                <w:sz w:val="16"/>
                <w:szCs w:val="16"/>
              </w:rPr>
              <w:t>0</w:t>
            </w:r>
          </w:p>
        </w:tc>
      </w:tr>
      <w:tr w:rsidRPr="004075A5" w:rsidR="00F70DFA" w:rsidTr="00574E89" w14:paraId="37430476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F70DFA" w:rsidP="00F70DFA" w:rsidRDefault="00F70DFA" w14:paraId="5B07F42D" w14:textId="55C2ED0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:rsidRPr="004075A5" w:rsidR="00F70DFA" w:rsidP="00F70DFA" w:rsidRDefault="001A58F4" w14:paraId="5B2F4361" w14:textId="53B7D4D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A58F4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1281" w:type="dxa"/>
            <w:vAlign w:val="center"/>
          </w:tcPr>
          <w:p w:rsidRPr="004075A5" w:rsidR="00F70DFA" w:rsidP="00F70DFA" w:rsidRDefault="00CA7DBD" w14:paraId="3F38C2B2" w14:textId="4591B3C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204.</w:t>
            </w:r>
            <w:r w:rsidRPr="001A58F4" w:rsidR="001A58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Pr="004075A5" w:rsidR="00F70DFA" w:rsidP="00F70DFA" w:rsidRDefault="00F70DFA" w14:paraId="7F91F410" w14:textId="1D27A4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F70DFA" w:rsidP="00F70DFA" w:rsidRDefault="00774785" w14:paraId="1D4CFC01" w14:textId="104C668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774785">
              <w:rPr>
                <w:sz w:val="16"/>
                <w:szCs w:val="16"/>
              </w:rPr>
              <w:t>1 210</w:t>
            </w:r>
          </w:p>
        </w:tc>
        <w:tc>
          <w:tcPr>
            <w:tcW w:w="1276" w:type="dxa"/>
            <w:vAlign w:val="center"/>
          </w:tcPr>
          <w:p w:rsidRPr="004075A5" w:rsidR="00F70DFA" w:rsidP="00F70DFA" w:rsidRDefault="00CA7DBD" w14:paraId="2D6C854F" w14:textId="60510AF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224.</w:t>
            </w:r>
            <w:r w:rsidRPr="005537BF" w:rsidR="005537BF">
              <w:rPr>
                <w:rFonts w:cs="Arial"/>
                <w:sz w:val="16"/>
                <w:szCs w:val="16"/>
              </w:rPr>
              <w:t>1</w:t>
            </w:r>
          </w:p>
        </w:tc>
      </w:tr>
      <w:tr w:rsidRPr="005537BF" w:rsidR="00F70DFA" w:rsidTr="00574E89" w14:paraId="600577D6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F70DFA" w:rsidP="00F70DFA" w:rsidRDefault="00F70DFA" w14:paraId="210EF7C3" w14:textId="0E99839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:rsidRPr="004075A5" w:rsidR="00F70DFA" w:rsidP="00F70DFA" w:rsidRDefault="001A58F4" w14:paraId="5643C5F6" w14:textId="3817DA4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A58F4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1281" w:type="dxa"/>
            <w:vAlign w:val="center"/>
          </w:tcPr>
          <w:p w:rsidRPr="004075A5" w:rsidR="00F70DFA" w:rsidP="00F70DFA" w:rsidRDefault="00F70DFA" w14:paraId="010E4B35" w14:textId="5C731EF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F70DFA" w:rsidP="00F70DFA" w:rsidRDefault="00F70DFA" w14:paraId="1C67E5C1" w14:textId="07916C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F70DFA" w:rsidP="00F70DFA" w:rsidRDefault="00774785" w14:paraId="58E5EB1D" w14:textId="3923E8B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774785">
              <w:rPr>
                <w:sz w:val="16"/>
                <w:szCs w:val="16"/>
              </w:rPr>
              <w:t>93</w:t>
            </w:r>
          </w:p>
        </w:tc>
        <w:tc>
          <w:tcPr>
            <w:tcW w:w="1276" w:type="dxa"/>
            <w:vAlign w:val="center"/>
          </w:tcPr>
          <w:p w:rsidRPr="005537BF" w:rsidR="00F70DFA" w:rsidP="00F70DFA" w:rsidRDefault="005537BF" w14:paraId="0779A040" w14:textId="4939EE01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46,5</w:t>
            </w:r>
            <w:r w:rsidRPr="005537BF" w:rsidR="00F70DFA">
              <w:rPr>
                <w:rFonts w:cs="Arial"/>
                <w:sz w:val="16"/>
                <w:szCs w:val="16"/>
                <w:lang w:val="en-GB"/>
              </w:rPr>
              <w:t>- fold more</w:t>
            </w:r>
          </w:p>
        </w:tc>
      </w:tr>
      <w:bookmarkEnd w:id="1"/>
    </w:tbl>
    <w:p w:rsidRPr="004829B9" w:rsidR="00896EB9" w:rsidP="00095A18" w:rsidRDefault="00896EB9" w14:paraId="2230FC6A" w14:textId="77777777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Pr="004829B9" w:rsidR="00896EB9" w:rsidP="00E55DC7" w:rsidRDefault="00896EB9" w14:paraId="3A8AA2D4" w14:textId="7777777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4829B9" w:rsidR="00095A18" w:rsidP="00CF36C5" w:rsidRDefault="00896EB9" w14:paraId="739580B8" w14:textId="1754895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BC3F05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521ABB">
        <w:rPr>
          <w:b w:val="0"/>
          <w:sz w:val="19"/>
          <w:szCs w:val="19"/>
          <w:shd w:val="clear" w:color="auto" w:fill="FFFFFF"/>
          <w:lang w:val="en-GB"/>
        </w:rPr>
        <w:t>first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21ABB">
        <w:rPr>
          <w:b w:val="0"/>
          <w:sz w:val="19"/>
          <w:szCs w:val="19"/>
          <w:shd w:val="clear" w:color="auto" w:fill="FFFFFF"/>
          <w:lang w:val="en-GB"/>
        </w:rPr>
        <w:t xml:space="preserve">three quarters of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Pr="004829B9" w:rsidR="00BD1D77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Pr="004829B9"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216.4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Pr="004829B9"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29.3</w:t>
      </w:r>
      <w:r w:rsidRPr="004829B9"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Pr="004829B9" w:rsidR="00D76E7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more</w:t>
      </w:r>
      <w:r w:rsidRPr="004829B9" w:rsidR="00D76E73">
        <w:rPr>
          <w:lang w:val="en-GB"/>
        </w:rPr>
        <w:t xml:space="preserve"> </w:t>
      </w:r>
      <w:r w:rsidRPr="004829B9" w:rsidR="00D76E73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Pr="004829B9"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Pr="004829B9" w:rsidR="00B2646D">
        <w:rPr>
          <w:sz w:val="19"/>
          <w:szCs w:val="19"/>
          <w:shd w:val="clear" w:color="auto" w:fill="FFFFFF"/>
          <w:lang w:val="en-GB"/>
        </w:rPr>
        <w:t>D</w:t>
      </w:r>
      <w:r w:rsidRPr="004829B9" w:rsidR="00095A18">
        <w:rPr>
          <w:sz w:val="19"/>
          <w:szCs w:val="19"/>
          <w:shd w:val="clear" w:color="auto" w:fill="FFFFFF"/>
          <w:lang w:val="en-GB"/>
        </w:rPr>
        <w:t xml:space="preserve">evelopers 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128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0</w:t>
      </w:r>
      <w:r w:rsidRPr="00954347" w:rsid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46238A">
        <w:rPr>
          <w:b w:val="0"/>
          <w:sz w:val="19"/>
          <w:szCs w:val="19"/>
          <w:shd w:val="clear" w:color="auto" w:fill="FFFFFF"/>
          <w:lang w:val="en-GB"/>
        </w:rPr>
        <w:t>d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Pr="004829B9" w:rsidR="00EB69AF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36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5</w:t>
      </w:r>
      <w:r w:rsidRPr="004829B9" w:rsidR="00EB69AF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Pr="004829B9" w:rsidR="00EB69AF">
        <w:rPr>
          <w:b w:val="0"/>
          <w:sz w:val="19"/>
          <w:szCs w:val="19"/>
          <w:shd w:val="clear" w:color="auto" w:fill="FFFFFF"/>
          <w:lang w:val="en-GB"/>
        </w:rPr>
        <w:t>)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Pr="004829B9" w:rsidR="00CD44F1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Pr="004829B9" w:rsidR="00095A18">
        <w:rPr>
          <w:sz w:val="19"/>
          <w:szCs w:val="19"/>
          <w:shd w:val="clear" w:color="auto" w:fill="FFFFFF"/>
          <w:lang w:val="en-GB"/>
        </w:rPr>
        <w:t xml:space="preserve">private </w:t>
      </w:r>
      <w:r w:rsidRPr="004829B9" w:rsidR="00095A18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Pr="004829B9" w:rsidR="00F342E0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84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6</w:t>
      </w:r>
      <w:r w:rsidRPr="00954347" w:rsid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 w:rsidR="0071658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(by 19.5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% more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Pr="004829B9" w:rsidR="0046238A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314007" w:rsidR="003029E3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Pr="00314007" w:rsidR="0046238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314007" w:rsidR="003029E3">
        <w:rPr>
          <w:b w:val="0"/>
          <w:sz w:val="19"/>
          <w:szCs w:val="19"/>
          <w:shd w:val="clear" w:color="auto" w:fill="FFFFFF"/>
          <w:lang w:val="en-GB"/>
        </w:rPr>
        <w:t>was</w:t>
      </w:r>
      <w:r w:rsidRPr="00314007" w:rsidR="00133F2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2</w:t>
      </w:r>
      <w:r w:rsidRPr="00314007"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Pr="00314007" w:rsidR="001C180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1C1808">
        <w:rPr>
          <w:b w:val="0"/>
          <w:sz w:val="19"/>
          <w:szCs w:val="19"/>
          <w:shd w:val="clear" w:color="auto" w:fill="FFFFFF"/>
          <w:lang w:val="en-GB"/>
        </w:rPr>
        <w:t>of</w:t>
      </w:r>
      <w:r w:rsidRPr="004829B9" w:rsidR="00CD44F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Pr="004829B9" w:rsidR="00C03049">
        <w:rPr>
          <w:b w:val="0"/>
          <w:sz w:val="19"/>
          <w:szCs w:val="19"/>
          <w:shd w:val="clear" w:color="auto" w:fill="FFFFFF"/>
          <w:lang w:val="en-GB"/>
        </w:rPr>
        <w:t> </w:t>
      </w:r>
      <w:r w:rsidRPr="004829B9" w:rsidR="001C1808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Pr="004829B9" w:rsidR="00B77EC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Pr="004829B9" w:rsidR="00B77062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Pr="00497FB5" w:rsid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Pr="00497FB5" w:rsid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Pr="004829B9" w:rsidR="00B77062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Pr="00B77062" w:rsid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3 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795</w:t>
      </w:r>
      <w:r w:rsidRPr="00D93EA6" w:rsid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2 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730</w:t>
      </w:r>
      <w:r w:rsidRPr="00D93EA6" w:rsid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Pr="004829B9" w:rsidR="00677574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Pr="009742AF" w:rsidR="00E26291" w:rsidP="007207E6" w:rsidRDefault="00B4601E" w14:paraId="398571FB" w14:textId="35569DC3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71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275"/>
        <w:gridCol w:w="1134"/>
        <w:gridCol w:w="1134"/>
        <w:gridCol w:w="1276"/>
      </w:tblGrid>
      <w:tr w:rsidRPr="009742AF" w:rsidR="009742AF" w:rsidTr="00574E89" w14:paraId="42B31331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9742AF" w:rsidR="009742AF" w:rsidP="009742AF" w:rsidRDefault="009742AF" w14:paraId="7AD684F9" w14:textId="5A20F73E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:rsidRPr="009742AF" w:rsidR="009742AF" w:rsidP="009742AF" w:rsidRDefault="009742AF" w14:paraId="12B8481C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9742AF" w:rsidR="009742AF" w:rsidTr="000D0D69" w14:paraId="21415E66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6AF4216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774785" w14:paraId="32B26E1F" w14:textId="66B0616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9742AF" w:rsidR="009742AF" w:rsidP="009742AF" w:rsidRDefault="005744C0" w14:paraId="02375EED" w14:textId="6396D03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IX</w:t>
            </w:r>
          </w:p>
        </w:tc>
      </w:tr>
      <w:tr w:rsidRPr="009742AF" w:rsidR="009742AF" w:rsidTr="00303D96" w14:paraId="20FBE1E6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63CF40A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20F03018" w14:textId="40DE832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5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774785" w14:paraId="3971D200" w14:textId="5C0FAD6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3D7C6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742AF" w:rsidR="009742AF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5744C0" w14:paraId="5E921633" w14:textId="607B6F8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F70DFA">
              <w:rPr>
                <w:color w:val="000000" w:themeColor="text1"/>
                <w:sz w:val="16"/>
                <w:szCs w:val="16"/>
              </w:rPr>
              <w:t>I</w:t>
            </w:r>
            <w:r w:rsidR="00774785">
              <w:rPr>
                <w:color w:val="000000" w:themeColor="text1"/>
                <w:sz w:val="16"/>
                <w:szCs w:val="16"/>
              </w:rPr>
              <w:t>I</w:t>
            </w:r>
            <w:r w:rsidRPr="009742AF" w:rsidR="009742AF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9742AF" w14:paraId="256A9851" w14:textId="1E7E7DE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9742AF" w:rsidR="009742AF" w:rsidP="009742AF" w:rsidRDefault="005744C0" w14:paraId="05622396" w14:textId="13E7860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774785">
              <w:rPr>
                <w:color w:val="000000" w:themeColor="text1"/>
                <w:sz w:val="16"/>
                <w:szCs w:val="16"/>
              </w:rPr>
              <w:t>IX</w:t>
            </w:r>
            <w:r w:rsidRPr="009742AF" w:rsid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Pr="009742AF" w:rsidR="00F70DFA" w:rsidTr="00303D96" w14:paraId="78BFCBE6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9742AF" w:rsidR="00F70DFA" w:rsidP="00F70DFA" w:rsidRDefault="00F70DFA" w14:paraId="7A15F511" w14:textId="7E144C8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12" w:type="dxa"/>
            <w:tcBorders>
              <w:top w:val="single" w:color="212492" w:sz="12" w:space="0"/>
            </w:tcBorders>
            <w:vAlign w:val="center"/>
          </w:tcPr>
          <w:p w:rsidRPr="009742AF" w:rsidR="00F70DFA" w:rsidP="00F70DFA" w:rsidRDefault="005537BF" w14:paraId="37677614" w14:textId="1F436E3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537BF">
              <w:rPr>
                <w:rFonts w:cs="Arial"/>
                <w:b/>
                <w:sz w:val="16"/>
                <w:szCs w:val="16"/>
              </w:rPr>
              <w:t>21 959</w:t>
            </w:r>
          </w:p>
        </w:tc>
        <w:tc>
          <w:tcPr>
            <w:tcW w:w="1275" w:type="dxa"/>
            <w:tcBorders>
              <w:top w:val="single" w:color="212492" w:sz="12" w:space="0"/>
            </w:tcBorders>
            <w:vAlign w:val="center"/>
          </w:tcPr>
          <w:p w:rsidRPr="009742AF" w:rsidR="00F70DFA" w:rsidP="00F70DFA" w:rsidRDefault="00CA7DBD" w14:paraId="17299C22" w14:textId="7E9B1B1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83.</w:t>
            </w:r>
            <w:r w:rsidRPr="001A58F4" w:rsidR="001A58F4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9742AF" w:rsidR="00F70DFA" w:rsidP="00F70DFA" w:rsidRDefault="00CA7DBD" w14:paraId="3257870A" w14:textId="0265520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91.</w:t>
            </w:r>
            <w:r w:rsidRPr="001A58F4" w:rsidR="001A58F4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9742AF" w:rsidR="00F70DFA" w:rsidP="00F70DFA" w:rsidRDefault="00774785" w14:paraId="62E4576F" w14:textId="3701259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74785">
              <w:rPr>
                <w:rFonts w:cs="Arial"/>
                <w:b/>
                <w:sz w:val="16"/>
                <w:szCs w:val="16"/>
              </w:rPr>
              <w:t>216 419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9742AF" w:rsidR="00F70DFA" w:rsidP="00F70DFA" w:rsidRDefault="00CA7DBD" w14:paraId="6CFB1E21" w14:textId="761F0E1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129.</w:t>
            </w:r>
            <w:r w:rsidRPr="005537BF" w:rsidR="005537BF">
              <w:rPr>
                <w:rFonts w:cs="Arial"/>
                <w:b/>
                <w:sz w:val="16"/>
                <w:szCs w:val="16"/>
              </w:rPr>
              <w:t>3</w:t>
            </w:r>
          </w:p>
        </w:tc>
      </w:tr>
      <w:tr w:rsidRPr="009742AF" w:rsidR="00F70DFA" w:rsidTr="00303D96" w14:paraId="1AF51B79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F70DFA" w:rsidP="00F70DFA" w:rsidRDefault="00F70DFA" w14:paraId="70FE36C1" w14:textId="11A32CE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12" w:type="dxa"/>
            <w:vAlign w:val="center"/>
          </w:tcPr>
          <w:p w:rsidRPr="009742AF" w:rsidR="00F70DFA" w:rsidP="00F70DFA" w:rsidRDefault="005537BF" w14:paraId="63878239" w14:textId="7F6E068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537BF">
              <w:rPr>
                <w:rFonts w:cs="Arial"/>
                <w:sz w:val="16"/>
                <w:szCs w:val="16"/>
              </w:rPr>
              <w:t>10 201</w:t>
            </w:r>
          </w:p>
        </w:tc>
        <w:tc>
          <w:tcPr>
            <w:tcW w:w="1275" w:type="dxa"/>
            <w:vAlign w:val="center"/>
          </w:tcPr>
          <w:p w:rsidRPr="009742AF" w:rsidR="00F70DFA" w:rsidP="00F70DFA" w:rsidRDefault="00CA7DBD" w14:paraId="609BA523" w14:textId="1EFC08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</w:t>
            </w:r>
            <w:r w:rsidRPr="001A58F4" w:rsidR="001A58F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Pr="009742AF" w:rsidR="00F70DFA" w:rsidP="00F70DFA" w:rsidRDefault="00CA7DBD" w14:paraId="4E1B2726" w14:textId="0359F08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</w:t>
            </w:r>
            <w:r w:rsidRPr="001A58F4" w:rsidR="001A58F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Pr="009742AF" w:rsidR="00F70DFA" w:rsidP="00F70DFA" w:rsidRDefault="00774785" w14:paraId="02B9CB2E" w14:textId="7AFDDF7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774785">
              <w:rPr>
                <w:rFonts w:eastAsiaTheme="majorEastAsia" w:cstheme="majorBidi"/>
                <w:sz w:val="16"/>
                <w:szCs w:val="16"/>
              </w:rPr>
              <w:t>84 596</w:t>
            </w:r>
          </w:p>
        </w:tc>
        <w:tc>
          <w:tcPr>
            <w:tcW w:w="1276" w:type="dxa"/>
            <w:vAlign w:val="center"/>
          </w:tcPr>
          <w:p w:rsidRPr="009742AF" w:rsidR="00F70DFA" w:rsidP="00F70DFA" w:rsidRDefault="00CA7DBD" w14:paraId="2CB4462E" w14:textId="21AB557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</w:t>
            </w:r>
            <w:r w:rsidRPr="005537BF" w:rsidR="005537BF">
              <w:rPr>
                <w:rFonts w:cs="Arial"/>
                <w:sz w:val="16"/>
                <w:szCs w:val="16"/>
              </w:rPr>
              <w:t>5</w:t>
            </w:r>
          </w:p>
        </w:tc>
      </w:tr>
      <w:tr w:rsidRPr="009742AF" w:rsidR="00F70DFA" w:rsidTr="00303D96" w14:paraId="5438C4EC" w14:textId="77777777">
        <w:trPr>
          <w:trHeight w:val="381"/>
        </w:trPr>
        <w:tc>
          <w:tcPr>
            <w:tcW w:w="2049" w:type="dxa"/>
            <w:vAlign w:val="center"/>
          </w:tcPr>
          <w:p w:rsidRPr="009742AF" w:rsidR="00F70DFA" w:rsidP="00F70DFA" w:rsidRDefault="00F70DFA" w14:paraId="482BA362" w14:textId="1F4BF9A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12" w:type="dxa"/>
            <w:vAlign w:val="center"/>
          </w:tcPr>
          <w:p w:rsidRPr="009742AF" w:rsidR="00F70DFA" w:rsidP="00F70DFA" w:rsidRDefault="005537BF" w14:paraId="4D27C9CE" w14:textId="4A8256B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537BF">
              <w:rPr>
                <w:rFonts w:cs="Arial"/>
                <w:sz w:val="16"/>
                <w:szCs w:val="16"/>
              </w:rPr>
              <w:t>11 268</w:t>
            </w:r>
          </w:p>
        </w:tc>
        <w:tc>
          <w:tcPr>
            <w:tcW w:w="1275" w:type="dxa"/>
            <w:vAlign w:val="center"/>
          </w:tcPr>
          <w:p w:rsidRPr="009742AF" w:rsidR="00F70DFA" w:rsidP="00F70DFA" w:rsidRDefault="00CA7DBD" w14:paraId="0A75D08F" w14:textId="7732C84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66.</w:t>
            </w:r>
            <w:r w:rsidRPr="001A58F4" w:rsidR="001A58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Pr="009742AF" w:rsidR="00F70DFA" w:rsidP="00F70DFA" w:rsidRDefault="00CA7DBD" w14:paraId="64CEC6ED" w14:textId="64C4796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80.</w:t>
            </w:r>
            <w:r w:rsidRPr="001A58F4" w:rsidR="001A58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Pr="009742AF" w:rsidR="00F70DFA" w:rsidP="00F70DFA" w:rsidRDefault="00774785" w14:paraId="6BB26F27" w14:textId="612D06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774785">
              <w:rPr>
                <w:rFonts w:eastAsiaTheme="majorEastAsia" w:cstheme="majorBidi"/>
                <w:sz w:val="16"/>
                <w:szCs w:val="16"/>
              </w:rPr>
              <w:t>128 028</w:t>
            </w:r>
          </w:p>
        </w:tc>
        <w:tc>
          <w:tcPr>
            <w:tcW w:w="1276" w:type="dxa"/>
            <w:vAlign w:val="center"/>
          </w:tcPr>
          <w:p w:rsidRPr="009742AF" w:rsidR="00F70DFA" w:rsidP="00F70DFA" w:rsidRDefault="00CA7DBD" w14:paraId="375F0B14" w14:textId="04355E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</w:t>
            </w:r>
            <w:r w:rsidRPr="005537BF" w:rsidR="005537BF">
              <w:rPr>
                <w:rFonts w:cs="Arial"/>
                <w:sz w:val="16"/>
                <w:szCs w:val="16"/>
              </w:rPr>
              <w:t>5</w:t>
            </w:r>
          </w:p>
        </w:tc>
      </w:tr>
      <w:tr w:rsidRPr="009742AF" w:rsidR="00F70DFA" w:rsidTr="00303D96" w14:paraId="0C63BA5A" w14:textId="77777777">
        <w:trPr>
          <w:trHeight w:val="265"/>
        </w:trPr>
        <w:tc>
          <w:tcPr>
            <w:tcW w:w="2049" w:type="dxa"/>
            <w:vAlign w:val="center"/>
          </w:tcPr>
          <w:p w:rsidRPr="009742AF" w:rsidR="00F70DFA" w:rsidP="00F70DFA" w:rsidRDefault="00F70DFA" w14:paraId="20E77697" w14:textId="1AF9CEF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12" w:type="dxa"/>
            <w:vAlign w:val="center"/>
          </w:tcPr>
          <w:p w:rsidRPr="009742AF" w:rsidR="00F70DFA" w:rsidP="00F70DFA" w:rsidRDefault="005537BF" w14:paraId="6ABD4510" w14:textId="409D1AD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537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1275" w:type="dxa"/>
            <w:vAlign w:val="center"/>
          </w:tcPr>
          <w:p w:rsidRPr="009742AF" w:rsidR="00F70DFA" w:rsidP="00303D96" w:rsidRDefault="00CA7DBD" w14:paraId="7A0F5837" w14:textId="3997C2A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</w:t>
            </w:r>
            <w:r w:rsidRPr="001A58F4" w:rsidR="001A58F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Pr="009742AF" w:rsidR="00F70DFA" w:rsidP="00F70DFA" w:rsidRDefault="00CA7DBD" w14:paraId="39B83B47" w14:textId="3DC51D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</w:t>
            </w:r>
            <w:r w:rsidRPr="001A58F4" w:rsidR="001A58F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Pr="009742AF" w:rsidR="00F70DFA" w:rsidP="00F70DFA" w:rsidRDefault="00774785" w14:paraId="6BC6F206" w14:textId="052421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774785">
              <w:rPr>
                <w:rFonts w:eastAsiaTheme="majorEastAsia" w:cstheme="majorBidi"/>
                <w:sz w:val="16"/>
                <w:szCs w:val="16"/>
              </w:rPr>
              <w:t>893</w:t>
            </w:r>
          </w:p>
        </w:tc>
        <w:tc>
          <w:tcPr>
            <w:tcW w:w="1276" w:type="dxa"/>
            <w:vAlign w:val="center"/>
          </w:tcPr>
          <w:p w:rsidRPr="009742AF" w:rsidR="00F70DFA" w:rsidP="00F70DFA" w:rsidRDefault="00CA7DBD" w14:paraId="4A3FCB36" w14:textId="47430BC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</w:t>
            </w:r>
            <w:r w:rsidRPr="005537BF" w:rsidR="005537BF">
              <w:rPr>
                <w:rFonts w:cs="Arial"/>
                <w:sz w:val="16"/>
                <w:szCs w:val="16"/>
              </w:rPr>
              <w:t>0</w:t>
            </w:r>
          </w:p>
        </w:tc>
      </w:tr>
      <w:tr w:rsidRPr="009742AF" w:rsidR="00F70DFA" w:rsidTr="00303D96" w14:paraId="4D26EBDA" w14:textId="77777777">
        <w:trPr>
          <w:trHeight w:val="254"/>
        </w:trPr>
        <w:tc>
          <w:tcPr>
            <w:tcW w:w="2049" w:type="dxa"/>
            <w:vAlign w:val="center"/>
          </w:tcPr>
          <w:p w:rsidRPr="009742AF" w:rsidR="00F70DFA" w:rsidP="00F70DFA" w:rsidRDefault="00F70DFA" w14:paraId="68F0B91A" w14:textId="0C9794B6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12" w:type="dxa"/>
            <w:vAlign w:val="center"/>
          </w:tcPr>
          <w:p w:rsidRPr="009742AF" w:rsidR="00F70DFA" w:rsidP="00F70DFA" w:rsidRDefault="005537BF" w14:paraId="75FA134D" w14:textId="37D98F4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537BF">
              <w:rPr>
                <w:rFonts w:cs="Arial"/>
                <w:sz w:val="16"/>
                <w:szCs w:val="16"/>
              </w:rPr>
              <w:t>123</w:t>
            </w:r>
          </w:p>
        </w:tc>
        <w:tc>
          <w:tcPr>
            <w:tcW w:w="1275" w:type="dxa"/>
            <w:vAlign w:val="center"/>
          </w:tcPr>
          <w:p w:rsidRPr="009742AF" w:rsidR="00F70DFA" w:rsidP="00F70DFA" w:rsidRDefault="00521ABB" w14:paraId="15C370A7" w14:textId="18D9031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almost 18</w:t>
            </w:r>
            <w:r w:rsidR="001A58F4">
              <w:rPr>
                <w:rFonts w:cs="Arial"/>
                <w:sz w:val="16"/>
                <w:szCs w:val="16"/>
              </w:rPr>
              <w:t>-fold more</w:t>
            </w:r>
          </w:p>
        </w:tc>
        <w:tc>
          <w:tcPr>
            <w:tcW w:w="1134" w:type="dxa"/>
            <w:vAlign w:val="center"/>
          </w:tcPr>
          <w:p w:rsidRPr="009742AF" w:rsidR="00F70DFA" w:rsidP="00F70DFA" w:rsidRDefault="00CA7DBD" w14:paraId="05C57DEE" w14:textId="288DCC8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</w:t>
            </w:r>
            <w:r w:rsidRPr="001A58F4" w:rsidR="001A58F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Pr="009742AF" w:rsidR="00F70DFA" w:rsidP="00F70DFA" w:rsidRDefault="00774785" w14:paraId="047CBCFA" w14:textId="566761B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774785">
              <w:rPr>
                <w:rFonts w:eastAsiaTheme="majorEastAsia" w:cstheme="majorBidi"/>
                <w:sz w:val="16"/>
                <w:szCs w:val="16"/>
              </w:rPr>
              <w:t>1 555</w:t>
            </w:r>
          </w:p>
        </w:tc>
        <w:tc>
          <w:tcPr>
            <w:tcW w:w="1276" w:type="dxa"/>
            <w:vAlign w:val="center"/>
          </w:tcPr>
          <w:p w:rsidRPr="009742AF" w:rsidR="00F70DFA" w:rsidP="00F70DFA" w:rsidRDefault="00CA7DBD" w14:paraId="406A680F" w14:textId="0AFF012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</w:t>
            </w:r>
            <w:r w:rsidRPr="00E736D7" w:rsidR="00E736D7">
              <w:rPr>
                <w:rFonts w:cs="Arial"/>
                <w:sz w:val="16"/>
                <w:szCs w:val="16"/>
              </w:rPr>
              <w:t>2</w:t>
            </w:r>
          </w:p>
        </w:tc>
      </w:tr>
      <w:tr w:rsidRPr="009742AF" w:rsidR="00E736D7" w:rsidTr="00303D96" w14:paraId="75797574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E736D7" w:rsidP="00E736D7" w:rsidRDefault="00E736D7" w14:paraId="6932F351" w14:textId="210E291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12" w:type="dxa"/>
            <w:vAlign w:val="center"/>
          </w:tcPr>
          <w:p w:rsidRPr="009742AF" w:rsidR="00E736D7" w:rsidP="00E736D7" w:rsidRDefault="00E736D7" w14:paraId="62AD648F" w14:textId="288E57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537B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1275" w:type="dxa"/>
            <w:vAlign w:val="center"/>
          </w:tcPr>
          <w:p w:rsidRPr="009742AF" w:rsidR="00E736D7" w:rsidP="00E736D7" w:rsidRDefault="00E736D7" w14:paraId="30F79EA3" w14:textId="1DD7396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80-fold more</w:t>
            </w:r>
          </w:p>
        </w:tc>
        <w:tc>
          <w:tcPr>
            <w:tcW w:w="1134" w:type="dxa"/>
            <w:vAlign w:val="center"/>
          </w:tcPr>
          <w:p w:rsidRPr="009742AF" w:rsidR="00E736D7" w:rsidP="00E736D7" w:rsidRDefault="00CA7DBD" w14:paraId="226BB853" w14:textId="3F91705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</w:t>
            </w:r>
            <w:r w:rsidRPr="001A58F4" w:rsidR="00E736D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Pr="009742AF" w:rsidR="00E736D7" w:rsidP="00E736D7" w:rsidRDefault="00774785" w14:paraId="198AFE41" w14:textId="14096E9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774785">
              <w:rPr>
                <w:sz w:val="16"/>
                <w:szCs w:val="16"/>
              </w:rPr>
              <w:t>685</w:t>
            </w:r>
          </w:p>
        </w:tc>
        <w:tc>
          <w:tcPr>
            <w:tcW w:w="1276" w:type="dxa"/>
            <w:vAlign w:val="center"/>
          </w:tcPr>
          <w:p w:rsidRPr="009742AF" w:rsidR="00E736D7" w:rsidP="00E736D7" w:rsidRDefault="00CA7DBD" w14:paraId="0448BCA3" w14:textId="4D2CBEB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214.</w:t>
            </w:r>
            <w:r w:rsidRPr="005537BF" w:rsidR="00E736D7">
              <w:rPr>
                <w:rFonts w:cs="Arial"/>
                <w:sz w:val="16"/>
                <w:szCs w:val="16"/>
              </w:rPr>
              <w:t>1</w:t>
            </w:r>
          </w:p>
        </w:tc>
      </w:tr>
      <w:tr w:rsidRPr="009742AF" w:rsidR="00E736D7" w:rsidTr="00303D96" w14:paraId="19303E3E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E736D7" w:rsidP="00E736D7" w:rsidRDefault="00E736D7" w14:paraId="4F9BE4D7" w14:textId="2EC3D68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12" w:type="dxa"/>
            <w:vAlign w:val="center"/>
          </w:tcPr>
          <w:p w:rsidRPr="009742AF" w:rsidR="00E736D7" w:rsidP="00E736D7" w:rsidRDefault="00E736D7" w14:paraId="2AA6F621" w14:textId="6F3E6F4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537BF">
              <w:rPr>
                <w:rFonts w:cs="Arial"/>
                <w:sz w:val="16"/>
                <w:szCs w:val="16"/>
              </w:rPr>
              <w:t>269</w:t>
            </w:r>
          </w:p>
        </w:tc>
        <w:tc>
          <w:tcPr>
            <w:tcW w:w="1275" w:type="dxa"/>
            <w:vAlign w:val="center"/>
          </w:tcPr>
          <w:p w:rsidRPr="009742AF" w:rsidR="00E736D7" w:rsidP="00E736D7" w:rsidRDefault="00CA7DBD" w14:paraId="5F9A1A43" w14:textId="7B43C44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</w:t>
            </w:r>
            <w:r w:rsidRPr="001A58F4" w:rsidR="00E736D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Pr="009742AF" w:rsidR="00E736D7" w:rsidP="00E736D7" w:rsidRDefault="00CA7DBD" w14:paraId="35EE7520" w14:textId="27B5E4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507.</w:t>
            </w:r>
            <w:r w:rsidRPr="001A58F4" w:rsidR="00E736D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Pr="009742AF" w:rsidR="00E736D7" w:rsidP="00E736D7" w:rsidRDefault="00774785" w14:paraId="18101EF9" w14:textId="78C3CDB1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774785">
              <w:rPr>
                <w:sz w:val="16"/>
                <w:szCs w:val="16"/>
              </w:rPr>
              <w:t>1 366</w:t>
            </w:r>
          </w:p>
        </w:tc>
        <w:tc>
          <w:tcPr>
            <w:tcW w:w="1276" w:type="dxa"/>
            <w:vAlign w:val="center"/>
          </w:tcPr>
          <w:p w:rsidRPr="009742AF" w:rsidR="00E736D7" w:rsidP="00E736D7" w:rsidRDefault="00CA7DBD" w14:paraId="3D8101D6" w14:textId="386B06A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</w:t>
            </w:r>
            <w:r w:rsidRPr="005537BF" w:rsidR="00E736D7">
              <w:rPr>
                <w:rFonts w:cs="Arial"/>
                <w:sz w:val="16"/>
                <w:szCs w:val="16"/>
              </w:rPr>
              <w:t>0</w:t>
            </w:r>
          </w:p>
        </w:tc>
      </w:tr>
      <w:tr w:rsidRPr="009742AF" w:rsidR="00E736D7" w:rsidTr="00303D96" w14:paraId="08F9BC9D" w14:textId="77777777">
        <w:trPr>
          <w:trHeight w:val="57"/>
        </w:trPr>
        <w:tc>
          <w:tcPr>
            <w:tcW w:w="2049" w:type="dxa"/>
            <w:vAlign w:val="center"/>
          </w:tcPr>
          <w:p w:rsidRPr="009742AF" w:rsidR="00E736D7" w:rsidP="00E736D7" w:rsidRDefault="00E736D7" w14:paraId="6AD09FA5" w14:textId="2DB948C3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12" w:type="dxa"/>
            <w:vAlign w:val="center"/>
          </w:tcPr>
          <w:p w:rsidRPr="009742AF" w:rsidR="00E736D7" w:rsidP="00E736D7" w:rsidRDefault="00E736D7" w14:paraId="608975F3" w14:textId="1190F22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537B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Pr="009742AF" w:rsidR="00E736D7" w:rsidP="00E736D7" w:rsidRDefault="00E736D7" w14:paraId="147ED29B" w14:textId="4C91C75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9742AF" w:rsidR="00E736D7" w:rsidP="00E736D7" w:rsidRDefault="00E736D7" w14:paraId="60624A4A" w14:textId="15F33E2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9742AF" w:rsidR="00E736D7" w:rsidP="00E736D7" w:rsidRDefault="00774785" w14:paraId="35C8EBC0" w14:textId="00B8B1DB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774785">
              <w:rPr>
                <w:sz w:val="16"/>
                <w:szCs w:val="16"/>
              </w:rPr>
              <w:t>189</w:t>
            </w:r>
          </w:p>
        </w:tc>
        <w:tc>
          <w:tcPr>
            <w:tcW w:w="1276" w:type="dxa"/>
            <w:vAlign w:val="center"/>
          </w:tcPr>
          <w:p w:rsidRPr="009742AF" w:rsidR="00E736D7" w:rsidP="00E736D7" w:rsidRDefault="00CA7DBD" w14:paraId="7808E9AE" w14:textId="7FC9BBA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201.</w:t>
            </w:r>
            <w:r w:rsidRPr="005537BF" w:rsidR="00E736D7">
              <w:rPr>
                <w:rFonts w:cs="Arial"/>
                <w:sz w:val="16"/>
                <w:szCs w:val="16"/>
              </w:rPr>
              <w:t>1</w:t>
            </w:r>
          </w:p>
        </w:tc>
      </w:tr>
    </w:tbl>
    <w:p w:rsidR="00010F9B" w:rsidP="007207E6" w:rsidRDefault="00010F9B" w14:paraId="5904DC73" w14:textId="77777777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:rsidRPr="004829B9" w:rsidR="00154AC9" w:rsidP="007207E6" w:rsidRDefault="005D23AA" w14:paraId="34D75009" w14:textId="3AD90E3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Pr="004829B9" w:rsidR="008B6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September</w:t>
      </w:r>
      <w:r w:rsidRPr="004829B9" w:rsidR="00B4601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6E35EE">
        <w:rPr>
          <w:b w:val="0"/>
          <w:sz w:val="19"/>
          <w:szCs w:val="19"/>
          <w:shd w:val="clear" w:color="auto" w:fill="FFFFFF"/>
          <w:lang w:val="en-GB"/>
        </w:rPr>
        <w:t>880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6</w:t>
      </w:r>
      <w:r w:rsidRPr="00D93EA6" w:rsid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8A130C">
        <w:rPr>
          <w:b w:val="0"/>
          <w:sz w:val="19"/>
          <w:szCs w:val="19"/>
          <w:shd w:val="clear" w:color="auto" w:fill="FFFFFF"/>
          <w:lang w:val="en-GB"/>
        </w:rPr>
        <w:t>5.3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Pr="004829B9" w:rsidR="000013A9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month of 2020</w:t>
      </w:r>
      <w:r w:rsidRPr="004829B9" w:rsidR="00AA22EE"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Pr="004829B9" w:rsidR="005D23AA" w:rsidP="007207E6" w:rsidRDefault="005D23AA" w14:paraId="4326474E" w14:textId="42DA78DE">
      <w:pPr>
        <w:pStyle w:val="tytuwykresu"/>
        <w:rPr>
          <w:lang w:val="en-GB"/>
        </w:rPr>
      </w:pPr>
    </w:p>
    <w:p w:rsidRPr="004829B9" w:rsidR="007207E6" w:rsidP="007207E6" w:rsidRDefault="00AD1492" w14:paraId="2E8A539A" w14:textId="13B2FE2C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Pr="004829B9" w:rsidR="00256AD9">
        <w:rPr>
          <w:lang w:val="en-GB"/>
        </w:rPr>
        <w:t>residential construction</w:t>
      </w:r>
      <w:r w:rsidRPr="004829B9" w:rsidR="005D23AA">
        <w:rPr>
          <w:lang w:val="en-GB"/>
        </w:rPr>
        <w:t xml:space="preserve"> in Poland</w:t>
      </w:r>
    </w:p>
    <w:p w:rsidRPr="00D93EA6" w:rsidR="00F37978" w:rsidP="003A600F" w:rsidRDefault="00574E89" w14:paraId="07DDCEC0" w14:textId="47310664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2332351E" wp14:anchorId="50036E1A">
                <wp:simplePos x="0" y="0"/>
                <wp:positionH relativeFrom="page">
                  <wp:posOffset>5713095</wp:posOffset>
                </wp:positionH>
                <wp:positionV relativeFrom="paragraph">
                  <wp:posOffset>325755</wp:posOffset>
                </wp:positionV>
                <wp:extent cx="1835785" cy="217233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17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574E89" w:rsidP="00903A58" w:rsidRDefault="00574E89" w14:paraId="58FBF1C9" w14:textId="20310006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8A13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September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8A13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August</w:t>
                            </w:r>
                            <w:r w:rsidRP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8A13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increased (by 16.1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8A13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ruction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D622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1.5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whereas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decreased (by </w:t>
                            </w:r>
                            <w:r w:rsidR="00D622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8.4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49.85pt;margin-top:25.65pt;width:144.55pt;height:171.0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" w14:anchorId="50036E1A">
                <v:textbox>
                  <w:txbxContent>
                    <w:p w:rsidRPr="00AC3185" w:rsidR="00574E89" w:rsidP="00903A58" w:rsidRDefault="00574E89" w14:paraId="58FBF1C9" w14:textId="20310006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8A13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September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8A13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August</w:t>
                      </w:r>
                      <w:r w:rsidRP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8A13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increased (by 16.1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8A13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ruction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D622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1.5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whereas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decreased (by </w:t>
                      </w:r>
                      <w:r w:rsidR="00D622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8.4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06BFF" w:rsidR="00700FC6">
        <w:rPr>
          <w:b/>
          <w:noProof/>
          <w:spacing w:val="-4"/>
          <w:shd w:val="clear" w:color="auto" w:fill="FFFFFF"/>
          <w:lang w:val="en-GB"/>
        </w:rPr>
        <w:t xml:space="preserve"> </w:t>
      </w:r>
      <w:r w:rsidR="00973F56">
        <w:rPr>
          <w:noProof/>
        </w:rPr>
        <w:drawing>
          <wp:inline distT="0" distB="0" distL="0" distR="0" wp14:anchorId="3ECF1194" wp14:editId="4298F6D8">
            <wp:extent cx="5122545" cy="2253082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0F9B" w:rsidP="00CB6084" w:rsidRDefault="00010F9B" w14:paraId="3DBFE4B9" w14:textId="77777777">
      <w:pPr>
        <w:rPr>
          <w:szCs w:val="19"/>
          <w:shd w:val="clear" w:color="auto" w:fill="FFFFFF"/>
          <w:lang w:val="en-GB"/>
        </w:rPr>
      </w:pPr>
    </w:p>
    <w:p w:rsidRPr="004829B9" w:rsidR="00CB6084" w:rsidP="00CB6084" w:rsidRDefault="005702F8" w14:paraId="6B2C5EA1" w14:textId="50D6AB2A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>In the period of I-</w:t>
      </w:r>
      <w:r w:rsidR="00D6223C">
        <w:rPr>
          <w:szCs w:val="19"/>
          <w:shd w:val="clear" w:color="auto" w:fill="FFFFFF"/>
          <w:lang w:val="en-GB"/>
        </w:rPr>
        <w:t>IX</w:t>
      </w:r>
      <w:r w:rsidRPr="005702F8">
        <w:rPr>
          <w:szCs w:val="19"/>
          <w:shd w:val="clear" w:color="auto" w:fill="FFFFFF"/>
          <w:lang w:val="en-GB"/>
        </w:rPr>
        <w:t xml:space="preserve"> 2021</w:t>
      </w:r>
      <w:r w:rsidRPr="005702F8" w:rsidR="00E26291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Pr="004829B9" w:rsidR="00CB6084">
        <w:rPr>
          <w:szCs w:val="19"/>
          <w:shd w:val="clear" w:color="auto" w:fill="FFFFFF"/>
          <w:lang w:val="en-GB"/>
        </w:rPr>
        <w:t>dwellings</w:t>
      </w:r>
      <w:r w:rsidRPr="00E43CD7" w:rsid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Pr="0016126E" w:rsidR="0016126E">
        <w:rPr>
          <w:szCs w:val="19"/>
          <w:shd w:val="clear" w:color="auto" w:fill="FFFFFF"/>
          <w:lang w:val="en-GB"/>
        </w:rPr>
        <w:t xml:space="preserve">dwellings </w:t>
      </w:r>
      <w:r w:rsidRPr="00700FC6" w:rsid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Pr="0016126E" w:rsid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Pr="00EF6032" w:rsidR="00EF6032">
        <w:rPr>
          <w:szCs w:val="19"/>
          <w:shd w:val="clear" w:color="auto" w:fill="FFFFFF"/>
          <w:lang w:val="en-GB"/>
        </w:rPr>
        <w:t xml:space="preserve">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D6223C">
        <w:rPr>
          <w:szCs w:val="19"/>
          <w:shd w:val="clear" w:color="auto" w:fill="FFFFFF"/>
          <w:lang w:val="en-GB"/>
        </w:rPr>
        <w:t>30.0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D6223C">
        <w:rPr>
          <w:szCs w:val="19"/>
          <w:shd w:val="clear" w:color="auto" w:fill="FFFFFF"/>
          <w:lang w:val="en-GB"/>
        </w:rPr>
        <w:t>, 39.8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Pr="003563AE" w:rsidR="003563AE">
        <w:rPr>
          <w:szCs w:val="19"/>
          <w:shd w:val="clear" w:color="auto" w:fill="FFFFFF"/>
          <w:lang w:val="en-GB"/>
        </w:rPr>
        <w:t>thousand</w:t>
      </w:r>
      <w:r w:rsidR="00D6223C">
        <w:rPr>
          <w:szCs w:val="19"/>
          <w:shd w:val="clear" w:color="auto" w:fill="FFFFFF"/>
          <w:lang w:val="en-GB"/>
        </w:rPr>
        <w:t xml:space="preserve"> and 45.7</w:t>
      </w:r>
      <w:r w:rsidR="00CC4866">
        <w:rPr>
          <w:szCs w:val="19"/>
          <w:shd w:val="clear" w:color="auto" w:fill="FFFFFF"/>
          <w:lang w:val="en-GB"/>
        </w:rPr>
        <w:t> </w:t>
      </w:r>
      <w:r w:rsidRPr="00CF2564" w:rsid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Pr="00D6223C" w:rsidR="00D6223C">
        <w:rPr>
          <w:szCs w:val="19"/>
          <w:shd w:val="clear" w:color="auto" w:fill="FFFFFF"/>
          <w:lang w:val="en-GB"/>
        </w:rPr>
        <w:t xml:space="preserve">Wielkopolskie </w:t>
      </w:r>
      <w:r w:rsidR="00D6223C">
        <w:rPr>
          <w:szCs w:val="19"/>
          <w:shd w:val="clear" w:color="auto" w:fill="FFFFFF"/>
          <w:lang w:val="en-GB"/>
        </w:rPr>
        <w:t>(19.8</w:t>
      </w:r>
      <w:r w:rsidRPr="009F4CF9" w:rsidR="009F4CF9">
        <w:rPr>
          <w:szCs w:val="19"/>
          <w:shd w:val="clear" w:color="auto" w:fill="FFFFFF"/>
          <w:lang w:val="en-GB"/>
        </w:rPr>
        <w:t> thousand</w:t>
      </w:r>
      <w:r w:rsidR="00D6223C">
        <w:rPr>
          <w:szCs w:val="19"/>
          <w:shd w:val="clear" w:color="auto" w:fill="FFFFFF"/>
          <w:lang w:val="en-GB"/>
        </w:rPr>
        <w:t>, 23</w:t>
      </w:r>
      <w:r w:rsidR="006E35EE">
        <w:rPr>
          <w:szCs w:val="19"/>
          <w:shd w:val="clear" w:color="auto" w:fill="FFFFFF"/>
          <w:lang w:val="en-GB"/>
        </w:rPr>
        <w:t>.7</w:t>
      </w:r>
      <w:r w:rsidRPr="009F4CF9" w:rsidR="009F4CF9">
        <w:rPr>
          <w:szCs w:val="19"/>
          <w:shd w:val="clear" w:color="auto" w:fill="FFFFFF"/>
          <w:lang w:val="en-GB"/>
        </w:rPr>
        <w:t> thousand</w:t>
      </w:r>
      <w:r w:rsidR="004A4E61">
        <w:rPr>
          <w:szCs w:val="19"/>
          <w:shd w:val="clear" w:color="auto" w:fill="FFFFFF"/>
          <w:lang w:val="en-GB"/>
        </w:rPr>
        <w:t xml:space="preserve"> and 27.0 thousand) and</w:t>
      </w:r>
      <w:r w:rsidR="00D6223C">
        <w:rPr>
          <w:szCs w:val="19"/>
          <w:shd w:val="clear" w:color="auto" w:fill="FFFFFF"/>
          <w:lang w:val="en-GB"/>
        </w:rPr>
        <w:t xml:space="preserve"> Dolnośląskie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D6223C">
        <w:rPr>
          <w:szCs w:val="19"/>
          <w:shd w:val="clear" w:color="auto" w:fill="FFFFFF"/>
          <w:lang w:val="en-GB"/>
        </w:rPr>
        <w:t>(18</w:t>
      </w:r>
      <w:r w:rsidR="006E35EE">
        <w:rPr>
          <w:szCs w:val="19"/>
          <w:shd w:val="clear" w:color="auto" w:fill="FFFFFF"/>
          <w:lang w:val="en-GB"/>
        </w:rPr>
        <w:t>.6</w:t>
      </w:r>
      <w:r>
        <w:rPr>
          <w:szCs w:val="19"/>
          <w:shd w:val="clear" w:color="auto" w:fill="FFFFFF"/>
          <w:lang w:val="en-GB"/>
        </w:rPr>
        <w:t> </w:t>
      </w:r>
      <w:r w:rsidR="00D6223C">
        <w:rPr>
          <w:szCs w:val="19"/>
          <w:shd w:val="clear" w:color="auto" w:fill="FFFFFF"/>
          <w:lang w:val="en-GB"/>
        </w:rPr>
        <w:t>thousand, 18.3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Pr="003563AE" w:rsidR="003563AE">
        <w:rPr>
          <w:szCs w:val="19"/>
          <w:shd w:val="clear" w:color="auto" w:fill="FFFFFF"/>
          <w:lang w:val="en-GB"/>
        </w:rPr>
        <w:t>and</w:t>
      </w:r>
      <w:r w:rsidR="00D6223C">
        <w:rPr>
          <w:szCs w:val="19"/>
          <w:shd w:val="clear" w:color="auto" w:fill="FFFFFF"/>
          <w:lang w:val="en-GB"/>
        </w:rPr>
        <w:t xml:space="preserve"> 21.4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Pr="003563AE" w:rsidR="003563AE">
        <w:rPr>
          <w:szCs w:val="19"/>
          <w:shd w:val="clear" w:color="auto" w:fill="FFFFFF"/>
          <w:lang w:val="en-GB"/>
        </w:rPr>
        <w:t>thousand</w:t>
      </w:r>
      <w:r w:rsidR="004A4E61">
        <w:rPr>
          <w:szCs w:val="19"/>
          <w:shd w:val="clear" w:color="auto" w:fill="FFFFFF"/>
          <w:lang w:val="en-GB"/>
        </w:rPr>
        <w:t>).</w:t>
      </w:r>
    </w:p>
    <w:p w:rsidR="00903A58" w:rsidP="00903A58" w:rsidRDefault="001C1808" w14:paraId="73CBA65A" w14:textId="429C051C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Pr="004829B9" w:rsidR="00256AD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Pr="004829B9" w:rsidR="00384D8B">
        <w:rPr>
          <w:color w:val="auto"/>
          <w:sz w:val="18"/>
          <w:szCs w:val="18"/>
          <w:lang w:val="en-GB"/>
        </w:rPr>
        <w:t xml:space="preserve">               </w:t>
      </w:r>
      <w:r w:rsidRPr="004829B9" w:rsidR="000401D6">
        <w:rPr>
          <w:color w:val="auto"/>
          <w:sz w:val="18"/>
          <w:szCs w:val="18"/>
          <w:lang w:val="en-GB"/>
        </w:rPr>
        <w:t>(January</w:t>
      </w:r>
      <w:r w:rsidR="00462D3F">
        <w:rPr>
          <w:color w:val="auto"/>
          <w:sz w:val="18"/>
          <w:szCs w:val="18"/>
          <w:lang w:val="en-GB"/>
        </w:rPr>
        <w:t>-</w:t>
      </w:r>
      <w:r w:rsidR="00691FC1">
        <w:rPr>
          <w:color w:val="auto"/>
          <w:sz w:val="18"/>
          <w:szCs w:val="18"/>
          <w:lang w:val="en-GB"/>
        </w:rPr>
        <w:t>September</w:t>
      </w:r>
      <w:r w:rsidRPr="004829B9" w:rsidR="00E873C8">
        <w:rPr>
          <w:color w:val="auto"/>
          <w:sz w:val="18"/>
          <w:szCs w:val="18"/>
          <w:lang w:val="en-GB"/>
        </w:rPr>
        <w:t xml:space="preserve"> </w:t>
      </w:r>
      <w:r w:rsidR="00D862D9">
        <w:rPr>
          <w:color w:val="auto"/>
          <w:sz w:val="18"/>
          <w:szCs w:val="18"/>
          <w:lang w:val="en-GB"/>
        </w:rPr>
        <w:t>2021</w:t>
      </w:r>
      <w:r w:rsidRPr="004829B9">
        <w:rPr>
          <w:color w:val="auto"/>
          <w:sz w:val="18"/>
          <w:szCs w:val="18"/>
          <w:lang w:val="en-GB"/>
        </w:rPr>
        <w:t>)</w:t>
      </w:r>
    </w:p>
    <w:p w:rsidR="003A358E" w:rsidP="00A12B93" w:rsidRDefault="008F5A0F" w14:paraId="66C5A628" w14:textId="67D58254">
      <w:pPr>
        <w:pStyle w:val="Nagwek1"/>
        <w:rPr>
          <w:color w:val="auto"/>
          <w:sz w:val="18"/>
          <w:szCs w:val="18"/>
          <w:lang w:val="en-GB"/>
        </w:rPr>
      </w:pPr>
      <w:r w:rsidRPr="008F5A0F">
        <w:rPr>
          <w:rFonts w:ascii="Fira Sans" w:hAnsi="Fira Sans"/>
          <w:b/>
          <w:noProof/>
        </w:rPr>
        <w:drawing>
          <wp:inline distT="0" distB="0" distL="0" distR="0" wp14:anchorId="04F5B094" wp14:editId="3850F98A">
            <wp:extent cx="5122545" cy="2671639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name="_GoBack" w:id="2"/>
      <w:bookmarkEnd w:id="2"/>
    </w:p>
    <w:p w:rsidR="00A12B93" w:rsidP="00A12B93" w:rsidRDefault="00A12B93" w14:paraId="4F8A40B4" w14:textId="77777777">
      <w:pPr>
        <w:rPr>
          <w:lang w:val="en-GB" w:eastAsia="pl-PL"/>
        </w:rPr>
      </w:pPr>
    </w:p>
    <w:p w:rsidRPr="00A12B93" w:rsidR="005825F0" w:rsidP="00A12B93" w:rsidRDefault="005825F0" w14:paraId="7B845408" w14:textId="77777777">
      <w:pPr>
        <w:rPr>
          <w:lang w:val="en-GB" w:eastAsia="pl-PL"/>
        </w:rPr>
      </w:pPr>
    </w:p>
    <w:p w:rsidRPr="00257306" w:rsidR="00694AF0" w:rsidP="0046503D" w:rsidRDefault="00257306" w14:paraId="47844B4F" w14:textId="6E2D5CE7">
      <w:pPr>
        <w:rPr>
          <w:szCs w:val="19"/>
          <w:shd w:val="clear" w:color="auto" w:fill="FFFFFF"/>
          <w:lang w:val="en-GB"/>
        </w:rPr>
        <w:sectPr w:rsidRPr="00257306" w:rsidR="00694AF0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:rsidRPr="004829B9" w:rsidR="000470AA" w:rsidP="0046503D" w:rsidRDefault="000470AA" w14:paraId="3949FC6D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4829B9" w:rsidR="00B34C4C" w:rsidTr="00E873C8" w14:paraId="40C6557F" w14:textId="77777777">
        <w:trPr>
          <w:trHeight w:val="1912"/>
        </w:trPr>
        <w:tc>
          <w:tcPr>
            <w:tcW w:w="4379" w:type="dxa"/>
          </w:tcPr>
          <w:p w:rsidRPr="004829B9" w:rsidR="00B34C4C" w:rsidP="00E873C8" w:rsidRDefault="00B34C4C" w14:paraId="6665BC8F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Pr="004829B9" w:rsidR="00B34C4C" w:rsidP="00E873C8" w:rsidRDefault="00B34C4C" w14:paraId="67FFA76B" w14:textId="77777777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:rsidRPr="004829B9" w:rsidR="00B34C4C" w:rsidP="00E873C8" w:rsidRDefault="00105BED" w14:paraId="55C69C2C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:rsidRPr="004829B9" w:rsidR="00B34C4C" w:rsidP="00E873C8" w:rsidRDefault="00D46532" w14:paraId="3F6217D4" w14:textId="6E53501C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Pr="004829B9" w:rsidR="00105BED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Pr="004829B9" w:rsidR="002F2E8D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Pr="004829B9" w:rsidR="00B34C4C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Pr="004829B9" w:rsidR="00105BED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Pr="004829B9" w:rsidR="008C48C6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Pr="004829B9" w:rsidR="00105BED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:rsidRPr="004829B9" w:rsidR="00B34C4C" w:rsidP="00E873C8" w:rsidRDefault="00B34C4C" w14:paraId="313903AC" w14:textId="77777777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Pr="004829B9" w:rsidR="00B34C4C" w:rsidP="00E873C8" w:rsidRDefault="00B34C4C" w14:paraId="734EA749" w14:textId="002C959A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:rsidRPr="004829B9" w:rsidR="00B34C4C" w:rsidP="00E873C8" w:rsidRDefault="00B34C4C" w14:paraId="2B749880" w14:textId="4973DE7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:rsidRPr="004829B9" w:rsidR="00B34C4C" w:rsidP="00E873C8" w:rsidRDefault="007F1E2E" w14:paraId="330B3F71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:rsidRPr="004829B9" w:rsidR="00B34C4C" w:rsidP="00E873C8" w:rsidRDefault="00D46532" w14:paraId="518D9CD4" w14:textId="4C42191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Pr="004829B9" w:rsidR="00105BE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8F5A0F" w:rsidR="00B34C4C" w:rsidTr="00E873C8" w14:paraId="494BDD91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4829B9" w:rsidR="00B34C4C" w:rsidP="00E873C8" w:rsidRDefault="00B34C4C" w14:paraId="13CAB2DF" w14:textId="77777777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:rsidRPr="004829B9" w:rsidR="00B34C4C" w:rsidP="00E873C8" w:rsidRDefault="00D46532" w14:paraId="623CBE4C" w14:textId="4BBC772D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Pr="004829B9" w:rsidR="00BA5050">
              <w:rPr>
                <w:sz w:val="20"/>
                <w:lang w:val="en-GB"/>
              </w:rPr>
              <w:t>(</w:t>
            </w:r>
            <w:r w:rsidRPr="004829B9" w:rsidR="00B34C4C">
              <w:rPr>
                <w:sz w:val="20"/>
                <w:lang w:val="en-GB"/>
              </w:rPr>
              <w:t>+ 48</w:t>
            </w:r>
            <w:r w:rsidRPr="004829B9" w:rsidR="00B34C4C">
              <w:rPr>
                <w:b/>
                <w:sz w:val="20"/>
                <w:lang w:val="en-GB"/>
              </w:rPr>
              <w:t xml:space="preserve"> </w:t>
            </w:r>
            <w:r w:rsidRPr="004829B9" w:rsidR="008235EC">
              <w:rPr>
                <w:sz w:val="20"/>
                <w:lang w:val="en-GB"/>
              </w:rPr>
              <w:t>22</w:t>
            </w:r>
            <w:r w:rsidRPr="004829B9" w:rsidR="00BA5050">
              <w:rPr>
                <w:sz w:val="20"/>
                <w:lang w:val="en-GB"/>
              </w:rPr>
              <w:t>)</w:t>
            </w:r>
            <w:r w:rsidRPr="004829B9" w:rsidR="008235EC">
              <w:rPr>
                <w:sz w:val="20"/>
                <w:lang w:val="en-GB"/>
              </w:rPr>
              <w:t xml:space="preserve"> 608 34</w:t>
            </w:r>
            <w:r w:rsidRPr="004829B9" w:rsidR="008C48C6">
              <w:rPr>
                <w:sz w:val="20"/>
                <w:lang w:val="en-GB"/>
              </w:rPr>
              <w:t xml:space="preserve"> </w:t>
            </w:r>
            <w:r w:rsidRPr="004829B9" w:rsidR="00BA5050">
              <w:rPr>
                <w:sz w:val="20"/>
                <w:lang w:val="en-GB"/>
              </w:rPr>
              <w:t xml:space="preserve">91, </w:t>
            </w:r>
            <w:r w:rsidRPr="004829B9" w:rsidR="008235EC">
              <w:rPr>
                <w:sz w:val="20"/>
                <w:lang w:val="en-GB"/>
              </w:rPr>
              <w:t>608 38</w:t>
            </w:r>
            <w:r w:rsidRPr="004829B9" w:rsidR="008C48C6">
              <w:rPr>
                <w:sz w:val="20"/>
                <w:lang w:val="en-GB"/>
              </w:rPr>
              <w:t xml:space="preserve"> </w:t>
            </w:r>
            <w:r w:rsidRPr="004829B9" w:rsidR="00B34C4C">
              <w:rPr>
                <w:sz w:val="20"/>
                <w:lang w:val="en-GB"/>
              </w:rPr>
              <w:t xml:space="preserve">04 </w:t>
            </w:r>
          </w:p>
          <w:p w:rsidRPr="004829B9" w:rsidR="00B34C4C" w:rsidP="00E873C8" w:rsidRDefault="00B34C4C" w14:paraId="4F5D46AB" w14:textId="77777777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w:history="1" r:id="rId18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4829B9" w:rsidR="00B34C4C" w:rsidP="00E873C8" w:rsidRDefault="00B34C4C" w14:paraId="486CFEE3" w14:textId="77777777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editId="7B735092" wp14:anchorId="1F32D07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Pr="004829B9" w:rsidR="00B34C4C" w:rsidP="00E873C8" w:rsidRDefault="00B34C4C" w14:paraId="187B3278" w14:textId="77777777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Pr="004829B9" w:rsidR="008235EC">
              <w:rPr>
                <w:sz w:val="20"/>
                <w:lang w:val="en-GB"/>
              </w:rPr>
              <w:t>/en/</w:t>
            </w:r>
          </w:p>
        </w:tc>
      </w:tr>
      <w:tr w:rsidRPr="004829B9" w:rsidR="00B34C4C" w:rsidTr="00E873C8" w14:paraId="648C1E67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B34C4C" w:rsidP="00E873C8" w:rsidRDefault="00B34C4C" w14:paraId="7E7FD173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B34C4C" w:rsidP="00E873C8" w:rsidRDefault="00B34C4C" w14:paraId="08931773" w14:textId="77777777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editId="6199C219" wp14:anchorId="11E6E2D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Pr="004829B9" w:rsidR="00B34C4C" w:rsidP="00E873C8" w:rsidRDefault="008235EC" w14:paraId="0DF75532" w14:textId="77777777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@StatPoland</w:t>
            </w:r>
          </w:p>
        </w:tc>
      </w:tr>
      <w:tr w:rsidRPr="004829B9" w:rsidR="00B34C4C" w:rsidTr="00E873C8" w14:paraId="29595757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B34C4C" w:rsidP="00E873C8" w:rsidRDefault="00B34C4C" w14:paraId="6E773A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B34C4C" w:rsidP="00E873C8" w:rsidRDefault="00B34C4C" w14:paraId="6F1D3479" w14:textId="77777777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editId="4F4CA4C5" wp14:anchorId="62B8316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Pr="004829B9" w:rsidR="00B34C4C" w:rsidP="00E873C8" w:rsidRDefault="00B34C4C" w14:paraId="4E72E8C9" w14:textId="77777777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@GlownyUrzadStatystyczny</w:t>
            </w:r>
          </w:p>
        </w:tc>
      </w:tr>
    </w:tbl>
    <w:p w:rsidRPr="004829B9" w:rsidR="00B34C4C" w:rsidP="0046503D" w:rsidRDefault="00B34C4C" w14:paraId="637862CB" w14:textId="77777777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79657CBB" wp14:anchorId="4A59FDAC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E89" w:rsidP="00AB6D25" w:rsidRDefault="00574E89" w14:paraId="0A17866C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574E89" w:rsidP="00000009" w:rsidRDefault="00574E89" w14:paraId="438C998D" w14:textId="7777777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Pr="004E377B" w:rsidR="00574E89" w:rsidP="00000009" w:rsidRDefault="00574E89" w14:paraId="03EB9888" w14:textId="77777777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Pr="008235EC" w:rsidR="00574E89" w:rsidP="00F11843" w:rsidRDefault="00574E89" w14:paraId="004758E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w:history="1" r:id="rId22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:rsidRPr="005C7839" w:rsidR="00574E89" w:rsidP="00000009" w:rsidRDefault="00FD19CC" w14:paraId="4C293715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3">
                              <w:r w:rsidRPr="005C7839"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74E8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:rsidRPr="00F11843" w:rsidR="00574E89" w:rsidP="00000009" w:rsidRDefault="00574E89" w14:paraId="6432F2D3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Pr="00734C04" w:rsidR="00574E89" w:rsidP="00000009" w:rsidRDefault="00574E89" w14:paraId="119A7AD9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Pr="0026083F" w:rsidR="00574E89" w:rsidP="00000009" w:rsidRDefault="00FD19CC" w14:paraId="6E678369" w14:textId="0F34292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4">
                              <w:r w:rsidRPr="00F11843"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574E89" w:rsidP="00000009" w:rsidRDefault="00FD19CC" w14:paraId="14295646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5">
                              <w:r w:rsidRPr="00F11843"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Pr="00F11843" w:rsidR="00574E89" w:rsidP="00000009" w:rsidRDefault="00574E89" w14:paraId="10DF6A1D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574E89" w:rsidP="00000009" w:rsidRDefault="00574E89" w14:paraId="65F6943A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Pr="008235EC" w:rsidR="00574E89" w:rsidP="00000009" w:rsidRDefault="00FD19CC" w14:paraId="3FA17007" w14:textId="08BD4F3D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w:history="1" r:id="rId26">
                              <w:r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:rsidRPr="00F11843" w:rsidR="00574E89" w:rsidP="00000009" w:rsidRDefault="00FD19CC" w14:paraId="2F539928" w14:textId="2055407B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7">
                              <w:r w:rsidRPr="00F11843"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w:history="1" r:id="rId28"/>
                          </w:p>
                          <w:p w:rsidRPr="00F11843" w:rsidR="00574E89" w:rsidP="00000009" w:rsidRDefault="00FD19CC" w14:paraId="35275A7D" w14:textId="4837590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w:history="1" r:id="rId29">
                              <w:r w:rsidRPr="00F11843"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:rsidR="00574E89" w:rsidP="00000009" w:rsidRDefault="00574E89" w14:paraId="41C747C6" w14:textId="7777777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Pr="003B6350" w:rsidR="00574E89" w:rsidP="00AB6D25" w:rsidRDefault="00574E89" w14:paraId="1519530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w14:anchorId="4A59FDAC">
                <v:textbox>
                  <w:txbxContent>
                    <w:p w:rsidR="00574E89" w:rsidP="00AB6D25" w:rsidRDefault="00574E89" w14:paraId="0A17866C" w14:textId="77777777">
                      <w:pPr>
                        <w:rPr>
                          <w:b/>
                        </w:rPr>
                      </w:pPr>
                    </w:p>
                    <w:p w:rsidR="00574E89" w:rsidP="00000009" w:rsidRDefault="00574E89" w14:paraId="438C998D" w14:textId="77777777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Pr="004E377B" w:rsidR="00574E89" w:rsidP="00000009" w:rsidRDefault="00574E89" w14:paraId="03EB9888" w14:textId="77777777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8235EC" w:rsidR="00574E89" w:rsidP="00F11843" w:rsidRDefault="00574E89" w14:paraId="004758E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w:history="1" r:id="rId30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Pr="005C7839" w:rsidR="00574E89" w:rsidP="00000009" w:rsidRDefault="006A133B" w14:paraId="4C293715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1">
                        <w:r w:rsidRPr="005C7839"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574E8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F11843" w:rsidR="00574E89" w:rsidP="00000009" w:rsidRDefault="00574E89" w14:paraId="6432F2D3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Pr="00734C04" w:rsidR="00574E89" w:rsidP="00000009" w:rsidRDefault="00574E89" w14:paraId="119A7AD9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Pr="0026083F" w:rsidR="00574E89" w:rsidP="00000009" w:rsidRDefault="006A133B" w14:paraId="6E678369" w14:textId="0F34292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2">
                        <w:r w:rsidRPr="00F11843"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574E89" w:rsidP="00000009" w:rsidRDefault="006A133B" w14:paraId="14295646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3">
                        <w:r w:rsidRPr="00F11843"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Pr="00F11843" w:rsidR="00574E89" w:rsidP="00000009" w:rsidRDefault="00574E89" w14:paraId="10DF6A1D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574E89" w:rsidP="00000009" w:rsidRDefault="00574E89" w14:paraId="65F6943A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Pr="008235EC" w:rsidR="00574E89" w:rsidP="00000009" w:rsidRDefault="006A133B" w14:paraId="3FA17007" w14:textId="08BD4F3D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w:history="1" r:id="rId34">
                        <w:r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:rsidRPr="00F11843" w:rsidR="00574E89" w:rsidP="00000009" w:rsidRDefault="006A133B" w14:paraId="2F539928" w14:textId="2055407B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5">
                        <w:r w:rsidRPr="00F11843"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w:history="1" r:id="rId36"/>
                    </w:p>
                    <w:p w:rsidRPr="00F11843" w:rsidR="00574E89" w:rsidP="00000009" w:rsidRDefault="006A133B" w14:paraId="35275A7D" w14:textId="4837590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7">
                        <w:r w:rsidRPr="00F11843"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574E89" w:rsidP="00000009" w:rsidRDefault="00574E89" w14:paraId="41C747C6" w14:textId="77777777">
                      <w:pPr>
                        <w:rPr>
                          <w:lang w:val="en-GB"/>
                        </w:rPr>
                      </w:pPr>
                    </w:p>
                    <w:p w:rsidRPr="003B6350" w:rsidR="00574E89" w:rsidP="00AB6D25" w:rsidRDefault="00574E89" w14:paraId="1519530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4829B9" w:rsidR="000470AA" w:rsidP="0046503D" w:rsidRDefault="000470AA" w14:paraId="1C72FCCF" w14:textId="77777777">
      <w:pPr>
        <w:rPr>
          <w:sz w:val="20"/>
          <w:lang w:val="en-GB"/>
        </w:rPr>
      </w:pPr>
    </w:p>
    <w:p w:rsidR="00B80D90" w:rsidP="00B80D90" w:rsidRDefault="00B80D90" w14:paraId="6DD284D6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4829B9" w:rsidR="000470AA" w:rsidTr="000470AA" w14:paraId="6D1780AE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4829B9" w:rsidR="000470AA" w:rsidP="00000009" w:rsidRDefault="000470AA" w14:paraId="39472902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0470AA" w:rsidP="0046503D" w:rsidRDefault="000470AA" w14:paraId="79FCF89C" w14:textId="77777777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:rsidRPr="004829B9" w:rsidR="000470AA" w:rsidP="0046503D" w:rsidRDefault="000470AA" w14:paraId="78DA6311" w14:textId="77777777">
            <w:pPr>
              <w:rPr>
                <w:sz w:val="18"/>
                <w:lang w:val="en-GB"/>
              </w:rPr>
            </w:pPr>
          </w:p>
        </w:tc>
      </w:tr>
      <w:tr w:rsidRPr="004829B9" w:rsidR="000470AA" w:rsidTr="000470AA" w14:paraId="5DF708B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0470AA" w:rsidP="0046503D" w:rsidRDefault="000470AA" w14:paraId="39B076A4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0470AA" w:rsidP="0046503D" w:rsidRDefault="000470AA" w14:paraId="41C44CEA" w14:textId="77777777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:rsidRPr="004829B9" w:rsidR="000470AA" w:rsidP="0046503D" w:rsidRDefault="000470AA" w14:paraId="22C796F5" w14:textId="77777777">
            <w:pPr>
              <w:rPr>
                <w:sz w:val="18"/>
                <w:lang w:val="en-GB"/>
              </w:rPr>
            </w:pPr>
          </w:p>
        </w:tc>
      </w:tr>
      <w:tr w:rsidRPr="004829B9" w:rsidR="000470AA" w:rsidTr="000470AA" w14:paraId="257B58F0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4829B9" w:rsidR="000470AA" w:rsidP="0046503D" w:rsidRDefault="000470AA" w14:paraId="691590BE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4829B9" w:rsidR="000470AA" w:rsidP="0046503D" w:rsidRDefault="000470AA" w14:paraId="7B5EC16E" w14:textId="77777777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:rsidRPr="004829B9" w:rsidR="000470AA" w:rsidP="0046503D" w:rsidRDefault="000470AA" w14:paraId="7D2F9530" w14:textId="77777777">
            <w:pPr>
              <w:rPr>
                <w:sz w:val="20"/>
                <w:lang w:val="en-GB"/>
              </w:rPr>
            </w:pPr>
          </w:p>
        </w:tc>
      </w:tr>
    </w:tbl>
    <w:p w:rsidRPr="004829B9" w:rsidR="00D261A2" w:rsidP="0046503D" w:rsidRDefault="00D261A2" w14:paraId="080FA477" w14:textId="48ECE00C">
      <w:pPr>
        <w:rPr>
          <w:sz w:val="18"/>
          <w:lang w:val="en-GB"/>
        </w:rPr>
      </w:pPr>
    </w:p>
    <w:sectPr w:rsidRPr="004829B9" w:rsidR="00D261A2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956D3" w14:textId="77777777" w:rsidR="00FD19CC" w:rsidRDefault="00FD19CC" w:rsidP="000662E2">
      <w:pPr>
        <w:spacing w:after="0" w:line="240" w:lineRule="auto"/>
      </w:pPr>
      <w:r>
        <w:separator/>
      </w:r>
    </w:p>
  </w:endnote>
  <w:endnote w:type="continuationSeparator" w:id="0">
    <w:p w14:paraId="4D620B62" w14:textId="77777777" w:rsidR="00FD19CC" w:rsidRDefault="00FD19C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A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379EB" w14:textId="77777777" w:rsidR="00FD19CC" w:rsidRDefault="00FD19CC" w:rsidP="000662E2">
      <w:pPr>
        <w:spacing w:after="0" w:line="240" w:lineRule="auto"/>
      </w:pPr>
      <w:r>
        <w:separator/>
      </w:r>
    </w:p>
  </w:footnote>
  <w:footnote w:type="continuationSeparator" w:id="0">
    <w:p w14:paraId="5B5C8F87" w14:textId="77777777" w:rsidR="00FD19CC" w:rsidRDefault="00FD19CC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574E89" w:rsidRDefault="00574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574E89" w:rsidRDefault="00574E8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2C94A76D" w:rsidR="00574E89" w:rsidRPr="00C97596" w:rsidRDefault="00841FC9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21.10</w:t>
                          </w:r>
                          <w:r w:rsidR="00574E89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2C94A76D" w:rsidR="00574E89" w:rsidRPr="00C97596" w:rsidRDefault="00841FC9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21.10</w:t>
                    </w:r>
                    <w:r w:rsidR="00574E89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574E89" w:rsidRPr="00C97596" w:rsidRDefault="00574E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574E89" w:rsidRPr="00C97596" w:rsidRDefault="00574E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2.7pt;height:124.6pt;visibility:visible;mso-wrap-style:square" o:bullet="t">
        <v:imagedata r:id="rId1" o:title=""/>
      </v:shape>
    </w:pict>
  </w:numPicBullet>
  <w:numPicBullet w:numPicBulletId="1">
    <w:pict>
      <v:shape id="_x0000_i1034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1460"/>
    <w:rsid w:val="00152273"/>
    <w:rsid w:val="00152A93"/>
    <w:rsid w:val="00154AC9"/>
    <w:rsid w:val="00154CEA"/>
    <w:rsid w:val="0016126E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A86"/>
    <w:rsid w:val="001B7948"/>
    <w:rsid w:val="001C1808"/>
    <w:rsid w:val="001C30AD"/>
    <w:rsid w:val="001C3269"/>
    <w:rsid w:val="001C3694"/>
    <w:rsid w:val="001C42F9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BDB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97FB5"/>
    <w:rsid w:val="004A3A9A"/>
    <w:rsid w:val="004A4E61"/>
    <w:rsid w:val="004A7498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2974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FC1"/>
    <w:rsid w:val="00694AF0"/>
    <w:rsid w:val="00696CCE"/>
    <w:rsid w:val="006A0E22"/>
    <w:rsid w:val="006A133B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17B3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74785"/>
    <w:rsid w:val="007801F5"/>
    <w:rsid w:val="00780316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B5D10"/>
    <w:rsid w:val="007C2C9F"/>
    <w:rsid w:val="007C3CC8"/>
    <w:rsid w:val="007C58D3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1350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64CD"/>
    <w:rsid w:val="0096740A"/>
    <w:rsid w:val="00970194"/>
    <w:rsid w:val="009705EE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36F0"/>
    <w:rsid w:val="009C7251"/>
    <w:rsid w:val="009D2F59"/>
    <w:rsid w:val="009D5DFA"/>
    <w:rsid w:val="009D785B"/>
    <w:rsid w:val="009E13F6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4CF9"/>
    <w:rsid w:val="009F686F"/>
    <w:rsid w:val="00A00250"/>
    <w:rsid w:val="00A00C56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66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13C9"/>
    <w:rsid w:val="00B42455"/>
    <w:rsid w:val="00B44C5A"/>
    <w:rsid w:val="00B453D4"/>
    <w:rsid w:val="00B4601E"/>
    <w:rsid w:val="00B465A7"/>
    <w:rsid w:val="00B500C4"/>
    <w:rsid w:val="00B519FF"/>
    <w:rsid w:val="00B53935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6A85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1F3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A7DBD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35C2E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3EA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C6D6D"/>
    <w:rsid w:val="00DD1D64"/>
    <w:rsid w:val="00DD20E2"/>
    <w:rsid w:val="00DD21A2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1333"/>
    <w:rsid w:val="00EA20F6"/>
    <w:rsid w:val="00EA5D60"/>
    <w:rsid w:val="00EA644B"/>
    <w:rsid w:val="00EB1390"/>
    <w:rsid w:val="00EB1C36"/>
    <w:rsid w:val="00EB20CA"/>
    <w:rsid w:val="00EB2C71"/>
    <w:rsid w:val="00EB3907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31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metainformation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Budownictwo_dashboards/Raporty_predefiniowane/RAP_DBD_BUD_7.aspx" TargetMode="External"/><Relationship Id="rId32" Type="http://schemas.openxmlformats.org/officeDocument/2006/relationships/hyperlink" Target="http://swaid.stat.gov.pl/EN/Budownictwo_dashboards/Raporty_predefiniowane/RAP_DBD_BUD_7.aspx" TargetMode="External"/><Relationship Id="rId37" Type="http://schemas.openxmlformats.org/officeDocument/2006/relationships/hyperlink" Target="https://stat.gov.pl/en/metainformation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s://stat.gov.pl/en/metainformation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s://stat.gov.pl/en/metainformation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1\informacje%20sygnalne\wrzesie&#324;\Informacja%20sygnalna%20Budownictwo%20mieszkaniowe_wykres_092021_englis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1\informacje%20sygnalne\wrzesie&#324;\Kopia%20Kopia%20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6678132961677419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Arkusz1!$B$4:$BF$4</c:f>
              <c:numCache>
                <c:formatCode>General</c:formatCode>
                <c:ptCount val="57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19108</c:v>
                </c:pt>
                <c:pt idx="52">
                  <c:v>15727</c:v>
                </c:pt>
                <c:pt idx="53">
                  <c:v>17698</c:v>
                </c:pt>
                <c:pt idx="54">
                  <c:v>18072</c:v>
                </c:pt>
                <c:pt idx="55">
                  <c:v>18861</c:v>
                </c:pt>
                <c:pt idx="56">
                  <c:v>21905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Arkusz1!$B$16:$BF$16</c:f>
              <c:numCache>
                <c:formatCode>General</c:formatCode>
                <c:ptCount val="57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>
                  <c:v>27222</c:v>
                </c:pt>
                <c:pt idx="50">
                  <c:v>33901</c:v>
                </c:pt>
                <c:pt idx="51">
                  <c:v>27163</c:v>
                </c:pt>
                <c:pt idx="52">
                  <c:v>29768</c:v>
                </c:pt>
                <c:pt idx="53">
                  <c:v>30170</c:v>
                </c:pt>
                <c:pt idx="54">
                  <c:v>28845</c:v>
                </c:pt>
                <c:pt idx="55">
                  <c:v>26848</c:v>
                </c:pt>
                <c:pt idx="56">
                  <c:v>27264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Arkusz1!$B$2:$BF$3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Arkusz1!$B$10:$BF$10</c:f>
              <c:numCache>
                <c:formatCode>General</c:formatCode>
                <c:ptCount val="57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25928</c:v>
                </c:pt>
                <c:pt idx="55">
                  <c:v>23971</c:v>
                </c:pt>
                <c:pt idx="56">
                  <c:v>21959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5026768"/>
        <c:axId val="1455026224"/>
      </c:lineChart>
      <c:catAx>
        <c:axId val="145502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5502622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455026224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5502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587513628479596E-2"/>
          <c:y val="0.84642251595664408"/>
          <c:w val="0.84203437939539816"/>
          <c:h val="0.127188434872923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708333283736358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3175</c:v>
                </c:pt>
                <c:pt idx="1">
                  <c:v>4497</c:v>
                </c:pt>
                <c:pt idx="2">
                  <c:v>5255</c:v>
                </c:pt>
                <c:pt idx="3">
                  <c:v>6204</c:v>
                </c:pt>
                <c:pt idx="4">
                  <c:v>7040</c:v>
                </c:pt>
                <c:pt idx="5">
                  <c:v>10579</c:v>
                </c:pt>
                <c:pt idx="6">
                  <c:v>9757</c:v>
                </c:pt>
                <c:pt idx="7">
                  <c:v>8664</c:v>
                </c:pt>
                <c:pt idx="8">
                  <c:v>9226</c:v>
                </c:pt>
                <c:pt idx="9">
                  <c:v>14138</c:v>
                </c:pt>
                <c:pt idx="10">
                  <c:v>17824</c:v>
                </c:pt>
                <c:pt idx="11">
                  <c:v>18758</c:v>
                </c:pt>
                <c:pt idx="12">
                  <c:v>19463</c:v>
                </c:pt>
                <c:pt idx="13">
                  <c:v>18268</c:v>
                </c:pt>
                <c:pt idx="14">
                  <c:v>23749</c:v>
                </c:pt>
                <c:pt idx="15">
                  <c:v>39822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3919</c:v>
                </c:pt>
                <c:pt idx="1">
                  <c:v>4829</c:v>
                </c:pt>
                <c:pt idx="2">
                  <c:v>5987</c:v>
                </c:pt>
                <c:pt idx="3">
                  <c:v>8189</c:v>
                </c:pt>
                <c:pt idx="4">
                  <c:v>7656</c:v>
                </c:pt>
                <c:pt idx="5">
                  <c:v>12569</c:v>
                </c:pt>
                <c:pt idx="6">
                  <c:v>12435</c:v>
                </c:pt>
                <c:pt idx="7">
                  <c:v>9314</c:v>
                </c:pt>
                <c:pt idx="8">
                  <c:v>10244</c:v>
                </c:pt>
                <c:pt idx="9">
                  <c:v>16863</c:v>
                </c:pt>
                <c:pt idx="10">
                  <c:v>22637</c:v>
                </c:pt>
                <c:pt idx="11">
                  <c:v>23452</c:v>
                </c:pt>
                <c:pt idx="12">
                  <c:v>22478</c:v>
                </c:pt>
                <c:pt idx="13">
                  <c:v>21379</c:v>
                </c:pt>
                <c:pt idx="14">
                  <c:v>27048</c:v>
                </c:pt>
                <c:pt idx="15">
                  <c:v>45667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2400</c:v>
                </c:pt>
                <c:pt idx="1">
                  <c:v>3348</c:v>
                </c:pt>
                <c:pt idx="2">
                  <c:v>3540</c:v>
                </c:pt>
                <c:pt idx="3">
                  <c:v>4008</c:v>
                </c:pt>
                <c:pt idx="4">
                  <c:v>4990</c:v>
                </c:pt>
                <c:pt idx="5">
                  <c:v>6525</c:v>
                </c:pt>
                <c:pt idx="6">
                  <c:v>6995</c:v>
                </c:pt>
                <c:pt idx="7">
                  <c:v>7134</c:v>
                </c:pt>
                <c:pt idx="8">
                  <c:v>7413</c:v>
                </c:pt>
                <c:pt idx="9">
                  <c:v>9215</c:v>
                </c:pt>
                <c:pt idx="10">
                  <c:v>11886</c:v>
                </c:pt>
                <c:pt idx="11">
                  <c:v>13851</c:v>
                </c:pt>
                <c:pt idx="12">
                  <c:v>14817</c:v>
                </c:pt>
                <c:pt idx="13">
                  <c:v>18558</c:v>
                </c:pt>
                <c:pt idx="14">
                  <c:v>19790</c:v>
                </c:pt>
                <c:pt idx="15">
                  <c:v>29952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55025680"/>
        <c:axId val="1455023504"/>
      </c:barChart>
      <c:catAx>
        <c:axId val="1455025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55023504"/>
        <c:crosses val="autoZero"/>
        <c:auto val="1"/>
        <c:lblAlgn val="ctr"/>
        <c:lblOffset val="100"/>
        <c:noMultiLvlLbl val="0"/>
      </c:catAx>
      <c:valAx>
        <c:axId val="1455023504"/>
        <c:scaling>
          <c:orientation val="minMax"/>
          <c:max val="5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55025680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11765440811159"/>
          <c:y val="0.87750250304397681"/>
          <c:w val="0.83688211129506873"/>
          <c:h val="0.120307923240044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residential_construction_in_the_period_of_january-september_2021.docx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DBF7B257-98A6-4D1A-9F5A-EF79A74F8051}"/>
</file>

<file path=customXml/itemProps3.xml><?xml version="1.0" encoding="utf-8"?>
<ds:datastoreItem xmlns:ds="http://schemas.openxmlformats.org/officeDocument/2006/customXml" ds:itemID="{134CD092-F909-4B51-8FAB-1A66366E83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2021</vt:lpstr>
    </vt:vector>
  </TitlesOfParts>
  <Company>Statistics Poland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January-June 2021</dc:title>
  <dc:subject>Residential construction</dc:subject>
  <cp:keywords>dwellings completed; dwellings under construction; dwellings started; building permit; useful floor area</cp:keywords>
  <cp:lastPrinted>2021-02-17T13:06:00Z</cp:lastPrinted>
  <dcterms:created xsi:type="dcterms:W3CDTF">2021-10-19T09:16:00Z</dcterms:created>
  <dcterms:modified xsi:type="dcterms:W3CDTF">2021-10-19T09:16:00Z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