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02A752DA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bookmarkStart w:id="0" w:name="_GoBack"/>
      <w:bookmarkEnd w:id="0"/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</w:t>
      </w:r>
      <w:r w:rsidR="00AD3F9F">
        <w:rPr>
          <w:szCs w:val="32"/>
          <w:lang w:val="en-GB"/>
        </w:rPr>
        <w:t>V</w:t>
      </w:r>
      <w:r w:rsidR="0091637A">
        <w:rPr>
          <w:szCs w:val="32"/>
          <w:lang w:val="en-GB"/>
        </w:rPr>
        <w:t>I</w:t>
      </w:r>
      <w:r w:rsidR="00CF46EE">
        <w:rPr>
          <w:szCs w:val="32"/>
          <w:lang w:val="en-GB"/>
        </w:rPr>
        <w:t xml:space="preserve"> </w:t>
      </w:r>
      <w:r w:rsidR="003D4820">
        <w:rPr>
          <w:szCs w:val="32"/>
          <w:shd w:val="clear" w:color="auto" w:fill="FFFFFF"/>
          <w:lang w:val="en-GB"/>
        </w:rPr>
        <w:t>2021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1DD50963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574E89" w:rsidRPr="00612A93" w:rsidRDefault="00574E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</w:t>
                            </w:r>
                            <w:proofErr w:type="gramStart"/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,5</w:t>
                            </w:r>
                            <w:proofErr w:type="gramEnd"/>
                          </w:p>
                          <w:p w14:paraId="173D3CF5" w14:textId="77777777" w:rsidR="00574E89" w:rsidRPr="00F64AC1" w:rsidRDefault="00574E8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BDCA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14:paraId="2CC185F8" w14:textId="77777777" w:rsidR="00574E89" w:rsidRPr="00612A93" w:rsidRDefault="00574E8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14:paraId="173D3CF5" w14:textId="77777777" w:rsidR="00574E89" w:rsidRPr="00F64AC1" w:rsidRDefault="00574E8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538078CE" w:rsidR="00574E89" w:rsidRPr="002C751B" w:rsidRDefault="00574E89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637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108.6</w:t>
                            </w:r>
                          </w:p>
                          <w:p w14:paraId="4A535B62" w14:textId="2AEDB9F7" w:rsidR="00574E89" w:rsidRPr="002C751B" w:rsidRDefault="00574E89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CAA24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14:paraId="0DFD5284" w14:textId="538078CE" w:rsidR="00574E89" w:rsidRPr="002C751B" w:rsidRDefault="00574E89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637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108.6</w:t>
                      </w:r>
                    </w:p>
                    <w:p w14:paraId="4A535B62" w14:textId="2AEDB9F7" w:rsidR="00574E89" w:rsidRPr="002C751B" w:rsidRDefault="00574E89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D92898">
        <w:rPr>
          <w:lang w:val="en-GB"/>
        </w:rPr>
        <w:t>the</w:t>
      </w:r>
      <w:r w:rsidR="0079134B">
        <w:rPr>
          <w:lang w:val="en-GB"/>
        </w:rPr>
        <w:t xml:space="preserve"> first </w:t>
      </w:r>
      <w:r w:rsidR="0091637A">
        <w:rPr>
          <w:lang w:val="en-GB"/>
        </w:rPr>
        <w:t>half</w:t>
      </w:r>
      <w:r w:rsidR="0079134B">
        <w:rPr>
          <w:lang w:val="en-GB"/>
        </w:rPr>
        <w:t xml:space="preserve"> of</w:t>
      </w:r>
      <w:r w:rsidR="003D4820">
        <w:rPr>
          <w:lang w:val="en-GB"/>
        </w:rPr>
        <w:t xml:space="preserve"> 2021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 xml:space="preserve">dwellings for which permits have been granted or which have been registered with a 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C8FCE0A">
                <wp:simplePos x="0" y="0"/>
                <wp:positionH relativeFrom="rightMargin">
                  <wp:posOffset>56515</wp:posOffset>
                </wp:positionH>
                <wp:positionV relativeFrom="paragraph">
                  <wp:posOffset>110490</wp:posOffset>
                </wp:positionV>
                <wp:extent cx="1715135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632" y="21185"/>
                    <wp:lineTo x="20632" y="0"/>
                    <wp:lineTo x="72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465D5869" w:rsidR="00574E89" w:rsidRPr="00AD1492" w:rsidRDefault="00574E89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5744C0">
                              <w:rPr>
                                <w:lang w:val="en-US"/>
                              </w:rPr>
                              <w:t>estors completed respectively 57.</w:t>
                            </w:r>
                            <w:r w:rsidR="00C571F3">
                              <w:rPr>
                                <w:lang w:val="en-US"/>
                              </w:rPr>
                              <w:t>4% and 40.3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9" type="#_x0000_t202" style="position:absolute;left:0;text-align:left;margin-left:4.45pt;margin-top:8.7pt;width:135.0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" filled="f" stroked="f">
                <v:textbox>
                  <w:txbxContent>
                    <w:p w14:paraId="55217834" w14:textId="465D5869" w:rsidR="00574E89" w:rsidRPr="00AD1492" w:rsidRDefault="00574E89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5744C0">
                        <w:rPr>
                          <w:lang w:val="en-US"/>
                        </w:rPr>
                        <w:t>estors completed respectively 57.</w:t>
                      </w:r>
                      <w:r w:rsidR="00C571F3">
                        <w:rPr>
                          <w:lang w:val="en-US"/>
                        </w:rPr>
                        <w:t>4% and 40.3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25E61D8C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C571F3">
        <w:rPr>
          <w:spacing w:val="-4"/>
          <w:shd w:val="clear" w:color="auto" w:fill="FFFFFF"/>
          <w:lang w:val="en-GB"/>
        </w:rPr>
        <w:t>105.4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="004B638F" w:rsidRPr="004B638F">
        <w:rPr>
          <w:spacing w:val="-4"/>
          <w:shd w:val="clear" w:color="auto" w:fill="FFFFFF"/>
          <w:lang w:val="en-GB"/>
        </w:rPr>
        <w:t xml:space="preserve"> of</w:t>
      </w:r>
      <w:r w:rsidR="00D14E83">
        <w:rPr>
          <w:spacing w:val="-4"/>
          <w:shd w:val="clear" w:color="auto" w:fill="FFFFFF"/>
          <w:lang w:val="en-GB"/>
        </w:rPr>
        <w:t xml:space="preserve"> January-</w:t>
      </w:r>
      <w:r w:rsidR="0091637A">
        <w:rPr>
          <w:spacing w:val="-4"/>
          <w:shd w:val="clear" w:color="auto" w:fill="FFFFFF"/>
          <w:lang w:val="en-GB"/>
        </w:rPr>
        <w:t>June</w:t>
      </w:r>
      <w:r w:rsidR="004B638F" w:rsidRPr="004B638F">
        <w:rPr>
          <w:spacing w:val="-4"/>
          <w:shd w:val="clear" w:color="auto" w:fill="FFFFFF"/>
          <w:lang w:val="en-GB"/>
        </w:rPr>
        <w:t xml:space="preserve"> 2021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C571F3">
        <w:rPr>
          <w:spacing w:val="-4"/>
          <w:shd w:val="clear" w:color="auto" w:fill="FFFFFF"/>
          <w:lang w:val="en-GB"/>
        </w:rPr>
        <w:t>8.6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C571F3">
        <w:rPr>
          <w:spacing w:val="-4"/>
          <w:shd w:val="clear" w:color="auto" w:fill="FFFFFF"/>
          <w:lang w:val="en-GB"/>
        </w:rPr>
        <w:t>60</w:t>
      </w:r>
      <w:r w:rsidR="00372328">
        <w:rPr>
          <w:spacing w:val="-4"/>
          <w:shd w:val="clear" w:color="auto" w:fill="FFFFFF"/>
          <w:lang w:val="en-GB"/>
        </w:rPr>
        <w:t>.</w:t>
      </w:r>
      <w:r w:rsidR="00C571F3">
        <w:rPr>
          <w:spacing w:val="-4"/>
          <w:shd w:val="clear" w:color="auto" w:fill="FFFFFF"/>
          <w:lang w:val="en-GB"/>
        </w:rPr>
        <w:t>5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C571F3">
        <w:rPr>
          <w:spacing w:val="-4"/>
          <w:shd w:val="clear" w:color="auto" w:fill="FFFFFF"/>
          <w:lang w:val="en-GB"/>
        </w:rPr>
        <w:t>3.3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581162">
        <w:rPr>
          <w:spacing w:val="-4"/>
          <w:shd w:val="clear" w:color="auto" w:fill="FFFFFF"/>
          <w:lang w:val="en-GB"/>
        </w:rPr>
        <w:t>less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C571F3">
        <w:rPr>
          <w:spacing w:val="-4"/>
          <w:shd w:val="clear" w:color="auto" w:fill="FFFFFF"/>
          <w:lang w:val="en-GB"/>
        </w:rPr>
        <w:t>42</w:t>
      </w:r>
      <w:r w:rsidR="00372328">
        <w:rPr>
          <w:spacing w:val="-4"/>
          <w:shd w:val="clear" w:color="auto" w:fill="FFFFFF"/>
          <w:lang w:val="en-GB"/>
        </w:rPr>
        <w:t>.</w:t>
      </w:r>
      <w:r w:rsidR="00581162">
        <w:rPr>
          <w:spacing w:val="-4"/>
          <w:shd w:val="clear" w:color="auto" w:fill="FFFFFF"/>
          <w:lang w:val="en-GB"/>
        </w:rPr>
        <w:t>5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C571F3">
        <w:rPr>
          <w:spacing w:val="-4"/>
          <w:shd w:val="clear" w:color="auto" w:fill="FFFFFF"/>
          <w:lang w:val="en-GB"/>
        </w:rPr>
        <w:t>30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C571F3">
        <w:rPr>
          <w:spacing w:val="-4"/>
          <w:shd w:val="clear" w:color="auto" w:fill="FFFFFF"/>
          <w:lang w:val="en-GB"/>
        </w:rPr>
        <w:t>0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581162">
        <w:rPr>
          <w:spacing w:val="-4"/>
          <w:shd w:val="clear" w:color="auto" w:fill="FFFFFF"/>
          <w:lang w:val="en-GB"/>
        </w:rPr>
        <w:t>97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C571F3">
        <w:rPr>
          <w:spacing w:val="-4"/>
          <w:shd w:val="clear" w:color="auto" w:fill="FFFFFF"/>
          <w:lang w:val="en-GB"/>
        </w:rPr>
        <w:t>7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C571F3">
        <w:rPr>
          <w:spacing w:val="-4"/>
          <w:shd w:val="clear" w:color="auto" w:fill="FFFFFF"/>
          <w:lang w:val="en-GB"/>
        </w:rPr>
        <w:t>2</w:t>
      </w:r>
      <w:r w:rsidR="00581162" w:rsidRPr="00581162">
        <w:rPr>
          <w:spacing w:val="-4"/>
          <w:shd w:val="clear" w:color="auto" w:fill="FFFFFF"/>
          <w:lang w:val="en-GB"/>
        </w:rPr>
        <w:t> </w:t>
      </w:r>
      <w:r w:rsidR="00C571F3">
        <w:rPr>
          <w:spacing w:val="-4"/>
          <w:shd w:val="clear" w:color="auto" w:fill="FFFFFF"/>
          <w:lang w:val="en-GB"/>
        </w:rPr>
        <w:t>427</w:t>
      </w:r>
      <w:r w:rsidR="00581162" w:rsidRPr="00581162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AD3F9F">
        <w:rPr>
          <w:spacing w:val="-4"/>
          <w:shd w:val="clear" w:color="auto" w:fill="FFFFFF"/>
          <w:lang w:val="en-GB"/>
        </w:rPr>
        <w:t xml:space="preserve">1 </w:t>
      </w:r>
      <w:r w:rsidR="00C571F3">
        <w:rPr>
          <w:spacing w:val="-4"/>
          <w:shd w:val="clear" w:color="auto" w:fill="FFFFFF"/>
          <w:lang w:val="en-GB"/>
        </w:rPr>
        <w:t>771</w:t>
      </w:r>
      <w:r w:rsidR="00581162" w:rsidRPr="00581162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</w:p>
    <w:p w14:paraId="6DA771CF" w14:textId="2438140A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C571F3">
        <w:rPr>
          <w:shd w:val="clear" w:color="auto" w:fill="FFFFFF"/>
          <w:lang w:val="en-GB"/>
        </w:rPr>
        <w:t>June</w:t>
      </w:r>
      <w:r w:rsidR="00365663">
        <w:rPr>
          <w:shd w:val="clear" w:color="auto" w:fill="FFFFFF"/>
          <w:lang w:val="en-GB"/>
        </w:rPr>
        <w:t xml:space="preserve"> 2021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C571F3">
        <w:rPr>
          <w:shd w:val="clear" w:color="auto" w:fill="FFFFFF"/>
          <w:lang w:val="en-GB"/>
        </w:rPr>
        <w:t>10</w:t>
      </w:r>
      <w:r w:rsidR="00837231" w:rsidRPr="004829B9">
        <w:rPr>
          <w:shd w:val="clear" w:color="auto" w:fill="FFFFFF"/>
          <w:lang w:val="en-GB"/>
        </w:rPr>
        <w:t>.</w:t>
      </w:r>
      <w:r w:rsidR="00C571F3">
        <w:rPr>
          <w:shd w:val="clear" w:color="auto" w:fill="FFFFFF"/>
          <w:lang w:val="en-GB"/>
        </w:rPr>
        <w:t>0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C571F3">
        <w:rPr>
          <w:shd w:val="clear" w:color="auto" w:fill="FFFFFF"/>
          <w:lang w:val="en-GB"/>
        </w:rPr>
        <w:t>16</w:t>
      </w:r>
      <w:r w:rsidR="00837231" w:rsidRPr="004829B9">
        <w:rPr>
          <w:shd w:val="clear" w:color="auto" w:fill="FFFFFF"/>
          <w:lang w:val="en-GB"/>
        </w:rPr>
        <w:t>.</w:t>
      </w:r>
      <w:r w:rsidR="00C571F3">
        <w:rPr>
          <w:shd w:val="clear" w:color="auto" w:fill="FFFFFF"/>
          <w:lang w:val="en-GB"/>
        </w:rPr>
        <w:t>1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 xml:space="preserve">floor </w:t>
      </w:r>
      <w:proofErr w:type="gramStart"/>
      <w:r w:rsidRPr="004829B9">
        <w:rPr>
          <w:shd w:val="clear" w:color="auto" w:fill="FFFFFF"/>
          <w:lang w:val="en-GB"/>
        </w:rPr>
        <w:t>are</w:t>
      </w:r>
      <w:r w:rsidR="00BF61F6" w:rsidRPr="004829B9">
        <w:rPr>
          <w:shd w:val="clear" w:color="auto" w:fill="FFFFFF"/>
          <w:lang w:val="en-GB"/>
        </w:rPr>
        <w:t>a</w:t>
      </w:r>
      <w:proofErr w:type="gramEnd"/>
      <w:r w:rsidR="00BF61F6" w:rsidRPr="004829B9">
        <w:rPr>
          <w:shd w:val="clear" w:color="auto" w:fill="FFFFFF"/>
          <w:lang w:val="en-GB"/>
        </w:rPr>
        <w:t xml:space="preserve">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581162">
        <w:rPr>
          <w:shd w:val="clear" w:color="auto" w:fill="FFFFFF"/>
          <w:lang w:val="en-GB"/>
        </w:rPr>
        <w:t>95</w:t>
      </w:r>
      <w:r w:rsidR="005D25AB" w:rsidRPr="004829B9">
        <w:rPr>
          <w:shd w:val="clear" w:color="auto" w:fill="FFFFFF"/>
          <w:lang w:val="en-GB"/>
        </w:rPr>
        <w:t>.</w:t>
      </w:r>
      <w:r w:rsidR="00C571F3">
        <w:rPr>
          <w:shd w:val="clear" w:color="auto" w:fill="FFFFFF"/>
          <w:lang w:val="en-GB"/>
        </w:rPr>
        <w:t>1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679F1787" w14:textId="77777777" w:rsidR="00B64363" w:rsidRPr="004829B9" w:rsidRDefault="00B64363" w:rsidP="00896EB9">
      <w:pPr>
        <w:rPr>
          <w:shd w:val="clear" w:color="auto" w:fill="FFFFFF"/>
          <w:lang w:val="en-GB"/>
        </w:rPr>
      </w:pP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B64363" w:rsidRPr="003C2145" w14:paraId="3D74A51D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6DA6E46E" w14:textId="0739132C" w:rsidR="00B64363" w:rsidRPr="003C214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6964227" w14:textId="77777777" w:rsidR="00B64363" w:rsidRPr="003C2145" w:rsidRDefault="00B64363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64363" w:rsidRPr="003C2145" w14:paraId="0D3C2463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EEF264C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779D0680" w14:textId="74AB83C4" w:rsidR="00B64363" w:rsidRPr="003C2145" w:rsidRDefault="00B64363" w:rsidP="00574E89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5E0F54FC" w14:textId="77894169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B64363" w:rsidRPr="003C2145" w14:paraId="451F7C87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4C9F76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8E663B" w14:textId="5818BE05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EF4C2A5" w14:textId="72EAF880" w:rsidR="00B64363" w:rsidRPr="003C2145" w:rsidRDefault="00AD3F9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>
              <w:rPr>
                <w:color w:val="000000" w:themeColor="text1"/>
                <w:sz w:val="16"/>
                <w:szCs w:val="16"/>
              </w:rPr>
              <w:t>2020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4EDC0C48" w14:textId="3B4C41E8" w:rsidR="00B64363" w:rsidRPr="003C2145" w:rsidRDefault="005744C0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64363">
              <w:rPr>
                <w:color w:val="000000" w:themeColor="text1"/>
                <w:sz w:val="16"/>
                <w:szCs w:val="16"/>
              </w:rPr>
              <w:t>21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6AD005EA" w14:textId="1EC2AB08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64363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97FC117" w14:textId="679F5B11" w:rsidR="00B64363" w:rsidRPr="003C2145" w:rsidRDefault="005744C0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B64363">
              <w:rPr>
                <w:color w:val="000000" w:themeColor="text1"/>
                <w:sz w:val="16"/>
                <w:szCs w:val="16"/>
              </w:rPr>
              <w:t>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C3F05" w:rsidRPr="003C2145" w14:paraId="77C682AA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3F91378" w14:textId="10364BB0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6CC6EC" w14:textId="344EACCC" w:rsidR="00BC3F05" w:rsidRPr="003C2145" w:rsidRDefault="00BC3F05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18 277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9182DE5" w14:textId="25A8ABFB" w:rsidR="00BC3F05" w:rsidRPr="003C2145" w:rsidRDefault="00BC3F05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107.3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FA55BB8" w14:textId="6E6973FC" w:rsidR="00BC3F05" w:rsidRPr="003C2145" w:rsidRDefault="00BC3F05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119.9</w:t>
            </w:r>
          </w:p>
        </w:tc>
        <w:tc>
          <w:tcPr>
            <w:tcW w:w="1061" w:type="dxa"/>
            <w:tcBorders>
              <w:top w:val="single" w:sz="12" w:space="0" w:color="212492"/>
            </w:tcBorders>
          </w:tcPr>
          <w:p w14:paraId="15BC7E29" w14:textId="577AA18C" w:rsidR="00BC3F05" w:rsidRPr="003C2145" w:rsidRDefault="00BC3F05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105 425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B4095FA" w14:textId="741A4EC8" w:rsidR="00BC3F05" w:rsidRPr="003C2145" w:rsidRDefault="00BC3F05" w:rsidP="00BC3F0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108.6</w:t>
            </w:r>
          </w:p>
        </w:tc>
      </w:tr>
      <w:tr w:rsidR="00BC3F05" w:rsidRPr="003C2145" w14:paraId="1D40C008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158FB4DD" w14:textId="085A529E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51A3490" w14:textId="05CF8B94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6 985</w:t>
            </w:r>
          </w:p>
        </w:tc>
        <w:tc>
          <w:tcPr>
            <w:tcW w:w="1206" w:type="dxa"/>
            <w:vAlign w:val="center"/>
          </w:tcPr>
          <w:p w14:paraId="195F4D95" w14:textId="250B0941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118.1</w:t>
            </w:r>
          </w:p>
        </w:tc>
        <w:tc>
          <w:tcPr>
            <w:tcW w:w="1351" w:type="dxa"/>
            <w:vAlign w:val="center"/>
          </w:tcPr>
          <w:p w14:paraId="78301BBA" w14:textId="597EA4B1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100.8</w:t>
            </w:r>
          </w:p>
        </w:tc>
        <w:tc>
          <w:tcPr>
            <w:tcW w:w="1061" w:type="dxa"/>
          </w:tcPr>
          <w:p w14:paraId="68A49D2A" w14:textId="53AA4AB7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42 462</w:t>
            </w:r>
          </w:p>
        </w:tc>
        <w:tc>
          <w:tcPr>
            <w:tcW w:w="1207" w:type="dxa"/>
            <w:vAlign w:val="center"/>
          </w:tcPr>
          <w:p w14:paraId="0E2E31FF" w14:textId="21DF93C6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130.0</w:t>
            </w:r>
          </w:p>
        </w:tc>
      </w:tr>
      <w:tr w:rsidR="00BC3F05" w:rsidRPr="003C2145" w14:paraId="508A87A2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813B5D1" w14:textId="48E027A2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0732F4A3" w14:textId="30789A3B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10 695</w:t>
            </w:r>
          </w:p>
        </w:tc>
        <w:tc>
          <w:tcPr>
            <w:tcW w:w="1206" w:type="dxa"/>
            <w:vAlign w:val="center"/>
          </w:tcPr>
          <w:p w14:paraId="48DFBF4C" w14:textId="39E1DB4E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99.9</w:t>
            </w:r>
          </w:p>
        </w:tc>
        <w:tc>
          <w:tcPr>
            <w:tcW w:w="1351" w:type="dxa"/>
            <w:vAlign w:val="center"/>
          </w:tcPr>
          <w:p w14:paraId="4ABA9549" w14:textId="706AB784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135.4</w:t>
            </w:r>
          </w:p>
        </w:tc>
        <w:tc>
          <w:tcPr>
            <w:tcW w:w="1061" w:type="dxa"/>
            <w:vAlign w:val="center"/>
          </w:tcPr>
          <w:p w14:paraId="72FDE0B7" w14:textId="1388970C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60 536</w:t>
            </w:r>
          </w:p>
        </w:tc>
        <w:tc>
          <w:tcPr>
            <w:tcW w:w="1207" w:type="dxa"/>
            <w:vAlign w:val="center"/>
          </w:tcPr>
          <w:p w14:paraId="10A2CC76" w14:textId="1A52E272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96.7</w:t>
            </w:r>
          </w:p>
        </w:tc>
      </w:tr>
      <w:tr w:rsidR="00BC3F05" w:rsidRPr="003C2145" w14:paraId="58824C75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6D82379A" w14:textId="48F6CDEB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14:paraId="379C0269" w14:textId="64EABC2B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206" w:type="dxa"/>
            <w:vAlign w:val="center"/>
          </w:tcPr>
          <w:p w14:paraId="77154C89" w14:textId="2A0E0C98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51.3</w:t>
            </w:r>
          </w:p>
        </w:tc>
        <w:tc>
          <w:tcPr>
            <w:tcW w:w="1351" w:type="dxa"/>
            <w:vAlign w:val="center"/>
          </w:tcPr>
          <w:p w14:paraId="07260E2C" w14:textId="658DF585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113.2</w:t>
            </w:r>
          </w:p>
        </w:tc>
        <w:tc>
          <w:tcPr>
            <w:tcW w:w="1061" w:type="dxa"/>
            <w:vAlign w:val="center"/>
          </w:tcPr>
          <w:p w14:paraId="59FA5EC3" w14:textId="70E728AA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955</w:t>
            </w:r>
          </w:p>
        </w:tc>
        <w:tc>
          <w:tcPr>
            <w:tcW w:w="1207" w:type="dxa"/>
            <w:vAlign w:val="center"/>
          </w:tcPr>
          <w:p w14:paraId="75124231" w14:textId="5BC06970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109.6</w:t>
            </w:r>
          </w:p>
        </w:tc>
      </w:tr>
      <w:tr w:rsidR="00BC3F05" w:rsidRPr="003C2145" w14:paraId="2288CE1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19BC0BAF" w14:textId="12E2EC41" w:rsidR="00BC3F05" w:rsidRPr="003C2145" w:rsidRDefault="00BC3F05" w:rsidP="00BC3F0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18F09E" w14:textId="11C96923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453</w:t>
            </w:r>
          </w:p>
        </w:tc>
        <w:tc>
          <w:tcPr>
            <w:tcW w:w="1206" w:type="dxa"/>
            <w:vAlign w:val="center"/>
          </w:tcPr>
          <w:p w14:paraId="7DD3D881" w14:textId="17FB036F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310.3</w:t>
            </w:r>
          </w:p>
        </w:tc>
        <w:tc>
          <w:tcPr>
            <w:tcW w:w="1351" w:type="dxa"/>
            <w:vAlign w:val="center"/>
          </w:tcPr>
          <w:p w14:paraId="4325B769" w14:textId="2D09C6C7" w:rsidR="00BC3F05" w:rsidRPr="003C2145" w:rsidRDefault="00BC3F05" w:rsidP="00BC3F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288.5</w:t>
            </w:r>
          </w:p>
        </w:tc>
        <w:tc>
          <w:tcPr>
            <w:tcW w:w="1061" w:type="dxa"/>
            <w:vAlign w:val="center"/>
          </w:tcPr>
          <w:p w14:paraId="18FA1C60" w14:textId="531F9803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1 253</w:t>
            </w:r>
          </w:p>
        </w:tc>
        <w:tc>
          <w:tcPr>
            <w:tcW w:w="1207" w:type="dxa"/>
            <w:vAlign w:val="center"/>
          </w:tcPr>
          <w:p w14:paraId="4E1F5190" w14:textId="4A574E67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189.6</w:t>
            </w:r>
          </w:p>
        </w:tc>
      </w:tr>
      <w:tr w:rsidR="00BC3F05" w:rsidRPr="003C2145" w14:paraId="3F448AE5" w14:textId="77777777" w:rsidTr="00BC3F05">
        <w:trPr>
          <w:trHeight w:val="736"/>
        </w:trPr>
        <w:tc>
          <w:tcPr>
            <w:tcW w:w="2049" w:type="dxa"/>
            <w:vAlign w:val="center"/>
          </w:tcPr>
          <w:p w14:paraId="75580F57" w14:textId="38954F52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4E517085" w14:textId="2ED369FF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206" w:type="dxa"/>
            <w:vAlign w:val="center"/>
          </w:tcPr>
          <w:p w14:paraId="6D146A55" w14:textId="453E8E33" w:rsidR="00BC3F0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</w:rPr>
              <w:t>over</w:t>
            </w:r>
            <w:proofErr w:type="gramEnd"/>
            <w:r>
              <w:rPr>
                <w:rFonts w:cs="Arial"/>
                <w:color w:val="000000" w:themeColor="text1"/>
                <w:sz w:val="16"/>
                <w:szCs w:val="16"/>
              </w:rPr>
              <w:br/>
              <w:t xml:space="preserve">15-fold </w:t>
            </w:r>
          </w:p>
          <w:p w14:paraId="25567828" w14:textId="43402708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  <w:proofErr w:type="gramEnd"/>
          </w:p>
        </w:tc>
        <w:tc>
          <w:tcPr>
            <w:tcW w:w="1351" w:type="dxa"/>
            <w:vAlign w:val="center"/>
          </w:tcPr>
          <w:p w14:paraId="014C6835" w14:textId="19A4E22D" w:rsidR="00BC3F05" w:rsidRPr="003C2145" w:rsidRDefault="00BC3F05" w:rsidP="00BC3F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61.0</w:t>
            </w:r>
          </w:p>
        </w:tc>
        <w:tc>
          <w:tcPr>
            <w:tcW w:w="1061" w:type="dxa"/>
          </w:tcPr>
          <w:p w14:paraId="67A3EC82" w14:textId="77777777" w:rsidR="00BC3F0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6B466C47" w14:textId="16B536D5" w:rsidR="00BC3F05" w:rsidRPr="00BC3F0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907</w:t>
            </w:r>
          </w:p>
        </w:tc>
        <w:tc>
          <w:tcPr>
            <w:tcW w:w="1207" w:type="dxa"/>
            <w:vAlign w:val="center"/>
          </w:tcPr>
          <w:p w14:paraId="07B4D463" w14:textId="2DD0E794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218.0</w:t>
            </w:r>
          </w:p>
        </w:tc>
      </w:tr>
      <w:tr w:rsidR="00BC3F05" w:rsidRPr="003C2145" w14:paraId="0BA0AF5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3913E1F" w14:textId="45BC4A8B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3608F751" w14:textId="36B1EEA9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06" w:type="dxa"/>
            <w:vAlign w:val="center"/>
          </w:tcPr>
          <w:p w14:paraId="11049FEB" w14:textId="35EB1609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2.7</w:t>
            </w:r>
          </w:p>
        </w:tc>
        <w:tc>
          <w:tcPr>
            <w:tcW w:w="1351" w:type="dxa"/>
            <w:vAlign w:val="center"/>
          </w:tcPr>
          <w:p w14:paraId="7977A467" w14:textId="533A4251" w:rsidR="00BC3F05" w:rsidRPr="003C2145" w:rsidRDefault="00BC3F05" w:rsidP="00BC3F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25.9</w:t>
            </w:r>
          </w:p>
        </w:tc>
        <w:tc>
          <w:tcPr>
            <w:tcW w:w="1061" w:type="dxa"/>
          </w:tcPr>
          <w:p w14:paraId="7DEAFFCC" w14:textId="02E7F91F" w:rsidR="00BC3F05" w:rsidRPr="003C2145" w:rsidRDefault="00BC3F05" w:rsidP="00BC3F0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207" w:type="dxa"/>
            <w:vAlign w:val="center"/>
          </w:tcPr>
          <w:p w14:paraId="3B642308" w14:textId="355E42A8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38.3</w:t>
            </w:r>
          </w:p>
        </w:tc>
      </w:tr>
      <w:tr w:rsidR="00BC3F05" w:rsidRPr="003C2145" w14:paraId="0EA6F2E3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E746B3D" w14:textId="6F124B61" w:rsidR="00BC3F05" w:rsidRPr="003C2145" w:rsidRDefault="00BC3F05" w:rsidP="00BC3F0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4342BE94" w14:textId="5E7D1975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14:paraId="72960F2D" w14:textId="59C60F08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100.0</w:t>
            </w:r>
          </w:p>
        </w:tc>
        <w:tc>
          <w:tcPr>
            <w:tcW w:w="1351" w:type="dxa"/>
            <w:vAlign w:val="center"/>
          </w:tcPr>
          <w:p w14:paraId="01D12245" w14:textId="45ABD549" w:rsidR="00BC3F05" w:rsidRPr="003C2145" w:rsidRDefault="00BC3F05" w:rsidP="00BC3F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50.0</w:t>
            </w:r>
          </w:p>
        </w:tc>
        <w:tc>
          <w:tcPr>
            <w:tcW w:w="1061" w:type="dxa"/>
          </w:tcPr>
          <w:p w14:paraId="4F1C5A5A" w14:textId="534D168D" w:rsidR="00BC3F05" w:rsidRPr="003C2145" w:rsidRDefault="00BC3F05" w:rsidP="00BC3F0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7" w:type="dxa"/>
            <w:vAlign w:val="center"/>
          </w:tcPr>
          <w:p w14:paraId="0DC30BC3" w14:textId="55D55CC1" w:rsidR="00BC3F05" w:rsidRPr="003C2145" w:rsidRDefault="00BC3F05" w:rsidP="00BC3F0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42.9</w:t>
            </w:r>
          </w:p>
        </w:tc>
      </w:tr>
      <w:bookmarkEnd w:id="1"/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10D3BA04" w14:textId="77777777" w:rsidR="00A7208C" w:rsidRDefault="00A7208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44DE51C2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9BF41E9">
                <wp:simplePos x="0" y="0"/>
                <wp:positionH relativeFrom="rightMargin">
                  <wp:posOffset>77470</wp:posOffset>
                </wp:positionH>
                <wp:positionV relativeFrom="paragraph">
                  <wp:posOffset>6350</wp:posOffset>
                </wp:positionV>
                <wp:extent cx="168846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0E38EC82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0D0D69">
                              <w:rPr>
                                <w:lang w:val="en-US"/>
                              </w:rPr>
                              <w:t xml:space="preserve">in the period </w:t>
                            </w:r>
                            <w:r w:rsidR="005744C0">
                              <w:rPr>
                                <w:lang w:val="en-US"/>
                              </w:rPr>
                              <w:t>of I-</w:t>
                            </w:r>
                            <w:r w:rsidR="000D0D69">
                              <w:rPr>
                                <w:lang w:val="en-US"/>
                              </w:rPr>
                              <w:t>V</w:t>
                            </w:r>
                            <w:r w:rsidR="001D7448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 xml:space="preserve"> 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1D7448">
                              <w:rPr>
                                <w:lang w:val="en-US"/>
                              </w:rPr>
                              <w:t>40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5744C0">
                              <w:rPr>
                                <w:lang w:val="en-US"/>
                              </w:rPr>
                              <w:t>2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55D6D" id="Pole tekstowe 15" o:spid="_x0000_s1030" type="#_x0000_t202" style="position:absolute;margin-left:6.1pt;margin-top:.5pt;width:132.9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" filled="f" stroked="f" strokeweight=".5pt">
                <v:textbox>
                  <w:txbxContent>
                    <w:p w14:paraId="35DCCB4E" w14:textId="0E38EC82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0D0D69">
                        <w:rPr>
                          <w:lang w:val="en-US"/>
                        </w:rPr>
                        <w:t xml:space="preserve">in the period </w:t>
                      </w:r>
                      <w:r w:rsidR="005744C0">
                        <w:rPr>
                          <w:lang w:val="en-US"/>
                        </w:rPr>
                        <w:t>of I-</w:t>
                      </w:r>
                      <w:r w:rsidR="000D0D69">
                        <w:rPr>
                          <w:lang w:val="en-US"/>
                        </w:rPr>
                        <w:t>V</w:t>
                      </w:r>
                      <w:r w:rsidR="001D7448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 xml:space="preserve"> 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1D7448">
                        <w:rPr>
                          <w:lang w:val="en-US"/>
                        </w:rPr>
                        <w:t>40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5744C0">
                        <w:rPr>
                          <w:lang w:val="en-US"/>
                        </w:rPr>
                        <w:t>2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71F3" w:rsidRPr="00C571F3">
        <w:rPr>
          <w:noProof/>
          <w:lang w:val="en-GB" w:eastAsia="pl-PL"/>
        </w:rPr>
        <w:t>In the first half of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A7208C">
        <w:rPr>
          <w:szCs w:val="19"/>
          <w:shd w:val="clear" w:color="auto" w:fill="FFFFFF"/>
          <w:lang w:val="en-GB"/>
        </w:rPr>
        <w:t>2021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C571F3">
        <w:rPr>
          <w:shd w:val="clear" w:color="auto" w:fill="FFFFFF"/>
          <w:lang w:val="en-GB"/>
        </w:rPr>
        <w:t>17</w:t>
      </w:r>
      <w:r w:rsidR="000D0D69">
        <w:rPr>
          <w:shd w:val="clear" w:color="auto" w:fill="FFFFFF"/>
          <w:lang w:val="en-GB"/>
        </w:rPr>
        <w:t>1</w:t>
      </w:r>
      <w:r w:rsidR="00DE7DD4">
        <w:rPr>
          <w:shd w:val="clear" w:color="auto" w:fill="FFFFFF"/>
          <w:lang w:val="en-GB"/>
        </w:rPr>
        <w:t>.</w:t>
      </w:r>
      <w:r w:rsidR="00C571F3">
        <w:rPr>
          <w:shd w:val="clear" w:color="auto" w:fill="FFFFFF"/>
          <w:lang w:val="en-GB"/>
        </w:rPr>
        <w:t>5 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C571F3">
        <w:rPr>
          <w:shd w:val="clear" w:color="auto" w:fill="FFFFFF"/>
          <w:lang w:val="en-GB"/>
        </w:rPr>
        <w:t>40</w:t>
      </w:r>
      <w:r w:rsidR="00E245E1" w:rsidRPr="004829B9">
        <w:rPr>
          <w:shd w:val="clear" w:color="auto" w:fill="FFFFFF"/>
          <w:lang w:val="en-GB"/>
        </w:rPr>
        <w:t>.</w:t>
      </w:r>
      <w:r w:rsidR="00581162">
        <w:rPr>
          <w:shd w:val="clear" w:color="auto" w:fill="FFFFFF"/>
          <w:lang w:val="en-GB"/>
        </w:rPr>
        <w:t>2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C571F3">
        <w:rPr>
          <w:shd w:val="clear" w:color="auto" w:fill="FFFFFF"/>
          <w:lang w:val="en-GB"/>
        </w:rPr>
        <w:t>109</w:t>
      </w:r>
      <w:r w:rsidR="00DE7DD4">
        <w:rPr>
          <w:shd w:val="clear" w:color="auto" w:fill="FFFFFF"/>
          <w:lang w:val="en-GB"/>
        </w:rPr>
        <w:t>.</w:t>
      </w:r>
      <w:r w:rsidR="00C571F3">
        <w:rPr>
          <w:shd w:val="clear" w:color="auto" w:fill="FFFFFF"/>
          <w:lang w:val="en-GB"/>
        </w:rPr>
        <w:t>1</w:t>
      </w:r>
      <w:r w:rsidR="000D0D69">
        <w:rPr>
          <w:shd w:val="clear" w:color="auto" w:fill="FFFFFF"/>
          <w:lang w:val="en-GB"/>
        </w:rPr>
        <w:t>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C571F3">
        <w:rPr>
          <w:shd w:val="clear" w:color="auto" w:fill="FFFFFF"/>
          <w:lang w:val="en-GB"/>
        </w:rPr>
        <w:t xml:space="preserve"> increase of 46.9</w:t>
      </w:r>
      <w:r w:rsidR="00FE3A83">
        <w:rPr>
          <w:shd w:val="clear" w:color="auto" w:fill="FFFFFF"/>
          <w:lang w:val="en-GB"/>
        </w:rPr>
        <w:t>%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1D7448">
        <w:rPr>
          <w:shd w:val="clear" w:color="auto" w:fill="FFFFFF"/>
          <w:lang w:val="en-GB"/>
        </w:rPr>
        <w:t>60</w:t>
      </w:r>
      <w:r w:rsidR="00DE7DD4">
        <w:rPr>
          <w:shd w:val="clear" w:color="auto" w:fill="FFFFFF"/>
          <w:lang w:val="en-GB"/>
        </w:rPr>
        <w:t>.</w:t>
      </w:r>
      <w:r w:rsidR="001D7448">
        <w:rPr>
          <w:shd w:val="clear" w:color="auto" w:fill="FFFFFF"/>
          <w:lang w:val="en-GB"/>
        </w:rPr>
        <w:t>4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1D7448">
        <w:rPr>
          <w:shd w:val="clear" w:color="auto" w:fill="FFFFFF"/>
          <w:lang w:val="en-GB"/>
        </w:rPr>
        <w:t>, an increase of 28.9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93EA6">
        <w:rPr>
          <w:shd w:val="clear" w:color="auto" w:fill="FFFFFF"/>
          <w:lang w:val="en-GB"/>
        </w:rPr>
        <w:t xml:space="preserve"> 98</w:t>
      </w:r>
      <w:r w:rsidR="001A1F89" w:rsidRPr="004829B9">
        <w:rPr>
          <w:shd w:val="clear" w:color="auto" w:fill="FFFFFF"/>
          <w:lang w:val="en-GB"/>
        </w:rPr>
        <w:t>.</w:t>
      </w:r>
      <w:r w:rsidR="00D93EA6">
        <w:rPr>
          <w:shd w:val="clear" w:color="auto" w:fill="FFFFFF"/>
          <w:lang w:val="en-GB"/>
        </w:rPr>
        <w:t>8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1D7448">
        <w:rPr>
          <w:spacing w:val="-4"/>
          <w:shd w:val="clear" w:color="auto" w:fill="FFFFFF"/>
          <w:lang w:val="en-GB"/>
        </w:rPr>
        <w:t>2 015</w:t>
      </w:r>
      <w:r w:rsidR="00D93EA6" w:rsidRPr="00D93EA6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spacing w:val="-4"/>
          <w:shd w:val="clear" w:color="auto" w:fill="FFFFFF"/>
          <w:lang w:val="en-GB"/>
        </w:rPr>
        <w:t>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1D7448">
        <w:rPr>
          <w:shd w:val="clear" w:color="auto" w:fill="FFFFFF"/>
          <w:lang w:val="en-GB"/>
        </w:rPr>
        <w:t>1 221</w:t>
      </w:r>
      <w:r w:rsidR="00D93EA6" w:rsidRPr="00D93EA6">
        <w:rPr>
          <w:shd w:val="clear" w:color="auto" w:fill="FFFFFF"/>
          <w:lang w:val="en-GB"/>
        </w:rPr>
        <w:t xml:space="preserve"> </w:t>
      </w:r>
      <w:r w:rsidR="00C214E1">
        <w:rPr>
          <w:shd w:val="clear" w:color="auto" w:fill="FFFFFF"/>
          <w:lang w:val="en-GB"/>
        </w:rPr>
        <w:t>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9742AF" w:rsidRPr="004075A5" w14:paraId="652EDD20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A568A9" w14:textId="2D9D8E34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76ACFB3A" w14:textId="77777777" w:rsidR="009742AF" w:rsidRPr="004075A5" w:rsidRDefault="009742AF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4075A5" w14:paraId="407E8CA0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F49B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DE5D24B" w14:textId="22C959D9" w:rsidR="009742AF" w:rsidRPr="004075A5" w:rsidRDefault="000D0D69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74C18E57" w14:textId="14F8C99D" w:rsidR="009742AF" w:rsidRPr="004075A5" w:rsidRDefault="009742A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742AF" w:rsidRPr="004075A5" w14:paraId="34D84E6E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BB0D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45D542" w14:textId="018F2B6C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31348A1" w14:textId="21889481" w:rsidR="009742AF" w:rsidRPr="004075A5" w:rsidRDefault="000D0D69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5D60182" w14:textId="0FB5D4F6" w:rsidR="009742AF" w:rsidRPr="004075A5" w:rsidRDefault="005744C0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9742AF">
              <w:rPr>
                <w:color w:val="000000" w:themeColor="text1"/>
                <w:sz w:val="16"/>
                <w:szCs w:val="16"/>
              </w:rPr>
              <w:t>021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04BAD5" w14:textId="3C487BCE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768058B7" w14:textId="4DB78868" w:rsidR="009742AF" w:rsidRPr="004075A5" w:rsidRDefault="005744C0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1637A" w:rsidRPr="004075A5" w14:paraId="363C5E69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945A5CE" w14:textId="0F3C1913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FF6B37E" w14:textId="18F4587C" w:rsidR="0091637A" w:rsidRPr="004075A5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30 037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2650B294" w14:textId="0A88B364" w:rsidR="0091637A" w:rsidRPr="004075A5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111.9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0DFAE63" w14:textId="019AEE1E" w:rsidR="0091637A" w:rsidRPr="004075A5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101.2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031BE8B" w14:textId="65547B87" w:rsidR="0091637A" w:rsidRPr="004075A5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171 468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F67A547" w14:textId="13A8B4EB" w:rsidR="0091637A" w:rsidRPr="004075A5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140.2</w:t>
            </w:r>
          </w:p>
        </w:tc>
      </w:tr>
      <w:tr w:rsidR="0091637A" w:rsidRPr="004075A5" w14:paraId="5A60AF97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4FEBA86" w14:textId="3CBD3A6D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7B4676B3" w14:textId="0402BCC5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11 713</w:t>
            </w:r>
          </w:p>
        </w:tc>
        <w:tc>
          <w:tcPr>
            <w:tcW w:w="1281" w:type="dxa"/>
            <w:vAlign w:val="center"/>
          </w:tcPr>
          <w:p w14:paraId="5944B0EE" w14:textId="4C45CA50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120.1</w:t>
            </w:r>
          </w:p>
        </w:tc>
        <w:tc>
          <w:tcPr>
            <w:tcW w:w="1134" w:type="dxa"/>
            <w:vAlign w:val="center"/>
          </w:tcPr>
          <w:p w14:paraId="3B4476B3" w14:textId="357A2D08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103.8</w:t>
            </w:r>
          </w:p>
        </w:tc>
        <w:tc>
          <w:tcPr>
            <w:tcW w:w="1134" w:type="dxa"/>
            <w:vAlign w:val="center"/>
          </w:tcPr>
          <w:p w14:paraId="4C8A7B81" w14:textId="0C7ABA3D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60 386</w:t>
            </w:r>
          </w:p>
        </w:tc>
        <w:tc>
          <w:tcPr>
            <w:tcW w:w="1276" w:type="dxa"/>
            <w:vAlign w:val="center"/>
          </w:tcPr>
          <w:p w14:paraId="77B0F2D4" w14:textId="600F737C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128.9</w:t>
            </w:r>
          </w:p>
        </w:tc>
      </w:tr>
      <w:tr w:rsidR="0091637A" w:rsidRPr="004075A5" w14:paraId="253F359E" w14:textId="77777777" w:rsidTr="00574E89">
        <w:trPr>
          <w:trHeight w:val="381"/>
        </w:trPr>
        <w:tc>
          <w:tcPr>
            <w:tcW w:w="2049" w:type="dxa"/>
            <w:vAlign w:val="center"/>
          </w:tcPr>
          <w:p w14:paraId="4A3D285E" w14:textId="713098B9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2742894C" w14:textId="0410222A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18 054</w:t>
            </w:r>
          </w:p>
        </w:tc>
        <w:tc>
          <w:tcPr>
            <w:tcW w:w="1281" w:type="dxa"/>
            <w:vAlign w:val="center"/>
          </w:tcPr>
          <w:p w14:paraId="3E99F8B5" w14:textId="42626207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1134" w:type="dxa"/>
            <w:vAlign w:val="center"/>
          </w:tcPr>
          <w:p w14:paraId="33E71843" w14:textId="44BB59FE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103.2</w:t>
            </w:r>
          </w:p>
        </w:tc>
        <w:tc>
          <w:tcPr>
            <w:tcW w:w="1134" w:type="dxa"/>
            <w:vAlign w:val="center"/>
          </w:tcPr>
          <w:p w14:paraId="439A9A61" w14:textId="1DB0EDF2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109 067</w:t>
            </w:r>
          </w:p>
        </w:tc>
        <w:tc>
          <w:tcPr>
            <w:tcW w:w="1276" w:type="dxa"/>
            <w:vAlign w:val="center"/>
          </w:tcPr>
          <w:p w14:paraId="1D21657D" w14:textId="457F62E4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146.9</w:t>
            </w:r>
          </w:p>
        </w:tc>
      </w:tr>
      <w:tr w:rsidR="0091637A" w:rsidRPr="004075A5" w14:paraId="49CCABB5" w14:textId="77777777" w:rsidTr="00574E89">
        <w:trPr>
          <w:trHeight w:val="254"/>
        </w:trPr>
        <w:tc>
          <w:tcPr>
            <w:tcW w:w="2049" w:type="dxa"/>
            <w:vAlign w:val="center"/>
          </w:tcPr>
          <w:p w14:paraId="04F8B3A3" w14:textId="40A4038A" w:rsidR="0091637A" w:rsidRPr="004075A5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4102165" w14:textId="25C6A311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1281" w:type="dxa"/>
            <w:vAlign w:val="center"/>
          </w:tcPr>
          <w:p w14:paraId="09DE0DD7" w14:textId="610448D4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18.4</w:t>
            </w:r>
          </w:p>
        </w:tc>
        <w:tc>
          <w:tcPr>
            <w:tcW w:w="1134" w:type="dxa"/>
            <w:vAlign w:val="center"/>
          </w:tcPr>
          <w:p w14:paraId="26C5A508" w14:textId="3B5BFEB9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15.0</w:t>
            </w:r>
          </w:p>
        </w:tc>
        <w:tc>
          <w:tcPr>
            <w:tcW w:w="1134" w:type="dxa"/>
            <w:vAlign w:val="center"/>
          </w:tcPr>
          <w:p w14:paraId="0758F907" w14:textId="38957975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570</w:t>
            </w:r>
          </w:p>
        </w:tc>
        <w:tc>
          <w:tcPr>
            <w:tcW w:w="1276" w:type="dxa"/>
            <w:vAlign w:val="center"/>
          </w:tcPr>
          <w:p w14:paraId="3736BBBA" w14:textId="2DD532F4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115.6</w:t>
            </w:r>
          </w:p>
        </w:tc>
      </w:tr>
      <w:tr w:rsidR="0091637A" w:rsidRPr="004075A5" w14:paraId="6AE47FC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BE41020" w14:textId="03705341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074B7F82" w14:textId="12E36689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1281" w:type="dxa"/>
            <w:vAlign w:val="center"/>
          </w:tcPr>
          <w:p w14:paraId="75710FA7" w14:textId="2B4C83D7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39.6</w:t>
            </w:r>
          </w:p>
        </w:tc>
        <w:tc>
          <w:tcPr>
            <w:tcW w:w="1134" w:type="dxa"/>
            <w:vAlign w:val="center"/>
          </w:tcPr>
          <w:p w14:paraId="0D727A2C" w14:textId="061F35E1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58.1</w:t>
            </w:r>
          </w:p>
        </w:tc>
        <w:tc>
          <w:tcPr>
            <w:tcW w:w="1134" w:type="dxa"/>
            <w:vAlign w:val="center"/>
          </w:tcPr>
          <w:p w14:paraId="7BC5B13D" w14:textId="6039D36E" w:rsidR="0091637A" w:rsidRPr="004075A5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1276" w:type="dxa"/>
            <w:vAlign w:val="center"/>
          </w:tcPr>
          <w:p w14:paraId="6A2D6765" w14:textId="7F82225B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104.6</w:t>
            </w:r>
          </w:p>
        </w:tc>
      </w:tr>
      <w:tr w:rsidR="0091637A" w:rsidRPr="004075A5" w14:paraId="3743047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B07F42D" w14:textId="55C2ED06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5B2F4361" w14:textId="1F00D88C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173</w:t>
            </w:r>
          </w:p>
        </w:tc>
        <w:tc>
          <w:tcPr>
            <w:tcW w:w="1281" w:type="dxa"/>
            <w:vAlign w:val="center"/>
          </w:tcPr>
          <w:p w14:paraId="3F38C2B2" w14:textId="5FC40CEB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432.5</w:t>
            </w:r>
          </w:p>
        </w:tc>
        <w:tc>
          <w:tcPr>
            <w:tcW w:w="1134" w:type="dxa"/>
            <w:vAlign w:val="center"/>
          </w:tcPr>
          <w:p w14:paraId="7F91F410" w14:textId="447AF460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28.0</w:t>
            </w:r>
          </w:p>
        </w:tc>
        <w:tc>
          <w:tcPr>
            <w:tcW w:w="1134" w:type="dxa"/>
            <w:vAlign w:val="center"/>
          </w:tcPr>
          <w:p w14:paraId="1D4CFC01" w14:textId="02EEB88B" w:rsidR="0091637A" w:rsidRPr="004075A5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1276" w:type="dxa"/>
            <w:vAlign w:val="center"/>
          </w:tcPr>
          <w:p w14:paraId="2D6C854F" w14:textId="75B88B08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360.0</w:t>
            </w:r>
          </w:p>
        </w:tc>
      </w:tr>
      <w:tr w:rsidR="0091637A" w:rsidRPr="004075A5" w14:paraId="600577D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10EF7C3" w14:textId="0E998393" w:rsidR="0091637A" w:rsidRPr="004075A5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5643C5F6" w14:textId="3BE542B1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14:paraId="010E4B35" w14:textId="578606CF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C67E5C1" w14:textId="23EBD159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58E5EB1D" w14:textId="0EE3C3EF" w:rsidR="0091637A" w:rsidRPr="004075A5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0779A040" w14:textId="557AA4A0" w:rsidR="0091637A" w:rsidRPr="004075A5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450.0</w:t>
            </w:r>
          </w:p>
        </w:tc>
      </w:tr>
      <w:bookmarkEnd w:id="2"/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70B160FD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proofErr w:type="gramStart"/>
      <w:r w:rsidR="00BC3F05">
        <w:rPr>
          <w:b w:val="0"/>
          <w:sz w:val="19"/>
          <w:szCs w:val="19"/>
          <w:shd w:val="clear" w:color="auto" w:fill="FFFFFF"/>
          <w:lang w:val="en-GB"/>
        </w:rPr>
        <w:t>the I</w:t>
      </w:r>
      <w:proofErr w:type="gramEnd"/>
      <w:r w:rsidR="00BC3F0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half of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144.6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44.6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87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7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63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8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54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3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(by 22.3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2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2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605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2 049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9742AF" w:rsidRDefault="00B4601E" w:rsidP="007207E6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53"/>
        <w:gridCol w:w="1134"/>
        <w:gridCol w:w="1134"/>
        <w:gridCol w:w="1134"/>
        <w:gridCol w:w="1276"/>
      </w:tblGrid>
      <w:tr w:rsidR="009742AF" w:rsidRPr="009742AF" w14:paraId="42B31331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7AD684F9" w14:textId="5A20F73E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2B8481C" w14:textId="77777777" w:rsidR="009742AF" w:rsidRPr="009742AF" w:rsidRDefault="009742AF" w:rsidP="009742A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9742AF" w14:paraId="21415E6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AF4216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32B26E1F" w14:textId="275B389F" w:rsidR="009742AF" w:rsidRPr="009742AF" w:rsidRDefault="000D0D69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02375EED" w14:textId="7197E228" w:rsidR="009742AF" w:rsidRPr="009742AF" w:rsidRDefault="005744C0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9742AF" w:rsidRPr="009742AF" w14:paraId="20FBE1E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3CF40A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bottom w:val="single" w:sz="12" w:space="0" w:color="212492"/>
            </w:tcBorders>
            <w:vAlign w:val="center"/>
          </w:tcPr>
          <w:p w14:paraId="20F03018" w14:textId="40DE832C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3971D200" w14:textId="6ACC13C9" w:rsidR="009742AF" w:rsidRPr="009742AF" w:rsidRDefault="000D0D69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921633" w14:textId="321FFE95" w:rsidR="009742AF" w:rsidRPr="009742AF" w:rsidRDefault="005744C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56A9851" w14:textId="1E7E7DE8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Number of dwellings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5622396" w14:textId="107657A6" w:rsidR="009742AF" w:rsidRPr="009742AF" w:rsidRDefault="005744C0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V</w:t>
            </w:r>
            <w:r w:rsidR="0091637A">
              <w:rPr>
                <w:color w:val="000000" w:themeColor="text1"/>
                <w:sz w:val="16"/>
                <w:szCs w:val="16"/>
              </w:rPr>
              <w:t>I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91637A" w:rsidRPr="009742AF" w14:paraId="78BFCBE6" w14:textId="77777777" w:rsidTr="000D0D6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15F511" w14:textId="7E144C87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53" w:type="dxa"/>
            <w:tcBorders>
              <w:top w:val="single" w:sz="12" w:space="0" w:color="212492"/>
            </w:tcBorders>
            <w:vAlign w:val="center"/>
          </w:tcPr>
          <w:p w14:paraId="37677614" w14:textId="46ACF864" w:rsidR="0091637A" w:rsidRPr="009742AF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25 744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7299C22" w14:textId="190EEF58" w:rsidR="0091637A" w:rsidRPr="009742AF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137.</w:t>
            </w:r>
            <w:r w:rsidRPr="002A3E97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3257870A" w14:textId="516CC961" w:rsidR="0091637A" w:rsidRPr="009742AF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89.1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62E4576F" w14:textId="6200B63E" w:rsidR="0091637A" w:rsidRPr="009742AF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144 561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CFB1E21" w14:textId="44926C6E" w:rsidR="0091637A" w:rsidRPr="009742AF" w:rsidRDefault="0091637A" w:rsidP="0091637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144.6</w:t>
            </w:r>
          </w:p>
        </w:tc>
      </w:tr>
      <w:tr w:rsidR="0091637A" w:rsidRPr="009742AF" w14:paraId="1AF51B79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70FE36C1" w14:textId="11A32CE6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53" w:type="dxa"/>
            <w:vAlign w:val="center"/>
          </w:tcPr>
          <w:p w14:paraId="63878239" w14:textId="5268DBF8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10 364</w:t>
            </w:r>
          </w:p>
        </w:tc>
        <w:tc>
          <w:tcPr>
            <w:tcW w:w="1134" w:type="dxa"/>
            <w:vAlign w:val="center"/>
          </w:tcPr>
          <w:p w14:paraId="609BA523" w14:textId="52B3FEEF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115.6</w:t>
            </w:r>
          </w:p>
        </w:tc>
        <w:tc>
          <w:tcPr>
            <w:tcW w:w="1134" w:type="dxa"/>
            <w:vAlign w:val="center"/>
          </w:tcPr>
          <w:p w14:paraId="4E1B2726" w14:textId="3B808D8F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1134" w:type="dxa"/>
            <w:vAlign w:val="center"/>
          </w:tcPr>
          <w:p w14:paraId="02B9CB2E" w14:textId="25B86002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54 274</w:t>
            </w:r>
          </w:p>
        </w:tc>
        <w:tc>
          <w:tcPr>
            <w:tcW w:w="1276" w:type="dxa"/>
            <w:vAlign w:val="center"/>
          </w:tcPr>
          <w:p w14:paraId="2CB4462E" w14:textId="53554075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122.3</w:t>
            </w:r>
          </w:p>
        </w:tc>
      </w:tr>
      <w:tr w:rsidR="0091637A" w:rsidRPr="009742AF" w14:paraId="5438C4EC" w14:textId="77777777" w:rsidTr="000D0D69">
        <w:trPr>
          <w:trHeight w:val="381"/>
        </w:trPr>
        <w:tc>
          <w:tcPr>
            <w:tcW w:w="2049" w:type="dxa"/>
            <w:vAlign w:val="center"/>
          </w:tcPr>
          <w:p w14:paraId="482BA362" w14:textId="1F4BF9AB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53" w:type="dxa"/>
            <w:vAlign w:val="center"/>
          </w:tcPr>
          <w:p w14:paraId="4D27C9CE" w14:textId="728A2586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14 884</w:t>
            </w:r>
          </w:p>
        </w:tc>
        <w:tc>
          <w:tcPr>
            <w:tcW w:w="1134" w:type="dxa"/>
            <w:vAlign w:val="center"/>
          </w:tcPr>
          <w:p w14:paraId="0A75D08F" w14:textId="0AA32784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159.8</w:t>
            </w:r>
          </w:p>
        </w:tc>
        <w:tc>
          <w:tcPr>
            <w:tcW w:w="1134" w:type="dxa"/>
            <w:vAlign w:val="center"/>
          </w:tcPr>
          <w:p w14:paraId="64CEC6ED" w14:textId="5D8475D5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84.7</w:t>
            </w:r>
          </w:p>
        </w:tc>
        <w:tc>
          <w:tcPr>
            <w:tcW w:w="1134" w:type="dxa"/>
            <w:vAlign w:val="center"/>
          </w:tcPr>
          <w:p w14:paraId="6BB26F27" w14:textId="20AD709D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87 682</w:t>
            </w:r>
          </w:p>
        </w:tc>
        <w:tc>
          <w:tcPr>
            <w:tcW w:w="1276" w:type="dxa"/>
            <w:vAlign w:val="center"/>
          </w:tcPr>
          <w:p w14:paraId="375F0B14" w14:textId="1446AE02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163.8</w:t>
            </w:r>
          </w:p>
        </w:tc>
      </w:tr>
      <w:tr w:rsidR="0091637A" w:rsidRPr="009742AF" w14:paraId="0C63BA5A" w14:textId="77777777" w:rsidTr="000D0D69">
        <w:trPr>
          <w:trHeight w:val="265"/>
        </w:trPr>
        <w:tc>
          <w:tcPr>
            <w:tcW w:w="2049" w:type="dxa"/>
            <w:vAlign w:val="center"/>
          </w:tcPr>
          <w:p w14:paraId="20E77697" w14:textId="1AF9CEF1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53" w:type="dxa"/>
            <w:vAlign w:val="center"/>
          </w:tcPr>
          <w:p w14:paraId="6ABD4510" w14:textId="15F9E841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7A0F5837" w14:textId="319FFE26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1134" w:type="dxa"/>
            <w:vAlign w:val="center"/>
          </w:tcPr>
          <w:p w14:paraId="39B83B47" w14:textId="2527FF4A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1134" w:type="dxa"/>
            <w:vAlign w:val="center"/>
          </w:tcPr>
          <w:p w14:paraId="6BC6F206" w14:textId="5F051E6D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566</w:t>
            </w:r>
          </w:p>
        </w:tc>
        <w:tc>
          <w:tcPr>
            <w:tcW w:w="1276" w:type="dxa"/>
            <w:vAlign w:val="center"/>
          </w:tcPr>
          <w:p w14:paraId="4A3FCB36" w14:textId="4A26AA87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106.4</w:t>
            </w:r>
          </w:p>
        </w:tc>
      </w:tr>
      <w:tr w:rsidR="0091637A" w:rsidRPr="009742AF" w14:paraId="4D26EBDA" w14:textId="77777777" w:rsidTr="000D0D69">
        <w:trPr>
          <w:trHeight w:val="254"/>
        </w:trPr>
        <w:tc>
          <w:tcPr>
            <w:tcW w:w="2049" w:type="dxa"/>
            <w:vAlign w:val="center"/>
          </w:tcPr>
          <w:p w14:paraId="68F0B91A" w14:textId="0C9794B6" w:rsidR="0091637A" w:rsidRPr="009742AF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53" w:type="dxa"/>
            <w:vAlign w:val="center"/>
          </w:tcPr>
          <w:p w14:paraId="75FA134D" w14:textId="432BEBB6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277</w:t>
            </w:r>
          </w:p>
        </w:tc>
        <w:tc>
          <w:tcPr>
            <w:tcW w:w="1134" w:type="dxa"/>
            <w:vAlign w:val="center"/>
          </w:tcPr>
          <w:p w14:paraId="15C370A7" w14:textId="45C2D9FB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68.6</w:t>
            </w:r>
          </w:p>
        </w:tc>
        <w:tc>
          <w:tcPr>
            <w:tcW w:w="1134" w:type="dxa"/>
            <w:vAlign w:val="center"/>
          </w:tcPr>
          <w:p w14:paraId="05C57DEE" w14:textId="72285447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80.8</w:t>
            </w:r>
          </w:p>
        </w:tc>
        <w:tc>
          <w:tcPr>
            <w:tcW w:w="1134" w:type="dxa"/>
            <w:vAlign w:val="center"/>
          </w:tcPr>
          <w:p w14:paraId="047CBCFA" w14:textId="0103C473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1 292</w:t>
            </w:r>
          </w:p>
        </w:tc>
        <w:tc>
          <w:tcPr>
            <w:tcW w:w="1276" w:type="dxa"/>
            <w:vAlign w:val="center"/>
          </w:tcPr>
          <w:p w14:paraId="406A680F" w14:textId="7725837F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</w:tr>
      <w:tr w:rsidR="0091637A" w:rsidRPr="009742AF" w14:paraId="75797574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6932F351" w14:textId="210E2910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53" w:type="dxa"/>
            <w:vAlign w:val="center"/>
          </w:tcPr>
          <w:p w14:paraId="62AD648F" w14:textId="0A61A307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30F79EA3" w14:textId="50B4E1B2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226BB853" w14:textId="20FC9572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98AFE41" w14:textId="6FF673FA" w:rsidR="0091637A" w:rsidRPr="009742AF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276" w:type="dxa"/>
            <w:vAlign w:val="center"/>
          </w:tcPr>
          <w:p w14:paraId="0448BCA3" w14:textId="324B5C07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85.1</w:t>
            </w:r>
          </w:p>
        </w:tc>
      </w:tr>
      <w:tr w:rsidR="0091637A" w:rsidRPr="009742AF" w14:paraId="19303E3E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4F9BE4D7" w14:textId="2EC3D680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53" w:type="dxa"/>
            <w:vAlign w:val="center"/>
          </w:tcPr>
          <w:p w14:paraId="2AA6F621" w14:textId="1C0B560B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Align w:val="center"/>
          </w:tcPr>
          <w:p w14:paraId="5F9A1A43" w14:textId="5554CC34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30- fold more </w:t>
            </w:r>
          </w:p>
        </w:tc>
        <w:tc>
          <w:tcPr>
            <w:tcW w:w="1134" w:type="dxa"/>
            <w:vAlign w:val="center"/>
          </w:tcPr>
          <w:p w14:paraId="35EE7520" w14:textId="60886F73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95.7</w:t>
            </w:r>
          </w:p>
        </w:tc>
        <w:tc>
          <w:tcPr>
            <w:tcW w:w="1134" w:type="dxa"/>
            <w:vAlign w:val="center"/>
          </w:tcPr>
          <w:p w14:paraId="18101EF9" w14:textId="46C452FC" w:rsidR="0091637A" w:rsidRPr="009742AF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</w:t>
            </w:r>
          </w:p>
        </w:tc>
        <w:tc>
          <w:tcPr>
            <w:tcW w:w="1276" w:type="dxa"/>
            <w:vAlign w:val="center"/>
          </w:tcPr>
          <w:p w14:paraId="3D8101D6" w14:textId="3F023DB6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192.0</w:t>
            </w:r>
          </w:p>
        </w:tc>
      </w:tr>
      <w:tr w:rsidR="0091637A" w:rsidRPr="009742AF" w14:paraId="08F9BC9D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6AD09FA5" w14:textId="2DB948C3" w:rsidR="0091637A" w:rsidRPr="009742AF" w:rsidRDefault="0091637A" w:rsidP="0091637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53" w:type="dxa"/>
            <w:vAlign w:val="center"/>
          </w:tcPr>
          <w:p w14:paraId="608975F3" w14:textId="4295F088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134" w:type="dxa"/>
            <w:vAlign w:val="center"/>
          </w:tcPr>
          <w:p w14:paraId="147ED29B" w14:textId="712FC666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0624A4A" w14:textId="019C567E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C8EBC0" w14:textId="7C41CE92" w:rsidR="0091637A" w:rsidRPr="009742AF" w:rsidRDefault="0091637A" w:rsidP="0091637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76" w:type="dxa"/>
            <w:vAlign w:val="center"/>
          </w:tcPr>
          <w:p w14:paraId="7808E9AE" w14:textId="0F7D3870" w:rsidR="0091637A" w:rsidRPr="009742AF" w:rsidRDefault="0091637A" w:rsidP="0091637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238.9</w:t>
            </w:r>
          </w:p>
        </w:tc>
      </w:tr>
    </w:tbl>
    <w:p w14:paraId="037EA8A8" w14:textId="77777777" w:rsidR="00854717" w:rsidRDefault="00854717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904DC73" w14:textId="77777777" w:rsidR="00010F9B" w:rsidRDefault="00010F9B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29BD6EBC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June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867</w:t>
      </w:r>
      <w:r w:rsidR="00D93EA6">
        <w:rPr>
          <w:b w:val="0"/>
          <w:sz w:val="19"/>
          <w:szCs w:val="19"/>
          <w:shd w:val="clear" w:color="auto" w:fill="FFFFFF"/>
          <w:lang w:val="en-GB"/>
        </w:rPr>
        <w:t>.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7</w:t>
      </w:r>
      <w:r w:rsidR="00D93EA6" w:rsidRPr="00D93EA6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1D7448">
        <w:rPr>
          <w:b w:val="0"/>
          <w:sz w:val="19"/>
          <w:szCs w:val="19"/>
          <w:shd w:val="clear" w:color="auto" w:fill="FFFFFF"/>
          <w:lang w:val="en-GB"/>
        </w:rPr>
        <w:t>4.7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13B2FE2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7DDCEC0" w14:textId="31ADAB54" w:rsidR="00F37978" w:rsidRPr="00D93EA6" w:rsidRDefault="00574E89" w:rsidP="003A600F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595CE9D5">
                <wp:simplePos x="0" y="0"/>
                <wp:positionH relativeFrom="page">
                  <wp:posOffset>5697220</wp:posOffset>
                </wp:positionH>
                <wp:positionV relativeFrom="paragraph">
                  <wp:posOffset>190500</wp:posOffset>
                </wp:positionV>
                <wp:extent cx="1814830" cy="217805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25B16D5A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1D744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June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May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19.9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project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(by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1.2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whereas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5744C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F4C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decreased (by 10.9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1" type="#_x0000_t202" style="position:absolute;margin-left:448.6pt;margin-top:15pt;width:142.9pt;height:17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" filled="f" stroked="f">
                <v:textbox>
                  <w:txbxContent>
                    <w:p w14:paraId="58FBF1C9" w14:textId="25B16D5A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1D744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June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May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19.9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project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(by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1.2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whereas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5744C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F4C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decreased (by 10.9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00FC6" w:rsidRPr="00406BFF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="00BD6A85">
        <w:rPr>
          <w:noProof/>
        </w:rPr>
        <w:drawing>
          <wp:inline distT="0" distB="0" distL="0" distR="0" wp14:anchorId="6E9274C1" wp14:editId="56F78113">
            <wp:extent cx="5122545" cy="2155190"/>
            <wp:effectExtent l="0" t="0" r="0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BFE4B9" w14:textId="77777777" w:rsidR="00010F9B" w:rsidRDefault="00010F9B" w:rsidP="00CB6084">
      <w:pPr>
        <w:rPr>
          <w:szCs w:val="19"/>
          <w:shd w:val="clear" w:color="auto" w:fill="FFFFFF"/>
          <w:lang w:val="en-GB"/>
        </w:rPr>
      </w:pPr>
    </w:p>
    <w:p w14:paraId="6B2C5EA1" w14:textId="3898CAE0" w:rsidR="00CB6084" w:rsidRPr="004829B9" w:rsidRDefault="00E26291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 xml:space="preserve">In </w:t>
      </w:r>
      <w:r w:rsidR="00700FC6">
        <w:rPr>
          <w:szCs w:val="19"/>
          <w:shd w:val="clear" w:color="auto" w:fill="FFFFFF"/>
          <w:lang w:val="en-GB"/>
        </w:rPr>
        <w:t xml:space="preserve">the </w:t>
      </w:r>
      <w:r w:rsidR="00574E89">
        <w:rPr>
          <w:szCs w:val="19"/>
          <w:shd w:val="clear" w:color="auto" w:fill="FFFFFF"/>
          <w:lang w:val="en-GB"/>
        </w:rPr>
        <w:t xml:space="preserve">first </w:t>
      </w:r>
      <w:r w:rsidR="009F4CF9">
        <w:rPr>
          <w:szCs w:val="19"/>
          <w:shd w:val="clear" w:color="auto" w:fill="FFFFFF"/>
          <w:lang w:val="en-GB"/>
        </w:rPr>
        <w:t>half</w:t>
      </w:r>
      <w:r w:rsidR="006D17B3">
        <w:rPr>
          <w:szCs w:val="19"/>
          <w:shd w:val="clear" w:color="auto" w:fill="FFFFFF"/>
          <w:lang w:val="en-GB"/>
        </w:rPr>
        <w:t xml:space="preserve"> </w:t>
      </w:r>
      <w:r w:rsidR="00574E89">
        <w:rPr>
          <w:szCs w:val="19"/>
          <w:shd w:val="clear" w:color="auto" w:fill="FFFFFF"/>
          <w:lang w:val="en-GB"/>
        </w:rPr>
        <w:t>of</w:t>
      </w:r>
      <w:r w:rsidR="00D862D9">
        <w:rPr>
          <w:szCs w:val="19"/>
          <w:shd w:val="clear" w:color="auto" w:fill="FFFFFF"/>
          <w:lang w:val="en-GB"/>
        </w:rPr>
        <w:t xml:space="preserve"> 2021</w:t>
      </w:r>
      <w:r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Mazowieckie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9F4CF9">
        <w:rPr>
          <w:szCs w:val="19"/>
          <w:shd w:val="clear" w:color="auto" w:fill="FFFFFF"/>
          <w:lang w:val="en-GB"/>
        </w:rPr>
        <w:t>18.9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9F4CF9">
        <w:rPr>
          <w:szCs w:val="19"/>
          <w:shd w:val="clear" w:color="auto" w:fill="FFFFFF"/>
          <w:lang w:val="en-GB"/>
        </w:rPr>
        <w:t>, 24.0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9F4CF9">
        <w:rPr>
          <w:szCs w:val="19"/>
          <w:shd w:val="clear" w:color="auto" w:fill="FFFFFF"/>
          <w:lang w:val="en-GB"/>
        </w:rPr>
        <w:t xml:space="preserve"> and 29.6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9F4CF9" w:rsidRPr="009F4CF9">
        <w:rPr>
          <w:szCs w:val="19"/>
          <w:shd w:val="clear" w:color="auto" w:fill="FFFFFF"/>
          <w:lang w:val="en-GB"/>
        </w:rPr>
        <w:t>Dolnośląskie</w:t>
      </w:r>
      <w:r w:rsidR="00700FC6">
        <w:rPr>
          <w:szCs w:val="19"/>
          <w:shd w:val="clear" w:color="auto" w:fill="FFFFFF"/>
          <w:lang w:val="en-GB"/>
        </w:rPr>
        <w:t xml:space="preserve"> </w:t>
      </w:r>
      <w:r w:rsidR="009F4CF9">
        <w:rPr>
          <w:szCs w:val="19"/>
          <w:shd w:val="clear" w:color="auto" w:fill="FFFFFF"/>
          <w:lang w:val="en-GB"/>
        </w:rPr>
        <w:t>(12.0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9F4CF9">
        <w:rPr>
          <w:szCs w:val="19"/>
          <w:shd w:val="clear" w:color="auto" w:fill="FFFFFF"/>
          <w:lang w:val="en-GB"/>
        </w:rPr>
        <w:t>, 12.9</w:t>
      </w:r>
      <w:r w:rsidR="009F4CF9" w:rsidRPr="009F4CF9">
        <w:rPr>
          <w:szCs w:val="19"/>
          <w:shd w:val="clear" w:color="auto" w:fill="FFFFFF"/>
          <w:lang w:val="en-GB"/>
        </w:rPr>
        <w:t> thousand</w:t>
      </w:r>
      <w:r w:rsidR="009F4CF9">
        <w:rPr>
          <w:szCs w:val="19"/>
          <w:shd w:val="clear" w:color="auto" w:fill="FFFFFF"/>
          <w:lang w:val="en-GB"/>
        </w:rPr>
        <w:t xml:space="preserve"> and 14</w:t>
      </w:r>
      <w:r w:rsidR="009F4CF9" w:rsidRPr="009F4CF9">
        <w:rPr>
          <w:szCs w:val="19"/>
          <w:shd w:val="clear" w:color="auto" w:fill="FFFFFF"/>
          <w:lang w:val="en-GB"/>
        </w:rPr>
        <w:t xml:space="preserve">.7 thousand), </w:t>
      </w:r>
      <w:r w:rsidR="00700FC6">
        <w:rPr>
          <w:szCs w:val="19"/>
          <w:shd w:val="clear" w:color="auto" w:fill="FFFFFF"/>
          <w:lang w:val="en-GB"/>
        </w:rPr>
        <w:t xml:space="preserve">Wielkopolskie </w:t>
      </w:r>
      <w:r w:rsidR="009F4CF9">
        <w:rPr>
          <w:szCs w:val="19"/>
          <w:shd w:val="clear" w:color="auto" w:fill="FFFFFF"/>
          <w:lang w:val="en-GB"/>
        </w:rPr>
        <w:t>(11.8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9F4CF9">
        <w:rPr>
          <w:szCs w:val="19"/>
          <w:shd w:val="clear" w:color="auto" w:fill="FFFFFF"/>
          <w:lang w:val="en-GB"/>
        </w:rPr>
        <w:t>thousand, 16.7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9F4CF9">
        <w:rPr>
          <w:szCs w:val="19"/>
          <w:shd w:val="clear" w:color="auto" w:fill="FFFFFF"/>
          <w:lang w:val="en-GB"/>
        </w:rPr>
        <w:t xml:space="preserve"> 18.5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5E2974">
        <w:rPr>
          <w:szCs w:val="19"/>
          <w:shd w:val="clear" w:color="auto" w:fill="FFFFFF"/>
          <w:lang w:val="en-GB"/>
        </w:rPr>
        <w:t xml:space="preserve">) and </w:t>
      </w:r>
      <w:r w:rsidR="00BD6A85">
        <w:rPr>
          <w:szCs w:val="19"/>
          <w:shd w:val="clear" w:color="auto" w:fill="FFFFFF"/>
          <w:lang w:val="en-GB"/>
        </w:rPr>
        <w:t>Małopolskie (9.4</w:t>
      </w:r>
      <w:r w:rsidR="00574E89" w:rsidRPr="00574E89">
        <w:rPr>
          <w:szCs w:val="19"/>
          <w:shd w:val="clear" w:color="auto" w:fill="FFFFFF"/>
          <w:lang w:val="en-GB"/>
        </w:rPr>
        <w:t xml:space="preserve"> thousand, </w:t>
      </w:r>
      <w:r w:rsidR="00BD6A85">
        <w:rPr>
          <w:szCs w:val="19"/>
          <w:shd w:val="clear" w:color="auto" w:fill="FFFFFF"/>
          <w:lang w:val="en-GB"/>
        </w:rPr>
        <w:t>13.1</w:t>
      </w:r>
      <w:r w:rsidR="007F1098">
        <w:rPr>
          <w:szCs w:val="19"/>
          <w:shd w:val="clear" w:color="auto" w:fill="FFFFFF"/>
          <w:lang w:val="en-GB"/>
        </w:rPr>
        <w:t xml:space="preserve"> thousand and </w:t>
      </w:r>
      <w:r w:rsidR="00BD6A85">
        <w:rPr>
          <w:szCs w:val="19"/>
          <w:shd w:val="clear" w:color="auto" w:fill="FFFFFF"/>
          <w:lang w:val="en-GB"/>
        </w:rPr>
        <w:t>15.1</w:t>
      </w:r>
      <w:r w:rsidR="005E2974">
        <w:rPr>
          <w:szCs w:val="19"/>
          <w:shd w:val="clear" w:color="auto" w:fill="FFFFFF"/>
          <w:lang w:val="en-GB"/>
        </w:rPr>
        <w:t> </w:t>
      </w:r>
      <w:r w:rsidR="00574E89" w:rsidRPr="00574E89">
        <w:rPr>
          <w:szCs w:val="19"/>
          <w:shd w:val="clear" w:color="auto" w:fill="FFFFFF"/>
          <w:lang w:val="en-GB"/>
        </w:rPr>
        <w:t>thousand</w:t>
      </w:r>
      <w:r w:rsidR="00BD6A85">
        <w:rPr>
          <w:szCs w:val="19"/>
          <w:shd w:val="clear" w:color="auto" w:fill="FFFFFF"/>
          <w:lang w:val="en-GB"/>
        </w:rPr>
        <w:t>).</w:t>
      </w:r>
    </w:p>
    <w:p w14:paraId="73CBA65A" w14:textId="149F03F6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462D3F">
        <w:rPr>
          <w:color w:val="auto"/>
          <w:sz w:val="18"/>
          <w:szCs w:val="18"/>
          <w:lang w:val="en-GB"/>
        </w:rPr>
        <w:t>-</w:t>
      </w:r>
      <w:r w:rsidR="00BD6A85">
        <w:rPr>
          <w:color w:val="auto"/>
          <w:sz w:val="18"/>
          <w:szCs w:val="18"/>
          <w:lang w:val="en-GB"/>
        </w:rPr>
        <w:t>June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04B87565" w:rsidR="003A358E" w:rsidRDefault="00BD6A85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337C5273" wp14:editId="3D718A24">
            <wp:extent cx="5122545" cy="28575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Pr="00A12B93" w:rsidRDefault="005825F0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BC3F05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574E89" w:rsidRDefault="00574E89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574E89" w:rsidRDefault="00574E8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574E89" w:rsidRPr="004E377B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574E89" w:rsidRPr="008235EC" w:rsidRDefault="00574E89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574E89" w:rsidRPr="005C7839" w:rsidRDefault="001B285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574E8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74E8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574E89" w:rsidRPr="00734C04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574E89" w:rsidRPr="0026083F" w:rsidRDefault="001B285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574E89" w:rsidRDefault="001B285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574E89" w:rsidRDefault="00574E8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08BD4F3D" w:rsidR="00574E89" w:rsidRPr="008235EC" w:rsidRDefault="001B285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2055407B" w:rsidR="00574E89" w:rsidRPr="00F11843" w:rsidRDefault="001B285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28" w:history="1"/>
                          </w:p>
                          <w:p w14:paraId="35275A7D" w14:textId="48375907" w:rsidR="00574E89" w:rsidRPr="00F11843" w:rsidRDefault="001B2850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9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574E89" w:rsidRDefault="00574E8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574E89" w:rsidRPr="003B6350" w:rsidRDefault="00574E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9FDAC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fillcolor="#f2f2f2 [3052]" strokecolor="white [3212]">
                <v:textbox>
                  <w:txbxContent>
                    <w:p w14:paraId="0A17866C" w14:textId="77777777" w:rsidR="00574E89" w:rsidRDefault="00574E89" w:rsidP="00AB6D25">
                      <w:pPr>
                        <w:rPr>
                          <w:b/>
                        </w:rPr>
                      </w:pPr>
                    </w:p>
                    <w:p w14:paraId="438C998D" w14:textId="77777777" w:rsidR="00574E89" w:rsidRDefault="00574E8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03EB9888" w14:textId="77777777" w:rsidR="00574E89" w:rsidRPr="004E377B" w:rsidRDefault="00574E89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004758E0" w14:textId="77777777" w:rsidR="00574E89" w:rsidRPr="008235EC" w:rsidRDefault="00574E89" w:rsidP="00F11843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0" w:history="1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14:paraId="4C293715" w14:textId="77777777" w:rsidR="00574E89" w:rsidRPr="005C7839" w:rsidRDefault="00203BD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1" w:history="1">
                        <w:r w:rsidR="00574E89"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 w:rsidR="00574E8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432F2D3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119A7AD9" w14:textId="77777777" w:rsidR="00574E89" w:rsidRPr="00734C04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14:paraId="6E678369" w14:textId="0F342923" w:rsidR="00574E89" w:rsidRPr="0026083F" w:rsidRDefault="00203BD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2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14:paraId="14295646" w14:textId="77777777" w:rsidR="00574E89" w:rsidRDefault="00203BD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3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14:paraId="10DF6A1D" w14:textId="77777777" w:rsidR="00574E89" w:rsidRPr="00F11843" w:rsidRDefault="00574E89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14:paraId="65F6943A" w14:textId="77777777" w:rsidR="00574E89" w:rsidRDefault="00574E8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3FA17007" w14:textId="08BD4F3D" w:rsidR="00574E89" w:rsidRPr="008235EC" w:rsidRDefault="00203BD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4" w:history="1">
                        <w:r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 xml:space="preserve">Dwellings for which </w:t>
                        </w:r>
                        <w:r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p</w:t>
                        </w:r>
                        <w:r w:rsidR="00574E8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ermits have been granted or which have been registered with a construction project</w:t>
                        </w:r>
                      </w:hyperlink>
                    </w:p>
                    <w:p w14:paraId="2F539928" w14:textId="2055407B" w:rsidR="00574E89" w:rsidRPr="00F11843" w:rsidRDefault="00203BD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</w:t>
                        </w:r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u</w:t>
                        </w:r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ction has begun</w:t>
                        </w:r>
                      </w:hyperlink>
                      <w:hyperlink r:id="rId36" w:history="1"/>
                    </w:p>
                    <w:p w14:paraId="35275A7D" w14:textId="48375907" w:rsidR="00574E89" w:rsidRPr="00F11843" w:rsidRDefault="00203BDB" w:rsidP="0000000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</w:t>
                        </w:r>
                        <w:bookmarkStart w:id="3" w:name="_GoBack"/>
                        <w:bookmarkEnd w:id="3"/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e</w:t>
                        </w:r>
                        <w:r w:rsidR="00574E89"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</w:t>
                        </w:r>
                      </w:hyperlink>
                    </w:p>
                    <w:p w14:paraId="41C747C6" w14:textId="77777777" w:rsidR="00574E89" w:rsidRDefault="00574E89" w:rsidP="00000009">
                      <w:pPr>
                        <w:rPr>
                          <w:lang w:val="en-GB"/>
                        </w:rPr>
                      </w:pPr>
                    </w:p>
                    <w:p w14:paraId="15195305" w14:textId="77777777" w:rsidR="00574E89" w:rsidRPr="003B6350" w:rsidRDefault="00574E8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D2619" w14:textId="77777777" w:rsidR="001B2850" w:rsidRDefault="001B2850" w:rsidP="000662E2">
      <w:pPr>
        <w:spacing w:after="0" w:line="240" w:lineRule="auto"/>
      </w:pPr>
      <w:r>
        <w:separator/>
      </w:r>
    </w:p>
  </w:endnote>
  <w:endnote w:type="continuationSeparator" w:id="0">
    <w:p w14:paraId="0CB36C06" w14:textId="77777777" w:rsidR="001B2850" w:rsidRDefault="001B285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2D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72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EF7F1" w14:textId="77777777" w:rsidR="001B2850" w:rsidRDefault="001B2850" w:rsidP="000662E2">
      <w:pPr>
        <w:spacing w:after="0" w:line="240" w:lineRule="auto"/>
      </w:pPr>
      <w:r>
        <w:separator/>
      </w:r>
    </w:p>
  </w:footnote>
  <w:footnote w:type="continuationSeparator" w:id="0">
    <w:p w14:paraId="75F02D56" w14:textId="77777777" w:rsidR="001B2850" w:rsidRDefault="001B2850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4E27EBE3" w:rsidR="00574E89" w:rsidRPr="00C97596" w:rsidRDefault="0091637A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21.07</w:t>
                          </w:r>
                          <w:r w:rsidR="00574E89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4E27EBE3" w:rsidR="00574E89" w:rsidRPr="00C97596" w:rsidRDefault="0091637A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21.07</w:t>
                    </w:r>
                    <w:r w:rsidR="00574E89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</w:t>
                          </w:r>
                          <w:proofErr w:type="gramStart"/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22.25pt;height:124.5pt;visibility:visible;mso-wrap-style:square" o:bullet="t">
        <v:imagedata r:id="rId1" o:title=""/>
      </v:shape>
    </w:pict>
  </w:numPicBullet>
  <w:numPicBullet w:numPicBulletId="1">
    <w:pict>
      <v:shape id="_x0000_i1102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089"/>
    <w:rsid w:val="000D0D69"/>
    <w:rsid w:val="000D1427"/>
    <w:rsid w:val="000D1A71"/>
    <w:rsid w:val="000D1D43"/>
    <w:rsid w:val="000D225C"/>
    <w:rsid w:val="000D2A5C"/>
    <w:rsid w:val="000D2E0B"/>
    <w:rsid w:val="000D348A"/>
    <w:rsid w:val="000E04F3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2850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D7448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3BDB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7498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44C0"/>
    <w:rsid w:val="00574E89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2974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42327"/>
    <w:rsid w:val="00642778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17B3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134B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B5D10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18D4"/>
    <w:rsid w:val="00912608"/>
    <w:rsid w:val="009127BA"/>
    <w:rsid w:val="0091499D"/>
    <w:rsid w:val="00914AA5"/>
    <w:rsid w:val="0091637A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64CD"/>
    <w:rsid w:val="0096740A"/>
    <w:rsid w:val="00970194"/>
    <w:rsid w:val="009705EE"/>
    <w:rsid w:val="009729CD"/>
    <w:rsid w:val="00972B83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36F0"/>
    <w:rsid w:val="009C7251"/>
    <w:rsid w:val="009D2F59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4CF9"/>
    <w:rsid w:val="009F686F"/>
    <w:rsid w:val="00A00250"/>
    <w:rsid w:val="00A00C56"/>
    <w:rsid w:val="00A01686"/>
    <w:rsid w:val="00A02ED8"/>
    <w:rsid w:val="00A035BA"/>
    <w:rsid w:val="00A05A3A"/>
    <w:rsid w:val="00A05EE7"/>
    <w:rsid w:val="00A06D5B"/>
    <w:rsid w:val="00A11B23"/>
    <w:rsid w:val="00A12B9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26F7F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3F05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6A85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1F3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3EA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C6D6D"/>
    <w:rsid w:val="00DD1D64"/>
    <w:rsid w:val="00DD20E2"/>
    <w:rsid w:val="00DD21A2"/>
    <w:rsid w:val="00DD2696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20F6"/>
    <w:rsid w:val="00EA5D60"/>
    <w:rsid w:val="00EA644B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1686"/>
    <w:rsid w:val="00FF37E0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s://stat.gov.pl/en/metainformation/glossary/terms-used-in-official-statistics/201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s://stat.gov.pl/en/metainformation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945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s://stat.gov.pl/en/metainformation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s://stat.gov.pl/en/metainformation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0.14401601226021243"/>
          <c:w val="0.8683723551868533"/>
          <c:h val="0.53629471183515143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Arkusz1!$B$4:$BC$4</c:f>
              <c:numCache>
                <c:formatCode>General</c:formatCode>
                <c:ptCount val="54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18856</c:v>
                </c:pt>
                <c:pt idx="52">
                  <c:v>15241</c:v>
                </c:pt>
                <c:pt idx="53">
                  <c:v>18277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Arkusz1!$B$16:$BC$16</c:f>
              <c:numCache>
                <c:formatCode>General</c:formatCode>
                <c:ptCount val="54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>
                  <c:v>27222</c:v>
                </c:pt>
                <c:pt idx="50">
                  <c:v>33901</c:v>
                </c:pt>
                <c:pt idx="51">
                  <c:v>27145</c:v>
                </c:pt>
                <c:pt idx="52">
                  <c:v>29678</c:v>
                </c:pt>
                <c:pt idx="53">
                  <c:v>30037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Arkusz1!$B$2:$BC$3</c:f>
              <c:multiLvlStrCache>
                <c:ptCount val="5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Arkusz1!$B$10:$BC$10</c:f>
              <c:numCache>
                <c:formatCode>General</c:formatCode>
                <c:ptCount val="54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19247824"/>
        <c:axId val="-1419225520"/>
      </c:lineChart>
      <c:catAx>
        <c:axId val="-141924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19225520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419225520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1924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712095257337904E-2"/>
          <c:y val="0.85129199745730066"/>
          <c:w val="0.85938903416173018"/>
          <c:h val="0.13384852379604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5.6184877575234604E-2"/>
          <c:w val="0.78147912136044484"/>
          <c:h val="0.73929098862642184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2076</c:v>
                </c:pt>
                <c:pt idx="1">
                  <c:v>2783</c:v>
                </c:pt>
                <c:pt idx="2">
                  <c:v>4172</c:v>
                </c:pt>
                <c:pt idx="3">
                  <c:v>4152</c:v>
                </c:pt>
                <c:pt idx="4">
                  <c:v>4219</c:v>
                </c:pt>
                <c:pt idx="5">
                  <c:v>7599</c:v>
                </c:pt>
                <c:pt idx="6">
                  <c:v>5952</c:v>
                </c:pt>
                <c:pt idx="7">
                  <c:v>6639</c:v>
                </c:pt>
                <c:pt idx="8">
                  <c:v>6382</c:v>
                </c:pt>
                <c:pt idx="9">
                  <c:v>9075</c:v>
                </c:pt>
                <c:pt idx="10">
                  <c:v>12148</c:v>
                </c:pt>
                <c:pt idx="11">
                  <c:v>12747</c:v>
                </c:pt>
                <c:pt idx="12">
                  <c:v>13093</c:v>
                </c:pt>
                <c:pt idx="13">
                  <c:v>16695</c:v>
                </c:pt>
                <c:pt idx="14">
                  <c:v>12864</c:v>
                </c:pt>
                <c:pt idx="15">
                  <c:v>23965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2352</c:v>
                </c:pt>
                <c:pt idx="1">
                  <c:v>3474</c:v>
                </c:pt>
                <c:pt idx="2">
                  <c:v>4131</c:v>
                </c:pt>
                <c:pt idx="3">
                  <c:v>5580</c:v>
                </c:pt>
                <c:pt idx="4">
                  <c:v>5131</c:v>
                </c:pt>
                <c:pt idx="5">
                  <c:v>8552</c:v>
                </c:pt>
                <c:pt idx="6">
                  <c:v>5803</c:v>
                </c:pt>
                <c:pt idx="7">
                  <c:v>7316</c:v>
                </c:pt>
                <c:pt idx="8">
                  <c:v>8741</c:v>
                </c:pt>
                <c:pt idx="9">
                  <c:v>11542</c:v>
                </c:pt>
                <c:pt idx="10">
                  <c:v>14806</c:v>
                </c:pt>
                <c:pt idx="11">
                  <c:v>16185</c:v>
                </c:pt>
                <c:pt idx="12">
                  <c:v>15115</c:v>
                </c:pt>
                <c:pt idx="13">
                  <c:v>18456</c:v>
                </c:pt>
                <c:pt idx="14">
                  <c:v>14664</c:v>
                </c:pt>
                <c:pt idx="15">
                  <c:v>29620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1581</c:v>
                </c:pt>
                <c:pt idx="1">
                  <c:v>2322</c:v>
                </c:pt>
                <c:pt idx="2">
                  <c:v>2451</c:v>
                </c:pt>
                <c:pt idx="3">
                  <c:v>2678</c:v>
                </c:pt>
                <c:pt idx="4">
                  <c:v>3761</c:v>
                </c:pt>
                <c:pt idx="5">
                  <c:v>4329</c:v>
                </c:pt>
                <c:pt idx="6">
                  <c:v>4481</c:v>
                </c:pt>
                <c:pt idx="7">
                  <c:v>4508</c:v>
                </c:pt>
                <c:pt idx="8">
                  <c:v>4776</c:v>
                </c:pt>
                <c:pt idx="9">
                  <c:v>5620</c:v>
                </c:pt>
                <c:pt idx="10">
                  <c:v>7887</c:v>
                </c:pt>
                <c:pt idx="11">
                  <c:v>8948</c:v>
                </c:pt>
                <c:pt idx="12">
                  <c:v>9394</c:v>
                </c:pt>
                <c:pt idx="13">
                  <c:v>11792</c:v>
                </c:pt>
                <c:pt idx="14">
                  <c:v>11950</c:v>
                </c:pt>
                <c:pt idx="15">
                  <c:v>18947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419249456"/>
        <c:axId val="-1419247280"/>
      </c:barChart>
      <c:catAx>
        <c:axId val="-14192494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419247280"/>
        <c:crosses val="autoZero"/>
        <c:auto val="1"/>
        <c:lblAlgn val="ctr"/>
        <c:lblOffset val="100"/>
        <c:noMultiLvlLbl val="0"/>
      </c:catAx>
      <c:valAx>
        <c:axId val="-1419247280"/>
        <c:scaling>
          <c:orientation val="minMax"/>
          <c:max val="3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419249456"/>
        <c:crosses val="autoZero"/>
        <c:crossBetween val="between"/>
        <c:majorUnit val="2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07612719849216"/>
          <c:y val="0.86211618547681534"/>
          <c:w val="0.83688211129506873"/>
          <c:h val="0.131795275590551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STAT\CZARNECKAK</Osoba>
    <NazwaPliku xmlns="8C029B3F-2CC4-4A59-AF0D-A90575FA3373">residential_construction_in_the_period_of_january-june_2021.docx.docx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BCDD1-CA5C-4212-BDB3-04FEE8BD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January-May 2021</vt:lpstr>
    </vt:vector>
  </TitlesOfParts>
  <Company>Statistics Poland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2021</dc:title>
  <dc:subject>Residential construction</dc:subject>
  <dc:creator>Statistics Poland</dc:creator>
  <cp:keywords>dwellings completed; dwellings under construction; dwellings started; building permit; useful floor area</cp:keywords>
  <cp:lastPrinted>2021-02-17T13:06:00Z</cp:lastPrinted>
  <dcterms:created xsi:type="dcterms:W3CDTF">2021-07-20T13:41:00Z</dcterms:created>
  <dcterms:modified xsi:type="dcterms:W3CDTF">2021-07-20T13:41:00Z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LUB-OSB.6362.2.2021.11</vt:lpwstr>
  </property>
  <property fmtid="{D5CDD505-2E9C-101B-9397-08002B2CF9AE}" pid="4" name="UNPPisma">
    <vt:lpwstr>2021-162444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 Budownictwo mieszkaniowe I-V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2021-06-18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