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29B9" w:rsidR="0098135C" w:rsidP="00074DD8" w:rsidRDefault="0044258C" w14:paraId="2FCE2C76" w14:textId="1D61652C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79134B">
        <w:rPr>
          <w:szCs w:val="32"/>
          <w:lang w:val="en-GB"/>
        </w:rPr>
        <w:t>the period of I-</w:t>
      </w:r>
      <w:r w:rsidR="00AD3F9F">
        <w:rPr>
          <w:szCs w:val="32"/>
          <w:lang w:val="en-GB"/>
        </w:rPr>
        <w:t>V</w:t>
      </w:r>
      <w:r w:rsidR="00CF46EE">
        <w:rPr>
          <w:szCs w:val="32"/>
          <w:lang w:val="en-GB"/>
        </w:rPr>
        <w:t xml:space="preserve"> </w:t>
      </w:r>
      <w:r w:rsidR="003D4820">
        <w:rPr>
          <w:szCs w:val="32"/>
          <w:shd w:val="clear" w:color="auto" w:fill="FFFFFF"/>
          <w:lang w:val="en-GB"/>
        </w:rPr>
        <w:t>2021</w:t>
      </w:r>
    </w:p>
    <w:p w:rsidRPr="004829B9" w:rsidR="00393761" w:rsidP="00074DD8" w:rsidRDefault="005F302D" w14:paraId="138C7713" w14:textId="77777777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editId="3AA2B3BA" wp14:anchorId="5B252253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466B1" w:rsidR="00574E89" w:rsidP="00074DD8" w:rsidRDefault="00574E89" w14:paraId="47E9AF23" w14:textId="7777777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B252253">
                <v:stroke joinstyle="miter"/>
                <v:path gradientshapeok="t" o:connecttype="rect"/>
              </v:shapetype>
              <v:shape id="Pole tekstowe 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>
                <v:textbox>
                  <w:txbxContent>
                    <w:p w:rsidRPr="004466B1" w:rsidR="00574E89" w:rsidP="00074DD8" w:rsidRDefault="00574E89" w14:paraId="47E9AF23" w14:textId="7777777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Pr="004829B9" w:rsidR="00095A18" w:rsidP="00896EB9" w:rsidRDefault="005F302D" w14:paraId="0EC0BCF7" w14:textId="3FFAFDC2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38DEB258" wp14:anchorId="0ED5BDCA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2A93" w:rsidR="00574E89" w:rsidP="00633014" w:rsidRDefault="00574E89" w14:paraId="2CC185F8" w14:textId="7777777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Pr="00F64AC1" w:rsidR="00574E89" w:rsidP="00074DD8" w:rsidRDefault="00574E89" w14:paraId="173D3CF5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>Lorem ipsum dolor sit amet, consectetur adipiscing 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w14:anchorId="0ED5BDCA">
                <v:textbox>
                  <w:txbxContent>
                    <w:p w:rsidRPr="00612A93" w:rsidR="00574E89" w:rsidP="00633014" w:rsidRDefault="00574E89" w14:paraId="2CC185F8" w14:textId="7777777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Pr="00F64AC1" w:rsidR="00574E89" w:rsidP="00074DD8" w:rsidRDefault="00574E89" w14:paraId="173D3CF5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editId="2DC80E8E" wp14:anchorId="526CAA24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C751B" w:rsidR="00574E89" w:rsidP="004466B1" w:rsidRDefault="00574E89" w14:paraId="0DFD5284" w14:textId="61CB580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2EEE19CB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744C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108.9</w:t>
                            </w:r>
                          </w:p>
                          <w:p w:rsidRPr="002C751B" w:rsidR="00574E89" w:rsidP="004466B1" w:rsidRDefault="00574E89" w14:paraId="4A535B62" w14:textId="2AEDB9F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26CAA24">
                <v:stroke joinstyle="miter"/>
                <v:path gradientshapeok="t" o:connecttype="rect"/>
              </v:shapetype>
              <v:shape id="_x0000_s1028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>
                <v:textbox>
                  <w:txbxContent>
                    <w:p w:rsidRPr="002C751B" w:rsidR="00574E89" w:rsidP="004466B1" w:rsidRDefault="00574E89" w14:paraId="0DFD5284" w14:textId="61CB580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2EEE19CB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744C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108.9</w:t>
                      </w:r>
                    </w:p>
                    <w:p w:rsidRPr="002C751B" w:rsidR="00574E89" w:rsidP="004466B1" w:rsidRDefault="00574E89" w14:paraId="4A535B62" w14:textId="2AEDB9F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 w:rsidR="00AD1492">
        <w:rPr>
          <w:lang w:val="en-GB"/>
        </w:rPr>
        <w:t xml:space="preserve">In </w:t>
      </w:r>
      <w:r w:rsidR="00D92898">
        <w:rPr>
          <w:lang w:val="en-GB"/>
        </w:rPr>
        <w:t>the</w:t>
      </w:r>
      <w:r w:rsidR="0079134B">
        <w:rPr>
          <w:lang w:val="en-GB"/>
        </w:rPr>
        <w:t xml:space="preserve"> first </w:t>
      </w:r>
      <w:r w:rsidR="005744C0">
        <w:rPr>
          <w:lang w:val="en-GB"/>
        </w:rPr>
        <w:t>five</w:t>
      </w:r>
      <w:r w:rsidR="00AD3F9F">
        <w:rPr>
          <w:lang w:val="en-GB"/>
        </w:rPr>
        <w:t xml:space="preserve"> months</w:t>
      </w:r>
      <w:r w:rsidR="0079134B">
        <w:rPr>
          <w:lang w:val="en-GB"/>
        </w:rPr>
        <w:t xml:space="preserve"> of</w:t>
      </w:r>
      <w:r w:rsidR="003D4820">
        <w:rPr>
          <w:lang w:val="en-GB"/>
        </w:rPr>
        <w:t xml:space="preserve"> 2021</w:t>
      </w:r>
      <w:r w:rsidR="004829B9">
        <w:rPr>
          <w:lang w:val="en-GB"/>
        </w:rPr>
        <w:t>,</w:t>
      </w:r>
      <w:r w:rsidRPr="004829B9" w:rsidR="00AD1492">
        <w:rPr>
          <w:lang w:val="en-GB"/>
        </w:rPr>
        <w:t xml:space="preserve"> there were </w:t>
      </w:r>
      <w:r w:rsidR="00D92898">
        <w:rPr>
          <w:lang w:val="en-GB"/>
        </w:rPr>
        <w:t>more</w:t>
      </w:r>
      <w:r w:rsidRPr="004829B9" w:rsidR="00AD1492">
        <w:rPr>
          <w:lang w:val="en-GB"/>
        </w:rPr>
        <w:t xml:space="preserve"> dwellings completed than the year before. </w:t>
      </w:r>
      <w:r w:rsidR="00D14E83">
        <w:rPr>
          <w:lang w:val="en-GB"/>
        </w:rPr>
        <w:t xml:space="preserve">The </w:t>
      </w:r>
      <w:r w:rsidR="00D92898">
        <w:rPr>
          <w:lang w:val="en-GB"/>
        </w:rPr>
        <w:t xml:space="preserve">number of </w:t>
      </w:r>
      <w:r w:rsidRPr="00D92898" w:rsidR="00D92898">
        <w:rPr>
          <w:lang w:val="en-GB"/>
        </w:rPr>
        <w:t xml:space="preserve">dwellings for which permits have been granted or which have been registered with a construction project </w:t>
      </w:r>
      <w:r w:rsidR="00D92898">
        <w:rPr>
          <w:lang w:val="en-GB"/>
        </w:rPr>
        <w:t xml:space="preserve">as well as </w:t>
      </w:r>
      <w:r w:rsidRPr="00D14E83" w:rsidR="00D14E83">
        <w:rPr>
          <w:lang w:val="en-GB"/>
        </w:rPr>
        <w:t xml:space="preserve">dwellings in which construction has begun </w:t>
      </w:r>
      <w:r w:rsidR="00D92898">
        <w:rPr>
          <w:lang w:val="en-GB"/>
        </w:rPr>
        <w:t>also in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</w:p>
    <w:p w:rsidRPr="004829B9" w:rsidR="000D348A" w:rsidP="000D348A" w:rsidRDefault="00074DD8" w14:paraId="131E17E4" w14:textId="77777777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4829B9" w:rsidR="000D348A" w:rsidP="000D348A" w:rsidRDefault="000D348A" w14:paraId="0487363C" w14:textId="6FCA3159">
      <w:pPr>
        <w:pStyle w:val="LID"/>
        <w:jc w:val="both"/>
        <w:rPr>
          <w:shd w:val="clear" w:color="auto" w:fill="FFFFFF"/>
          <w:lang w:val="en-GB"/>
        </w:rPr>
      </w:pPr>
    </w:p>
    <w:p w:rsidRPr="004829B9" w:rsidR="00C733A3" w:rsidP="000D348A" w:rsidRDefault="00A87439" w14:paraId="52385C4F" w14:textId="3AD4051D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2C8FCE0A" wp14:anchorId="6EE33181">
                <wp:simplePos x="0" y="0"/>
                <wp:positionH relativeFrom="rightMargin">
                  <wp:posOffset>56515</wp:posOffset>
                </wp:positionH>
                <wp:positionV relativeFrom="paragraph">
                  <wp:posOffset>110490</wp:posOffset>
                </wp:positionV>
                <wp:extent cx="1715135" cy="990600"/>
                <wp:effectExtent l="0" t="0" r="0" b="0"/>
                <wp:wrapTight wrapText="bothSides">
                  <wp:wrapPolygon edited="0">
                    <wp:start x="720" y="0"/>
                    <wp:lineTo x="720" y="21185"/>
                    <wp:lineTo x="20632" y="21185"/>
                    <wp:lineTo x="20632" y="0"/>
                    <wp:lineTo x="720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574E89" w:rsidP="00AD1492" w:rsidRDefault="00574E89" w14:paraId="55217834" w14:textId="2179184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5744C0">
                              <w:rPr>
                                <w:lang w:val="en-US"/>
                              </w:rPr>
                              <w:t>estors completed respectively 57.2% and 40.7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4.45pt;margin-top:8.7pt;width:135.0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" w14:anchorId="6EE33181">
                <v:textbox>
                  <w:txbxContent>
                    <w:p w:rsidRPr="00AD1492" w:rsidR="00574E89" w:rsidP="00AD1492" w:rsidRDefault="00574E89" w14:paraId="55217834" w14:textId="2179184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5744C0">
                        <w:rPr>
                          <w:lang w:val="en-US"/>
                        </w:rPr>
                        <w:t>estors completed respectively 57.2% and 40.7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4829B9" w:rsidR="00C733A3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:rsidRPr="004829B9" w:rsidR="0042048D" w:rsidP="00896EB9" w:rsidRDefault="00AD1492" w14:paraId="573A2B99" w14:textId="63867063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Pr="004829B9" w:rsidR="00C733A3">
        <w:rPr>
          <w:spacing w:val="-4"/>
          <w:shd w:val="clear" w:color="auto" w:fill="FFFFFF"/>
          <w:lang w:val="en-GB"/>
        </w:rPr>
        <w:t xml:space="preserve">to </w:t>
      </w:r>
      <w:r w:rsidRPr="004829B9" w:rsidR="00F54505">
        <w:rPr>
          <w:spacing w:val="-4"/>
          <w:shd w:val="clear" w:color="auto" w:fill="FFFFFF"/>
          <w:lang w:val="en-GB"/>
        </w:rPr>
        <w:t xml:space="preserve">the </w:t>
      </w:r>
      <w:r w:rsidRPr="004829B9" w:rsidR="00111FD5">
        <w:rPr>
          <w:spacing w:val="-4"/>
          <w:shd w:val="clear" w:color="auto" w:fill="FFFFFF"/>
          <w:lang w:val="en-GB"/>
        </w:rPr>
        <w:t xml:space="preserve">preliminary </w:t>
      </w:r>
      <w:r w:rsidRPr="004829B9" w:rsidR="00A72CF4">
        <w:rPr>
          <w:spacing w:val="-4"/>
          <w:shd w:val="clear" w:color="auto" w:fill="FFFFFF"/>
          <w:lang w:val="en-GB"/>
        </w:rPr>
        <w:t xml:space="preserve">data, </w:t>
      </w:r>
      <w:r w:rsidRPr="00581162" w:rsidR="00581162">
        <w:rPr>
          <w:spacing w:val="-4"/>
          <w:shd w:val="clear" w:color="auto" w:fill="FFFFFF"/>
          <w:lang w:val="en-GB"/>
        </w:rPr>
        <w:t>87.1 </w:t>
      </w:r>
      <w:r w:rsidRPr="004829B9" w:rsidR="00C733A3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Pr="004829B9" w:rsidR="00C733A3">
        <w:rPr>
          <w:spacing w:val="-4"/>
          <w:shd w:val="clear" w:color="auto" w:fill="FFFFFF"/>
          <w:lang w:val="en-GB"/>
        </w:rPr>
        <w:t xml:space="preserve"> dwellings were co</w:t>
      </w:r>
      <w:r w:rsidRPr="004829B9" w:rsidR="008B2394">
        <w:rPr>
          <w:spacing w:val="-4"/>
          <w:shd w:val="clear" w:color="auto" w:fill="FFFFFF"/>
          <w:lang w:val="en-GB"/>
        </w:rPr>
        <w:t xml:space="preserve">mpleted </w:t>
      </w:r>
      <w:r w:rsidR="004B638F">
        <w:rPr>
          <w:spacing w:val="-4"/>
          <w:shd w:val="clear" w:color="auto" w:fill="FFFFFF"/>
          <w:lang w:val="en-GB"/>
        </w:rPr>
        <w:t xml:space="preserve">in the </w:t>
      </w:r>
      <w:r w:rsidR="00D14E83">
        <w:rPr>
          <w:spacing w:val="-4"/>
          <w:shd w:val="clear" w:color="auto" w:fill="FFFFFF"/>
          <w:lang w:val="en-GB"/>
        </w:rPr>
        <w:t>period</w:t>
      </w:r>
      <w:r w:rsidRPr="004B638F" w:rsidR="004B638F">
        <w:rPr>
          <w:spacing w:val="-4"/>
          <w:shd w:val="clear" w:color="auto" w:fill="FFFFFF"/>
          <w:lang w:val="en-GB"/>
        </w:rPr>
        <w:t xml:space="preserve"> of</w:t>
      </w:r>
      <w:r w:rsidR="00D14E83">
        <w:rPr>
          <w:spacing w:val="-4"/>
          <w:shd w:val="clear" w:color="auto" w:fill="FFFFFF"/>
          <w:lang w:val="en-GB"/>
        </w:rPr>
        <w:t xml:space="preserve"> January-</w:t>
      </w:r>
      <w:r w:rsidR="00581162">
        <w:rPr>
          <w:spacing w:val="-4"/>
          <w:shd w:val="clear" w:color="auto" w:fill="FFFFFF"/>
          <w:lang w:val="en-GB"/>
        </w:rPr>
        <w:t>May</w:t>
      </w:r>
      <w:r w:rsidRPr="004B638F" w:rsidR="004B638F">
        <w:rPr>
          <w:spacing w:val="-4"/>
          <w:shd w:val="clear" w:color="auto" w:fill="FFFFFF"/>
          <w:lang w:val="en-GB"/>
        </w:rPr>
        <w:t xml:space="preserve"> 2021</w:t>
      </w:r>
      <w:r w:rsidRPr="004829B9" w:rsidR="009664CD">
        <w:rPr>
          <w:spacing w:val="-4"/>
          <w:shd w:val="clear" w:color="auto" w:fill="FFFFFF"/>
          <w:lang w:val="en-GB"/>
        </w:rPr>
        <w:t xml:space="preserve">, i.e. by </w:t>
      </w:r>
      <w:r w:rsidR="00581162">
        <w:rPr>
          <w:spacing w:val="-4"/>
          <w:shd w:val="clear" w:color="auto" w:fill="FFFFFF"/>
          <w:lang w:val="en-GB"/>
        </w:rPr>
        <w:t>8.9</w:t>
      </w:r>
      <w:r w:rsidRPr="004829B9" w:rsidR="00C733A3">
        <w:rPr>
          <w:spacing w:val="-4"/>
          <w:shd w:val="clear" w:color="auto" w:fill="FFFFFF"/>
          <w:lang w:val="en-GB"/>
        </w:rPr>
        <w:t xml:space="preserve">% </w:t>
      </w:r>
      <w:r w:rsidR="00D92898">
        <w:rPr>
          <w:spacing w:val="-4"/>
          <w:shd w:val="clear" w:color="auto" w:fill="FFFFFF"/>
          <w:lang w:val="en-GB"/>
        </w:rPr>
        <w:t>more</w:t>
      </w:r>
      <w:r w:rsidRPr="004829B9" w:rsidR="00C733A3">
        <w:rPr>
          <w:spacing w:val="-4"/>
          <w:shd w:val="clear" w:color="auto" w:fill="FFFFFF"/>
          <w:lang w:val="en-GB"/>
        </w:rPr>
        <w:t xml:space="preserve"> than </w:t>
      </w:r>
      <w:r w:rsidR="00CD7B5E">
        <w:rPr>
          <w:spacing w:val="-4"/>
          <w:shd w:val="clear" w:color="auto" w:fill="FFFFFF"/>
          <w:lang w:val="en-GB"/>
        </w:rPr>
        <w:t>a year ago</w:t>
      </w:r>
      <w:r w:rsidRPr="004829B9" w:rsidR="00C733A3">
        <w:rPr>
          <w:spacing w:val="-4"/>
          <w:shd w:val="clear" w:color="auto" w:fill="FFFFFF"/>
          <w:lang w:val="en-GB"/>
        </w:rPr>
        <w:t xml:space="preserve">. </w:t>
      </w:r>
      <w:r w:rsidRPr="004829B9" w:rsidR="00C733A3">
        <w:rPr>
          <w:b/>
          <w:spacing w:val="-4"/>
          <w:shd w:val="clear" w:color="auto" w:fill="FFFFFF"/>
          <w:lang w:val="en-GB"/>
        </w:rPr>
        <w:t>Developers</w:t>
      </w:r>
      <w:r w:rsidRPr="004829B9" w:rsidR="0058073C">
        <w:rPr>
          <w:spacing w:val="-4"/>
          <w:shd w:val="clear" w:color="auto" w:fill="FFFFFF"/>
          <w:lang w:val="en-GB"/>
        </w:rPr>
        <w:t xml:space="preserve"> </w:t>
      </w:r>
      <w:r w:rsidRPr="004829B9" w:rsidR="00C733A3">
        <w:rPr>
          <w:spacing w:val="-4"/>
          <w:shd w:val="clear" w:color="auto" w:fill="FFFFFF"/>
          <w:lang w:val="en-GB"/>
        </w:rPr>
        <w:t xml:space="preserve">completed </w:t>
      </w:r>
      <w:r w:rsidR="00581162">
        <w:rPr>
          <w:spacing w:val="-4"/>
          <w:shd w:val="clear" w:color="auto" w:fill="FFFFFF"/>
          <w:lang w:val="en-GB"/>
        </w:rPr>
        <w:t>49</w:t>
      </w:r>
      <w:r w:rsidR="00372328">
        <w:rPr>
          <w:spacing w:val="-4"/>
          <w:shd w:val="clear" w:color="auto" w:fill="FFFFFF"/>
          <w:lang w:val="en-GB"/>
        </w:rPr>
        <w:t>.</w:t>
      </w:r>
      <w:r w:rsidR="00581162">
        <w:rPr>
          <w:spacing w:val="-4"/>
          <w:shd w:val="clear" w:color="auto" w:fill="FFFFFF"/>
          <w:lang w:val="en-GB"/>
        </w:rPr>
        <w:t>8</w:t>
      </w:r>
      <w:r w:rsidRPr="00372328" w:rsidR="00372328">
        <w:rPr>
          <w:spacing w:val="-4"/>
          <w:shd w:val="clear" w:color="auto" w:fill="FFFFFF"/>
          <w:lang w:val="en-GB"/>
        </w:rPr>
        <w:t xml:space="preserve"> </w:t>
      </w:r>
      <w:r w:rsidRPr="004829B9" w:rsidR="00A72CF4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Pr="004829B9" w:rsidR="00A72CF4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Pr="00314007" w:rsidR="00016549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581162">
        <w:rPr>
          <w:spacing w:val="-4"/>
          <w:shd w:val="clear" w:color="auto" w:fill="FFFFFF"/>
          <w:lang w:val="en-GB"/>
        </w:rPr>
        <w:t>4.0</w:t>
      </w:r>
      <w:r w:rsidRPr="004829B9" w:rsidR="000E65E1">
        <w:rPr>
          <w:spacing w:val="-4"/>
          <w:shd w:val="clear" w:color="auto" w:fill="FFFFFF"/>
          <w:lang w:val="en-GB"/>
        </w:rPr>
        <w:t>% </w:t>
      </w:r>
      <w:r w:rsidR="00581162">
        <w:rPr>
          <w:spacing w:val="-4"/>
          <w:shd w:val="clear" w:color="auto" w:fill="FFFFFF"/>
          <w:lang w:val="en-GB"/>
        </w:rPr>
        <w:t>less</w:t>
      </w:r>
      <w:r w:rsidRPr="004829B9" w:rsidR="00C733A3">
        <w:rPr>
          <w:spacing w:val="-4"/>
          <w:shd w:val="clear" w:color="auto" w:fill="FFFFFF"/>
          <w:lang w:val="en-GB"/>
        </w:rPr>
        <w:t xml:space="preserve"> than in the </w:t>
      </w:r>
      <w:r w:rsidRPr="004829B9" w:rsidR="009664CD">
        <w:rPr>
          <w:spacing w:val="-4"/>
          <w:shd w:val="clear" w:color="auto" w:fill="FFFFFF"/>
          <w:lang w:val="en-GB"/>
        </w:rPr>
        <w:t>corresponding</w:t>
      </w:r>
      <w:r w:rsidRPr="004829B9" w:rsidR="00C733A3">
        <w:rPr>
          <w:spacing w:val="-4"/>
          <w:shd w:val="clear" w:color="auto" w:fill="FFFFFF"/>
          <w:lang w:val="en-GB"/>
        </w:rPr>
        <w:t xml:space="preserve"> </w:t>
      </w:r>
      <w:r w:rsidR="00CD7B5E">
        <w:rPr>
          <w:spacing w:val="-4"/>
          <w:shd w:val="clear" w:color="auto" w:fill="FFFFFF"/>
          <w:lang w:val="en-GB"/>
        </w:rPr>
        <w:t>period</w:t>
      </w:r>
      <w:r w:rsidR="004B638F">
        <w:rPr>
          <w:spacing w:val="-4"/>
          <w:shd w:val="clear" w:color="auto" w:fill="FFFFFF"/>
          <w:lang w:val="en-GB"/>
        </w:rPr>
        <w:t xml:space="preserve"> of 2020</w:t>
      </w:r>
      <w:r w:rsidRPr="004829B9" w:rsidR="00C733A3">
        <w:rPr>
          <w:spacing w:val="-4"/>
          <w:shd w:val="clear" w:color="auto" w:fill="FFFFFF"/>
          <w:lang w:val="en-GB"/>
        </w:rPr>
        <w:t xml:space="preserve">, whereas </w:t>
      </w:r>
      <w:r w:rsidRPr="004829B9" w:rsidR="00C733A3">
        <w:rPr>
          <w:b/>
          <w:spacing w:val="-4"/>
          <w:shd w:val="clear" w:color="auto" w:fill="FFFFFF"/>
          <w:lang w:val="en-GB"/>
        </w:rPr>
        <w:t>private</w:t>
      </w:r>
      <w:r w:rsidRPr="004829B9" w:rsidR="00C733A3">
        <w:rPr>
          <w:spacing w:val="-4"/>
          <w:shd w:val="clear" w:color="auto" w:fill="FFFFFF"/>
          <w:lang w:val="en-GB"/>
        </w:rPr>
        <w:t xml:space="preserve"> </w:t>
      </w:r>
      <w:r w:rsidRPr="004829B9" w:rsidR="00C733A3">
        <w:rPr>
          <w:b/>
          <w:spacing w:val="-4"/>
          <w:shd w:val="clear" w:color="auto" w:fill="FFFFFF"/>
          <w:lang w:val="en-GB"/>
        </w:rPr>
        <w:t>investors</w:t>
      </w:r>
      <w:r w:rsidRPr="004829B9" w:rsidR="00837231">
        <w:rPr>
          <w:spacing w:val="-4"/>
          <w:shd w:val="clear" w:color="auto" w:fill="FFFFFF"/>
          <w:lang w:val="en-GB"/>
        </w:rPr>
        <w:t xml:space="preserve"> completed </w:t>
      </w:r>
      <w:r w:rsidR="00961CE9">
        <w:rPr>
          <w:spacing w:val="-4"/>
          <w:shd w:val="clear" w:color="auto" w:fill="FFFFFF"/>
          <w:lang w:val="en-GB"/>
        </w:rPr>
        <w:t>35</w:t>
      </w:r>
      <w:r w:rsidR="00372328">
        <w:rPr>
          <w:spacing w:val="-4"/>
          <w:shd w:val="clear" w:color="auto" w:fill="FFFFFF"/>
          <w:lang w:val="en-GB"/>
        </w:rPr>
        <w:t>.</w:t>
      </w:r>
      <w:r w:rsidR="00581162">
        <w:rPr>
          <w:spacing w:val="-4"/>
          <w:shd w:val="clear" w:color="auto" w:fill="FFFFFF"/>
          <w:lang w:val="en-GB"/>
        </w:rPr>
        <w:t>5</w:t>
      </w:r>
      <w:r w:rsidR="00A7208C">
        <w:rPr>
          <w:spacing w:val="-4"/>
          <w:shd w:val="clear" w:color="auto" w:fill="FFFFFF"/>
          <w:lang w:val="en-GB"/>
        </w:rPr>
        <w:t> </w:t>
      </w:r>
      <w:r w:rsidRPr="004829B9" w:rsidR="00C733A3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Pr="004829B9" w:rsidR="00C733A3">
        <w:rPr>
          <w:spacing w:val="-4"/>
          <w:shd w:val="clear" w:color="auto" w:fill="FFFFFF"/>
          <w:lang w:val="en-GB"/>
        </w:rPr>
        <w:t xml:space="preserve"> dwellings, </w:t>
      </w:r>
      <w:r w:rsidRPr="004829B9" w:rsidR="009664CD">
        <w:rPr>
          <w:spacing w:val="-4"/>
          <w:shd w:val="clear" w:color="auto" w:fill="FFFFFF"/>
          <w:lang w:val="en-GB"/>
        </w:rPr>
        <w:t xml:space="preserve">i.e. by </w:t>
      </w:r>
      <w:r w:rsidR="00AD3F9F">
        <w:rPr>
          <w:spacing w:val="-4"/>
          <w:shd w:val="clear" w:color="auto" w:fill="FFFFFF"/>
          <w:lang w:val="en-GB"/>
        </w:rPr>
        <w:t>32</w:t>
      </w:r>
      <w:r w:rsidRPr="004829B9" w:rsidR="00837231">
        <w:rPr>
          <w:spacing w:val="-4"/>
          <w:shd w:val="clear" w:color="auto" w:fill="FFFFFF"/>
          <w:lang w:val="en-GB"/>
        </w:rPr>
        <w:t>.</w:t>
      </w:r>
      <w:r w:rsidR="00581162">
        <w:rPr>
          <w:spacing w:val="-4"/>
          <w:shd w:val="clear" w:color="auto" w:fill="FFFFFF"/>
          <w:lang w:val="en-GB"/>
        </w:rPr>
        <w:t>6</w:t>
      </w:r>
      <w:r w:rsidRPr="004829B9" w:rsidR="00C733A3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Pr="004829B9" w:rsidR="0071658F">
        <w:rPr>
          <w:spacing w:val="-4"/>
          <w:shd w:val="clear" w:color="auto" w:fill="FFFFFF"/>
          <w:lang w:val="en-GB"/>
        </w:rPr>
        <w:t xml:space="preserve">. Within these forms of </w:t>
      </w:r>
      <w:r w:rsidRPr="004829B9" w:rsidR="00435283">
        <w:rPr>
          <w:spacing w:val="-4"/>
          <w:shd w:val="clear" w:color="auto" w:fill="FFFFFF"/>
          <w:lang w:val="en-GB"/>
        </w:rPr>
        <w:t xml:space="preserve">construction, </w:t>
      </w:r>
      <w:r w:rsidR="00581162">
        <w:rPr>
          <w:spacing w:val="-4"/>
          <w:shd w:val="clear" w:color="auto" w:fill="FFFFFF"/>
          <w:lang w:val="en-GB"/>
        </w:rPr>
        <w:t>97</w:t>
      </w:r>
      <w:r w:rsidRPr="004829B9" w:rsidR="00E724BA">
        <w:rPr>
          <w:spacing w:val="-4"/>
          <w:shd w:val="clear" w:color="auto" w:fill="FFFFFF"/>
          <w:lang w:val="en-GB"/>
        </w:rPr>
        <w:t>.</w:t>
      </w:r>
      <w:r w:rsidR="00581162">
        <w:rPr>
          <w:spacing w:val="-4"/>
          <w:shd w:val="clear" w:color="auto" w:fill="FFFFFF"/>
          <w:lang w:val="en-GB"/>
        </w:rPr>
        <w:t>9</w:t>
      </w:r>
      <w:r w:rsidRPr="004829B9" w:rsidR="00C94AC8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Pr="004829B9" w:rsidR="00C94AC8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Pr="004829B9" w:rsidR="00C733A3">
        <w:rPr>
          <w:spacing w:val="-4"/>
          <w:shd w:val="clear" w:color="auto" w:fill="FFFFFF"/>
          <w:lang w:val="en-GB"/>
        </w:rPr>
        <w:t>comple</w:t>
      </w:r>
      <w:r w:rsidRPr="004829B9" w:rsidR="001C1808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Pr="004B638F" w:rsidR="004B638F">
        <w:rPr>
          <w:spacing w:val="-4"/>
          <w:shd w:val="clear" w:color="auto" w:fill="FFFFFF"/>
          <w:lang w:val="en-GB"/>
        </w:rPr>
        <w:t xml:space="preserve">ithin </w:t>
      </w:r>
      <w:r w:rsidRPr="00CD7B5E" w:rsidR="00CD7B5E">
        <w:rPr>
          <w:b/>
          <w:spacing w:val="-4"/>
          <w:shd w:val="clear" w:color="auto" w:fill="FFFFFF"/>
          <w:lang w:val="en-GB"/>
        </w:rPr>
        <w:t>other forms</w:t>
      </w:r>
      <w:r w:rsidRPr="00CD7B5E" w:rsid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Pr="00CD7B5E" w:rsid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Pr="004B638F" w:rsidR="004B638F">
        <w:rPr>
          <w:spacing w:val="-4"/>
          <w:shd w:val="clear" w:color="auto" w:fill="FFFFFF"/>
          <w:lang w:val="en-GB"/>
        </w:rPr>
        <w:t xml:space="preserve">construction </w:t>
      </w:r>
      <w:r w:rsidRPr="00581162" w:rsidR="00581162">
        <w:rPr>
          <w:spacing w:val="-4"/>
          <w:shd w:val="clear" w:color="auto" w:fill="FFFFFF"/>
          <w:lang w:val="en-GB"/>
        </w:rPr>
        <w:t xml:space="preserve">1 830 </w:t>
      </w:r>
      <w:r w:rsidRPr="004829B9" w:rsidR="00C733A3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Pr="004829B9" w:rsidR="00C733A3">
        <w:rPr>
          <w:spacing w:val="-4"/>
          <w:shd w:val="clear" w:color="auto" w:fill="FFFFFF"/>
          <w:lang w:val="en-GB"/>
        </w:rPr>
        <w:t>(</w:t>
      </w:r>
      <w:r w:rsidR="00AD3F9F">
        <w:rPr>
          <w:spacing w:val="-4"/>
          <w:shd w:val="clear" w:color="auto" w:fill="FFFFFF"/>
          <w:lang w:val="en-GB"/>
        </w:rPr>
        <w:t xml:space="preserve">1 </w:t>
      </w:r>
      <w:r w:rsidRPr="00581162" w:rsidR="00581162">
        <w:rPr>
          <w:spacing w:val="-4"/>
          <w:shd w:val="clear" w:color="auto" w:fill="FFFFFF"/>
          <w:lang w:val="en-GB"/>
        </w:rPr>
        <w:t xml:space="preserve">359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</w:p>
    <w:p w:rsidR="00054314" w:rsidP="00896EB9" w:rsidRDefault="000A7C88" w14:paraId="6DA771CF" w14:textId="58615737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in</w:t>
      </w:r>
      <w:r w:rsidR="00CD7B5E">
        <w:rPr>
          <w:shd w:val="clear" w:color="auto" w:fill="FFFFFF"/>
          <w:lang w:val="en-GB"/>
        </w:rPr>
        <w:t xml:space="preserve"> the period of</w:t>
      </w:r>
      <w:r w:rsidR="00365663">
        <w:rPr>
          <w:shd w:val="clear" w:color="auto" w:fill="FFFFFF"/>
          <w:lang w:val="en-GB"/>
        </w:rPr>
        <w:t xml:space="preserve"> January</w:t>
      </w:r>
      <w:r w:rsidR="00243A60">
        <w:rPr>
          <w:shd w:val="clear" w:color="auto" w:fill="FFFFFF"/>
          <w:lang w:val="en-GB"/>
        </w:rPr>
        <w:t>-</w:t>
      </w:r>
      <w:r w:rsidR="00581162">
        <w:rPr>
          <w:shd w:val="clear" w:color="auto" w:fill="FFFFFF"/>
          <w:lang w:val="en-GB"/>
        </w:rPr>
        <w:t>May</w:t>
      </w:r>
      <w:r w:rsidR="00365663">
        <w:rPr>
          <w:shd w:val="clear" w:color="auto" w:fill="FFFFFF"/>
          <w:lang w:val="en-GB"/>
        </w:rPr>
        <w:t xml:space="preserve"> 2021</w:t>
      </w:r>
      <w:r w:rsidRPr="004829B9" w:rsidR="007C6C81">
        <w:rPr>
          <w:shd w:val="clear" w:color="auto" w:fill="FFFFFF"/>
          <w:lang w:val="en-GB"/>
        </w:rPr>
        <w:t xml:space="preserve"> </w:t>
      </w:r>
      <w:r w:rsidRPr="004829B9" w:rsidR="006A0E22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581162">
        <w:rPr>
          <w:shd w:val="clear" w:color="auto" w:fill="FFFFFF"/>
          <w:lang w:val="en-GB"/>
        </w:rPr>
        <w:t>8</w:t>
      </w:r>
      <w:r w:rsidRPr="004829B9" w:rsidR="00837231">
        <w:rPr>
          <w:shd w:val="clear" w:color="auto" w:fill="FFFFFF"/>
          <w:lang w:val="en-GB"/>
        </w:rPr>
        <w:t>.</w:t>
      </w:r>
      <w:r w:rsidR="00581162">
        <w:rPr>
          <w:shd w:val="clear" w:color="auto" w:fill="FFFFFF"/>
          <w:lang w:val="en-GB"/>
        </w:rPr>
        <w:t>3</w:t>
      </w:r>
      <w:r w:rsidRPr="004829B9" w:rsidR="00837231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Pr="004829B9" w:rsidR="00837231">
        <w:rPr>
          <w:shd w:val="clear" w:color="auto" w:fill="FFFFFF"/>
          <w:lang w:val="en-GB"/>
        </w:rPr>
        <w:t>m</w:t>
      </w:r>
      <w:r w:rsidRPr="002C751B" w:rsidR="002C751B">
        <w:rPr>
          <w:shd w:val="clear" w:color="auto" w:fill="FFFFFF"/>
          <w:vertAlign w:val="superscript"/>
          <w:lang w:val="en-GB"/>
        </w:rPr>
        <w:t>2</w:t>
      </w:r>
      <w:r w:rsidRPr="004829B9" w:rsidR="00837231">
        <w:rPr>
          <w:shd w:val="clear" w:color="auto" w:fill="FFFFFF"/>
          <w:lang w:val="en-GB"/>
        </w:rPr>
        <w:t xml:space="preserve">, i.e. by </w:t>
      </w:r>
      <w:r w:rsidR="00581162">
        <w:rPr>
          <w:shd w:val="clear" w:color="auto" w:fill="FFFFFF"/>
          <w:lang w:val="en-GB"/>
        </w:rPr>
        <w:t>17</w:t>
      </w:r>
      <w:r w:rsidRPr="004829B9" w:rsidR="00837231">
        <w:rPr>
          <w:shd w:val="clear" w:color="auto" w:fill="FFFFFF"/>
          <w:lang w:val="en-GB"/>
        </w:rPr>
        <w:t>.</w:t>
      </w:r>
      <w:r w:rsidR="00581162">
        <w:rPr>
          <w:shd w:val="clear" w:color="auto" w:fill="FFFFFF"/>
          <w:lang w:val="en-GB"/>
        </w:rPr>
        <w:t>2</w:t>
      </w:r>
      <w:r w:rsidRPr="004829B9" w:rsidR="00EF767E">
        <w:rPr>
          <w:shd w:val="clear" w:color="auto" w:fill="FFFFFF"/>
          <w:lang w:val="en-GB"/>
        </w:rPr>
        <w:t xml:space="preserve">% </w:t>
      </w:r>
      <w:r w:rsidR="00243A60">
        <w:rPr>
          <w:shd w:val="clear" w:color="auto" w:fill="FFFFFF"/>
          <w:lang w:val="en-GB"/>
        </w:rPr>
        <w:t>more</w:t>
      </w:r>
      <w:r w:rsidRPr="004829B9" w:rsidR="00EF767E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Pr="004829B9" w:rsidR="005E3825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Pr="004829B9" w:rsidR="00BF61F6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Pr="004829B9" w:rsidR="003460DF">
        <w:rPr>
          <w:shd w:val="clear" w:color="auto" w:fill="FFFFFF"/>
          <w:lang w:val="en-GB"/>
        </w:rPr>
        <w:t xml:space="preserve"> </w:t>
      </w:r>
      <w:r w:rsidR="00581162">
        <w:rPr>
          <w:shd w:val="clear" w:color="auto" w:fill="FFFFFF"/>
          <w:lang w:val="en-GB"/>
        </w:rPr>
        <w:t>95</w:t>
      </w:r>
      <w:r w:rsidRPr="004829B9" w:rsidR="005D25AB">
        <w:rPr>
          <w:shd w:val="clear" w:color="auto" w:fill="FFFFFF"/>
          <w:lang w:val="en-GB"/>
        </w:rPr>
        <w:t>.</w:t>
      </w:r>
      <w:r w:rsidR="00581162">
        <w:rPr>
          <w:shd w:val="clear" w:color="auto" w:fill="FFFFFF"/>
          <w:lang w:val="en-GB"/>
        </w:rPr>
        <w:t>6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Pr="002C751B" w:rsid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:rsidRPr="004829B9" w:rsidR="00B64363" w:rsidP="00896EB9" w:rsidRDefault="00B64363" w14:paraId="679F1787" w14:textId="77777777">
      <w:pPr>
        <w:rPr>
          <w:shd w:val="clear" w:color="auto" w:fill="FFFFFF"/>
          <w:lang w:val="en-GB"/>
        </w:rPr>
      </w:pPr>
    </w:p>
    <w:p w:rsidRPr="004829B9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hAnsi="Fira Sans SemiBold" w:eastAsia="Times New Roman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Pr="003C2145" w:rsidR="00B64363" w:rsidTr="00574E89" w14:paraId="3D74A51D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3C2145" w:rsidR="00B64363" w:rsidP="00574E89" w:rsidRDefault="009742AF" w14:paraId="6DA6E46E" w14:textId="0739132C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:rsidRPr="003C2145" w:rsidR="00B64363" w:rsidP="00574E89" w:rsidRDefault="00B64363" w14:paraId="36964227" w14:textId="7777777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Pr="003C2145" w:rsidR="00B64363" w:rsidTr="00574E89" w14:paraId="0D3C2463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3C2145" w:rsidR="00B64363" w:rsidP="00574E89" w:rsidRDefault="00B64363" w14:paraId="3EEF264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color="212492" w:sz="12" w:space="0"/>
            </w:tcBorders>
            <w:vAlign w:val="center"/>
          </w:tcPr>
          <w:p w:rsidRPr="003C2145" w:rsidR="00B64363" w:rsidP="00574E89" w:rsidRDefault="00B64363" w14:paraId="779D0680" w14:textId="00501B69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AD3F9F"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268" w:type="dxa"/>
            <w:gridSpan w:val="2"/>
            <w:tcBorders>
              <w:bottom w:val="single" w:color="212492" w:sz="12" w:space="0"/>
            </w:tcBorders>
          </w:tcPr>
          <w:p w:rsidRPr="003C2145" w:rsidR="00B64363" w:rsidP="00574E89" w:rsidRDefault="00B64363" w14:paraId="5E0F54FC" w14:textId="1C382CF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AD3F9F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Pr="003C2145" w:rsidR="00B64363" w:rsidTr="00574E89" w14:paraId="451F7C87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3C2145" w:rsidR="00B64363" w:rsidP="00574E89" w:rsidRDefault="00B64363" w14:paraId="574C9F7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3C2145" w:rsidR="00B64363" w:rsidP="00574E89" w:rsidRDefault="00B64363" w14:paraId="318E663B" w14:textId="5818BE0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3C2145" w:rsidR="00B64363" w:rsidP="00574E89" w:rsidRDefault="00AD3F9F" w14:paraId="3EF4C2A5" w14:textId="322239E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Pr="003C2145" w:rsidR="00B64363">
              <w:rPr>
                <w:color w:val="000000" w:themeColor="text1"/>
                <w:sz w:val="16"/>
                <w:szCs w:val="16"/>
              </w:rPr>
              <w:t xml:space="preserve"> </w:t>
            </w:r>
            <w:r w:rsidR="00B64363">
              <w:rPr>
                <w:color w:val="000000" w:themeColor="text1"/>
                <w:sz w:val="16"/>
                <w:szCs w:val="16"/>
              </w:rPr>
              <w:t>2020</w:t>
            </w:r>
            <w:r w:rsidRPr="003C2145" w:rsidR="00B64363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351" w:type="dxa"/>
            <w:tcBorders>
              <w:bottom w:val="single" w:color="212492" w:sz="12" w:space="0"/>
            </w:tcBorders>
            <w:vAlign w:val="center"/>
          </w:tcPr>
          <w:p w:rsidRPr="003C2145" w:rsidR="00B64363" w:rsidP="00574E89" w:rsidRDefault="00B64363" w14:paraId="4EDC0C48" w14:textId="72AAB32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</w:t>
            </w:r>
            <w:r w:rsidR="005744C0">
              <w:rPr>
                <w:color w:val="000000" w:themeColor="text1"/>
                <w:sz w:val="16"/>
                <w:szCs w:val="16"/>
              </w:rPr>
              <w:t>V</w:t>
            </w:r>
            <w:r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1" w:type="dxa"/>
            <w:tcBorders>
              <w:bottom w:val="single" w:color="212492" w:sz="12" w:space="0"/>
            </w:tcBorders>
            <w:vAlign w:val="center"/>
          </w:tcPr>
          <w:p w:rsidRPr="003C2145" w:rsidR="00B64363" w:rsidP="00574E89" w:rsidRDefault="00B64363" w14:paraId="6AD005EA" w14:textId="1EC2AB0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7" w:type="dxa"/>
            <w:tcBorders>
              <w:bottom w:val="single" w:color="212492" w:sz="12" w:space="0"/>
            </w:tcBorders>
            <w:vAlign w:val="center"/>
          </w:tcPr>
          <w:p w:rsidRPr="003C2145" w:rsidR="00B64363" w:rsidP="00574E89" w:rsidRDefault="005744C0" w14:paraId="497FC117" w14:textId="52FB4D4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AD3F9F">
              <w:rPr>
                <w:color w:val="000000" w:themeColor="text1"/>
                <w:sz w:val="16"/>
                <w:szCs w:val="16"/>
              </w:rPr>
              <w:t>V</w:t>
            </w:r>
            <w:r w:rsidRPr="003C2145" w:rsidR="00B64363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64363">
              <w:rPr>
                <w:color w:val="000000" w:themeColor="text1"/>
                <w:sz w:val="16"/>
                <w:szCs w:val="16"/>
              </w:rPr>
              <w:t>20</w:t>
            </w:r>
            <w:r w:rsidRPr="003C2145" w:rsidR="00B64363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3C2145" w:rsidR="005744C0" w:rsidTr="00574E89" w14:paraId="77C682AA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3C2145" w:rsidR="005744C0" w:rsidP="005744C0" w:rsidRDefault="005744C0" w14:paraId="63F91378" w14:textId="10364BB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3C2145" w:rsidR="005744C0" w:rsidP="005744C0" w:rsidRDefault="005744C0" w14:paraId="656CC6EC" w14:textId="5EEDA76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15 241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3C2145" w:rsidR="005744C0" w:rsidP="005744C0" w:rsidRDefault="005744C0" w14:paraId="19182DE5" w14:textId="0D6744D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93.3</w:t>
            </w:r>
          </w:p>
        </w:tc>
        <w:tc>
          <w:tcPr>
            <w:tcW w:w="1351" w:type="dxa"/>
            <w:tcBorders>
              <w:top w:val="single" w:color="212492" w:sz="12" w:space="0"/>
            </w:tcBorders>
            <w:vAlign w:val="center"/>
          </w:tcPr>
          <w:p w:rsidRPr="003C2145" w:rsidR="005744C0" w:rsidP="005744C0" w:rsidRDefault="005744C0" w14:paraId="4FA55BB8" w14:textId="047ED77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80.8</w:t>
            </w:r>
          </w:p>
        </w:tc>
        <w:tc>
          <w:tcPr>
            <w:tcW w:w="1061" w:type="dxa"/>
            <w:tcBorders>
              <w:top w:val="single" w:color="212492" w:sz="12" w:space="0"/>
            </w:tcBorders>
          </w:tcPr>
          <w:p w:rsidRPr="003C2145" w:rsidR="005744C0" w:rsidP="005744C0" w:rsidRDefault="005744C0" w14:paraId="15BC7E29" w14:textId="71F54AA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87 148</w:t>
            </w:r>
          </w:p>
        </w:tc>
        <w:tc>
          <w:tcPr>
            <w:tcW w:w="1207" w:type="dxa"/>
            <w:tcBorders>
              <w:top w:val="single" w:color="212492" w:sz="12" w:space="0"/>
            </w:tcBorders>
            <w:vAlign w:val="center"/>
          </w:tcPr>
          <w:p w:rsidRPr="003C2145" w:rsidR="005744C0" w:rsidP="005744C0" w:rsidRDefault="005744C0" w14:paraId="7B4095FA" w14:textId="1D39543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108.9</w:t>
            </w:r>
          </w:p>
        </w:tc>
      </w:tr>
      <w:tr w:rsidRPr="003C2145" w:rsidR="005744C0" w:rsidTr="00574E89" w14:paraId="1D40C008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5744C0" w:rsidP="005744C0" w:rsidRDefault="005744C0" w14:paraId="158FB4DD" w14:textId="085A529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Pr="003C2145" w:rsidR="005744C0" w:rsidP="005744C0" w:rsidRDefault="005744C0" w14:paraId="451A3490" w14:textId="4C62E8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6 931</w:t>
            </w:r>
          </w:p>
        </w:tc>
        <w:tc>
          <w:tcPr>
            <w:tcW w:w="1206" w:type="dxa"/>
            <w:vAlign w:val="center"/>
          </w:tcPr>
          <w:p w:rsidRPr="003C2145" w:rsidR="005744C0" w:rsidP="005744C0" w:rsidRDefault="005744C0" w14:paraId="195F4D95" w14:textId="04A4592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138.2</w:t>
            </w:r>
          </w:p>
        </w:tc>
        <w:tc>
          <w:tcPr>
            <w:tcW w:w="1351" w:type="dxa"/>
            <w:vAlign w:val="center"/>
          </w:tcPr>
          <w:p w:rsidRPr="003C2145" w:rsidR="005744C0" w:rsidP="005744C0" w:rsidRDefault="005744C0" w14:paraId="78301BBA" w14:textId="06AF137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98.3</w:t>
            </w:r>
          </w:p>
        </w:tc>
        <w:tc>
          <w:tcPr>
            <w:tcW w:w="1061" w:type="dxa"/>
          </w:tcPr>
          <w:p w:rsidRPr="003C2145" w:rsidR="005744C0" w:rsidP="005744C0" w:rsidRDefault="005744C0" w14:paraId="68A49D2A" w14:textId="56A67D5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35 477</w:t>
            </w:r>
          </w:p>
        </w:tc>
        <w:tc>
          <w:tcPr>
            <w:tcW w:w="1207" w:type="dxa"/>
            <w:vAlign w:val="center"/>
          </w:tcPr>
          <w:p w:rsidRPr="003C2145" w:rsidR="005744C0" w:rsidP="005744C0" w:rsidRDefault="005744C0" w14:paraId="0E2E31FF" w14:textId="6C19CF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132.6</w:t>
            </w:r>
          </w:p>
        </w:tc>
      </w:tr>
      <w:tr w:rsidRPr="003C2145" w:rsidR="005744C0" w:rsidTr="00574E89" w14:paraId="508A87A2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5744C0" w:rsidP="005744C0" w:rsidRDefault="005744C0" w14:paraId="5813B5D1" w14:textId="48E027A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Pr="003C2145" w:rsidR="005744C0" w:rsidP="005744C0" w:rsidRDefault="005744C0" w14:paraId="0732F4A3" w14:textId="7C9217B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7 901</w:t>
            </w:r>
          </w:p>
        </w:tc>
        <w:tc>
          <w:tcPr>
            <w:tcW w:w="1206" w:type="dxa"/>
            <w:vAlign w:val="center"/>
          </w:tcPr>
          <w:p w:rsidRPr="003C2145" w:rsidR="005744C0" w:rsidP="005744C0" w:rsidRDefault="005744C0" w14:paraId="48DFBF4C" w14:textId="6A97800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71.7</w:t>
            </w:r>
          </w:p>
        </w:tc>
        <w:tc>
          <w:tcPr>
            <w:tcW w:w="1351" w:type="dxa"/>
            <w:vAlign w:val="center"/>
          </w:tcPr>
          <w:p w:rsidRPr="003C2145" w:rsidR="005744C0" w:rsidP="005744C0" w:rsidRDefault="005744C0" w14:paraId="4ABA9549" w14:textId="1C5C0C2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68.8</w:t>
            </w:r>
          </w:p>
        </w:tc>
        <w:tc>
          <w:tcPr>
            <w:tcW w:w="1061" w:type="dxa"/>
            <w:vAlign w:val="center"/>
          </w:tcPr>
          <w:p w:rsidRPr="003C2145" w:rsidR="005744C0" w:rsidP="005744C0" w:rsidRDefault="005744C0" w14:paraId="72FDE0B7" w14:textId="63E7A49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49 841</w:t>
            </w:r>
          </w:p>
        </w:tc>
        <w:tc>
          <w:tcPr>
            <w:tcW w:w="1207" w:type="dxa"/>
            <w:vAlign w:val="center"/>
          </w:tcPr>
          <w:p w:rsidRPr="003C2145" w:rsidR="005744C0" w:rsidP="005744C0" w:rsidRDefault="005744C0" w14:paraId="10A2CC76" w14:textId="0213D22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96.0</w:t>
            </w:r>
          </w:p>
        </w:tc>
      </w:tr>
      <w:tr w:rsidRPr="003C2145" w:rsidR="005744C0" w:rsidTr="00574E89" w14:paraId="58824C75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5744C0" w:rsidP="005744C0" w:rsidRDefault="005744C0" w14:paraId="6D82379A" w14:textId="48F6CDE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06" w:type="dxa"/>
            <w:vAlign w:val="center"/>
          </w:tcPr>
          <w:p w:rsidRPr="003C2145" w:rsidR="005744C0" w:rsidP="005744C0" w:rsidRDefault="005744C0" w14:paraId="379C0269" w14:textId="0C223A7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206" w:type="dxa"/>
            <w:vAlign w:val="center"/>
          </w:tcPr>
          <w:p w:rsidRPr="003C2145" w:rsidR="005744C0" w:rsidP="005744C0" w:rsidRDefault="005744C0" w14:paraId="77154C89" w14:textId="0FE6C86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47.</w:t>
            </w:r>
            <w:r w:rsidRPr="00AA0D4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51" w:type="dxa"/>
            <w:vAlign w:val="center"/>
          </w:tcPr>
          <w:p w:rsidRPr="003C2145" w:rsidR="005744C0" w:rsidP="005744C0" w:rsidRDefault="005744C0" w14:paraId="07260E2C" w14:textId="71B37B2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11.</w:t>
            </w:r>
            <w:r w:rsidRPr="00AA0D4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61" w:type="dxa"/>
            <w:vAlign w:val="center"/>
          </w:tcPr>
          <w:p w:rsidRPr="003C2145" w:rsidR="005744C0" w:rsidP="005744C0" w:rsidRDefault="005744C0" w14:paraId="59FA5EC3" w14:textId="6C3981C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878</w:t>
            </w:r>
          </w:p>
        </w:tc>
        <w:tc>
          <w:tcPr>
            <w:tcW w:w="1207" w:type="dxa"/>
            <w:vAlign w:val="center"/>
          </w:tcPr>
          <w:p w:rsidRPr="003C2145" w:rsidR="005744C0" w:rsidP="005744C0" w:rsidRDefault="005744C0" w14:paraId="75124231" w14:textId="1EEDBC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121.8</w:t>
            </w:r>
          </w:p>
        </w:tc>
      </w:tr>
      <w:tr w:rsidRPr="003C2145" w:rsidR="005744C0" w:rsidTr="00574E89" w14:paraId="2288CE1E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5744C0" w:rsidP="005744C0" w:rsidRDefault="005744C0" w14:paraId="19BC0BAF" w14:textId="12E2EC4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Pr="003C2145" w:rsidR="005744C0" w:rsidP="005744C0" w:rsidRDefault="005744C0" w14:paraId="5E18F09E" w14:textId="165CB8C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206" w:type="dxa"/>
            <w:vAlign w:val="center"/>
          </w:tcPr>
          <w:p w:rsidRPr="003C2145" w:rsidR="005744C0" w:rsidP="005744C0" w:rsidRDefault="005744C0" w14:paraId="7DD3D881" w14:textId="3DC07AA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257.4</w:t>
            </w:r>
          </w:p>
        </w:tc>
        <w:tc>
          <w:tcPr>
            <w:tcW w:w="1351" w:type="dxa"/>
            <w:vAlign w:val="center"/>
          </w:tcPr>
          <w:p w:rsidRPr="003C2145" w:rsidR="005744C0" w:rsidP="005744C0" w:rsidRDefault="005744C0" w14:paraId="4325B769" w14:textId="3C7B521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128.7</w:t>
            </w:r>
          </w:p>
        </w:tc>
        <w:tc>
          <w:tcPr>
            <w:tcW w:w="1061" w:type="dxa"/>
            <w:vAlign w:val="center"/>
          </w:tcPr>
          <w:p w:rsidRPr="003C2145" w:rsidR="005744C0" w:rsidP="005744C0" w:rsidRDefault="005744C0" w14:paraId="18FA1C60" w14:textId="0C180A2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207" w:type="dxa"/>
            <w:vAlign w:val="center"/>
          </w:tcPr>
          <w:p w:rsidRPr="003C2145" w:rsidR="005744C0" w:rsidP="005744C0" w:rsidRDefault="005744C0" w14:paraId="4E1F5190" w14:textId="508FEC7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155.3</w:t>
            </w:r>
          </w:p>
        </w:tc>
      </w:tr>
      <w:tr w:rsidRPr="003C2145" w:rsidR="005744C0" w:rsidTr="00574E89" w14:paraId="3F448AE5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5744C0" w:rsidP="005744C0" w:rsidRDefault="005744C0" w14:paraId="75580F57" w14:textId="38954F5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Pr="003C2145" w:rsidR="005744C0" w:rsidP="005744C0" w:rsidRDefault="005744C0" w14:paraId="4E517085" w14:textId="0A409AD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223</w:t>
            </w:r>
          </w:p>
        </w:tc>
        <w:tc>
          <w:tcPr>
            <w:tcW w:w="1206" w:type="dxa"/>
            <w:vAlign w:val="center"/>
          </w:tcPr>
          <w:p w:rsidRPr="003C2145" w:rsidR="005744C0" w:rsidP="005744C0" w:rsidRDefault="005744C0" w14:paraId="25567828" w14:textId="12B8EE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149.7</w:t>
            </w:r>
          </w:p>
        </w:tc>
        <w:tc>
          <w:tcPr>
            <w:tcW w:w="1351" w:type="dxa"/>
            <w:vAlign w:val="center"/>
          </w:tcPr>
          <w:p w:rsidRPr="003C2145" w:rsidR="005744C0" w:rsidP="005744C0" w:rsidRDefault="005744C0" w14:paraId="014C6835" w14:textId="7065ECC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484.8</w:t>
            </w:r>
          </w:p>
        </w:tc>
        <w:tc>
          <w:tcPr>
            <w:tcW w:w="1061" w:type="dxa"/>
          </w:tcPr>
          <w:p w:rsidRPr="003C2145" w:rsidR="005744C0" w:rsidP="005744C0" w:rsidRDefault="005744C0" w14:paraId="6B466C47" w14:textId="4F3DE4C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771</w:t>
            </w:r>
          </w:p>
        </w:tc>
        <w:tc>
          <w:tcPr>
            <w:tcW w:w="1207" w:type="dxa"/>
            <w:vAlign w:val="center"/>
          </w:tcPr>
          <w:p w:rsidRPr="003C2145" w:rsidR="005744C0" w:rsidP="005744C0" w:rsidRDefault="005744C0" w14:paraId="07B4D463" w14:textId="3B4E9CE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189.4</w:t>
            </w:r>
          </w:p>
        </w:tc>
      </w:tr>
      <w:tr w:rsidRPr="003C2145" w:rsidR="005744C0" w:rsidTr="00574E89" w14:paraId="0BA0AF5E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5744C0" w:rsidP="005744C0" w:rsidRDefault="005744C0" w14:paraId="43913E1F" w14:textId="45BC4A8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Pr="003C2145" w:rsidR="005744C0" w:rsidP="005744C0" w:rsidRDefault="005744C0" w14:paraId="3608F751" w14:textId="282CB19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206" w:type="dxa"/>
            <w:vAlign w:val="center"/>
          </w:tcPr>
          <w:p w:rsidRPr="003C2145" w:rsidR="005744C0" w:rsidP="005744C0" w:rsidRDefault="005744C0" w14:paraId="11049FEB" w14:textId="4A01FB4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28.7</w:t>
            </w:r>
          </w:p>
        </w:tc>
        <w:tc>
          <w:tcPr>
            <w:tcW w:w="1351" w:type="dxa"/>
            <w:vAlign w:val="center"/>
          </w:tcPr>
          <w:p w:rsidRPr="003C2145" w:rsidR="005744C0" w:rsidP="005744C0" w:rsidRDefault="005744C0" w14:paraId="7977A467" w14:textId="573C122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19.6</w:t>
            </w:r>
          </w:p>
        </w:tc>
        <w:tc>
          <w:tcPr>
            <w:tcW w:w="1061" w:type="dxa"/>
          </w:tcPr>
          <w:p w:rsidRPr="003C2145" w:rsidR="005744C0" w:rsidP="005744C0" w:rsidRDefault="005744C0" w14:paraId="7DEAFFCC" w14:textId="4FBC264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1207" w:type="dxa"/>
            <w:vAlign w:val="center"/>
          </w:tcPr>
          <w:p w:rsidRPr="003C2145" w:rsidR="005744C0" w:rsidP="005744C0" w:rsidRDefault="005744C0" w14:paraId="3B642308" w14:textId="097FE6E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60.2</w:t>
            </w:r>
          </w:p>
        </w:tc>
      </w:tr>
      <w:tr w:rsidRPr="003C2145" w:rsidR="005744C0" w:rsidTr="00574E89" w14:paraId="0EA6F2E3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5744C0" w:rsidP="005744C0" w:rsidRDefault="005744C0" w14:paraId="2E746B3D" w14:textId="6F124B6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Pr="003C2145" w:rsidR="005744C0" w:rsidP="005744C0" w:rsidRDefault="005744C0" w14:paraId="4342BE94" w14:textId="134A0FB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Pr="003C2145" w:rsidR="005744C0" w:rsidP="005744C0" w:rsidRDefault="005744C0" w14:paraId="72960F2D" w14:textId="6F8D370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40.0</w:t>
            </w:r>
          </w:p>
        </w:tc>
        <w:tc>
          <w:tcPr>
            <w:tcW w:w="1351" w:type="dxa"/>
            <w:vAlign w:val="center"/>
          </w:tcPr>
          <w:p w:rsidRPr="003C2145" w:rsidR="005744C0" w:rsidP="005744C0" w:rsidRDefault="005744C0" w14:paraId="01D12245" w14:textId="2D425B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40.0</w:t>
            </w:r>
          </w:p>
        </w:tc>
        <w:tc>
          <w:tcPr>
            <w:tcW w:w="1061" w:type="dxa"/>
          </w:tcPr>
          <w:p w:rsidRPr="003C2145" w:rsidR="005744C0" w:rsidP="005744C0" w:rsidRDefault="005744C0" w14:paraId="4F1C5A5A" w14:textId="20C2E17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7" w:type="dxa"/>
            <w:vAlign w:val="center"/>
          </w:tcPr>
          <w:p w:rsidRPr="003C2145" w:rsidR="005744C0" w:rsidP="005744C0" w:rsidRDefault="005744C0" w14:paraId="0DC30BC3" w14:textId="14AE6F2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40.0</w:t>
            </w:r>
          </w:p>
        </w:tc>
      </w:tr>
      <w:bookmarkEnd w:id="0"/>
    </w:tbl>
    <w:p w:rsidRPr="004829B9" w:rsidR="00054314" w:rsidP="00054314" w:rsidRDefault="00054314" w14:paraId="4C4EBE85" w14:textId="77777777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val="en-GB" w:eastAsia="pl-PL"/>
        </w:rPr>
      </w:pPr>
    </w:p>
    <w:p w:rsidRPr="004829B9" w:rsidR="00154AC9" w:rsidP="00896EB9" w:rsidRDefault="00154AC9" w14:paraId="03EFC1DF" w14:textId="77777777">
      <w:pPr>
        <w:rPr>
          <w:shd w:val="clear" w:color="auto" w:fill="FFFFFF"/>
          <w:lang w:val="en-GB"/>
        </w:rPr>
      </w:pPr>
    </w:p>
    <w:p w:rsidRPr="004829B9" w:rsidR="0058073C" w:rsidP="008F6310" w:rsidRDefault="0058073C" w14:paraId="1FED3B6A" w14:textId="77777777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:rsidRPr="004829B9" w:rsidR="009829F8" w:rsidP="008F6310" w:rsidRDefault="009829F8" w14:paraId="71002120" w14:textId="77777777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:rsidR="00A7208C" w:rsidP="008F6310" w:rsidRDefault="00A7208C" w14:paraId="10D3BA04" w14:textId="77777777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:rsidRPr="004829B9" w:rsidR="00896EB9" w:rsidP="008F6310" w:rsidRDefault="00896EB9" w14:paraId="2D03BCD7" w14:textId="4A2941C6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:rsidRPr="004829B9" w:rsidR="00C47CE4" w:rsidP="00896EB9" w:rsidRDefault="003557A1" w14:paraId="03705375" w14:textId="4A3AF45B">
      <w:pPr>
        <w:rPr>
          <w:b/>
          <w:shd w:val="clear" w:color="auto" w:fill="FFFFFF"/>
          <w:lang w:val="en-GB"/>
        </w:rPr>
      </w:pPr>
      <w:r w:rsidRPr="004829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editId="69BF41E9" wp14:anchorId="51E55D6D">
                <wp:simplePos x="0" y="0"/>
                <wp:positionH relativeFrom="rightMargin">
                  <wp:posOffset>77470</wp:posOffset>
                </wp:positionH>
                <wp:positionV relativeFrom="paragraph">
                  <wp:posOffset>6350</wp:posOffset>
                </wp:positionV>
                <wp:extent cx="1688465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AD1492" w:rsidR="00574E89" w:rsidP="00C47CE4" w:rsidRDefault="00574E89" w14:paraId="35DCCB4E" w14:textId="71760D7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0D0D69">
                              <w:rPr>
                                <w:lang w:val="en-US"/>
                              </w:rPr>
                              <w:t xml:space="preserve">in the period </w:t>
                            </w:r>
                            <w:r w:rsidR="005744C0">
                              <w:rPr>
                                <w:lang w:val="en-US"/>
                              </w:rPr>
                              <w:t>of I-</w:t>
                            </w:r>
                            <w:r w:rsidR="000D0D69">
                              <w:rPr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lang w:val="en-US"/>
                              </w:rPr>
                              <w:t xml:space="preserve"> 2021 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5744C0">
                              <w:rPr>
                                <w:lang w:val="en-US"/>
                              </w:rPr>
                              <w:t>48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5744C0">
                              <w:rPr>
                                <w:lang w:val="en-US"/>
                              </w:rPr>
                              <w:t>2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style="position:absolute;margin-left:6.1pt;margin-top:.5pt;width:132.9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" w14:anchorId="51E55D6D">
                <v:textbox>
                  <w:txbxContent>
                    <w:p w:rsidRPr="00AD1492" w:rsidR="00574E89" w:rsidP="00C47CE4" w:rsidRDefault="00574E89" w14:paraId="35DCCB4E" w14:textId="71760D77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in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0D0D69">
                        <w:rPr>
                          <w:lang w:val="en-US"/>
                        </w:rPr>
                        <w:t xml:space="preserve">in the period </w:t>
                      </w:r>
                      <w:r w:rsidR="005744C0">
                        <w:rPr>
                          <w:lang w:val="en-US"/>
                        </w:rPr>
                        <w:t>of I-</w:t>
                      </w:r>
                      <w:r w:rsidR="000D0D69">
                        <w:rPr>
                          <w:lang w:val="en-US"/>
                        </w:rPr>
                        <w:t>V</w:t>
                      </w:r>
                      <w:r>
                        <w:rPr>
                          <w:lang w:val="en-US"/>
                        </w:rPr>
                        <w:t xml:space="preserve"> 2021 </w:t>
                      </w:r>
                      <w:r w:rsidRPr="00AD1492">
                        <w:rPr>
                          <w:lang w:val="en-US"/>
                        </w:rPr>
                        <w:t xml:space="preserve">by </w:t>
                      </w:r>
                      <w:r w:rsidR="005744C0">
                        <w:rPr>
                          <w:lang w:val="en-US"/>
                        </w:rPr>
                        <w:t>48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5744C0">
                        <w:rPr>
                          <w:lang w:val="en-US"/>
                        </w:rPr>
                        <w:t>2</w:t>
                      </w:r>
                      <w:r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0D69" w:rsidR="000D0D69">
        <w:rPr>
          <w:noProof/>
          <w:lang w:val="en-GB" w:eastAsia="pl-PL"/>
        </w:rPr>
        <w:t>From the beggining of the year until</w:t>
      </w:r>
      <w:r w:rsidR="00C214E1">
        <w:rPr>
          <w:szCs w:val="19"/>
          <w:shd w:val="clear" w:color="auto" w:fill="FFFFFF"/>
          <w:lang w:val="en-GB"/>
        </w:rPr>
        <w:t xml:space="preserve"> </w:t>
      </w:r>
      <w:r w:rsidR="00B64363">
        <w:rPr>
          <w:szCs w:val="19"/>
          <w:shd w:val="clear" w:color="auto" w:fill="FFFFFF"/>
          <w:lang w:val="en-GB"/>
        </w:rPr>
        <w:t xml:space="preserve">the </w:t>
      </w:r>
      <w:r w:rsidR="000D0D69">
        <w:rPr>
          <w:szCs w:val="19"/>
          <w:shd w:val="clear" w:color="auto" w:fill="FFFFFF"/>
          <w:lang w:val="en-GB"/>
        </w:rPr>
        <w:t xml:space="preserve">end of </w:t>
      </w:r>
      <w:r w:rsidR="00581162">
        <w:rPr>
          <w:szCs w:val="19"/>
          <w:shd w:val="clear" w:color="auto" w:fill="FFFFFF"/>
          <w:lang w:val="en-GB"/>
        </w:rPr>
        <w:t>May</w:t>
      </w:r>
      <w:r w:rsidRPr="004829B9" w:rsidR="00BD1D77">
        <w:rPr>
          <w:szCs w:val="19"/>
          <w:shd w:val="clear" w:color="auto" w:fill="FFFFFF"/>
          <w:lang w:val="en-GB"/>
        </w:rPr>
        <w:t xml:space="preserve"> </w:t>
      </w:r>
      <w:r w:rsidR="00A7208C">
        <w:rPr>
          <w:szCs w:val="19"/>
          <w:shd w:val="clear" w:color="auto" w:fill="FFFFFF"/>
          <w:lang w:val="en-GB"/>
        </w:rPr>
        <w:t>2021</w:t>
      </w:r>
      <w:r w:rsidR="000348CC">
        <w:rPr>
          <w:szCs w:val="19"/>
          <w:shd w:val="clear" w:color="auto" w:fill="FFFFFF"/>
          <w:lang w:val="en-GB"/>
        </w:rPr>
        <w:t>,</w:t>
      </w:r>
      <w:r w:rsidRPr="004829B9" w:rsidR="00BD1D77">
        <w:rPr>
          <w:szCs w:val="19"/>
          <w:shd w:val="clear" w:color="auto" w:fill="FFFFFF"/>
          <w:lang w:val="en-GB"/>
        </w:rPr>
        <w:t xml:space="preserve"> </w:t>
      </w:r>
      <w:r w:rsidRPr="004829B9" w:rsidR="00C47CE4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Pr="004829B9" w:rsidR="00C47CE4">
        <w:rPr>
          <w:shd w:val="clear" w:color="auto" w:fill="FFFFFF"/>
          <w:lang w:val="en-GB"/>
        </w:rPr>
        <w:t xml:space="preserve">construction of </w:t>
      </w:r>
      <w:r w:rsidR="00581162">
        <w:rPr>
          <w:shd w:val="clear" w:color="auto" w:fill="FFFFFF"/>
          <w:lang w:val="en-GB"/>
        </w:rPr>
        <w:t>14</w:t>
      </w:r>
      <w:r w:rsidR="000D0D69">
        <w:rPr>
          <w:shd w:val="clear" w:color="auto" w:fill="FFFFFF"/>
          <w:lang w:val="en-GB"/>
        </w:rPr>
        <w:t>1</w:t>
      </w:r>
      <w:r w:rsidR="00DE7DD4">
        <w:rPr>
          <w:shd w:val="clear" w:color="auto" w:fill="FFFFFF"/>
          <w:lang w:val="en-GB"/>
        </w:rPr>
        <w:t>.</w:t>
      </w:r>
      <w:r w:rsidR="00581162">
        <w:rPr>
          <w:shd w:val="clear" w:color="auto" w:fill="FFFFFF"/>
          <w:lang w:val="en-GB"/>
        </w:rPr>
        <w:t>4</w:t>
      </w:r>
      <w:r w:rsidRPr="00DE7DD4" w:rsidR="00DE7DD4">
        <w:rPr>
          <w:shd w:val="clear" w:color="auto" w:fill="FFFFFF"/>
          <w:lang w:val="en-GB"/>
        </w:rPr>
        <w:t xml:space="preserve"> </w:t>
      </w:r>
      <w:r w:rsidRPr="004829B9" w:rsidR="00086F9F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Pr="004829B9" w:rsidR="00FD0C2F">
        <w:rPr>
          <w:shd w:val="clear" w:color="auto" w:fill="FFFFFF"/>
          <w:lang w:val="en-GB"/>
        </w:rPr>
        <w:t xml:space="preserve"> dwellings, </w:t>
      </w:r>
      <w:r w:rsidRPr="004829B9" w:rsidR="00C47CE4">
        <w:rPr>
          <w:shd w:val="clear" w:color="auto" w:fill="FFFFFF"/>
          <w:lang w:val="en-GB"/>
        </w:rPr>
        <w:t xml:space="preserve">i.e. by </w:t>
      </w:r>
      <w:r w:rsidR="00581162">
        <w:rPr>
          <w:shd w:val="clear" w:color="auto" w:fill="FFFFFF"/>
          <w:lang w:val="en-GB"/>
        </w:rPr>
        <w:t>48</w:t>
      </w:r>
      <w:r w:rsidRPr="004829B9" w:rsidR="00E245E1">
        <w:rPr>
          <w:shd w:val="clear" w:color="auto" w:fill="FFFFFF"/>
          <w:lang w:val="en-GB"/>
        </w:rPr>
        <w:t>.</w:t>
      </w:r>
      <w:r w:rsidR="00581162">
        <w:rPr>
          <w:shd w:val="clear" w:color="auto" w:fill="FFFFFF"/>
          <w:lang w:val="en-GB"/>
        </w:rPr>
        <w:t>2</w:t>
      </w:r>
      <w:r w:rsidRPr="004829B9" w:rsidR="00C47CE4">
        <w:rPr>
          <w:shd w:val="clear" w:color="auto" w:fill="FFFFFF"/>
          <w:lang w:val="en-GB"/>
        </w:rPr>
        <w:t xml:space="preserve">% </w:t>
      </w:r>
      <w:r w:rsidR="00DE7DD4">
        <w:rPr>
          <w:shd w:val="clear" w:color="auto" w:fill="FFFFFF"/>
          <w:lang w:val="en-GB"/>
        </w:rPr>
        <w:t>more</w:t>
      </w:r>
      <w:r w:rsidRPr="004829B9" w:rsidR="00C47CE4">
        <w:rPr>
          <w:shd w:val="clear" w:color="auto" w:fill="FFFFFF"/>
          <w:lang w:val="en-GB"/>
        </w:rPr>
        <w:t xml:space="preserve"> than in </w:t>
      </w:r>
      <w:r w:rsidR="00C214E1">
        <w:rPr>
          <w:shd w:val="clear" w:color="auto" w:fill="FFFFFF"/>
          <w:lang w:val="en-GB"/>
        </w:rPr>
        <w:t>2020</w:t>
      </w:r>
      <w:r w:rsidRPr="004829B9" w:rsidR="00856FE3">
        <w:rPr>
          <w:shd w:val="clear" w:color="auto" w:fill="FFFFFF"/>
          <w:lang w:val="en-GB"/>
        </w:rPr>
        <w:t xml:space="preserve">. </w:t>
      </w:r>
      <w:r w:rsidRPr="004829B9" w:rsidR="00C47CE4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Pr="004829B9" w:rsidR="00435283">
        <w:rPr>
          <w:b/>
          <w:shd w:val="clear" w:color="auto" w:fill="FFFFFF"/>
          <w:lang w:val="en-GB"/>
        </w:rPr>
        <w:t xml:space="preserve">developers </w:t>
      </w:r>
      <w:r w:rsidRPr="004829B9" w:rsidR="00BD1D77">
        <w:rPr>
          <w:shd w:val="clear" w:color="auto" w:fill="FFFFFF"/>
          <w:lang w:val="en-GB"/>
        </w:rPr>
        <w:t>(</w:t>
      </w:r>
      <w:r w:rsidR="00581162">
        <w:rPr>
          <w:shd w:val="clear" w:color="auto" w:fill="FFFFFF"/>
          <w:lang w:val="en-GB"/>
        </w:rPr>
        <w:t>91</w:t>
      </w:r>
      <w:r w:rsidR="00DE7DD4">
        <w:rPr>
          <w:shd w:val="clear" w:color="auto" w:fill="FFFFFF"/>
          <w:lang w:val="en-GB"/>
        </w:rPr>
        <w:t>.</w:t>
      </w:r>
      <w:r w:rsidR="00581162">
        <w:rPr>
          <w:shd w:val="clear" w:color="auto" w:fill="FFFFFF"/>
          <w:lang w:val="en-GB"/>
        </w:rPr>
        <w:t>0</w:t>
      </w:r>
      <w:r w:rsidR="000D0D69">
        <w:rPr>
          <w:shd w:val="clear" w:color="auto" w:fill="FFFFFF"/>
          <w:lang w:val="en-GB"/>
        </w:rPr>
        <w:t> </w:t>
      </w:r>
      <w:r w:rsidRPr="004829B9" w:rsidR="00086F9F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34857">
        <w:rPr>
          <w:shd w:val="clear" w:color="auto" w:fill="FFFFFF"/>
          <w:lang w:val="en-GB"/>
        </w:rPr>
        <w:t>, an</w:t>
      </w:r>
      <w:r w:rsidR="00581162">
        <w:rPr>
          <w:shd w:val="clear" w:color="auto" w:fill="FFFFFF"/>
          <w:lang w:val="en-GB"/>
        </w:rPr>
        <w:t xml:space="preserve"> increase of 58.3</w:t>
      </w:r>
      <w:r w:rsidR="00FE3A83">
        <w:rPr>
          <w:shd w:val="clear" w:color="auto" w:fill="FFFFFF"/>
          <w:lang w:val="en-GB"/>
        </w:rPr>
        <w:t>% y/y</w:t>
      </w:r>
      <w:r w:rsidRPr="004829B9" w:rsidR="00BD1D77">
        <w:rPr>
          <w:shd w:val="clear" w:color="auto" w:fill="FFFFFF"/>
          <w:lang w:val="en-GB"/>
        </w:rPr>
        <w:t>)</w:t>
      </w:r>
      <w:r w:rsidRPr="004829B9" w:rsidR="00C47CE4">
        <w:rPr>
          <w:shd w:val="clear" w:color="auto" w:fill="FFFFFF"/>
          <w:lang w:val="en-GB"/>
        </w:rPr>
        <w:t xml:space="preserve"> and to </w:t>
      </w:r>
      <w:r w:rsidRPr="004829B9" w:rsidR="00C47CE4">
        <w:rPr>
          <w:b/>
          <w:shd w:val="clear" w:color="auto" w:fill="FFFFFF"/>
          <w:lang w:val="en-GB"/>
        </w:rPr>
        <w:t>private investors</w:t>
      </w:r>
      <w:r w:rsidRPr="004829B9" w:rsidR="00BD1D77">
        <w:rPr>
          <w:shd w:val="clear" w:color="auto" w:fill="FFFFFF"/>
          <w:lang w:val="en-GB"/>
        </w:rPr>
        <w:t xml:space="preserve"> (</w:t>
      </w:r>
      <w:r w:rsidR="00581162">
        <w:rPr>
          <w:shd w:val="clear" w:color="auto" w:fill="FFFFFF"/>
          <w:lang w:val="en-GB"/>
        </w:rPr>
        <w:t>48</w:t>
      </w:r>
      <w:r w:rsidR="00DE7DD4">
        <w:rPr>
          <w:shd w:val="clear" w:color="auto" w:fill="FFFFFF"/>
          <w:lang w:val="en-GB"/>
        </w:rPr>
        <w:t>.</w:t>
      </w:r>
      <w:r w:rsidR="00581162">
        <w:rPr>
          <w:shd w:val="clear" w:color="auto" w:fill="FFFFFF"/>
          <w:lang w:val="en-GB"/>
        </w:rPr>
        <w:t>7</w:t>
      </w:r>
      <w:r w:rsidRPr="00DE7DD4" w:rsidR="00DE7DD4">
        <w:rPr>
          <w:shd w:val="clear" w:color="auto" w:fill="FFFFFF"/>
          <w:lang w:val="en-GB"/>
        </w:rPr>
        <w:t xml:space="preserve"> </w:t>
      </w:r>
      <w:r w:rsidRPr="004829B9" w:rsidR="00086F9F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581162">
        <w:rPr>
          <w:shd w:val="clear" w:color="auto" w:fill="FFFFFF"/>
          <w:lang w:val="en-GB"/>
        </w:rPr>
        <w:t>, an increase of 31.2</w:t>
      </w:r>
      <w:r w:rsidRPr="00B7342E" w:rsidR="00FE3A83">
        <w:rPr>
          <w:shd w:val="clear" w:color="auto" w:fill="FFFFFF"/>
          <w:lang w:val="en-GB"/>
        </w:rPr>
        <w:t>%</w:t>
      </w:r>
      <w:r w:rsidRPr="00B7342E" w:rsidR="00BD1D77">
        <w:rPr>
          <w:shd w:val="clear" w:color="auto" w:fill="FFFFFF"/>
          <w:lang w:val="en-GB"/>
        </w:rPr>
        <w:t>)</w:t>
      </w:r>
      <w:r w:rsidRPr="004829B9" w:rsidR="00CF36C5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Pr="004829B9" w:rsidR="00507D43">
        <w:rPr>
          <w:shd w:val="clear" w:color="auto" w:fill="FFFFFF"/>
          <w:lang w:val="en-GB"/>
        </w:rPr>
        <w:t xml:space="preserve"> </w:t>
      </w:r>
      <w:r w:rsidRPr="004829B9" w:rsidR="000A7C88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Pr="000A40DF" w:rsid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D93EA6">
        <w:rPr>
          <w:shd w:val="clear" w:color="auto" w:fill="FFFFFF"/>
          <w:lang w:val="en-GB"/>
        </w:rPr>
        <w:t xml:space="preserve"> 98</w:t>
      </w:r>
      <w:r w:rsidRPr="004829B9" w:rsidR="001A1F89">
        <w:rPr>
          <w:shd w:val="clear" w:color="auto" w:fill="FFFFFF"/>
          <w:lang w:val="en-GB"/>
        </w:rPr>
        <w:t>.</w:t>
      </w:r>
      <w:r w:rsidR="00D93EA6">
        <w:rPr>
          <w:shd w:val="clear" w:color="auto" w:fill="FFFFFF"/>
          <w:lang w:val="en-GB"/>
        </w:rPr>
        <w:t>8</w:t>
      </w:r>
      <w:r w:rsidRPr="004829B9" w:rsidR="000A7C88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Pr="004829B9" w:rsidR="00507D43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Pr="004B638F" w:rsidR="00C214E1">
        <w:rPr>
          <w:spacing w:val="-4"/>
          <w:shd w:val="clear" w:color="auto" w:fill="FFFFFF"/>
          <w:lang w:val="en-GB"/>
        </w:rPr>
        <w:t xml:space="preserve"> </w:t>
      </w:r>
      <w:r w:rsidRPr="00B64363" w:rsid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Pr="00B64363" w:rsidR="00B64363">
        <w:rPr>
          <w:spacing w:val="-4"/>
          <w:shd w:val="clear" w:color="auto" w:fill="FFFFFF"/>
          <w:lang w:val="en-GB"/>
        </w:rPr>
        <w:t xml:space="preserve">of construction </w:t>
      </w:r>
      <w:r w:rsidRPr="00D93EA6" w:rsidR="00D93EA6">
        <w:rPr>
          <w:spacing w:val="-4"/>
          <w:shd w:val="clear" w:color="auto" w:fill="FFFFFF"/>
          <w:lang w:val="en-GB"/>
        </w:rPr>
        <w:t xml:space="preserve">1 754 </w:t>
      </w:r>
      <w:r w:rsidRPr="00B64363" w:rsidR="00B64363">
        <w:rPr>
          <w:spacing w:val="-4"/>
          <w:shd w:val="clear" w:color="auto" w:fill="FFFFFF"/>
          <w:lang w:val="en-GB"/>
        </w:rPr>
        <w:t>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Pr="004829B9" w:rsidR="00507D43">
        <w:rPr>
          <w:shd w:val="clear" w:color="auto" w:fill="FFFFFF"/>
          <w:lang w:val="en-GB"/>
        </w:rPr>
        <w:t xml:space="preserve">for which permits have been granted or which have been registered </w:t>
      </w:r>
      <w:r w:rsidRPr="004829B9" w:rsidR="000E65E1">
        <w:rPr>
          <w:shd w:val="clear" w:color="auto" w:fill="FFFFFF"/>
          <w:lang w:val="en-GB"/>
        </w:rPr>
        <w:t>with a </w:t>
      </w:r>
      <w:r w:rsidRPr="004829B9" w:rsidR="00507D43">
        <w:rPr>
          <w:shd w:val="clear" w:color="auto" w:fill="FFFFFF"/>
          <w:lang w:val="en-GB"/>
        </w:rPr>
        <w:t xml:space="preserve">construction project </w:t>
      </w:r>
      <w:r w:rsidRPr="004829B9" w:rsidR="00C47CE4">
        <w:rPr>
          <w:shd w:val="clear" w:color="auto" w:fill="FFFFFF"/>
          <w:lang w:val="en-GB"/>
        </w:rPr>
        <w:t xml:space="preserve">were </w:t>
      </w:r>
      <w:r w:rsidRPr="004829B9" w:rsidR="00CD44F1">
        <w:rPr>
          <w:shd w:val="clear" w:color="auto" w:fill="FFFFFF"/>
          <w:lang w:val="en-GB"/>
        </w:rPr>
        <w:t>not</w:t>
      </w:r>
      <w:r w:rsidRPr="004829B9" w:rsidR="00507D43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Pr="00D93EA6" w:rsidR="00D93EA6">
        <w:rPr>
          <w:shd w:val="clear" w:color="auto" w:fill="FFFFFF"/>
          <w:lang w:val="en-GB"/>
        </w:rPr>
        <w:t xml:space="preserve">863 </w:t>
      </w:r>
      <w:r w:rsidR="00C214E1">
        <w:rPr>
          <w:shd w:val="clear" w:color="auto" w:fill="FFFFFF"/>
          <w:lang w:val="en-GB"/>
        </w:rPr>
        <w:t>dwellings in the previous year</w:t>
      </w:r>
      <w:r w:rsidR="00B64363">
        <w:rPr>
          <w:shd w:val="clear" w:color="auto" w:fill="FFFFFF"/>
          <w:lang w:val="en-GB"/>
        </w:rPr>
        <w:t>).</w:t>
      </w:r>
    </w:p>
    <w:p w:rsidRPr="004829B9" w:rsidR="00896EB9" w:rsidP="00DE7DD4" w:rsidRDefault="00896EB9" w14:paraId="073E70B2" w14:textId="77777777">
      <w:pPr>
        <w:pStyle w:val="tytuwykresu"/>
        <w:ind w:left="709" w:hanging="709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134"/>
        <w:gridCol w:w="1134"/>
        <w:gridCol w:w="1276"/>
      </w:tblGrid>
      <w:tr w:rsidRPr="004075A5" w:rsidR="009742AF" w:rsidTr="00574E89" w14:paraId="652EDD20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4075A5" w:rsidR="009742AF" w:rsidP="00574E89" w:rsidRDefault="009742AF" w14:paraId="3AA568A9" w14:textId="2D9D8E34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name="OLE_LINK3" w:id="1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:rsidRPr="004075A5" w:rsidR="009742AF" w:rsidP="00574E89" w:rsidRDefault="009742AF" w14:paraId="76ACFB3A" w14:textId="7777777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Pr="004075A5" w:rsidR="009742AF" w:rsidTr="00574E89" w14:paraId="407E8CA0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9742AF" w:rsidP="00574E89" w:rsidRDefault="009742AF" w14:paraId="51E5F49B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color="212492" w:sz="12" w:space="0"/>
            </w:tcBorders>
            <w:vAlign w:val="center"/>
          </w:tcPr>
          <w:p w:rsidRPr="004075A5" w:rsidR="009742AF" w:rsidP="00574E89" w:rsidRDefault="000D0D69" w14:paraId="7DE5D24B" w14:textId="4A29F50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410" w:type="dxa"/>
            <w:gridSpan w:val="2"/>
            <w:tcBorders>
              <w:bottom w:val="single" w:color="212492" w:sz="12" w:space="0"/>
            </w:tcBorders>
          </w:tcPr>
          <w:p w:rsidRPr="004075A5" w:rsidR="009742AF" w:rsidP="00574E89" w:rsidRDefault="009742AF" w14:paraId="74C18E57" w14:textId="46AB017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Pr="004075A5" w:rsidR="009742AF" w:rsidTr="00574E89" w14:paraId="34D84E6E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9742AF" w:rsidP="00574E89" w:rsidRDefault="009742AF" w14:paraId="51E5BB0D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4075A5" w:rsidR="009742AF" w:rsidP="00574E89" w:rsidRDefault="009742AF" w14:paraId="7545D542" w14:textId="018F2B6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81" w:type="dxa"/>
            <w:tcBorders>
              <w:bottom w:val="single" w:color="212492" w:sz="12" w:space="0"/>
            </w:tcBorders>
            <w:vAlign w:val="center"/>
          </w:tcPr>
          <w:p w:rsidRPr="004075A5" w:rsidR="009742AF" w:rsidP="00574E89" w:rsidRDefault="000D0D69" w14:paraId="131348A1" w14:textId="2964E55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Pr="004075A5" w:rsidR="009742AF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>
              <w:rPr>
                <w:color w:val="000000" w:themeColor="text1"/>
                <w:sz w:val="16"/>
                <w:szCs w:val="16"/>
              </w:rPr>
              <w:t>2020</w:t>
            </w:r>
            <w:r w:rsidRPr="004075A5" w:rsidR="009742A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4075A5" w:rsidR="009742AF" w:rsidP="00574E89" w:rsidRDefault="00D92898" w14:paraId="65D60182" w14:textId="75E213F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5744C0">
              <w:rPr>
                <w:color w:val="000000" w:themeColor="text1"/>
                <w:sz w:val="16"/>
                <w:szCs w:val="16"/>
              </w:rPr>
              <w:t>V</w:t>
            </w:r>
            <w:r w:rsidRPr="004075A5" w:rsidR="009742AF">
              <w:rPr>
                <w:color w:val="000000" w:themeColor="text1"/>
                <w:sz w:val="16"/>
                <w:szCs w:val="16"/>
              </w:rPr>
              <w:t xml:space="preserve"> 2</w:t>
            </w:r>
            <w:r w:rsidR="009742AF">
              <w:rPr>
                <w:color w:val="000000" w:themeColor="text1"/>
                <w:sz w:val="16"/>
                <w:szCs w:val="16"/>
              </w:rPr>
              <w:t>021</w:t>
            </w:r>
            <w:r w:rsidRPr="004075A5" w:rsidR="009742A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4075A5" w:rsidR="009742AF" w:rsidP="00574E89" w:rsidRDefault="009742AF" w14:paraId="5E04BAD5" w14:textId="3C487BC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4075A5" w:rsidR="009742AF" w:rsidP="00574E89" w:rsidRDefault="005744C0" w14:paraId="768058B7" w14:textId="1482466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V</w:t>
            </w:r>
            <w:r w:rsidRPr="004075A5" w:rsidR="009742AF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>
              <w:rPr>
                <w:color w:val="000000" w:themeColor="text1"/>
                <w:sz w:val="16"/>
                <w:szCs w:val="16"/>
              </w:rPr>
              <w:t>2020</w:t>
            </w:r>
            <w:r w:rsidRPr="004075A5" w:rsidR="009742AF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4075A5" w:rsidR="005744C0" w:rsidTr="00574E89" w14:paraId="363C5E69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4075A5" w:rsidR="005744C0" w:rsidP="005744C0" w:rsidRDefault="005744C0" w14:paraId="6945A5CE" w14:textId="0F3C1913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4075A5" w:rsidR="005744C0" w:rsidP="005744C0" w:rsidRDefault="005744C0" w14:paraId="2FF6B37E" w14:textId="46399DF1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29 678</w:t>
            </w:r>
          </w:p>
        </w:tc>
        <w:tc>
          <w:tcPr>
            <w:tcW w:w="1281" w:type="dxa"/>
            <w:tcBorders>
              <w:top w:val="single" w:color="212492" w:sz="12" w:space="0"/>
            </w:tcBorders>
            <w:vAlign w:val="center"/>
          </w:tcPr>
          <w:p w:rsidRPr="004075A5" w:rsidR="005744C0" w:rsidP="005744C0" w:rsidRDefault="005744C0" w14:paraId="2650B294" w14:textId="28DF5498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153.5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4075A5" w:rsidR="005744C0" w:rsidP="005744C0" w:rsidRDefault="005744C0" w14:paraId="00DFAE63" w14:textId="0864EE9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109.3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4075A5" w:rsidR="005744C0" w:rsidP="005744C0" w:rsidRDefault="005744C0" w14:paraId="2031BE8B" w14:textId="7270650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141 431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4075A5" w:rsidR="005744C0" w:rsidP="005744C0" w:rsidRDefault="005744C0" w14:paraId="2F67A547" w14:textId="431338B3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148.2</w:t>
            </w:r>
          </w:p>
        </w:tc>
      </w:tr>
      <w:tr w:rsidRPr="004075A5" w:rsidR="005744C0" w:rsidTr="00574E89" w14:paraId="5A60AF97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5744C0" w:rsidP="005744C0" w:rsidRDefault="005744C0" w14:paraId="44FEBA86" w14:textId="3CBD3A6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Pr="004075A5" w:rsidR="005744C0" w:rsidP="005744C0" w:rsidRDefault="005744C0" w14:paraId="7B4676B3" w14:textId="798F2C8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11 280</w:t>
            </w:r>
          </w:p>
        </w:tc>
        <w:tc>
          <w:tcPr>
            <w:tcW w:w="1281" w:type="dxa"/>
            <w:vAlign w:val="center"/>
          </w:tcPr>
          <w:p w:rsidRPr="004075A5" w:rsidR="005744C0" w:rsidP="005744C0" w:rsidRDefault="005744C0" w14:paraId="5944B0EE" w14:textId="630A5B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135.9</w:t>
            </w:r>
          </w:p>
        </w:tc>
        <w:tc>
          <w:tcPr>
            <w:tcW w:w="1134" w:type="dxa"/>
            <w:vAlign w:val="center"/>
          </w:tcPr>
          <w:p w:rsidRPr="004075A5" w:rsidR="005744C0" w:rsidP="005744C0" w:rsidRDefault="005744C0" w14:paraId="3B4476B3" w14:textId="05E8971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110.4</w:t>
            </w:r>
          </w:p>
        </w:tc>
        <w:tc>
          <w:tcPr>
            <w:tcW w:w="1134" w:type="dxa"/>
            <w:vAlign w:val="center"/>
          </w:tcPr>
          <w:p w:rsidRPr="004075A5" w:rsidR="005744C0" w:rsidP="005744C0" w:rsidRDefault="005744C0" w14:paraId="4C8A7B81" w14:textId="3868005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48 673</w:t>
            </w:r>
          </w:p>
        </w:tc>
        <w:tc>
          <w:tcPr>
            <w:tcW w:w="1276" w:type="dxa"/>
            <w:vAlign w:val="center"/>
          </w:tcPr>
          <w:p w:rsidRPr="004075A5" w:rsidR="005744C0" w:rsidP="005744C0" w:rsidRDefault="005744C0" w14:paraId="77B0F2D4" w14:textId="7D18DB2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131.2</w:t>
            </w:r>
          </w:p>
        </w:tc>
      </w:tr>
      <w:tr w:rsidRPr="004075A5" w:rsidR="005744C0" w:rsidTr="00574E89" w14:paraId="253F359E" w14:textId="77777777">
        <w:trPr>
          <w:trHeight w:val="381"/>
        </w:trPr>
        <w:tc>
          <w:tcPr>
            <w:tcW w:w="2049" w:type="dxa"/>
            <w:vAlign w:val="center"/>
          </w:tcPr>
          <w:p w:rsidRPr="004075A5" w:rsidR="005744C0" w:rsidP="005744C0" w:rsidRDefault="005744C0" w14:paraId="4A3D285E" w14:textId="713098B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Pr="004075A5" w:rsidR="005744C0" w:rsidP="005744C0" w:rsidRDefault="005744C0" w14:paraId="2742894C" w14:textId="123AF89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17 486</w:t>
            </w:r>
          </w:p>
        </w:tc>
        <w:tc>
          <w:tcPr>
            <w:tcW w:w="1281" w:type="dxa"/>
            <w:vAlign w:val="center"/>
          </w:tcPr>
          <w:p w:rsidRPr="004075A5" w:rsidR="005744C0" w:rsidP="005744C0" w:rsidRDefault="005744C0" w14:paraId="3E99F8B5" w14:textId="5329A4B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163.1</w:t>
            </w:r>
          </w:p>
        </w:tc>
        <w:tc>
          <w:tcPr>
            <w:tcW w:w="1134" w:type="dxa"/>
            <w:vAlign w:val="center"/>
          </w:tcPr>
          <w:p w:rsidRPr="004075A5" w:rsidR="005744C0" w:rsidP="005744C0" w:rsidRDefault="005744C0" w14:paraId="33E71843" w14:textId="75BF793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103.7</w:t>
            </w:r>
          </w:p>
        </w:tc>
        <w:tc>
          <w:tcPr>
            <w:tcW w:w="1134" w:type="dxa"/>
            <w:vAlign w:val="center"/>
          </w:tcPr>
          <w:p w:rsidRPr="004075A5" w:rsidR="005744C0" w:rsidP="005744C0" w:rsidRDefault="005744C0" w14:paraId="439A9A61" w14:textId="3659DBB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91 013</w:t>
            </w:r>
          </w:p>
        </w:tc>
        <w:tc>
          <w:tcPr>
            <w:tcW w:w="1276" w:type="dxa"/>
            <w:vAlign w:val="center"/>
          </w:tcPr>
          <w:p w:rsidRPr="004075A5" w:rsidR="005744C0" w:rsidP="005744C0" w:rsidRDefault="005744C0" w14:paraId="1D21657D" w14:textId="117309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158.3</w:t>
            </w:r>
          </w:p>
        </w:tc>
      </w:tr>
      <w:tr w:rsidRPr="004075A5" w:rsidR="005744C0" w:rsidTr="00574E89" w14:paraId="49CCABB5" w14:textId="77777777">
        <w:trPr>
          <w:trHeight w:val="254"/>
        </w:trPr>
        <w:tc>
          <w:tcPr>
            <w:tcW w:w="2049" w:type="dxa"/>
            <w:vAlign w:val="center"/>
          </w:tcPr>
          <w:p w:rsidRPr="004075A5" w:rsidR="005744C0" w:rsidP="005744C0" w:rsidRDefault="005744C0" w14:paraId="04F8B3A3" w14:textId="40A4038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Pr="004075A5" w:rsidR="005744C0" w:rsidP="005744C0" w:rsidRDefault="005744C0" w14:paraId="54102165" w14:textId="5662539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167</w:t>
            </w:r>
          </w:p>
        </w:tc>
        <w:tc>
          <w:tcPr>
            <w:tcW w:w="1281" w:type="dxa"/>
            <w:vAlign w:val="center"/>
          </w:tcPr>
          <w:p w:rsidRPr="004075A5" w:rsidR="005744C0" w:rsidP="005744C0" w:rsidRDefault="005744C0" w14:paraId="09DE0DD7" w14:textId="04EE191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4075A5" w:rsidR="005744C0" w:rsidP="005744C0" w:rsidRDefault="005744C0" w14:paraId="26C5A508" w14:textId="1F3E63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167-fold more</w:t>
            </w:r>
          </w:p>
        </w:tc>
        <w:tc>
          <w:tcPr>
            <w:tcW w:w="1134" w:type="dxa"/>
            <w:vAlign w:val="center"/>
          </w:tcPr>
          <w:p w:rsidRPr="004075A5" w:rsidR="005744C0" w:rsidP="005744C0" w:rsidRDefault="005744C0" w14:paraId="0758F907" w14:textId="0CFE84F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545</w:t>
            </w:r>
          </w:p>
        </w:tc>
        <w:tc>
          <w:tcPr>
            <w:tcW w:w="1276" w:type="dxa"/>
            <w:vAlign w:val="center"/>
          </w:tcPr>
          <w:p w:rsidRPr="004075A5" w:rsidR="005744C0" w:rsidP="005744C0" w:rsidRDefault="005744C0" w14:paraId="3736BBBA" w14:textId="6DA6EE9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152.7</w:t>
            </w:r>
          </w:p>
        </w:tc>
      </w:tr>
      <w:tr w:rsidRPr="004075A5" w:rsidR="005744C0" w:rsidTr="00574E89" w14:paraId="6AE47FCE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5744C0" w:rsidP="005744C0" w:rsidRDefault="005744C0" w14:paraId="4BE41020" w14:textId="0370534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Pr="004075A5" w:rsidR="005744C0" w:rsidP="005744C0" w:rsidRDefault="005744C0" w14:paraId="074B7F82" w14:textId="1AAC24F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1281" w:type="dxa"/>
            <w:vAlign w:val="center"/>
          </w:tcPr>
          <w:p w:rsidRPr="004075A5" w:rsidR="005744C0" w:rsidP="005744C0" w:rsidRDefault="005744C0" w14:paraId="75710FA7" w14:textId="05C8886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100.0</w:t>
            </w:r>
          </w:p>
        </w:tc>
        <w:tc>
          <w:tcPr>
            <w:tcW w:w="1134" w:type="dxa"/>
            <w:vAlign w:val="center"/>
          </w:tcPr>
          <w:p w:rsidRPr="004075A5" w:rsidR="005744C0" w:rsidP="005744C0" w:rsidRDefault="005744C0" w14:paraId="0D727A2C" w14:textId="2FB0239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364.7</w:t>
            </w:r>
          </w:p>
        </w:tc>
        <w:tc>
          <w:tcPr>
            <w:tcW w:w="1134" w:type="dxa"/>
            <w:vAlign w:val="center"/>
          </w:tcPr>
          <w:p w:rsidRPr="004075A5" w:rsidR="005744C0" w:rsidP="005744C0" w:rsidRDefault="005744C0" w14:paraId="7BC5B13D" w14:textId="064B8DC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276" w:type="dxa"/>
            <w:vAlign w:val="center"/>
          </w:tcPr>
          <w:p w:rsidRPr="004075A5" w:rsidR="005744C0" w:rsidP="005744C0" w:rsidRDefault="005744C0" w14:paraId="6A2D6765" w14:textId="168B1C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147.0</w:t>
            </w:r>
          </w:p>
        </w:tc>
      </w:tr>
      <w:tr w:rsidRPr="004075A5" w:rsidR="005744C0" w:rsidTr="00574E89" w14:paraId="37430476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5744C0" w:rsidP="005744C0" w:rsidRDefault="005744C0" w14:paraId="5B07F42D" w14:textId="55C2ED0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Pr="004075A5" w:rsidR="005744C0" w:rsidP="005744C0" w:rsidRDefault="005744C0" w14:paraId="5B2F4361" w14:textId="4F95F91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618</w:t>
            </w:r>
          </w:p>
        </w:tc>
        <w:tc>
          <w:tcPr>
            <w:tcW w:w="1281" w:type="dxa"/>
            <w:vAlign w:val="center"/>
          </w:tcPr>
          <w:p w:rsidRPr="004075A5" w:rsidR="005744C0" w:rsidP="005744C0" w:rsidRDefault="005744C0" w14:paraId="3F38C2B2" w14:textId="4A4419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320.2</w:t>
            </w:r>
          </w:p>
        </w:tc>
        <w:tc>
          <w:tcPr>
            <w:tcW w:w="1134" w:type="dxa"/>
            <w:vAlign w:val="center"/>
          </w:tcPr>
          <w:p w:rsidRPr="004075A5" w:rsidR="005744C0" w:rsidP="005744C0" w:rsidRDefault="005744C0" w14:paraId="7F91F410" w14:textId="682D431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 28-fold more</w:t>
            </w:r>
          </w:p>
        </w:tc>
        <w:tc>
          <w:tcPr>
            <w:tcW w:w="1134" w:type="dxa"/>
            <w:vAlign w:val="center"/>
          </w:tcPr>
          <w:p w:rsidRPr="004075A5" w:rsidR="005744C0" w:rsidP="005744C0" w:rsidRDefault="005744C0" w14:paraId="1D4CFC01" w14:textId="5B47C5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</w:t>
            </w:r>
          </w:p>
        </w:tc>
        <w:tc>
          <w:tcPr>
            <w:tcW w:w="1276" w:type="dxa"/>
            <w:vAlign w:val="center"/>
          </w:tcPr>
          <w:p w:rsidRPr="004075A5" w:rsidR="005744C0" w:rsidP="005744C0" w:rsidRDefault="005744C0" w14:paraId="2D6C854F" w14:textId="47AC6F6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347.1</w:t>
            </w:r>
          </w:p>
        </w:tc>
      </w:tr>
      <w:tr w:rsidRPr="004075A5" w:rsidR="005744C0" w:rsidTr="00574E89" w14:paraId="600577D6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5744C0" w:rsidP="005744C0" w:rsidRDefault="005744C0" w14:paraId="210EF7C3" w14:textId="0E99839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Pr="004075A5" w:rsidR="005744C0" w:rsidP="005744C0" w:rsidRDefault="005744C0" w14:paraId="5643C5F6" w14:textId="679BC2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81" w:type="dxa"/>
            <w:vAlign w:val="center"/>
          </w:tcPr>
          <w:p w:rsidRPr="004075A5" w:rsidR="005744C0" w:rsidP="005744C0" w:rsidRDefault="005744C0" w14:paraId="010E4B35" w14:textId="4C0B0E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4075A5" w:rsidR="005744C0" w:rsidP="005744C0" w:rsidRDefault="005744C0" w14:paraId="1C67E5C1" w14:textId="2AC8FDD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150.0</w:t>
            </w:r>
          </w:p>
        </w:tc>
        <w:tc>
          <w:tcPr>
            <w:tcW w:w="1134" w:type="dxa"/>
            <w:vAlign w:val="center"/>
          </w:tcPr>
          <w:p w:rsidRPr="004075A5" w:rsidR="005744C0" w:rsidP="005744C0" w:rsidRDefault="005744C0" w14:paraId="58E5EB1D" w14:textId="2A0EB83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Pr="004075A5" w:rsidR="005744C0" w:rsidP="005744C0" w:rsidRDefault="005744C0" w14:paraId="0779A040" w14:textId="2E611B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A0D46">
              <w:rPr>
                <w:rFonts w:cs="Arial"/>
                <w:sz w:val="16"/>
                <w:szCs w:val="16"/>
              </w:rPr>
              <w:t>450</w:t>
            </w:r>
            <w:r>
              <w:rPr>
                <w:rFonts w:cs="Arial"/>
                <w:sz w:val="16"/>
                <w:szCs w:val="16"/>
              </w:rPr>
              <w:t>.0</w:t>
            </w:r>
          </w:p>
        </w:tc>
      </w:tr>
      <w:bookmarkEnd w:id="1"/>
    </w:tbl>
    <w:p w:rsidRPr="004829B9" w:rsidR="00896EB9" w:rsidP="00095A18" w:rsidRDefault="00896EB9" w14:paraId="2230FC6A" w14:textId="77777777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Pr="004829B9" w:rsidR="00896EB9" w:rsidP="00E55DC7" w:rsidRDefault="00896EB9" w14:paraId="3A8AA2D4" w14:textId="7777777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4829B9" w:rsidR="00095A18" w:rsidP="00CF36C5" w:rsidRDefault="00896EB9" w14:paraId="739580B8" w14:textId="1CAC516D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 xml:space="preserve">the period of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January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-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May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 xml:space="preserve"> 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Pr="004829B9" w:rsidR="00BD1D77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Pr="004829B9"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118.8</w:t>
      </w:r>
      <w:r w:rsidRPr="00954347" w:rsid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46.3</w:t>
      </w:r>
      <w:r w:rsidRPr="004829B9"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Pr="004829B9" w:rsidR="00D76E7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more</w:t>
      </w:r>
      <w:r w:rsidRPr="004829B9" w:rsidR="00D76E73">
        <w:rPr>
          <w:lang w:val="en-GB"/>
        </w:rPr>
        <w:t xml:space="preserve"> </w:t>
      </w:r>
      <w:r w:rsidRPr="004829B9" w:rsidR="00D76E73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Pr="004829B9"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Pr="004829B9" w:rsidR="00B2646D">
        <w:rPr>
          <w:sz w:val="19"/>
          <w:szCs w:val="19"/>
          <w:shd w:val="clear" w:color="auto" w:fill="FFFFFF"/>
          <w:lang w:val="en-GB"/>
        </w:rPr>
        <w:t>D</w:t>
      </w:r>
      <w:r w:rsidRPr="004829B9" w:rsidR="00095A18">
        <w:rPr>
          <w:sz w:val="19"/>
          <w:szCs w:val="19"/>
          <w:shd w:val="clear" w:color="auto" w:fill="FFFFFF"/>
          <w:lang w:val="en-GB"/>
        </w:rPr>
        <w:t xml:space="preserve">evelopers 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72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8</w:t>
      </w:r>
      <w:r w:rsidRPr="00954347" w:rsid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 w:rsidR="0046238A">
        <w:rPr>
          <w:b w:val="0"/>
          <w:sz w:val="19"/>
          <w:szCs w:val="19"/>
          <w:shd w:val="clear" w:color="auto" w:fill="FFFFFF"/>
          <w:lang w:val="en-GB"/>
        </w:rPr>
        <w:t>d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Pr="004829B9" w:rsidR="00EB69AF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64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6</w:t>
      </w:r>
      <w:r w:rsidRPr="004829B9" w:rsidR="00EB69AF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more</w:t>
      </w:r>
      <w:r w:rsidRPr="004829B9" w:rsidR="00EB69AF">
        <w:rPr>
          <w:b w:val="0"/>
          <w:sz w:val="19"/>
          <w:szCs w:val="19"/>
          <w:shd w:val="clear" w:color="auto" w:fill="FFFFFF"/>
          <w:lang w:val="en-GB"/>
        </w:rPr>
        <w:t>)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Pr="004829B9" w:rsidR="00CD44F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Pr="004829B9" w:rsidR="00095A18">
        <w:rPr>
          <w:sz w:val="19"/>
          <w:szCs w:val="19"/>
          <w:shd w:val="clear" w:color="auto" w:fill="FFFFFF"/>
          <w:lang w:val="en-GB"/>
        </w:rPr>
        <w:t xml:space="preserve">private 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Pr="004829B9" w:rsidR="00F342E0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4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3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9</w:t>
      </w:r>
      <w:r w:rsidRPr="00954347" w:rsid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 w:rsidR="0071658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(by 24.0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% more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Pr="004829B9" w:rsidR="0046238A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314007" w:rsidR="003029E3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Pr="00314007" w:rsidR="0046238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314007" w:rsidR="003029E3">
        <w:rPr>
          <w:b w:val="0"/>
          <w:sz w:val="19"/>
          <w:szCs w:val="19"/>
          <w:shd w:val="clear" w:color="auto" w:fill="FFFFFF"/>
          <w:lang w:val="en-GB"/>
        </w:rPr>
        <w:t>was</w:t>
      </w:r>
      <w:r w:rsidRPr="00314007" w:rsidR="00133F2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98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2</w:t>
      </w:r>
      <w:r w:rsidRPr="00314007"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Pr="00314007" w:rsidR="001C180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 w:rsidR="001C1808">
        <w:rPr>
          <w:b w:val="0"/>
          <w:sz w:val="19"/>
          <w:szCs w:val="19"/>
          <w:shd w:val="clear" w:color="auto" w:fill="FFFFFF"/>
          <w:lang w:val="en-GB"/>
        </w:rPr>
        <w:t>of</w:t>
      </w:r>
      <w:r w:rsidRPr="004829B9" w:rsidR="00CD44F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Pr="004829B9" w:rsidR="00C03049">
        <w:rPr>
          <w:b w:val="0"/>
          <w:sz w:val="19"/>
          <w:szCs w:val="19"/>
          <w:shd w:val="clear" w:color="auto" w:fill="FFFFFF"/>
          <w:lang w:val="en-GB"/>
        </w:rPr>
        <w:t> </w:t>
      </w:r>
      <w:r w:rsidRPr="004829B9" w:rsidR="001C1808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Pr="004829B9" w:rsidR="00B77EC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Pr="004829B9" w:rsidR="00B77062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Pr="00497FB5" w:rsid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Pr="00497FB5" w:rsid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Pr="004829B9" w:rsidR="00B77062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Pr="00B77062" w:rsid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Pr="00D93EA6" w:rsidR="00D93EA6">
        <w:rPr>
          <w:b w:val="0"/>
          <w:sz w:val="19"/>
          <w:szCs w:val="19"/>
          <w:shd w:val="clear" w:color="auto" w:fill="FFFFFF"/>
          <w:lang w:val="en-GB"/>
        </w:rPr>
        <w:t xml:space="preserve">2 109 </w:t>
      </w:r>
      <w:r w:rsidRPr="004829B9"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Pr="00D93EA6" w:rsidR="00D93EA6">
        <w:rPr>
          <w:b w:val="0"/>
          <w:sz w:val="19"/>
          <w:szCs w:val="19"/>
          <w:shd w:val="clear" w:color="auto" w:fill="FFFFFF"/>
          <w:lang w:val="en-GB"/>
        </w:rPr>
        <w:t xml:space="preserve">566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in the previous year</w:t>
      </w:r>
      <w:r w:rsidRPr="004829B9" w:rsidR="00677574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Pr="009742AF" w:rsidR="00E26291" w:rsidP="007207E6" w:rsidRDefault="00B4601E" w14:paraId="398571FB" w14:textId="35569DC3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71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353"/>
        <w:gridCol w:w="1134"/>
        <w:gridCol w:w="1134"/>
        <w:gridCol w:w="1134"/>
        <w:gridCol w:w="1276"/>
      </w:tblGrid>
      <w:tr w:rsidRPr="009742AF" w:rsidR="009742AF" w:rsidTr="00574E89" w14:paraId="42B31331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9742AF" w:rsidR="009742AF" w:rsidP="009742AF" w:rsidRDefault="009742AF" w14:paraId="7AD684F9" w14:textId="5A20F73E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:rsidRPr="009742AF" w:rsidR="009742AF" w:rsidP="009742AF" w:rsidRDefault="009742AF" w14:paraId="12B8481C" w14:textId="7777777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742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Pr="009742AF" w:rsidR="009742AF" w:rsidTr="000D0D69" w14:paraId="21415E66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6AF4216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0D0D69" w14:paraId="32B26E1F" w14:textId="5E76A92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410" w:type="dxa"/>
            <w:gridSpan w:val="2"/>
            <w:tcBorders>
              <w:bottom w:val="single" w:color="212492" w:sz="12" w:space="0"/>
            </w:tcBorders>
          </w:tcPr>
          <w:p w:rsidRPr="009742AF" w:rsidR="009742AF" w:rsidP="009742AF" w:rsidRDefault="005744C0" w14:paraId="02375EED" w14:textId="14F410B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Pr="009742AF" w:rsidR="009742AF" w:rsidTr="000D0D69" w14:paraId="20FBE1E6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63CF40A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53" w:type="dxa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20F03018" w14:textId="40DE832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0D0D69" w14:paraId="3971D200" w14:textId="7232CE1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Pr="009742AF" w:rsidR="009742AF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5E921633" w14:textId="0A6D1C7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I</w:t>
            </w:r>
            <w:r w:rsidR="005744C0">
              <w:rPr>
                <w:color w:val="000000" w:themeColor="text1"/>
                <w:sz w:val="16"/>
                <w:szCs w:val="16"/>
              </w:rPr>
              <w:t>V</w:t>
            </w:r>
            <w:r w:rsidRPr="009742AF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256A9851" w14:textId="1E7E7DE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5744C0" w14:paraId="05622396" w14:textId="1B0640A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V</w:t>
            </w:r>
            <w:r w:rsidRPr="009742AF" w:rsidR="009742AF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</w:tr>
      <w:tr w:rsidRPr="009742AF" w:rsidR="005744C0" w:rsidTr="000D0D69" w14:paraId="78BFCBE6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9742AF" w:rsidR="005744C0" w:rsidP="005744C0" w:rsidRDefault="005744C0" w14:paraId="7A15F511" w14:textId="7E144C8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353" w:type="dxa"/>
            <w:tcBorders>
              <w:top w:val="single" w:color="212492" w:sz="12" w:space="0"/>
            </w:tcBorders>
            <w:vAlign w:val="center"/>
          </w:tcPr>
          <w:p w:rsidRPr="009742AF" w:rsidR="005744C0" w:rsidP="005744C0" w:rsidRDefault="005744C0" w14:paraId="37677614" w14:textId="7214956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28 878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9742AF" w:rsidR="005744C0" w:rsidP="005744C0" w:rsidRDefault="00961CE9" w14:paraId="17299C22" w14:textId="44024CF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192.</w:t>
            </w:r>
            <w:r w:rsidR="005744C0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9742AF" w:rsidR="005744C0" w:rsidP="005744C0" w:rsidRDefault="00961CE9" w14:paraId="3257870A" w14:textId="75B95FB4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110.</w:t>
            </w:r>
            <w:r w:rsidR="005744C0"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9742AF" w:rsidR="005744C0" w:rsidP="005744C0" w:rsidRDefault="005744C0" w14:paraId="62E4576F" w14:textId="619A08B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118 817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9742AF" w:rsidR="005744C0" w:rsidP="005744C0" w:rsidRDefault="00961CE9" w14:paraId="6CFB1E21" w14:textId="60D5679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146.</w:t>
            </w:r>
            <w:r w:rsidR="005744C0">
              <w:rPr>
                <w:rFonts w:cs="Arial"/>
                <w:b/>
                <w:sz w:val="16"/>
                <w:szCs w:val="16"/>
              </w:rPr>
              <w:t>3</w:t>
            </w:r>
          </w:p>
        </w:tc>
      </w:tr>
      <w:tr w:rsidRPr="009742AF" w:rsidR="005744C0" w:rsidTr="000D0D69" w14:paraId="1AF51B79" w14:textId="77777777">
        <w:trPr>
          <w:trHeight w:val="57"/>
        </w:trPr>
        <w:tc>
          <w:tcPr>
            <w:tcW w:w="2049" w:type="dxa"/>
            <w:vAlign w:val="center"/>
          </w:tcPr>
          <w:p w:rsidRPr="009742AF" w:rsidR="005744C0" w:rsidP="005744C0" w:rsidRDefault="005744C0" w14:paraId="70FE36C1" w14:textId="11A32CE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53" w:type="dxa"/>
            <w:vAlign w:val="center"/>
          </w:tcPr>
          <w:p w:rsidRPr="009742AF" w:rsidR="005744C0" w:rsidP="005744C0" w:rsidRDefault="005744C0" w14:paraId="63878239" w14:textId="1B17EB2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10 804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961CE9" w14:paraId="609BA523" w14:textId="090C7C7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</w:t>
            </w:r>
            <w:r w:rsidR="005744C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961CE9" w14:paraId="4E1B2726" w14:textId="11846E0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</w:t>
            </w:r>
            <w:r w:rsidR="005744C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5744C0" w14:paraId="02B9CB2E" w14:textId="1CA6DC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43 910</w:t>
            </w:r>
          </w:p>
        </w:tc>
        <w:tc>
          <w:tcPr>
            <w:tcW w:w="1276" w:type="dxa"/>
            <w:vAlign w:val="center"/>
          </w:tcPr>
          <w:p w:rsidRPr="009742AF" w:rsidR="005744C0" w:rsidP="005744C0" w:rsidRDefault="00961CE9" w14:paraId="2CB4462E" w14:textId="60160BD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</w:t>
            </w:r>
            <w:r w:rsidR="005744C0">
              <w:rPr>
                <w:rFonts w:cs="Arial"/>
                <w:sz w:val="16"/>
                <w:szCs w:val="16"/>
              </w:rPr>
              <w:t>0</w:t>
            </w:r>
          </w:p>
        </w:tc>
      </w:tr>
      <w:tr w:rsidRPr="009742AF" w:rsidR="005744C0" w:rsidTr="000D0D69" w14:paraId="5438C4EC" w14:textId="77777777">
        <w:trPr>
          <w:trHeight w:val="381"/>
        </w:trPr>
        <w:tc>
          <w:tcPr>
            <w:tcW w:w="2049" w:type="dxa"/>
            <w:vAlign w:val="center"/>
          </w:tcPr>
          <w:p w:rsidRPr="009742AF" w:rsidR="005744C0" w:rsidP="005744C0" w:rsidRDefault="005744C0" w14:paraId="482BA362" w14:textId="1F4BF9A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53" w:type="dxa"/>
            <w:vAlign w:val="center"/>
          </w:tcPr>
          <w:p w:rsidRPr="009742AF" w:rsidR="005744C0" w:rsidP="005744C0" w:rsidRDefault="005744C0" w14:paraId="4D27C9CE" w14:textId="30BFD09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17 574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961CE9" w14:paraId="0A75D08F" w14:textId="3B5CAEB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284.</w:t>
            </w:r>
            <w:r w:rsidR="005744C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961CE9" w14:paraId="64CEC6ED" w14:textId="0A33E6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</w:t>
            </w:r>
            <w:r w:rsidR="005744C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5744C0" w14:paraId="6BB26F27" w14:textId="7C945A5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72 798</w:t>
            </w:r>
          </w:p>
        </w:tc>
        <w:tc>
          <w:tcPr>
            <w:tcW w:w="1276" w:type="dxa"/>
            <w:vAlign w:val="center"/>
          </w:tcPr>
          <w:p w:rsidRPr="009742AF" w:rsidR="005744C0" w:rsidP="005744C0" w:rsidRDefault="00961CE9" w14:paraId="375F0B14" w14:textId="28A2AC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164.</w:t>
            </w:r>
            <w:r w:rsidR="005744C0">
              <w:rPr>
                <w:rFonts w:cs="Arial"/>
                <w:sz w:val="16"/>
                <w:szCs w:val="16"/>
              </w:rPr>
              <w:t>6</w:t>
            </w:r>
          </w:p>
        </w:tc>
      </w:tr>
      <w:tr w:rsidRPr="009742AF" w:rsidR="005744C0" w:rsidTr="000D0D69" w14:paraId="0C63BA5A" w14:textId="77777777">
        <w:trPr>
          <w:trHeight w:val="265"/>
        </w:trPr>
        <w:tc>
          <w:tcPr>
            <w:tcW w:w="2049" w:type="dxa"/>
            <w:vAlign w:val="center"/>
          </w:tcPr>
          <w:p w:rsidRPr="009742AF" w:rsidR="005744C0" w:rsidP="005744C0" w:rsidRDefault="005744C0" w14:paraId="20E77697" w14:textId="1AF9CEF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53" w:type="dxa"/>
            <w:vAlign w:val="center"/>
          </w:tcPr>
          <w:p w:rsidRPr="009742AF" w:rsidR="005744C0" w:rsidP="005744C0" w:rsidRDefault="005744C0" w14:paraId="6ABD4510" w14:textId="2A95710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285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DC6D6D" w14:paraId="7A0F5837" w14:textId="3270F09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19-</w:t>
            </w:r>
            <w:bookmarkStart w:name="_GoBack" w:id="2"/>
            <w:bookmarkEnd w:id="2"/>
            <w:r w:rsidR="005744C0">
              <w:rPr>
                <w:rFonts w:cs="Arial"/>
                <w:sz w:val="16"/>
                <w:szCs w:val="16"/>
              </w:rPr>
              <w:t xml:space="preserve"> fold more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5744C0" w14:paraId="39B83B47" w14:textId="4BEE79A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61CE9">
              <w:rPr>
                <w:rFonts w:cs="Arial"/>
                <w:sz w:val="16"/>
                <w:szCs w:val="16"/>
              </w:rPr>
              <w:t>82.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5744C0" w14:paraId="6BC6F206" w14:textId="3568F5B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557</w:t>
            </w:r>
          </w:p>
        </w:tc>
        <w:tc>
          <w:tcPr>
            <w:tcW w:w="1276" w:type="dxa"/>
            <w:vAlign w:val="center"/>
          </w:tcPr>
          <w:p w:rsidRPr="009742AF" w:rsidR="005744C0" w:rsidP="005744C0" w:rsidRDefault="00961CE9" w14:paraId="4A3FCB36" w14:textId="337F81D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183.</w:t>
            </w:r>
            <w:r w:rsidR="005744C0">
              <w:rPr>
                <w:rFonts w:cs="Arial"/>
                <w:sz w:val="16"/>
                <w:szCs w:val="16"/>
              </w:rPr>
              <w:t>8</w:t>
            </w:r>
          </w:p>
        </w:tc>
      </w:tr>
      <w:tr w:rsidRPr="009742AF" w:rsidR="005744C0" w:rsidTr="000D0D69" w14:paraId="4D26EBDA" w14:textId="77777777">
        <w:trPr>
          <w:trHeight w:val="254"/>
        </w:trPr>
        <w:tc>
          <w:tcPr>
            <w:tcW w:w="2049" w:type="dxa"/>
            <w:vAlign w:val="center"/>
          </w:tcPr>
          <w:p w:rsidRPr="009742AF" w:rsidR="005744C0" w:rsidP="005744C0" w:rsidRDefault="005744C0" w14:paraId="68F0B91A" w14:textId="0C9794B6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53" w:type="dxa"/>
            <w:vAlign w:val="center"/>
          </w:tcPr>
          <w:p w:rsidRPr="009742AF" w:rsidR="005744C0" w:rsidP="005744C0" w:rsidRDefault="005744C0" w14:paraId="75FA134D" w14:textId="68B3BF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343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961CE9" w14:paraId="15C370A7" w14:textId="457A221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476.</w:t>
            </w:r>
            <w:r w:rsidR="005744C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961CE9" w14:paraId="05C57DEE" w14:textId="7BC5C5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182.</w:t>
            </w:r>
            <w:r w:rsidR="005744C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5744C0" w14:paraId="047CBCFA" w14:textId="3E7C47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1 015</w:t>
            </w:r>
          </w:p>
        </w:tc>
        <w:tc>
          <w:tcPr>
            <w:tcW w:w="1276" w:type="dxa"/>
            <w:vAlign w:val="center"/>
          </w:tcPr>
          <w:p w:rsidRPr="009742AF" w:rsidR="005744C0" w:rsidP="005744C0" w:rsidRDefault="005744C0" w14:paraId="406A680F" w14:textId="297FF95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</w:t>
            </w:r>
            <w:r w:rsidR="00961CE9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Pr="009742AF" w:rsidR="005744C0" w:rsidTr="000D0D69" w14:paraId="75797574" w14:textId="77777777">
        <w:trPr>
          <w:trHeight w:val="57"/>
        </w:trPr>
        <w:tc>
          <w:tcPr>
            <w:tcW w:w="2049" w:type="dxa"/>
            <w:vAlign w:val="center"/>
          </w:tcPr>
          <w:p w:rsidRPr="009742AF" w:rsidR="005744C0" w:rsidP="005744C0" w:rsidRDefault="005744C0" w14:paraId="6932F351" w14:textId="210E29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53" w:type="dxa"/>
            <w:vAlign w:val="center"/>
          </w:tcPr>
          <w:p w:rsidRPr="009742AF" w:rsidR="005744C0" w:rsidP="005744C0" w:rsidRDefault="005744C0" w14:paraId="62AD648F" w14:textId="4A5904B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961CE9" w14:paraId="30F79EA3" w14:textId="1B33FA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210.</w:t>
            </w:r>
            <w:r w:rsidR="005744C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5744C0" w14:paraId="226BB853" w14:textId="3519FBC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almost 16- fold more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5744C0" w14:paraId="198AFE41" w14:textId="24BB736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276" w:type="dxa"/>
            <w:vAlign w:val="center"/>
          </w:tcPr>
          <w:p w:rsidRPr="009742AF" w:rsidR="005744C0" w:rsidP="005744C0" w:rsidRDefault="00961CE9" w14:paraId="0448BCA3" w14:textId="1FC69EC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136.</w:t>
            </w:r>
            <w:r w:rsidR="005744C0">
              <w:rPr>
                <w:rFonts w:cs="Arial"/>
                <w:sz w:val="16"/>
                <w:szCs w:val="16"/>
              </w:rPr>
              <w:t>5</w:t>
            </w:r>
          </w:p>
        </w:tc>
      </w:tr>
      <w:tr w:rsidRPr="009742AF" w:rsidR="005744C0" w:rsidTr="000D0D69" w14:paraId="19303E3E" w14:textId="77777777">
        <w:trPr>
          <w:trHeight w:val="57"/>
        </w:trPr>
        <w:tc>
          <w:tcPr>
            <w:tcW w:w="2049" w:type="dxa"/>
            <w:vAlign w:val="center"/>
          </w:tcPr>
          <w:p w:rsidRPr="009742AF" w:rsidR="005744C0" w:rsidP="005744C0" w:rsidRDefault="005744C0" w14:paraId="4F9BE4D7" w14:textId="2EC3D68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53" w:type="dxa"/>
            <w:vAlign w:val="center"/>
          </w:tcPr>
          <w:p w:rsidRPr="009742AF" w:rsidR="005744C0" w:rsidP="005744C0" w:rsidRDefault="005744C0" w14:paraId="2AA6F621" w14:textId="7C255EE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5744C0" w14:paraId="5F9A1A43" w14:textId="4A7B61A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5744C0" w14:paraId="35EE7520" w14:textId="195F697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5744C0" w14:paraId="18101EF9" w14:textId="09858F9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</w:t>
            </w:r>
          </w:p>
        </w:tc>
        <w:tc>
          <w:tcPr>
            <w:tcW w:w="1276" w:type="dxa"/>
            <w:vAlign w:val="center"/>
          </w:tcPr>
          <w:p w:rsidRPr="009742AF" w:rsidR="005744C0" w:rsidP="005744C0" w:rsidRDefault="00961CE9" w14:paraId="3D8101D6" w14:textId="3CF6442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176.</w:t>
            </w:r>
            <w:r w:rsidR="005744C0">
              <w:rPr>
                <w:rFonts w:cs="Arial"/>
                <w:sz w:val="16"/>
                <w:szCs w:val="16"/>
              </w:rPr>
              <w:t>0</w:t>
            </w:r>
          </w:p>
        </w:tc>
      </w:tr>
      <w:tr w:rsidRPr="009742AF" w:rsidR="005744C0" w:rsidTr="000D0D69" w14:paraId="08F9BC9D" w14:textId="77777777">
        <w:trPr>
          <w:trHeight w:val="57"/>
        </w:trPr>
        <w:tc>
          <w:tcPr>
            <w:tcW w:w="2049" w:type="dxa"/>
            <w:vAlign w:val="center"/>
          </w:tcPr>
          <w:p w:rsidRPr="009742AF" w:rsidR="005744C0" w:rsidP="005744C0" w:rsidRDefault="005744C0" w14:paraId="6AD09FA5" w14:textId="2DB948C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53" w:type="dxa"/>
            <w:vAlign w:val="center"/>
          </w:tcPr>
          <w:p w:rsidRPr="009742AF" w:rsidR="005744C0" w:rsidP="005744C0" w:rsidRDefault="005744C0" w14:paraId="608975F3" w14:textId="609189E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5744C0" w14:paraId="147ED29B" w14:textId="663E556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5744C0" w14:paraId="60624A4A" w14:textId="5EC80D6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9742AF" w:rsidR="005744C0" w:rsidP="005744C0" w:rsidRDefault="005744C0" w14:paraId="35C8EBC0" w14:textId="21FF6D4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Pr="009742AF" w:rsidR="005744C0" w:rsidP="005744C0" w:rsidRDefault="005744C0" w14:paraId="7808E9AE" w14:textId="1FB89C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</w:tbl>
    <w:p w:rsidR="00854717" w:rsidP="007207E6" w:rsidRDefault="00854717" w14:paraId="037EA8A8" w14:textId="77777777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:rsidR="00010F9B" w:rsidP="007207E6" w:rsidRDefault="00010F9B" w14:paraId="5904DC73" w14:textId="77777777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:rsidRPr="004829B9" w:rsidR="00154AC9" w:rsidP="007207E6" w:rsidRDefault="005D23AA" w14:paraId="34D75009" w14:textId="5217086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Pr="004829B9" w:rsidR="008B64B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May</w:t>
      </w:r>
      <w:r w:rsidRPr="004829B9" w:rsidR="00B4601E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 xml:space="preserve"> there were 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860.</w:t>
      </w:r>
      <w:r w:rsidRPr="00D93EA6" w:rsidR="00D93EA6">
        <w:rPr>
          <w:b w:val="0"/>
          <w:sz w:val="19"/>
          <w:szCs w:val="19"/>
          <w:shd w:val="clear" w:color="auto" w:fill="FFFFFF"/>
          <w:lang w:val="en-GB"/>
        </w:rPr>
        <w:t xml:space="preserve">2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4.1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Pr="004829B9" w:rsidR="000013A9">
        <w:rPr>
          <w:b w:val="0"/>
          <w:sz w:val="19"/>
          <w:szCs w:val="19"/>
          <w:shd w:val="clear" w:color="auto" w:fill="FFFFFF"/>
          <w:lang w:val="en-GB"/>
        </w:rPr>
        <w:t xml:space="preserve">in the corresponding </w:t>
      </w:r>
      <w:r w:rsidR="00D862D9">
        <w:rPr>
          <w:b w:val="0"/>
          <w:sz w:val="19"/>
          <w:szCs w:val="19"/>
          <w:shd w:val="clear" w:color="auto" w:fill="FFFFFF"/>
          <w:lang w:val="en-GB"/>
        </w:rPr>
        <w:t>month of 2020</w:t>
      </w:r>
      <w:r w:rsidRPr="004829B9" w:rsidR="00AA22EE"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Pr="004829B9" w:rsidR="005D23AA" w:rsidP="007207E6" w:rsidRDefault="005D23AA" w14:paraId="4326474E" w14:textId="42DA78DE">
      <w:pPr>
        <w:pStyle w:val="tytuwykresu"/>
        <w:rPr>
          <w:lang w:val="en-GB"/>
        </w:rPr>
      </w:pPr>
    </w:p>
    <w:p w:rsidRPr="004829B9" w:rsidR="007207E6" w:rsidP="007207E6" w:rsidRDefault="00AD1492" w14:paraId="2E8A539A" w14:textId="13B2FE2C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Pr="004829B9" w:rsidR="00256AD9">
        <w:rPr>
          <w:lang w:val="en-GB"/>
        </w:rPr>
        <w:t>residential construction</w:t>
      </w:r>
      <w:r w:rsidRPr="004829B9" w:rsidR="005D23AA">
        <w:rPr>
          <w:lang w:val="en-GB"/>
        </w:rPr>
        <w:t xml:space="preserve"> in Poland</w:t>
      </w:r>
    </w:p>
    <w:p w:rsidRPr="00D93EA6" w:rsidR="00F37978" w:rsidP="003A600F" w:rsidRDefault="00574E89" w14:paraId="07DDCEC0" w14:textId="227000DE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595CE9D5" wp14:anchorId="50036E1A">
                <wp:simplePos x="0" y="0"/>
                <wp:positionH relativeFrom="page">
                  <wp:posOffset>5697220</wp:posOffset>
                </wp:positionH>
                <wp:positionV relativeFrom="paragraph">
                  <wp:posOffset>190500</wp:posOffset>
                </wp:positionV>
                <wp:extent cx="1814830" cy="217805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217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C3185" w:rsidR="00574E89" w:rsidP="00903A58" w:rsidRDefault="00574E89" w14:paraId="58FBF1C9" w14:textId="4DC3AFF2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744C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May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5744C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April</w:t>
                            </w:r>
                            <w:r w:rsidRPr="009742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5744C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decreased (by 19.2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5744C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whereas</w:t>
                            </w:r>
                            <w:r w:rsidRP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ruction </w:t>
                            </w:r>
                            <w:r w:rsidR="005744C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increased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(by </w:t>
                            </w:r>
                            <w:r w:rsidR="005744C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9.3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744C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as well as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Pr="00700F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which construction has begun</w:t>
                            </w:r>
                            <w:r w:rsidR="005744C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(by 10.0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448.6pt;margin-top:15pt;width:142.9pt;height:17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" w14:anchorId="50036E1A">
                <v:textbox>
                  <w:txbxContent>
                    <w:p w:rsidRPr="00AC3185" w:rsidR="00574E89" w:rsidP="00903A58" w:rsidRDefault="00574E89" w14:paraId="58FBF1C9" w14:textId="4DC3AFF2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5744C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May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5744C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April</w:t>
                      </w:r>
                      <w:r w:rsidRPr="009742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5744C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decreased (by 19.2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5744C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whereas</w:t>
                      </w:r>
                      <w:r w:rsidRP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ruction </w:t>
                      </w:r>
                      <w:r w:rsidR="005744C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increased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(by </w:t>
                      </w:r>
                      <w:r w:rsidR="005744C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9.3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744C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as well as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Pr="00700F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which construction has begun</w:t>
                      </w:r>
                      <w:r w:rsidR="005744C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(by 10.0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06BFF" w:rsidR="00700FC6">
        <w:rPr>
          <w:b/>
          <w:noProof/>
          <w:spacing w:val="-4"/>
          <w:shd w:val="clear" w:color="auto" w:fill="FFFFFF"/>
          <w:lang w:val="en-GB"/>
        </w:rPr>
        <w:t xml:space="preserve"> </w:t>
      </w:r>
      <w:r w:rsidRPr="00B26F7F" w:rsidR="005744C0">
        <w:rPr>
          <w:noProof/>
          <w:sz w:val="12"/>
        </w:rPr>
        <w:drawing>
          <wp:inline distT="0" distB="0" distL="0" distR="0" wp14:anchorId="3DDDFAE6" wp14:editId="3CB10289">
            <wp:extent cx="5122545" cy="2265528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10F9B" w:rsidP="00CB6084" w:rsidRDefault="00010F9B" w14:paraId="3DBFE4B9" w14:textId="77777777">
      <w:pPr>
        <w:rPr>
          <w:szCs w:val="19"/>
          <w:shd w:val="clear" w:color="auto" w:fill="FFFFFF"/>
          <w:lang w:val="en-GB"/>
        </w:rPr>
      </w:pPr>
    </w:p>
    <w:p w:rsidRPr="004829B9" w:rsidR="00CB6084" w:rsidP="00CB6084" w:rsidRDefault="00E26291" w14:paraId="6B2C5EA1" w14:textId="1858C5FD">
      <w:pPr>
        <w:rPr>
          <w:szCs w:val="19"/>
          <w:shd w:val="clear" w:color="auto" w:fill="FFFFFF"/>
          <w:lang w:val="en-GB"/>
        </w:rPr>
      </w:pPr>
      <w:r>
        <w:rPr>
          <w:szCs w:val="19"/>
          <w:shd w:val="clear" w:color="auto" w:fill="FFFFFF"/>
          <w:lang w:val="en-GB"/>
        </w:rPr>
        <w:t xml:space="preserve">In </w:t>
      </w:r>
      <w:r w:rsidR="00700FC6">
        <w:rPr>
          <w:szCs w:val="19"/>
          <w:shd w:val="clear" w:color="auto" w:fill="FFFFFF"/>
          <w:lang w:val="en-GB"/>
        </w:rPr>
        <w:t xml:space="preserve">the </w:t>
      </w:r>
      <w:r w:rsidR="00574E89">
        <w:rPr>
          <w:szCs w:val="19"/>
          <w:shd w:val="clear" w:color="auto" w:fill="FFFFFF"/>
          <w:lang w:val="en-GB"/>
        </w:rPr>
        <w:t xml:space="preserve">first </w:t>
      </w:r>
      <w:r w:rsidR="00D93EA6">
        <w:rPr>
          <w:szCs w:val="19"/>
          <w:shd w:val="clear" w:color="auto" w:fill="FFFFFF"/>
          <w:lang w:val="en-GB"/>
        </w:rPr>
        <w:t>five</w:t>
      </w:r>
      <w:r w:rsidR="006D17B3">
        <w:rPr>
          <w:szCs w:val="19"/>
          <w:shd w:val="clear" w:color="auto" w:fill="FFFFFF"/>
          <w:lang w:val="en-GB"/>
        </w:rPr>
        <w:t xml:space="preserve"> months</w:t>
      </w:r>
      <w:r w:rsidR="00574E89">
        <w:rPr>
          <w:szCs w:val="19"/>
          <w:shd w:val="clear" w:color="auto" w:fill="FFFFFF"/>
          <w:lang w:val="en-GB"/>
        </w:rPr>
        <w:t xml:space="preserve"> of</w:t>
      </w:r>
      <w:r w:rsidR="00D862D9">
        <w:rPr>
          <w:szCs w:val="19"/>
          <w:shd w:val="clear" w:color="auto" w:fill="FFFFFF"/>
          <w:lang w:val="en-GB"/>
        </w:rPr>
        <w:t xml:space="preserve"> 2021</w:t>
      </w:r>
      <w:r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Pr="004829B9" w:rsidR="00CB6084">
        <w:rPr>
          <w:szCs w:val="19"/>
          <w:shd w:val="clear" w:color="auto" w:fill="FFFFFF"/>
          <w:lang w:val="en-GB"/>
        </w:rPr>
        <w:t>dwellings</w:t>
      </w:r>
      <w:r w:rsidRPr="00E43CD7" w:rsid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Pr="0016126E" w:rsidR="0016126E">
        <w:rPr>
          <w:szCs w:val="19"/>
          <w:shd w:val="clear" w:color="auto" w:fill="FFFFFF"/>
          <w:lang w:val="en-GB"/>
        </w:rPr>
        <w:t xml:space="preserve">dwellings </w:t>
      </w:r>
      <w:r w:rsidRPr="00700FC6" w:rsidR="00700FC6">
        <w:rPr>
          <w:szCs w:val="19"/>
          <w:shd w:val="clear" w:color="auto" w:fill="FFFFFF"/>
          <w:lang w:val="en-GB"/>
        </w:rPr>
        <w:t xml:space="preserve">in 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Pr="0016126E" w:rsid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Pr="00EF6032" w:rsidR="00EF6032">
        <w:rPr>
          <w:szCs w:val="19"/>
          <w:shd w:val="clear" w:color="auto" w:fill="FFFFFF"/>
          <w:lang w:val="en-GB"/>
        </w:rPr>
        <w:t xml:space="preserve">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D93EA6">
        <w:rPr>
          <w:szCs w:val="19"/>
          <w:shd w:val="clear" w:color="auto" w:fill="FFFFFF"/>
          <w:lang w:val="en-GB"/>
        </w:rPr>
        <w:t>15.8</w:t>
      </w:r>
      <w:r w:rsidR="00EF6032">
        <w:rPr>
          <w:szCs w:val="19"/>
          <w:shd w:val="clear" w:color="auto" w:fill="FFFFFF"/>
          <w:lang w:val="en-GB"/>
        </w:rPr>
        <w:t xml:space="preserve"> thousand</w:t>
      </w:r>
      <w:r w:rsidR="00D93EA6">
        <w:rPr>
          <w:szCs w:val="19"/>
          <w:shd w:val="clear" w:color="auto" w:fill="FFFFFF"/>
          <w:lang w:val="en-GB"/>
        </w:rPr>
        <w:t>, 19.2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Pr="003563AE" w:rsidR="003563AE">
        <w:rPr>
          <w:szCs w:val="19"/>
          <w:shd w:val="clear" w:color="auto" w:fill="FFFFFF"/>
          <w:lang w:val="en-GB"/>
        </w:rPr>
        <w:t>thousand</w:t>
      </w:r>
      <w:r w:rsidR="00D93EA6">
        <w:rPr>
          <w:szCs w:val="19"/>
          <w:shd w:val="clear" w:color="auto" w:fill="FFFFFF"/>
          <w:lang w:val="en-GB"/>
        </w:rPr>
        <w:t xml:space="preserve"> and 24.3</w:t>
      </w:r>
      <w:r w:rsidR="00CC4866">
        <w:rPr>
          <w:szCs w:val="19"/>
          <w:shd w:val="clear" w:color="auto" w:fill="FFFFFF"/>
          <w:lang w:val="en-GB"/>
        </w:rPr>
        <w:t> </w:t>
      </w:r>
      <w:r w:rsidRPr="00CF2564" w:rsid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700FC6">
        <w:rPr>
          <w:szCs w:val="19"/>
          <w:shd w:val="clear" w:color="auto" w:fill="FFFFFF"/>
          <w:lang w:val="en-GB"/>
        </w:rPr>
        <w:t xml:space="preserve"> Wielkopolskie </w:t>
      </w:r>
      <w:r w:rsidR="00D93EA6">
        <w:rPr>
          <w:szCs w:val="19"/>
          <w:shd w:val="clear" w:color="auto" w:fill="FFFFFF"/>
          <w:lang w:val="en-GB"/>
        </w:rPr>
        <w:t>(9.7</w:t>
      </w:r>
      <w:r w:rsidR="00F333CC">
        <w:rPr>
          <w:szCs w:val="19"/>
          <w:shd w:val="clear" w:color="auto" w:fill="FFFFFF"/>
          <w:lang w:val="en-GB"/>
        </w:rPr>
        <w:t xml:space="preserve"> </w:t>
      </w:r>
      <w:r w:rsidR="00D93EA6">
        <w:rPr>
          <w:szCs w:val="19"/>
          <w:shd w:val="clear" w:color="auto" w:fill="FFFFFF"/>
          <w:lang w:val="en-GB"/>
        </w:rPr>
        <w:t>thousand, 14.4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Pr="003563AE" w:rsidR="003563AE">
        <w:rPr>
          <w:szCs w:val="19"/>
          <w:shd w:val="clear" w:color="auto" w:fill="FFFFFF"/>
          <w:lang w:val="en-GB"/>
        </w:rPr>
        <w:t>and</w:t>
      </w:r>
      <w:r w:rsidR="00D93EA6">
        <w:rPr>
          <w:szCs w:val="19"/>
          <w:shd w:val="clear" w:color="auto" w:fill="FFFFFF"/>
          <w:lang w:val="en-GB"/>
        </w:rPr>
        <w:t xml:space="preserve"> 14.7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Pr="003563AE" w:rsidR="003563AE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), </w:t>
      </w:r>
      <w:r w:rsidR="00497FB5">
        <w:rPr>
          <w:szCs w:val="19"/>
          <w:shd w:val="clear" w:color="auto" w:fill="FFFFFF"/>
          <w:lang w:val="en-GB"/>
        </w:rPr>
        <w:t>Dolnośląskie</w:t>
      </w:r>
      <w:r w:rsidR="00D93EA6">
        <w:rPr>
          <w:szCs w:val="19"/>
          <w:shd w:val="clear" w:color="auto" w:fill="FFFFFF"/>
          <w:lang w:val="en-GB"/>
        </w:rPr>
        <w:t xml:space="preserve"> (9.6</w:t>
      </w:r>
      <w:r w:rsidR="006D17B3">
        <w:rPr>
          <w:szCs w:val="19"/>
          <w:shd w:val="clear" w:color="auto" w:fill="FFFFFF"/>
          <w:lang w:val="en-GB"/>
        </w:rPr>
        <w:t> </w:t>
      </w:r>
      <w:r w:rsidRPr="002A29A6" w:rsidR="002A29A6">
        <w:rPr>
          <w:szCs w:val="19"/>
          <w:shd w:val="clear" w:color="auto" w:fill="FFFFFF"/>
          <w:lang w:val="en-GB"/>
        </w:rPr>
        <w:t>thousand</w:t>
      </w:r>
      <w:r w:rsidR="00D93EA6">
        <w:rPr>
          <w:szCs w:val="19"/>
          <w:shd w:val="clear" w:color="auto" w:fill="FFFFFF"/>
          <w:lang w:val="en-GB"/>
        </w:rPr>
        <w:t>, 10.7</w:t>
      </w:r>
      <w:r w:rsidR="00574E89">
        <w:rPr>
          <w:szCs w:val="19"/>
          <w:shd w:val="clear" w:color="auto" w:fill="FFFFFF"/>
          <w:lang w:val="en-GB"/>
        </w:rPr>
        <w:t> </w:t>
      </w:r>
      <w:r w:rsidRPr="002A29A6" w:rsidR="002A29A6">
        <w:rPr>
          <w:szCs w:val="19"/>
          <w:shd w:val="clear" w:color="auto" w:fill="FFFFFF"/>
          <w:lang w:val="en-GB"/>
        </w:rPr>
        <w:t>thousand</w:t>
      </w:r>
      <w:r w:rsidR="00D93EA6">
        <w:rPr>
          <w:szCs w:val="19"/>
          <w:shd w:val="clear" w:color="auto" w:fill="FFFFFF"/>
          <w:lang w:val="en-GB"/>
        </w:rPr>
        <w:t xml:space="preserve"> and 11</w:t>
      </w:r>
      <w:r w:rsidR="006D17B3">
        <w:rPr>
          <w:szCs w:val="19"/>
          <w:shd w:val="clear" w:color="auto" w:fill="FFFFFF"/>
          <w:lang w:val="en-GB"/>
        </w:rPr>
        <w:t>.7</w:t>
      </w:r>
      <w:r w:rsidR="00497FB5">
        <w:rPr>
          <w:szCs w:val="19"/>
          <w:shd w:val="clear" w:color="auto" w:fill="FFFFFF"/>
          <w:lang w:val="en-GB"/>
        </w:rPr>
        <w:t> </w:t>
      </w:r>
      <w:r w:rsidRPr="002A29A6" w:rsidR="002A29A6">
        <w:rPr>
          <w:szCs w:val="19"/>
          <w:shd w:val="clear" w:color="auto" w:fill="FFFFFF"/>
          <w:lang w:val="en-GB"/>
        </w:rPr>
        <w:t>thousand</w:t>
      </w:r>
      <w:r w:rsidR="00D93EA6">
        <w:rPr>
          <w:szCs w:val="19"/>
          <w:shd w:val="clear" w:color="auto" w:fill="FFFFFF"/>
          <w:lang w:val="en-GB"/>
        </w:rPr>
        <w:t>), Małopolskie (8.0</w:t>
      </w:r>
      <w:r w:rsidRPr="00574E89" w:rsidR="00574E89">
        <w:rPr>
          <w:szCs w:val="19"/>
          <w:shd w:val="clear" w:color="auto" w:fill="FFFFFF"/>
          <w:lang w:val="en-GB"/>
        </w:rPr>
        <w:t xml:space="preserve"> thousand, </w:t>
      </w:r>
      <w:r w:rsidR="00D93EA6">
        <w:rPr>
          <w:szCs w:val="19"/>
          <w:shd w:val="clear" w:color="auto" w:fill="FFFFFF"/>
          <w:lang w:val="en-GB"/>
        </w:rPr>
        <w:t>10.7</w:t>
      </w:r>
      <w:r w:rsidR="007F1098">
        <w:rPr>
          <w:szCs w:val="19"/>
          <w:shd w:val="clear" w:color="auto" w:fill="FFFFFF"/>
          <w:lang w:val="en-GB"/>
        </w:rPr>
        <w:t xml:space="preserve"> thousand and </w:t>
      </w:r>
      <w:r w:rsidR="00D93EA6">
        <w:rPr>
          <w:szCs w:val="19"/>
          <w:shd w:val="clear" w:color="auto" w:fill="FFFFFF"/>
          <w:lang w:val="en-GB"/>
        </w:rPr>
        <w:t>12.5</w:t>
      </w:r>
      <w:r w:rsidRPr="00574E89" w:rsidR="00574E89">
        <w:rPr>
          <w:szCs w:val="19"/>
          <w:shd w:val="clear" w:color="auto" w:fill="FFFFFF"/>
          <w:lang w:val="en-GB"/>
        </w:rPr>
        <w:t xml:space="preserve"> thousand</w:t>
      </w:r>
      <w:r w:rsidR="00D93EA6">
        <w:rPr>
          <w:szCs w:val="19"/>
          <w:shd w:val="clear" w:color="auto" w:fill="FFFFFF"/>
          <w:lang w:val="en-GB"/>
        </w:rPr>
        <w:t>) and Pomorskie (7.0 thousand, 10</w:t>
      </w:r>
      <w:r w:rsidR="006D17B3">
        <w:rPr>
          <w:szCs w:val="19"/>
          <w:shd w:val="clear" w:color="auto" w:fill="FFFFFF"/>
          <w:lang w:val="en-GB"/>
        </w:rPr>
        <w:t>.6</w:t>
      </w:r>
      <w:r w:rsidR="00574E89">
        <w:rPr>
          <w:szCs w:val="19"/>
          <w:shd w:val="clear" w:color="auto" w:fill="FFFFFF"/>
          <w:lang w:val="en-GB"/>
        </w:rPr>
        <w:t xml:space="preserve"> thousand </w:t>
      </w:r>
      <w:r w:rsidR="00D93EA6">
        <w:rPr>
          <w:szCs w:val="19"/>
          <w:shd w:val="clear" w:color="auto" w:fill="FFFFFF"/>
          <w:lang w:val="en-GB"/>
        </w:rPr>
        <w:t>and 14.0</w:t>
      </w:r>
      <w:r w:rsidRPr="00574E89" w:rsidR="00574E89">
        <w:rPr>
          <w:szCs w:val="19"/>
          <w:shd w:val="clear" w:color="auto" w:fill="FFFFFF"/>
          <w:lang w:val="en-GB"/>
        </w:rPr>
        <w:t xml:space="preserve"> thousand</w:t>
      </w:r>
      <w:r w:rsidR="00574E89">
        <w:rPr>
          <w:szCs w:val="19"/>
          <w:shd w:val="clear" w:color="auto" w:fill="FFFFFF"/>
          <w:lang w:val="en-GB"/>
        </w:rPr>
        <w:t>).</w:t>
      </w:r>
    </w:p>
    <w:p w:rsidR="00903A58" w:rsidP="00903A58" w:rsidRDefault="001C1808" w14:paraId="73CBA65A" w14:textId="05488C02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Pr="004829B9" w:rsidR="00256AD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Pr="004829B9" w:rsidR="00384D8B">
        <w:rPr>
          <w:color w:val="auto"/>
          <w:sz w:val="18"/>
          <w:szCs w:val="18"/>
          <w:lang w:val="en-GB"/>
        </w:rPr>
        <w:t xml:space="preserve">               </w:t>
      </w:r>
      <w:r w:rsidRPr="004829B9" w:rsidR="000401D6">
        <w:rPr>
          <w:color w:val="auto"/>
          <w:sz w:val="18"/>
          <w:szCs w:val="18"/>
          <w:lang w:val="en-GB"/>
        </w:rPr>
        <w:t>(January</w:t>
      </w:r>
      <w:r w:rsidR="00700FC6">
        <w:rPr>
          <w:color w:val="auto"/>
          <w:sz w:val="18"/>
          <w:szCs w:val="18"/>
          <w:lang w:val="en-GB"/>
        </w:rPr>
        <w:t xml:space="preserve"> - </w:t>
      </w:r>
      <w:r w:rsidR="00581162">
        <w:rPr>
          <w:color w:val="auto"/>
          <w:sz w:val="18"/>
          <w:szCs w:val="18"/>
          <w:lang w:val="en-GB"/>
        </w:rPr>
        <w:t>May</w:t>
      </w:r>
      <w:r w:rsidRPr="004829B9" w:rsidR="00E873C8">
        <w:rPr>
          <w:color w:val="auto"/>
          <w:sz w:val="18"/>
          <w:szCs w:val="18"/>
          <w:lang w:val="en-GB"/>
        </w:rPr>
        <w:t xml:space="preserve"> </w:t>
      </w:r>
      <w:r w:rsidR="00D862D9">
        <w:rPr>
          <w:color w:val="auto"/>
          <w:sz w:val="18"/>
          <w:szCs w:val="18"/>
          <w:lang w:val="en-GB"/>
        </w:rPr>
        <w:t>2021</w:t>
      </w:r>
      <w:r w:rsidRPr="004829B9">
        <w:rPr>
          <w:color w:val="auto"/>
          <w:sz w:val="18"/>
          <w:szCs w:val="18"/>
          <w:lang w:val="en-GB"/>
        </w:rPr>
        <w:t>)</w:t>
      </w:r>
    </w:p>
    <w:p w:rsidR="003A358E" w:rsidP="00A12B93" w:rsidRDefault="00B26F7F" w14:paraId="66C5A628" w14:textId="5E23FE53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25E0AB44" wp14:editId="0192F003">
            <wp:extent cx="5122545" cy="2613546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12B93" w:rsidP="00A12B93" w:rsidRDefault="00A12B93" w14:paraId="4F8A40B4" w14:textId="77777777">
      <w:pPr>
        <w:rPr>
          <w:lang w:val="en-GB" w:eastAsia="pl-PL"/>
        </w:rPr>
      </w:pPr>
    </w:p>
    <w:p w:rsidRPr="00A12B93" w:rsidR="005825F0" w:rsidP="00A12B93" w:rsidRDefault="005825F0" w14:paraId="7B845408" w14:textId="77777777">
      <w:pPr>
        <w:rPr>
          <w:lang w:val="en-GB" w:eastAsia="pl-PL"/>
        </w:rPr>
      </w:pPr>
    </w:p>
    <w:p w:rsidRPr="00257306" w:rsidR="00694AF0" w:rsidP="0046503D" w:rsidRDefault="00257306" w14:paraId="47844B4F" w14:textId="6E2D5CE7">
      <w:pPr>
        <w:rPr>
          <w:szCs w:val="19"/>
          <w:shd w:val="clear" w:color="auto" w:fill="FFFFFF"/>
          <w:lang w:val="en-GB"/>
        </w:rPr>
        <w:sectPr w:rsidRPr="00257306" w:rsidR="00694AF0" w:rsidSect="00A05A3A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:rsidRPr="004829B9" w:rsidR="000470AA" w:rsidP="0046503D" w:rsidRDefault="000470AA" w14:paraId="3949FC6D" w14:textId="7777777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Pr="004829B9" w:rsidR="00B34C4C" w:rsidTr="00E873C8" w14:paraId="40C6557F" w14:textId="77777777">
        <w:trPr>
          <w:trHeight w:val="1912"/>
        </w:trPr>
        <w:tc>
          <w:tcPr>
            <w:tcW w:w="4379" w:type="dxa"/>
          </w:tcPr>
          <w:p w:rsidRPr="004829B9" w:rsidR="00B34C4C" w:rsidP="00E873C8" w:rsidRDefault="00B34C4C" w14:paraId="6665BC8F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Pr="004829B9" w:rsidR="00B34C4C" w:rsidP="00E873C8" w:rsidRDefault="00B34C4C" w14:paraId="67FFA76B" w14:textId="77777777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Pr="004829B9" w:rsidR="00B34C4C" w:rsidP="00E873C8" w:rsidRDefault="00105BED" w14:paraId="55C69C2C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:rsidRPr="004829B9" w:rsidR="00B34C4C" w:rsidP="00E873C8" w:rsidRDefault="00D46532" w14:paraId="3F6217D4" w14:textId="6E53501C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Pr="004829B9" w:rsidR="00105BED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Pr="004829B9" w:rsidR="002F2E8D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Pr="004829B9" w:rsidR="00B34C4C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Pr="004829B9" w:rsidR="00105BED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Pr="004829B9" w:rsidR="008C48C6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Pr="004829B9" w:rsidR="00105BED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:rsidRPr="004829B9" w:rsidR="00B34C4C" w:rsidP="00E873C8" w:rsidRDefault="00B34C4C" w14:paraId="313903AC" w14:textId="77777777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:rsidRPr="004829B9" w:rsidR="00B34C4C" w:rsidP="00E873C8" w:rsidRDefault="00B34C4C" w14:paraId="734EA749" w14:textId="002C959A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:rsidRPr="004829B9" w:rsidR="00B34C4C" w:rsidP="00E873C8" w:rsidRDefault="00B34C4C" w14:paraId="2B749880" w14:textId="4973DE7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:rsidRPr="004829B9" w:rsidR="00B34C4C" w:rsidP="00E873C8" w:rsidRDefault="007F1E2E" w14:paraId="330B3F71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:rsidRPr="004829B9" w:rsidR="00B34C4C" w:rsidP="00E873C8" w:rsidRDefault="00D46532" w14:paraId="518D9CD4" w14:textId="4C42191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Pr="004829B9" w:rsidR="00105BE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5744C0" w:rsidR="00B34C4C" w:rsidTr="00E873C8" w14:paraId="494BDD91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4829B9" w:rsidR="00B34C4C" w:rsidP="00E873C8" w:rsidRDefault="00B34C4C" w14:paraId="13CAB2DF" w14:textId="77777777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:rsidRPr="004829B9" w:rsidR="00B34C4C" w:rsidP="00E873C8" w:rsidRDefault="00D46532" w14:paraId="623CBE4C" w14:textId="4BBC772D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Pr="004829B9" w:rsidR="00BA5050">
              <w:rPr>
                <w:sz w:val="20"/>
                <w:lang w:val="en-GB"/>
              </w:rPr>
              <w:t>(</w:t>
            </w:r>
            <w:r w:rsidRPr="004829B9" w:rsidR="00B34C4C">
              <w:rPr>
                <w:sz w:val="20"/>
                <w:lang w:val="en-GB"/>
              </w:rPr>
              <w:t>+ 48</w:t>
            </w:r>
            <w:r w:rsidRPr="004829B9" w:rsidR="00B34C4C">
              <w:rPr>
                <w:b/>
                <w:sz w:val="20"/>
                <w:lang w:val="en-GB"/>
              </w:rPr>
              <w:t xml:space="preserve"> </w:t>
            </w:r>
            <w:r w:rsidRPr="004829B9" w:rsidR="008235EC">
              <w:rPr>
                <w:sz w:val="20"/>
                <w:lang w:val="en-GB"/>
              </w:rPr>
              <w:t>22</w:t>
            </w:r>
            <w:r w:rsidRPr="004829B9" w:rsidR="00BA5050">
              <w:rPr>
                <w:sz w:val="20"/>
                <w:lang w:val="en-GB"/>
              </w:rPr>
              <w:t>)</w:t>
            </w:r>
            <w:r w:rsidRPr="004829B9" w:rsidR="008235EC">
              <w:rPr>
                <w:sz w:val="20"/>
                <w:lang w:val="en-GB"/>
              </w:rPr>
              <w:t xml:space="preserve"> 608 34</w:t>
            </w:r>
            <w:r w:rsidRPr="004829B9" w:rsidR="008C48C6">
              <w:rPr>
                <w:sz w:val="20"/>
                <w:lang w:val="en-GB"/>
              </w:rPr>
              <w:t xml:space="preserve"> </w:t>
            </w:r>
            <w:r w:rsidRPr="004829B9" w:rsidR="00BA5050">
              <w:rPr>
                <w:sz w:val="20"/>
                <w:lang w:val="en-GB"/>
              </w:rPr>
              <w:t xml:space="preserve">91, </w:t>
            </w:r>
            <w:r w:rsidRPr="004829B9" w:rsidR="008235EC">
              <w:rPr>
                <w:sz w:val="20"/>
                <w:lang w:val="en-GB"/>
              </w:rPr>
              <w:t>608 38</w:t>
            </w:r>
            <w:r w:rsidRPr="004829B9" w:rsidR="008C48C6">
              <w:rPr>
                <w:sz w:val="20"/>
                <w:lang w:val="en-GB"/>
              </w:rPr>
              <w:t xml:space="preserve"> </w:t>
            </w:r>
            <w:r w:rsidRPr="004829B9" w:rsidR="00B34C4C">
              <w:rPr>
                <w:sz w:val="20"/>
                <w:lang w:val="en-GB"/>
              </w:rPr>
              <w:t xml:space="preserve">04 </w:t>
            </w:r>
          </w:p>
          <w:p w:rsidRPr="004829B9" w:rsidR="00B34C4C" w:rsidP="00E873C8" w:rsidRDefault="00B34C4C" w14:paraId="4F5D46AB" w14:textId="77777777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w:history="1" r:id="rId19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4829B9" w:rsidR="00B34C4C" w:rsidP="00E873C8" w:rsidRDefault="00B34C4C" w14:paraId="486CFEE3" w14:textId="77777777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editId="7B735092" wp14:anchorId="1F32D07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Pr="004829B9" w:rsidR="00B34C4C" w:rsidP="00E873C8" w:rsidRDefault="00B34C4C" w14:paraId="187B3278" w14:textId="77777777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Pr="004829B9" w:rsidR="008235EC">
              <w:rPr>
                <w:sz w:val="20"/>
                <w:lang w:val="en-GB"/>
              </w:rPr>
              <w:t>/en/</w:t>
            </w:r>
          </w:p>
        </w:tc>
      </w:tr>
      <w:tr w:rsidRPr="004829B9" w:rsidR="00B34C4C" w:rsidTr="00E873C8" w14:paraId="648C1E67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4829B9" w:rsidR="00B34C4C" w:rsidP="00E873C8" w:rsidRDefault="00B34C4C" w14:paraId="7E7FD173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4829B9" w:rsidR="00B34C4C" w:rsidP="00E873C8" w:rsidRDefault="00B34C4C" w14:paraId="08931773" w14:textId="77777777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editId="6199C219" wp14:anchorId="11E6E2D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Pr="004829B9" w:rsidR="00B34C4C" w:rsidP="00E873C8" w:rsidRDefault="008235EC" w14:paraId="0DF75532" w14:textId="77777777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@StatPoland</w:t>
            </w:r>
          </w:p>
        </w:tc>
      </w:tr>
      <w:tr w:rsidRPr="004829B9" w:rsidR="00B34C4C" w:rsidTr="00E873C8" w14:paraId="29595757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4829B9" w:rsidR="00B34C4C" w:rsidP="00E873C8" w:rsidRDefault="00B34C4C" w14:paraId="6E773AF1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4829B9" w:rsidR="00B34C4C" w:rsidP="00E873C8" w:rsidRDefault="00B34C4C" w14:paraId="6F1D3479" w14:textId="77777777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editId="4F4CA4C5" wp14:anchorId="62B8316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Pr="004829B9" w:rsidR="00B34C4C" w:rsidP="00E873C8" w:rsidRDefault="00B34C4C" w14:paraId="4E72E8C9" w14:textId="77777777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@GlownyUrzadStatystyczny</w:t>
            </w:r>
          </w:p>
        </w:tc>
      </w:tr>
    </w:tbl>
    <w:p w:rsidRPr="004829B9" w:rsidR="00B34C4C" w:rsidP="0046503D" w:rsidRDefault="00B34C4C" w14:paraId="637862CB" w14:textId="77777777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79657CBB" wp14:anchorId="4A59FDAC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E89" w:rsidP="00AB6D25" w:rsidRDefault="00574E89" w14:paraId="0A17866C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="00574E89" w:rsidP="00000009" w:rsidRDefault="00574E89" w14:paraId="438C998D" w14:textId="77777777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Pr="004E377B" w:rsidR="00574E89" w:rsidP="00000009" w:rsidRDefault="00574E89" w14:paraId="03EB9888" w14:textId="77777777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Pr="008235EC" w:rsidR="00574E89" w:rsidP="00F11843" w:rsidRDefault="00574E89" w14:paraId="004758E0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w:history="1" r:id="rId23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:rsidRPr="005C7839" w:rsidR="00574E89" w:rsidP="00000009" w:rsidRDefault="00274B8D" w14:paraId="4C293715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w:history="1" r:id="rId24">
                              <w:r w:rsidRPr="005C7839"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574E8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Pr="00F11843" w:rsidR="00574E89" w:rsidP="00000009" w:rsidRDefault="00574E89" w14:paraId="6432F2D3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Pr="00734C04" w:rsidR="00574E89" w:rsidP="00000009" w:rsidRDefault="00574E89" w14:paraId="119A7AD9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Pr="0026083F" w:rsidR="00574E89" w:rsidP="00000009" w:rsidRDefault="00274B8D" w14:paraId="6E678369" w14:textId="0F34292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w:history="1" r:id="rId25">
                              <w:r w:rsidRPr="00F11843"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574E89" w:rsidP="00000009" w:rsidRDefault="00274B8D" w14:paraId="14295646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w:history="1" r:id="rId26">
                              <w:r w:rsidRPr="00F11843"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Pr="00F11843" w:rsidR="00574E89" w:rsidP="00000009" w:rsidRDefault="00574E89" w14:paraId="10DF6A1D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574E89" w:rsidP="00000009" w:rsidRDefault="00574E89" w14:paraId="65F6943A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Pr="008235EC" w:rsidR="00574E89" w:rsidP="00000009" w:rsidRDefault="00274B8D" w14:paraId="3FA17007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w:history="1" r:id="rId27">
                              <w:r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:rsidRPr="00F11843" w:rsidR="00574E89" w:rsidP="00000009" w:rsidRDefault="00274B8D" w14:paraId="2F539928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w:history="1" r:id="rId28">
                              <w:r w:rsidRPr="00F11843"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w:history="1" r:id="rId29"/>
                          </w:p>
                          <w:p w:rsidRPr="00F11843" w:rsidR="00574E89" w:rsidP="00000009" w:rsidRDefault="00274B8D" w14:paraId="35275A7D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w:history="1" r:id="rId30">
                              <w:r w:rsidRPr="00F11843"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:rsidR="00574E89" w:rsidP="00000009" w:rsidRDefault="00574E89" w14:paraId="41C747C6" w14:textId="77777777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Pr="003B6350" w:rsidR="00574E89" w:rsidP="00AB6D25" w:rsidRDefault="00574E89" w14:paraId="1519530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3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chljHj0CAABzBAAADgAA&#10;AAAAAAAAAAAAAAAuAgAAZHJzL2Uyb0RvYy54bWxQSwECLQAUAAYACAAAACEA8Gpojt8AAAAJAQAA&#10;DwAAAAAAAAAAAAAAAACXBAAAZHJzL2Rvd25yZXYueG1sUEsFBgAAAAAEAAQA8wAAAKMFAAAAAA==&#10;" w14:anchorId="4A59FDAC">
                <v:textbox>
                  <w:txbxContent>
                    <w:p w:rsidR="00574E89" w:rsidP="00AB6D25" w:rsidRDefault="00574E89" w14:paraId="0A17866C" w14:textId="77777777">
                      <w:pPr>
                        <w:rPr>
                          <w:b/>
                        </w:rPr>
                      </w:pPr>
                    </w:p>
                    <w:p w:rsidR="00574E89" w:rsidP="00000009" w:rsidRDefault="00574E89" w14:paraId="438C998D" w14:textId="77777777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Pr="004E377B" w:rsidR="00574E89" w:rsidP="00000009" w:rsidRDefault="00574E89" w14:paraId="03EB9888" w14:textId="77777777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Pr="008235EC" w:rsidR="00574E89" w:rsidP="00F11843" w:rsidRDefault="00574E89" w14:paraId="004758E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w:history="1" r:id="rId3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:rsidRPr="005C7839" w:rsidR="00574E89" w:rsidP="00000009" w:rsidRDefault="00574E89" w14:paraId="4C293715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2">
                        <w:r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Pr="00F11843" w:rsidR="00574E89" w:rsidP="00000009" w:rsidRDefault="00574E89" w14:paraId="6432F2D3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Pr="00734C04" w:rsidR="00574E89" w:rsidP="00000009" w:rsidRDefault="00574E89" w14:paraId="119A7AD9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Pr="0026083F" w:rsidR="00574E89" w:rsidP="00000009" w:rsidRDefault="00574E89" w14:paraId="6E678369" w14:textId="0F342923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3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574E89" w:rsidP="00000009" w:rsidRDefault="00574E89" w14:paraId="14295646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4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Pr="00F11843" w:rsidR="00574E89" w:rsidP="00000009" w:rsidRDefault="00574E89" w14:paraId="10DF6A1D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574E89" w:rsidP="00000009" w:rsidRDefault="00574E89" w14:paraId="65F6943A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Pr="008235EC" w:rsidR="00574E89" w:rsidP="00000009" w:rsidRDefault="00574E89" w14:paraId="3FA17007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w:history="1" r:id="rId35">
                        <w:r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:rsidRPr="00F11843" w:rsidR="00574E89" w:rsidP="00000009" w:rsidRDefault="00574E89" w14:paraId="2F539928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6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w:history="1" r:id="rId37"/>
                    </w:p>
                    <w:p w:rsidRPr="00F11843" w:rsidR="00574E89" w:rsidP="00000009" w:rsidRDefault="00574E89" w14:paraId="35275A7D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8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574E89" w:rsidP="00000009" w:rsidRDefault="00574E89" w14:paraId="41C747C6" w14:textId="77777777">
                      <w:pPr>
                        <w:rPr>
                          <w:lang w:val="en-GB"/>
                        </w:rPr>
                      </w:pPr>
                    </w:p>
                    <w:p w:rsidRPr="003B6350" w:rsidR="00574E89" w:rsidP="00AB6D25" w:rsidRDefault="00574E89" w14:paraId="15195305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4829B9" w:rsidR="000470AA" w:rsidP="0046503D" w:rsidRDefault="000470AA" w14:paraId="1C72FCCF" w14:textId="77777777">
      <w:pPr>
        <w:rPr>
          <w:sz w:val="20"/>
          <w:lang w:val="en-GB"/>
        </w:rPr>
      </w:pPr>
    </w:p>
    <w:p w:rsidR="00B80D90" w:rsidP="00B80D90" w:rsidRDefault="00B80D90" w14:paraId="6DD284D6" w14:textId="77777777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4829B9" w:rsidR="000470AA" w:rsidTr="000470AA" w14:paraId="6D1780AE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4829B9" w:rsidR="000470AA" w:rsidP="00000009" w:rsidRDefault="000470AA" w14:paraId="39472902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4829B9" w:rsidR="000470AA" w:rsidP="0046503D" w:rsidRDefault="000470AA" w14:paraId="79FCF89C" w14:textId="77777777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:rsidRPr="004829B9" w:rsidR="000470AA" w:rsidP="0046503D" w:rsidRDefault="000470AA" w14:paraId="78DA6311" w14:textId="77777777">
            <w:pPr>
              <w:rPr>
                <w:sz w:val="18"/>
                <w:lang w:val="en-GB"/>
              </w:rPr>
            </w:pPr>
          </w:p>
        </w:tc>
      </w:tr>
      <w:tr w:rsidRPr="004829B9" w:rsidR="000470AA" w:rsidTr="000470AA" w14:paraId="5DF708B3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4829B9" w:rsidR="000470AA" w:rsidP="0046503D" w:rsidRDefault="000470AA" w14:paraId="39B076A4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4829B9" w:rsidR="000470AA" w:rsidP="0046503D" w:rsidRDefault="000470AA" w14:paraId="41C44CEA" w14:textId="77777777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:rsidRPr="004829B9" w:rsidR="000470AA" w:rsidP="0046503D" w:rsidRDefault="000470AA" w14:paraId="22C796F5" w14:textId="77777777">
            <w:pPr>
              <w:rPr>
                <w:sz w:val="18"/>
                <w:lang w:val="en-GB"/>
              </w:rPr>
            </w:pPr>
          </w:p>
        </w:tc>
      </w:tr>
      <w:tr w:rsidRPr="004829B9" w:rsidR="000470AA" w:rsidTr="000470AA" w14:paraId="257B58F0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4829B9" w:rsidR="000470AA" w:rsidP="0046503D" w:rsidRDefault="000470AA" w14:paraId="691590BE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4829B9" w:rsidR="000470AA" w:rsidP="0046503D" w:rsidRDefault="000470AA" w14:paraId="7B5EC16E" w14:textId="77777777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:rsidRPr="004829B9" w:rsidR="000470AA" w:rsidP="0046503D" w:rsidRDefault="000470AA" w14:paraId="7D2F9530" w14:textId="77777777">
            <w:pPr>
              <w:rPr>
                <w:sz w:val="20"/>
                <w:lang w:val="en-GB"/>
              </w:rPr>
            </w:pPr>
          </w:p>
        </w:tc>
      </w:tr>
    </w:tbl>
    <w:p w:rsidRPr="004829B9" w:rsidR="00D261A2" w:rsidP="0046503D" w:rsidRDefault="00D261A2" w14:paraId="080FA477" w14:textId="48ECE00C">
      <w:pPr>
        <w:rPr>
          <w:sz w:val="18"/>
          <w:lang w:val="en-GB"/>
        </w:rPr>
      </w:pPr>
    </w:p>
    <w:sectPr w:rsidRPr="004829B9" w:rsidR="00D261A2" w:rsidSect="00AE4F99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A73DB" w14:textId="77777777" w:rsidR="00274B8D" w:rsidRDefault="00274B8D" w:rsidP="000662E2">
      <w:pPr>
        <w:spacing w:after="0" w:line="240" w:lineRule="auto"/>
      </w:pPr>
      <w:r>
        <w:separator/>
      </w:r>
    </w:p>
  </w:endnote>
  <w:endnote w:type="continuationSeparator" w:id="0">
    <w:p w14:paraId="37056B12" w14:textId="77777777" w:rsidR="00274B8D" w:rsidRDefault="00274B8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D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D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574E89" w:rsidRPr="00CC1C7C" w:rsidRDefault="00574E89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6DCE1" w14:textId="77777777" w:rsidR="00274B8D" w:rsidRDefault="00274B8D" w:rsidP="000662E2">
      <w:pPr>
        <w:spacing w:after="0" w:line="240" w:lineRule="auto"/>
      </w:pPr>
      <w:r>
        <w:separator/>
      </w:r>
    </w:p>
  </w:footnote>
  <w:footnote w:type="continuationSeparator" w:id="0">
    <w:p w14:paraId="7BD238AC" w14:textId="77777777" w:rsidR="00274B8D" w:rsidRDefault="00274B8D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574E89" w:rsidRDefault="00574E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574E89" w:rsidRDefault="00574E8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0F0DCAA0" w:rsidR="00574E89" w:rsidRPr="00C97596" w:rsidRDefault="005744C0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22.06</w:t>
                          </w:r>
                          <w:r w:rsidR="00574E89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0F0DCAA0" w:rsidR="00574E89" w:rsidRPr="00C97596" w:rsidRDefault="005744C0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22.06</w:t>
                    </w:r>
                    <w:r w:rsidR="00574E89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574E89" w:rsidRPr="00C97596" w:rsidRDefault="00574E8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574E89" w:rsidRPr="00C97596" w:rsidRDefault="00574E8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2.7pt;height:124.6pt;visibility:visible;mso-wrap-style:square" o:bullet="t">
        <v:imagedata r:id="rId1" o:title=""/>
      </v:shape>
    </w:pict>
  </w:numPicBullet>
  <w:numPicBullet w:numPicBulletId="1">
    <w:pict>
      <v:shape id="_x0000_i1042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0D69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126E"/>
    <w:rsid w:val="00162325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0AD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E64AD"/>
    <w:rsid w:val="001F1170"/>
    <w:rsid w:val="001F31BD"/>
    <w:rsid w:val="001F3686"/>
    <w:rsid w:val="001F5873"/>
    <w:rsid w:val="001F649C"/>
    <w:rsid w:val="00202E71"/>
    <w:rsid w:val="002030BE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3A60"/>
    <w:rsid w:val="00244842"/>
    <w:rsid w:val="002452B8"/>
    <w:rsid w:val="00246441"/>
    <w:rsid w:val="0025490E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4F22"/>
    <w:rsid w:val="00306C7C"/>
    <w:rsid w:val="00313E16"/>
    <w:rsid w:val="00314007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97FB5"/>
    <w:rsid w:val="004A7498"/>
    <w:rsid w:val="004B638F"/>
    <w:rsid w:val="004B68FC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6F53"/>
    <w:rsid w:val="004F0C3C"/>
    <w:rsid w:val="004F4FCA"/>
    <w:rsid w:val="004F63FC"/>
    <w:rsid w:val="004F6903"/>
    <w:rsid w:val="00500D10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916AB"/>
    <w:rsid w:val="005916D7"/>
    <w:rsid w:val="005A30AB"/>
    <w:rsid w:val="005A4C6A"/>
    <w:rsid w:val="005A698C"/>
    <w:rsid w:val="005A6F2D"/>
    <w:rsid w:val="005B093B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0ACB"/>
    <w:rsid w:val="0062187C"/>
    <w:rsid w:val="00621F5F"/>
    <w:rsid w:val="006262B3"/>
    <w:rsid w:val="006263DA"/>
    <w:rsid w:val="006264BA"/>
    <w:rsid w:val="006266F0"/>
    <w:rsid w:val="00626952"/>
    <w:rsid w:val="00626D87"/>
    <w:rsid w:val="00627CBE"/>
    <w:rsid w:val="006318DA"/>
    <w:rsid w:val="00632DF8"/>
    <w:rsid w:val="00633014"/>
    <w:rsid w:val="0063437B"/>
    <w:rsid w:val="00642327"/>
    <w:rsid w:val="00642778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96CCE"/>
    <w:rsid w:val="006A0E22"/>
    <w:rsid w:val="006A1938"/>
    <w:rsid w:val="006A37E8"/>
    <w:rsid w:val="006A46FA"/>
    <w:rsid w:val="006B0E9E"/>
    <w:rsid w:val="006B5AE4"/>
    <w:rsid w:val="006B6187"/>
    <w:rsid w:val="006B6263"/>
    <w:rsid w:val="006B6B03"/>
    <w:rsid w:val="006B6D5F"/>
    <w:rsid w:val="006C645A"/>
    <w:rsid w:val="006D17B3"/>
    <w:rsid w:val="006D4054"/>
    <w:rsid w:val="006D5A05"/>
    <w:rsid w:val="006D5ABB"/>
    <w:rsid w:val="006D7F1E"/>
    <w:rsid w:val="006E02EC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6187"/>
    <w:rsid w:val="00746A9F"/>
    <w:rsid w:val="0075636C"/>
    <w:rsid w:val="007571FA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134B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B5D10"/>
    <w:rsid w:val="007C2C9F"/>
    <w:rsid w:val="007C3CC8"/>
    <w:rsid w:val="007C6C81"/>
    <w:rsid w:val="007C792E"/>
    <w:rsid w:val="007D3319"/>
    <w:rsid w:val="007D335D"/>
    <w:rsid w:val="007D6458"/>
    <w:rsid w:val="007E1643"/>
    <w:rsid w:val="007E3314"/>
    <w:rsid w:val="007E4B03"/>
    <w:rsid w:val="007E58A2"/>
    <w:rsid w:val="007E7CE3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13014"/>
    <w:rsid w:val="00815E57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4717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1E0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3A58"/>
    <w:rsid w:val="009046F6"/>
    <w:rsid w:val="00905A67"/>
    <w:rsid w:val="00906857"/>
    <w:rsid w:val="00907546"/>
    <w:rsid w:val="009118D4"/>
    <w:rsid w:val="009127BA"/>
    <w:rsid w:val="0091499D"/>
    <w:rsid w:val="00914AA5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64CD"/>
    <w:rsid w:val="0096740A"/>
    <w:rsid w:val="00970194"/>
    <w:rsid w:val="009705EE"/>
    <w:rsid w:val="009729CD"/>
    <w:rsid w:val="00972B83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7251"/>
    <w:rsid w:val="009D2F59"/>
    <w:rsid w:val="009D5DFA"/>
    <w:rsid w:val="009D785B"/>
    <w:rsid w:val="009E13F6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686F"/>
    <w:rsid w:val="00A00250"/>
    <w:rsid w:val="00A00C56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3D6"/>
    <w:rsid w:val="00A45EB1"/>
    <w:rsid w:val="00A47D80"/>
    <w:rsid w:val="00A51E03"/>
    <w:rsid w:val="00A521F6"/>
    <w:rsid w:val="00A53132"/>
    <w:rsid w:val="00A536D2"/>
    <w:rsid w:val="00A53E7E"/>
    <w:rsid w:val="00A563F2"/>
    <w:rsid w:val="00A566E8"/>
    <w:rsid w:val="00A569FC"/>
    <w:rsid w:val="00A63CAF"/>
    <w:rsid w:val="00A65560"/>
    <w:rsid w:val="00A66E7E"/>
    <w:rsid w:val="00A7208C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26F7F"/>
    <w:rsid w:val="00B30CCF"/>
    <w:rsid w:val="00B30E2E"/>
    <w:rsid w:val="00B31E5A"/>
    <w:rsid w:val="00B34C4C"/>
    <w:rsid w:val="00B407D3"/>
    <w:rsid w:val="00B407E7"/>
    <w:rsid w:val="00B413C9"/>
    <w:rsid w:val="00B42455"/>
    <w:rsid w:val="00B44C5A"/>
    <w:rsid w:val="00B453D4"/>
    <w:rsid w:val="00B4601E"/>
    <w:rsid w:val="00B465A7"/>
    <w:rsid w:val="00B519FF"/>
    <w:rsid w:val="00B53935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062"/>
    <w:rsid w:val="00B77EC9"/>
    <w:rsid w:val="00B80D90"/>
    <w:rsid w:val="00B82E2D"/>
    <w:rsid w:val="00B847C4"/>
    <w:rsid w:val="00B84896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B632D"/>
    <w:rsid w:val="00BC4AAD"/>
    <w:rsid w:val="00BC514E"/>
    <w:rsid w:val="00BC70F1"/>
    <w:rsid w:val="00BD1222"/>
    <w:rsid w:val="00BD1D77"/>
    <w:rsid w:val="00BD2577"/>
    <w:rsid w:val="00BD40C0"/>
    <w:rsid w:val="00BD4E33"/>
    <w:rsid w:val="00BD5740"/>
    <w:rsid w:val="00BD5F7F"/>
    <w:rsid w:val="00BD601A"/>
    <w:rsid w:val="00BD6924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767"/>
    <w:rsid w:val="00CA7A9B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2D9"/>
    <w:rsid w:val="00D923F1"/>
    <w:rsid w:val="00D92898"/>
    <w:rsid w:val="00D934F6"/>
    <w:rsid w:val="00D93EA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C6D6D"/>
    <w:rsid w:val="00DD1D64"/>
    <w:rsid w:val="00DD20E2"/>
    <w:rsid w:val="00DD21A2"/>
    <w:rsid w:val="00DD2696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39D0"/>
    <w:rsid w:val="00E873C8"/>
    <w:rsid w:val="00E87A8F"/>
    <w:rsid w:val="00E90AC0"/>
    <w:rsid w:val="00E91C42"/>
    <w:rsid w:val="00E928D6"/>
    <w:rsid w:val="00E94640"/>
    <w:rsid w:val="00E97E48"/>
    <w:rsid w:val="00EA20F6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5CD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3757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5EA7"/>
    <w:rsid w:val="00FE3A83"/>
    <w:rsid w:val="00FE6CB4"/>
    <w:rsid w:val="00FE705C"/>
    <w:rsid w:val="00FF37E0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start" TargetMode="External"/><Relationship Id="rId39" Type="http://schemas.openxmlformats.org/officeDocument/2006/relationships/header" Target="header3.xml"/><Relationship Id="rId21" Type="http://schemas.openxmlformats.org/officeDocument/2006/relationships/image" Target="media/image6.png"/><Relationship Id="rId34" Type="http://schemas.openxmlformats.org/officeDocument/2006/relationships/hyperlink" Target="https://bdl.stat.gov.pl/BDL/start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945,term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topics/industry-construction-fixed-assets/construction/publikacja,1.html" TargetMode="External"/><Relationship Id="rId32" Type="http://schemas.openxmlformats.org/officeDocument/2006/relationships/hyperlink" Target="https://stat.gov.pl/en/topics/industry-construction-fixed-assets/construction/publikacja,1.html" TargetMode="External"/><Relationship Id="rId37" Type="http://schemas.openxmlformats.org/officeDocument/2006/relationships/hyperlink" Target="http://stat.gov.pl/en/metainformations/glossary/terms-used-in-official-statistics/945,term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publikacja,1.html" TargetMode="External"/><Relationship Id="rId28" Type="http://schemas.openxmlformats.org/officeDocument/2006/relationships/hyperlink" Target="http://stat.gov.pl/en/metainformations/glossary/terms-used-in-official-statistics/945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topics/other-studies/informations-on-socio-economic-situa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stat.gov.pl/en/metainformations/glossary/terms-used-in-official-statistics/3763,term.html" TargetMode="External"/><Relationship Id="rId30" Type="http://schemas.openxmlformats.org/officeDocument/2006/relationships/hyperlink" Target="http://stat.gov.pl/en/metainformations/glossary/terms-used-in-official-statistics/201,term.html" TargetMode="External"/><Relationship Id="rId35" Type="http://schemas.openxmlformats.org/officeDocument/2006/relationships/hyperlink" Target="https://stat.gov.pl/en/metainformations/glossary/terms-used-in-official-statistics/3763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1.emf"/><Relationship Id="rId17" Type="http://schemas.openxmlformats.org/officeDocument/2006/relationships/header" Target="header2.xml"/><Relationship Id="rId25" Type="http://schemas.openxmlformats.org/officeDocument/2006/relationships/hyperlink" Target="http://swaid.stat.gov.pl/EN/Budownictwo_dashboards/Raporty_predefiniowane/RAP_DBD_BUD_7.aspx" TargetMode="External"/><Relationship Id="rId33" Type="http://schemas.openxmlformats.org/officeDocument/2006/relationships/hyperlink" Target="http://swaid.stat.gov.pl/EN/Budownictwo_dashboards/Raporty_predefiniowane/RAP_DBD_BUD_7.aspx" TargetMode="External"/><Relationship Id="rId38" Type="http://schemas.openxmlformats.org/officeDocument/2006/relationships/hyperlink" Target="http://stat.gov.pl/en/metainformations/glossary/terms-used-in-official-statistics/201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1\informacje%20sygnalne\maj\Informacja%20sygnalna%20Budownictwo%20mieszkaniowe_wykres_052021_englis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2204614036365737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Arkusz1!$B$2:$BB$3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Arkusz1!$B$4:$BB$4</c:f>
              <c:numCache>
                <c:formatCode>General</c:formatCode>
                <c:ptCount val="53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 formatCode="#,##0">
                  <c:v>16637</c:v>
                </c:pt>
                <c:pt idx="19" formatCode="#,##0">
                  <c:v>16415</c:v>
                </c:pt>
                <c:pt idx="20" formatCode="#,##0">
                  <c:v>13914</c:v>
                </c:pt>
                <c:pt idx="21" formatCode="#,##0">
                  <c:v>18871</c:v>
                </c:pt>
                <c:pt idx="22" formatCode="#,##0">
                  <c:v>16470</c:v>
                </c:pt>
                <c:pt idx="23" formatCode="#,##0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18501</c:v>
                </c:pt>
                <c:pt idx="37">
                  <c:v>15507</c:v>
                </c:pt>
                <c:pt idx="38">
                  <c:v>15569</c:v>
                </c:pt>
                <c:pt idx="39">
                  <c:v>14116</c:v>
                </c:pt>
                <c:pt idx="40">
                  <c:v>16343</c:v>
                </c:pt>
                <c:pt idx="41">
                  <c:v>17036</c:v>
                </c:pt>
                <c:pt idx="42">
                  <c:v>23648</c:v>
                </c:pt>
                <c:pt idx="43" formatCode="#,##0">
                  <c:v>16183</c:v>
                </c:pt>
                <c:pt idx="44">
                  <c:v>19369</c:v>
                </c:pt>
                <c:pt idx="45">
                  <c:v>20973</c:v>
                </c:pt>
                <c:pt idx="46">
                  <c:v>20560</c:v>
                </c:pt>
                <c:pt idx="47">
                  <c:v>23026</c:v>
                </c:pt>
                <c:pt idx="48" formatCode="#,##0">
                  <c:v>17511</c:v>
                </c:pt>
                <c:pt idx="49" formatCode="#,##0">
                  <c:v>16266</c:v>
                </c:pt>
                <c:pt idx="50">
                  <c:v>19274</c:v>
                </c:pt>
                <c:pt idx="51">
                  <c:v>18856</c:v>
                </c:pt>
                <c:pt idx="52">
                  <c:v>15241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Arkusz1!$B$2:$BB$3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Arkusz1!$B$16:$BB$16</c:f>
              <c:numCache>
                <c:formatCode>General</c:formatCode>
                <c:ptCount val="53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23485</c:v>
                </c:pt>
                <c:pt idx="49">
                  <c:v>27222</c:v>
                </c:pt>
                <c:pt idx="50">
                  <c:v>33901</c:v>
                </c:pt>
                <c:pt idx="51">
                  <c:v>27145</c:v>
                </c:pt>
                <c:pt idx="52">
                  <c:v>29678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Arkusz1!$B$2:$BB$3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Arkusz1!$B$10:$BB$10</c:f>
              <c:numCache>
                <c:formatCode>General</c:formatCode>
                <c:ptCount val="53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  <c:pt idx="52">
                  <c:v>28878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34357024"/>
        <c:axId val="-1834356480"/>
      </c:lineChart>
      <c:catAx>
        <c:axId val="-183435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3435648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834356480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3435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3421404790001842E-2"/>
          <c:y val="0.81290084744453206"/>
          <c:w val="0.79492888788678295"/>
          <c:h val="0.166346805471855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3.8703495396408785E-2"/>
          <c:w val="0.78147912136044484"/>
          <c:h val="0.72974081763473364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1662</c:v>
                </c:pt>
                <c:pt idx="1">
                  <c:v>2160</c:v>
                </c:pt>
                <c:pt idx="2">
                  <c:v>3540</c:v>
                </c:pt>
                <c:pt idx="3">
                  <c:v>3482</c:v>
                </c:pt>
                <c:pt idx="4">
                  <c:v>3526</c:v>
                </c:pt>
                <c:pt idx="5">
                  <c:v>6182</c:v>
                </c:pt>
                <c:pt idx="6">
                  <c:v>4724</c:v>
                </c:pt>
                <c:pt idx="7">
                  <c:v>5522</c:v>
                </c:pt>
                <c:pt idx="8">
                  <c:v>5403</c:v>
                </c:pt>
                <c:pt idx="9">
                  <c:v>7241</c:v>
                </c:pt>
                <c:pt idx="10">
                  <c:v>9795</c:v>
                </c:pt>
                <c:pt idx="11">
                  <c:v>10636</c:v>
                </c:pt>
                <c:pt idx="12">
                  <c:v>10670</c:v>
                </c:pt>
                <c:pt idx="13">
                  <c:v>10687</c:v>
                </c:pt>
                <c:pt idx="14">
                  <c:v>14414</c:v>
                </c:pt>
                <c:pt idx="15">
                  <c:v>19173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1813</c:v>
                </c:pt>
                <c:pt idx="1">
                  <c:v>3027</c:v>
                </c:pt>
                <c:pt idx="2">
                  <c:v>3470</c:v>
                </c:pt>
                <c:pt idx="3">
                  <c:v>4639</c:v>
                </c:pt>
                <c:pt idx="4">
                  <c:v>3925</c:v>
                </c:pt>
                <c:pt idx="5">
                  <c:v>7358</c:v>
                </c:pt>
                <c:pt idx="6">
                  <c:v>4751</c:v>
                </c:pt>
                <c:pt idx="7">
                  <c:v>6405</c:v>
                </c:pt>
                <c:pt idx="8">
                  <c:v>7446</c:v>
                </c:pt>
                <c:pt idx="9">
                  <c:v>9340</c:v>
                </c:pt>
                <c:pt idx="10">
                  <c:v>12009</c:v>
                </c:pt>
                <c:pt idx="11">
                  <c:v>14048</c:v>
                </c:pt>
                <c:pt idx="12">
                  <c:v>12515</c:v>
                </c:pt>
                <c:pt idx="13">
                  <c:v>11678</c:v>
                </c:pt>
                <c:pt idx="14">
                  <c:v>14748</c:v>
                </c:pt>
                <c:pt idx="15">
                  <c:v>24259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1253</c:v>
                </c:pt>
                <c:pt idx="1">
                  <c:v>2029</c:v>
                </c:pt>
                <c:pt idx="2">
                  <c:v>2084</c:v>
                </c:pt>
                <c:pt idx="3">
                  <c:v>2254</c:v>
                </c:pt>
                <c:pt idx="4">
                  <c:v>3263</c:v>
                </c:pt>
                <c:pt idx="5">
                  <c:v>3343</c:v>
                </c:pt>
                <c:pt idx="6">
                  <c:v>3704</c:v>
                </c:pt>
                <c:pt idx="7">
                  <c:v>3892</c:v>
                </c:pt>
                <c:pt idx="8">
                  <c:v>4063</c:v>
                </c:pt>
                <c:pt idx="9">
                  <c:v>4753</c:v>
                </c:pt>
                <c:pt idx="10">
                  <c:v>6430</c:v>
                </c:pt>
                <c:pt idx="11">
                  <c:v>7024</c:v>
                </c:pt>
                <c:pt idx="12">
                  <c:v>7976</c:v>
                </c:pt>
                <c:pt idx="13">
                  <c:v>9558</c:v>
                </c:pt>
                <c:pt idx="14">
                  <c:v>9695</c:v>
                </c:pt>
                <c:pt idx="15">
                  <c:v>15827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834355392"/>
        <c:axId val="-1834357568"/>
      </c:barChart>
      <c:catAx>
        <c:axId val="-18343553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834357568"/>
        <c:crosses val="autoZero"/>
        <c:auto val="1"/>
        <c:lblAlgn val="ctr"/>
        <c:lblOffset val="100"/>
        <c:noMultiLvlLbl val="0"/>
      </c:catAx>
      <c:valAx>
        <c:axId val="-1834357568"/>
        <c:scaling>
          <c:orientation val="minMax"/>
          <c:max val="25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834355392"/>
        <c:crosses val="autoZero"/>
        <c:crossBetween val="between"/>
        <c:majorUnit val="25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059689080330187"/>
          <c:y val="0.85269261977173483"/>
          <c:w val="0.83688211129506873"/>
          <c:h val="0.141219252355360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STAT\maciosj</Osoba>
    <NazwaPliku xmlns="8C029B3F-2CC4-4A59-AF0D-A90575FA3373">residential_construction__in_the_period_of_i-v_2021.docx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DBF7B257-98A6-4D1A-9F5A-EF79A74F8051}"/>
</file>

<file path=customXml/itemProps3.xml><?xml version="1.0" encoding="utf-8"?>
<ds:datastoreItem xmlns:ds="http://schemas.openxmlformats.org/officeDocument/2006/customXml" ds:itemID="{621B02DD-DDB2-4AD8-8B5D-699E9831A7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January-May 2021</dc:title>
  <dc:subject>Residential construction</dc:subject>
  <dc:creator>Statistics Poland</dc:creator>
  <cp:keywords>dwellings completed; dwellings under construction; dwellings started; building permit; useful floor area</cp:keywords>
  <cp:lastPrinted>2021-02-17T13:06:00Z</cp:lastPrinted>
  <dcterms:created xsi:type="dcterms:W3CDTF">2021-06-18T05:37:00Z</dcterms:created>
  <dcterms:modified xsi:type="dcterms:W3CDTF">2021-06-18T05:37:00Z</dcterms:modified>
  <cp:category>Construction;Residential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LUB-OSB.6362.2.2021.11</vt:lpwstr>
  </property>
  <property fmtid="{D5CDD505-2E9C-101B-9397-08002B2CF9AE}" pid="4" name="UNPPisma">
    <vt:lpwstr>2021-162444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starszy statystyk</vt:lpwstr>
  </property>
  <property fmtid="{D5CDD505-2E9C-101B-9397-08002B2CF9AE}" pid="11" name="OpisPisma">
    <vt:lpwstr>Informacja sygnalna Budownictwo mieszkaniowe I-V 2021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2021-06-18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