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CE2C76" w14:textId="4ACA0E29" w:rsidR="0098135C" w:rsidRPr="004829B9" w:rsidRDefault="0044258C" w:rsidP="00074DD8">
      <w:pPr>
        <w:pStyle w:val="tytuinformacji"/>
        <w:rPr>
          <w:sz w:val="48"/>
          <w:szCs w:val="40"/>
          <w:shd w:val="clear" w:color="auto" w:fill="FFFFFF"/>
          <w:lang w:val="en-GB"/>
        </w:rPr>
      </w:pPr>
      <w:r w:rsidRPr="004829B9">
        <w:rPr>
          <w:szCs w:val="32"/>
          <w:lang w:val="en-GB"/>
        </w:rPr>
        <w:t>Residential construction</w:t>
      </w:r>
      <w:r w:rsidR="00A05A3A" w:rsidRPr="004829B9">
        <w:rPr>
          <w:rStyle w:val="Odwoanieprzypisudolnego"/>
          <w:szCs w:val="32"/>
          <w:lang w:val="en-GB"/>
        </w:rPr>
        <w:footnoteReference w:id="1"/>
      </w:r>
      <w:r w:rsidR="008B2394" w:rsidRPr="004829B9">
        <w:rPr>
          <w:szCs w:val="32"/>
          <w:lang w:val="en-GB"/>
        </w:rPr>
        <w:t xml:space="preserve"> in </w:t>
      </w:r>
      <w:r w:rsidR="0079134B">
        <w:rPr>
          <w:szCs w:val="32"/>
          <w:lang w:val="en-GB"/>
        </w:rPr>
        <w:t>the period of I-</w:t>
      </w:r>
      <w:r w:rsidR="00D92898">
        <w:rPr>
          <w:szCs w:val="32"/>
          <w:lang w:val="en-GB"/>
        </w:rPr>
        <w:t>II</w:t>
      </w:r>
      <w:r w:rsidR="0079134B">
        <w:rPr>
          <w:szCs w:val="32"/>
          <w:lang w:val="en-GB"/>
        </w:rPr>
        <w:t>I</w:t>
      </w:r>
      <w:r w:rsidR="003D4820" w:rsidRPr="003D4820">
        <w:rPr>
          <w:szCs w:val="32"/>
          <w:lang w:val="en-GB"/>
        </w:rPr>
        <w:t xml:space="preserve"> </w:t>
      </w:r>
      <w:r w:rsidR="003D4820">
        <w:rPr>
          <w:szCs w:val="32"/>
          <w:shd w:val="clear" w:color="auto" w:fill="FFFFFF"/>
          <w:lang w:val="en-GB"/>
        </w:rPr>
        <w:t>2021</w:t>
      </w:r>
    </w:p>
    <w:p w14:paraId="138C7713" w14:textId="77777777" w:rsidR="00393761" w:rsidRPr="004829B9" w:rsidRDefault="005F302D" w:rsidP="00074DD8">
      <w:pPr>
        <w:pStyle w:val="tytuinformacji"/>
        <w:rPr>
          <w:b/>
          <w:szCs w:val="40"/>
          <w:lang w:val="en-GB"/>
        </w:rPr>
      </w:pPr>
      <w:r w:rsidRPr="004829B9">
        <w:rPr>
          <w:rFonts w:ascii="Fira Sans" w:hAnsi="Fira Sans"/>
          <w:b/>
          <w:noProof/>
          <w:color w:val="212492"/>
          <w:spacing w:val="-2"/>
          <w:szCs w:val="40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5B252253" wp14:editId="3AA2B3BA">
                <wp:simplePos x="0" y="0"/>
                <wp:positionH relativeFrom="column">
                  <wp:posOffset>5234305</wp:posOffset>
                </wp:positionH>
                <wp:positionV relativeFrom="paragraph">
                  <wp:posOffset>288925</wp:posOffset>
                </wp:positionV>
                <wp:extent cx="1725295" cy="598805"/>
                <wp:effectExtent l="0" t="0" r="0" b="0"/>
                <wp:wrapTight wrapText="bothSides">
                  <wp:wrapPolygon edited="0">
                    <wp:start x="715" y="0"/>
                    <wp:lineTo x="715" y="20615"/>
                    <wp:lineTo x="20749" y="20615"/>
                    <wp:lineTo x="20749" y="0"/>
                    <wp:lineTo x="715" y="0"/>
                  </wp:wrapPolygon>
                </wp:wrapTight>
                <wp:docPr id="1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5988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E9AF23" w14:textId="77777777" w:rsidR="00574E89" w:rsidRPr="004466B1" w:rsidRDefault="00574E89" w:rsidP="00074DD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252253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2.15pt;margin-top:22.75pt;width:135.85pt;height:47.1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" filled="f" stroked="f">
                <v:textbox>
                  <w:txbxContent>
                    <w:p w14:paraId="47E9AF23" w14:textId="77777777" w:rsidR="00574E89" w:rsidRPr="004466B1" w:rsidRDefault="00574E89" w:rsidP="00074DD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0EC0BCF7" w14:textId="11959DA6" w:rsidR="00095A18" w:rsidRPr="004829B9" w:rsidRDefault="005F302D" w:rsidP="00896EB9">
      <w:pPr>
        <w:pStyle w:val="LID"/>
        <w:rPr>
          <w:lang w:val="en-GB"/>
        </w:rPr>
      </w:pPr>
      <w:r w:rsidRPr="004829B9"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ED5BDCA" wp14:editId="38DEB258">
                <wp:simplePos x="0" y="0"/>
                <wp:positionH relativeFrom="margin">
                  <wp:align>left</wp:align>
                </wp:positionH>
                <wp:positionV relativeFrom="paragraph">
                  <wp:posOffset>83185</wp:posOffset>
                </wp:positionV>
                <wp:extent cx="1828800" cy="1045845"/>
                <wp:effectExtent l="0" t="0" r="0" b="1905"/>
                <wp:wrapSquare wrapText="bothSides"/>
                <wp:docPr id="1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04584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C185F8" w14:textId="77777777" w:rsidR="00574E89" w:rsidRPr="00612A93" w:rsidRDefault="00574E89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GB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38161D88" wp14:editId="4377BF9A">
                                  <wp:extent cx="335280" cy="335280"/>
                                  <wp:effectExtent l="0" t="0" r="7620" b="7620"/>
                                  <wp:docPr id="21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5280" cy="3352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612A93">
                              <w:rPr>
                                <w:noProof/>
                                <w:color w:val="001D77"/>
                                <w:lang w:val="en-GB" w:eastAsia="pl-PL"/>
                              </w:rPr>
                              <w:t xml:space="preserve"> </w:t>
                            </w:r>
                            <w:r w:rsidRPr="00612A93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GB"/>
                              </w:rPr>
                              <w:t>100,5</w:t>
                            </w:r>
                          </w:p>
                          <w:p w14:paraId="173D3CF5" w14:textId="77777777" w:rsidR="00574E89" w:rsidRPr="00F64AC1" w:rsidRDefault="00574E89" w:rsidP="00074DD8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US"/>
                              </w:rPr>
                            </w:pPr>
                            <w:r w:rsidRPr="00F64AC1">
                              <w:rPr>
                                <w:lang w:val="en-US"/>
                              </w:rPr>
                              <w:t>Lorem ipsum dolor sit amet, consectetur adipiscing elit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D5BDCA" id="_x0000_s1027" type="#_x0000_t202" style="position:absolute;margin-left:0;margin-top:6.55pt;width:2in;height:82.3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" fillcolor="#001d77" stroked="f">
                <v:textbox>
                  <w:txbxContent>
                    <w:p w14:paraId="2CC185F8" w14:textId="77777777" w:rsidR="00574E89" w:rsidRPr="00612A93" w:rsidRDefault="00574E89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GB"/>
                        </w:rPr>
                      </w:pPr>
                      <w:r>
                        <w:rPr>
                          <w:rFonts w:asciiTheme="minorHAnsi" w:hAnsiTheme="minorHAnsi"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38161D88" wp14:editId="4377BF9A">
                            <wp:extent cx="335280" cy="335280"/>
                            <wp:effectExtent l="0" t="0" r="7620" b="7620"/>
                            <wp:docPr id="21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5280" cy="3352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612A93">
                        <w:rPr>
                          <w:noProof/>
                          <w:color w:val="001D77"/>
                          <w:lang w:val="en-GB" w:eastAsia="pl-PL"/>
                        </w:rPr>
                        <w:t xml:space="preserve"> </w:t>
                      </w:r>
                      <w:r w:rsidRPr="00612A93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GB"/>
                        </w:rPr>
                        <w:t>100,5</w:t>
                      </w:r>
                    </w:p>
                    <w:p w14:paraId="173D3CF5" w14:textId="77777777" w:rsidR="00574E89" w:rsidRPr="00F64AC1" w:rsidRDefault="00574E89" w:rsidP="00074DD8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  <w:lang w:val="en-US"/>
                        </w:rPr>
                      </w:pPr>
                      <w:r w:rsidRPr="00F64AC1">
                        <w:rPr>
                          <w:lang w:val="en-US"/>
                        </w:rPr>
                        <w:t>Lorem ipsum dolor sit amet, consectetur adipiscing elit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4829B9">
        <mc:AlternateContent>
          <mc:Choice Requires="wps">
            <w:drawing>
              <wp:anchor distT="45720" distB="45720" distL="114300" distR="114300" simplePos="0" relativeHeight="251737088" behindDoc="0" locked="0" layoutInCell="1" allowOverlap="1" wp14:anchorId="526CAA24" wp14:editId="2DC80E8E">
                <wp:simplePos x="0" y="0"/>
                <wp:positionH relativeFrom="margin">
                  <wp:align>left</wp:align>
                </wp:positionH>
                <wp:positionV relativeFrom="paragraph">
                  <wp:posOffset>83185</wp:posOffset>
                </wp:positionV>
                <wp:extent cx="1824990" cy="1035685"/>
                <wp:effectExtent l="0" t="0" r="381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4990" cy="103568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FD5284" w14:textId="2A4FCE67" w:rsidR="00574E89" w:rsidRPr="002C751B" w:rsidRDefault="00574E89" w:rsidP="004466B1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52"/>
                                <w:szCs w:val="52"/>
                                <w:lang w:val="en-GB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4BEB3A4B" wp14:editId="2EEE19CB">
                                  <wp:extent cx="334699" cy="317472"/>
                                  <wp:effectExtent l="0" t="0" r="8255" b="6985"/>
                                  <wp:docPr id="42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0800000" flipV="1">
                                            <a:off x="0" y="0"/>
                                            <a:ext cx="401294" cy="3806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  <w:lang w:val="en-GB"/>
                              </w:rPr>
                              <w:t>107.4</w:t>
                            </w:r>
                          </w:p>
                          <w:p w14:paraId="4A535B62" w14:textId="2AEDB9F7" w:rsidR="00574E89" w:rsidRPr="002C751B" w:rsidRDefault="00574E89" w:rsidP="004466B1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Index</w:t>
                            </w:r>
                            <w:r w:rsidRPr="001D3843">
                              <w:rPr>
                                <w:lang w:val="en-US"/>
                              </w:rPr>
                              <w:t xml:space="preserve"> num</w:t>
                            </w:r>
                            <w:r>
                              <w:rPr>
                                <w:lang w:val="en-US"/>
                              </w:rPr>
                              <w:t>ber</w:t>
                            </w:r>
                            <w:r w:rsidRPr="001D3843">
                              <w:rPr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lang w:val="en-US"/>
                              </w:rPr>
                              <w:t xml:space="preserve">of </w:t>
                            </w:r>
                            <w:r w:rsidRPr="001D3843">
                              <w:rPr>
                                <w:lang w:val="en-US"/>
                              </w:rPr>
                              <w:t xml:space="preserve">dwellings </w:t>
                            </w:r>
                            <w:r>
                              <w:rPr>
                                <w:lang w:val="en-US"/>
                              </w:rPr>
                              <w:t>completed y/y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6CAA24" id="_x0000_s1028" type="#_x0000_t202" style="position:absolute;margin-left:0;margin-top:6.55pt;width:143.7pt;height:81.55pt;z-index:2517370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" fillcolor="#001d77" stroked="f">
                <v:textbox>
                  <w:txbxContent>
                    <w:p w14:paraId="0DFD5284" w14:textId="2A4FCE67" w:rsidR="00574E89" w:rsidRPr="002C751B" w:rsidRDefault="00574E89" w:rsidP="004466B1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52"/>
                          <w:szCs w:val="52"/>
                          <w:lang w:val="en-GB"/>
                        </w:rPr>
                      </w:pPr>
                      <w:r>
                        <w:rPr>
                          <w:rFonts w:asciiTheme="minorHAnsi" w:hAnsiTheme="minorHAnsi"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4BEB3A4B" wp14:editId="2EEE19CB">
                            <wp:extent cx="334699" cy="317472"/>
                            <wp:effectExtent l="0" t="0" r="8255" b="6985"/>
                            <wp:docPr id="42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0800000" flipV="1">
                                      <a:off x="0" y="0"/>
                                      <a:ext cx="401294" cy="3806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  <w:lang w:val="en-GB"/>
                        </w:rPr>
                        <w:t>107.4</w:t>
                      </w:r>
                    </w:p>
                    <w:p w14:paraId="4A535B62" w14:textId="2AEDB9F7" w:rsidR="00574E89" w:rsidRPr="002C751B" w:rsidRDefault="00574E89" w:rsidP="004466B1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  <w:lang w:val="en-GB"/>
                        </w:rPr>
                      </w:pPr>
                      <w:r>
                        <w:rPr>
                          <w:lang w:val="en-US"/>
                        </w:rPr>
                        <w:t>Index</w:t>
                      </w:r>
                      <w:r w:rsidRPr="001D3843">
                        <w:rPr>
                          <w:lang w:val="en-US"/>
                        </w:rPr>
                        <w:t xml:space="preserve"> num</w:t>
                      </w:r>
                      <w:r>
                        <w:rPr>
                          <w:lang w:val="en-US"/>
                        </w:rPr>
                        <w:t>ber</w:t>
                      </w:r>
                      <w:r w:rsidRPr="001D3843">
                        <w:rPr>
                          <w:lang w:val="en-US"/>
                        </w:rPr>
                        <w:t xml:space="preserve"> </w:t>
                      </w:r>
                      <w:r>
                        <w:rPr>
                          <w:lang w:val="en-US"/>
                        </w:rPr>
                        <w:t xml:space="preserve">of </w:t>
                      </w:r>
                      <w:r w:rsidRPr="001D3843">
                        <w:rPr>
                          <w:lang w:val="en-US"/>
                        </w:rPr>
                        <w:t xml:space="preserve">dwellings </w:t>
                      </w:r>
                      <w:r>
                        <w:rPr>
                          <w:lang w:val="en-US"/>
                        </w:rPr>
                        <w:t>completed y/y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D1492" w:rsidRPr="004829B9">
        <w:rPr>
          <w:lang w:val="en-GB"/>
        </w:rPr>
        <w:t xml:space="preserve">In </w:t>
      </w:r>
      <w:r w:rsidR="00D92898">
        <w:rPr>
          <w:lang w:val="en-GB"/>
        </w:rPr>
        <w:t>the</w:t>
      </w:r>
      <w:r w:rsidR="0079134B">
        <w:rPr>
          <w:lang w:val="en-GB"/>
        </w:rPr>
        <w:t xml:space="preserve"> first </w:t>
      </w:r>
      <w:r w:rsidR="00D92898">
        <w:rPr>
          <w:lang w:val="en-GB"/>
        </w:rPr>
        <w:t>quarter</w:t>
      </w:r>
      <w:r w:rsidR="0079134B">
        <w:rPr>
          <w:lang w:val="en-GB"/>
        </w:rPr>
        <w:t xml:space="preserve"> of</w:t>
      </w:r>
      <w:r w:rsidR="003D4820">
        <w:rPr>
          <w:lang w:val="en-GB"/>
        </w:rPr>
        <w:t xml:space="preserve"> 2021</w:t>
      </w:r>
      <w:r w:rsidR="004829B9">
        <w:rPr>
          <w:lang w:val="en-GB"/>
        </w:rPr>
        <w:t>,</w:t>
      </w:r>
      <w:r w:rsidR="00AD1492" w:rsidRPr="004829B9">
        <w:rPr>
          <w:lang w:val="en-GB"/>
        </w:rPr>
        <w:t xml:space="preserve"> there were </w:t>
      </w:r>
      <w:r w:rsidR="00D92898">
        <w:rPr>
          <w:lang w:val="en-GB"/>
        </w:rPr>
        <w:t>more</w:t>
      </w:r>
      <w:r w:rsidR="00AD1492" w:rsidRPr="004829B9">
        <w:rPr>
          <w:lang w:val="en-GB"/>
        </w:rPr>
        <w:t xml:space="preserve"> dwellings completed than the year before. </w:t>
      </w:r>
      <w:r w:rsidR="00D14E83">
        <w:rPr>
          <w:lang w:val="en-GB"/>
        </w:rPr>
        <w:t xml:space="preserve">The </w:t>
      </w:r>
      <w:r w:rsidR="00D92898">
        <w:rPr>
          <w:lang w:val="en-GB"/>
        </w:rPr>
        <w:t xml:space="preserve">number of </w:t>
      </w:r>
      <w:r w:rsidR="00D92898" w:rsidRPr="00D92898">
        <w:rPr>
          <w:lang w:val="en-GB"/>
        </w:rPr>
        <w:t xml:space="preserve">dwellings for which permits have been granted or which have been registered with a construction project </w:t>
      </w:r>
      <w:r w:rsidR="00D92898">
        <w:rPr>
          <w:lang w:val="en-GB"/>
        </w:rPr>
        <w:t xml:space="preserve">as well as </w:t>
      </w:r>
      <w:r w:rsidR="00D14E83" w:rsidRPr="00D14E83">
        <w:rPr>
          <w:lang w:val="en-GB"/>
        </w:rPr>
        <w:t xml:space="preserve">dwellings in which construction has begun </w:t>
      </w:r>
      <w:r w:rsidR="00D92898">
        <w:rPr>
          <w:lang w:val="en-GB"/>
        </w:rPr>
        <w:t>also in</w:t>
      </w:r>
      <w:r w:rsidR="00D14E83">
        <w:rPr>
          <w:lang w:val="en-GB"/>
        </w:rPr>
        <w:t>creased</w:t>
      </w:r>
      <w:r w:rsidR="00D92898">
        <w:rPr>
          <w:lang w:val="en-GB"/>
        </w:rPr>
        <w:t>.</w:t>
      </w:r>
    </w:p>
    <w:p w14:paraId="131E17E4" w14:textId="77777777" w:rsidR="000D348A" w:rsidRPr="004829B9" w:rsidRDefault="00074DD8" w:rsidP="000D348A">
      <w:pPr>
        <w:pStyle w:val="LID"/>
        <w:jc w:val="both"/>
        <w:rPr>
          <w:shd w:val="clear" w:color="auto" w:fill="FFFFFF"/>
          <w:lang w:val="en-GB"/>
        </w:rPr>
      </w:pPr>
      <w:r w:rsidRPr="004829B9">
        <w:rPr>
          <w:shd w:val="clear" w:color="auto" w:fill="FFFFFF"/>
          <w:lang w:val="en-GB"/>
        </w:rPr>
        <w:t xml:space="preserve"> </w:t>
      </w:r>
    </w:p>
    <w:p w14:paraId="0487363C" w14:textId="6FCA3159" w:rsidR="000D348A" w:rsidRPr="004829B9" w:rsidRDefault="000D348A" w:rsidP="000D348A">
      <w:pPr>
        <w:pStyle w:val="LID"/>
        <w:jc w:val="both"/>
        <w:rPr>
          <w:shd w:val="clear" w:color="auto" w:fill="FFFFFF"/>
          <w:lang w:val="en-GB"/>
        </w:rPr>
      </w:pPr>
    </w:p>
    <w:p w14:paraId="52385C4F" w14:textId="3AD4051D" w:rsidR="00C733A3" w:rsidRPr="004829B9" w:rsidRDefault="00A87439" w:rsidP="000D348A">
      <w:pPr>
        <w:pStyle w:val="LID"/>
        <w:jc w:val="both"/>
        <w:rPr>
          <w:b w:val="0"/>
          <w:shd w:val="clear" w:color="auto" w:fill="FFFFFF"/>
          <w:lang w:val="en-GB"/>
        </w:rPr>
      </w:pPr>
      <w:r w:rsidRPr="004829B9">
        <w:rPr>
          <w:rFonts w:ascii="Fira Sans SemiBold" w:hAnsi="Fira Sans SemiBold"/>
          <w:b w:val="0"/>
          <w:color w:val="001D77"/>
          <w:spacing w:val="-2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6EE33181" wp14:editId="1188E4D7">
                <wp:simplePos x="0" y="0"/>
                <wp:positionH relativeFrom="rightMargin">
                  <wp:posOffset>113665</wp:posOffset>
                </wp:positionH>
                <wp:positionV relativeFrom="paragraph">
                  <wp:posOffset>81915</wp:posOffset>
                </wp:positionV>
                <wp:extent cx="1715135" cy="990600"/>
                <wp:effectExtent l="0" t="0" r="0" b="0"/>
                <wp:wrapTight wrapText="bothSides">
                  <wp:wrapPolygon edited="0">
                    <wp:start x="720" y="0"/>
                    <wp:lineTo x="720" y="21185"/>
                    <wp:lineTo x="20632" y="21185"/>
                    <wp:lineTo x="20632" y="0"/>
                    <wp:lineTo x="720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5135" cy="990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217834" w14:textId="0F2BC5B7" w:rsidR="00574E89" w:rsidRPr="00AD1492" w:rsidRDefault="00574E89" w:rsidP="00AD1492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Developers and private investors completed respectively 57.0% and 40.8% of the total number of dwellings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E33181" id="_x0000_s1029" type="#_x0000_t202" style="position:absolute;left:0;text-align:left;margin-left:8.95pt;margin-top:6.45pt;width:135.05pt;height:78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" filled="f" stroked="f">
                <v:textbox>
                  <w:txbxContent>
                    <w:p w14:paraId="55217834" w14:textId="0F2BC5B7" w:rsidR="00574E89" w:rsidRPr="00AD1492" w:rsidRDefault="00574E89" w:rsidP="00AD1492">
                      <w:pPr>
                        <w:pStyle w:val="tekstzboku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Developers and private investors completed respectively 57.0% and 40.8% of the total number of dwellings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C733A3" w:rsidRPr="004829B9">
        <w:rPr>
          <w:rFonts w:ascii="Fira Sans SemiBold" w:hAnsi="Fira Sans SemiBold"/>
          <w:b w:val="0"/>
          <w:color w:val="001D77"/>
          <w:spacing w:val="-4"/>
          <w:shd w:val="clear" w:color="auto" w:fill="FFFFFF"/>
          <w:lang w:val="en-GB"/>
        </w:rPr>
        <w:t>Dwellings completed</w:t>
      </w:r>
    </w:p>
    <w:p w14:paraId="573A2B99" w14:textId="754EE42C" w:rsidR="0042048D" w:rsidRPr="004829B9" w:rsidRDefault="00AD1492" w:rsidP="00896EB9">
      <w:pPr>
        <w:rPr>
          <w:spacing w:val="-4"/>
          <w:shd w:val="clear" w:color="auto" w:fill="FFFFFF"/>
          <w:lang w:val="en-GB"/>
        </w:rPr>
      </w:pPr>
      <w:r w:rsidRPr="004829B9">
        <w:rPr>
          <w:spacing w:val="-4"/>
          <w:shd w:val="clear" w:color="auto" w:fill="FFFFFF"/>
          <w:lang w:val="en-GB"/>
        </w:rPr>
        <w:t xml:space="preserve">According </w:t>
      </w:r>
      <w:r w:rsidR="00C733A3" w:rsidRPr="004829B9">
        <w:rPr>
          <w:spacing w:val="-4"/>
          <w:shd w:val="clear" w:color="auto" w:fill="FFFFFF"/>
          <w:lang w:val="en-GB"/>
        </w:rPr>
        <w:t xml:space="preserve">to </w:t>
      </w:r>
      <w:r w:rsidR="00F54505" w:rsidRPr="004829B9">
        <w:rPr>
          <w:spacing w:val="-4"/>
          <w:shd w:val="clear" w:color="auto" w:fill="FFFFFF"/>
          <w:lang w:val="en-GB"/>
        </w:rPr>
        <w:t xml:space="preserve">the </w:t>
      </w:r>
      <w:r w:rsidR="00111FD5" w:rsidRPr="004829B9">
        <w:rPr>
          <w:spacing w:val="-4"/>
          <w:shd w:val="clear" w:color="auto" w:fill="FFFFFF"/>
          <w:lang w:val="en-GB"/>
        </w:rPr>
        <w:t xml:space="preserve">preliminary </w:t>
      </w:r>
      <w:r w:rsidR="00A72CF4" w:rsidRPr="004829B9">
        <w:rPr>
          <w:spacing w:val="-4"/>
          <w:shd w:val="clear" w:color="auto" w:fill="FFFFFF"/>
          <w:lang w:val="en-GB"/>
        </w:rPr>
        <w:t xml:space="preserve">data, </w:t>
      </w:r>
      <w:r w:rsidR="00D92898">
        <w:rPr>
          <w:spacing w:val="-4"/>
          <w:shd w:val="clear" w:color="auto" w:fill="FFFFFF"/>
          <w:lang w:val="en-GB"/>
        </w:rPr>
        <w:t>5</w:t>
      </w:r>
      <w:r w:rsidR="00D14E83">
        <w:rPr>
          <w:spacing w:val="-4"/>
          <w:shd w:val="clear" w:color="auto" w:fill="FFFFFF"/>
          <w:lang w:val="en-GB"/>
        </w:rPr>
        <w:t>3</w:t>
      </w:r>
      <w:r w:rsidR="00372328">
        <w:rPr>
          <w:spacing w:val="-4"/>
          <w:shd w:val="clear" w:color="auto" w:fill="FFFFFF"/>
          <w:lang w:val="en-GB"/>
        </w:rPr>
        <w:t>.</w:t>
      </w:r>
      <w:r w:rsidR="00D92898">
        <w:rPr>
          <w:spacing w:val="-4"/>
          <w:shd w:val="clear" w:color="auto" w:fill="FFFFFF"/>
          <w:lang w:val="en-GB"/>
        </w:rPr>
        <w:t>3</w:t>
      </w:r>
      <w:r w:rsidR="00372328" w:rsidRPr="00372328">
        <w:rPr>
          <w:spacing w:val="-4"/>
          <w:shd w:val="clear" w:color="auto" w:fill="FFFFFF"/>
          <w:lang w:val="en-GB"/>
        </w:rPr>
        <w:t xml:space="preserve"> </w:t>
      </w:r>
      <w:r w:rsidR="00C733A3" w:rsidRPr="004829B9">
        <w:rPr>
          <w:spacing w:val="-4"/>
          <w:shd w:val="clear" w:color="auto" w:fill="FFFFFF"/>
          <w:lang w:val="en-GB"/>
        </w:rPr>
        <w:t>thous</w:t>
      </w:r>
      <w:r w:rsidR="004829B9">
        <w:rPr>
          <w:spacing w:val="-4"/>
          <w:shd w:val="clear" w:color="auto" w:fill="FFFFFF"/>
          <w:lang w:val="en-GB"/>
        </w:rPr>
        <w:t>and</w:t>
      </w:r>
      <w:r w:rsidR="00C733A3" w:rsidRPr="004829B9">
        <w:rPr>
          <w:spacing w:val="-4"/>
          <w:shd w:val="clear" w:color="auto" w:fill="FFFFFF"/>
          <w:lang w:val="en-GB"/>
        </w:rPr>
        <w:t xml:space="preserve"> dwellings were co</w:t>
      </w:r>
      <w:r w:rsidR="008B2394" w:rsidRPr="004829B9">
        <w:rPr>
          <w:spacing w:val="-4"/>
          <w:shd w:val="clear" w:color="auto" w:fill="FFFFFF"/>
          <w:lang w:val="en-GB"/>
        </w:rPr>
        <w:t xml:space="preserve">mpleted </w:t>
      </w:r>
      <w:r w:rsidR="004B638F">
        <w:rPr>
          <w:spacing w:val="-4"/>
          <w:shd w:val="clear" w:color="auto" w:fill="FFFFFF"/>
          <w:lang w:val="en-GB"/>
        </w:rPr>
        <w:t xml:space="preserve">in the </w:t>
      </w:r>
      <w:r w:rsidR="00D14E83">
        <w:rPr>
          <w:spacing w:val="-4"/>
          <w:shd w:val="clear" w:color="auto" w:fill="FFFFFF"/>
          <w:lang w:val="en-GB"/>
        </w:rPr>
        <w:t>period</w:t>
      </w:r>
      <w:r w:rsidR="004B638F" w:rsidRPr="004B638F">
        <w:rPr>
          <w:spacing w:val="-4"/>
          <w:shd w:val="clear" w:color="auto" w:fill="FFFFFF"/>
          <w:lang w:val="en-GB"/>
        </w:rPr>
        <w:t xml:space="preserve"> of</w:t>
      </w:r>
      <w:r w:rsidR="00D14E83">
        <w:rPr>
          <w:spacing w:val="-4"/>
          <w:shd w:val="clear" w:color="auto" w:fill="FFFFFF"/>
          <w:lang w:val="en-GB"/>
        </w:rPr>
        <w:t xml:space="preserve"> January-</w:t>
      </w:r>
      <w:r w:rsidR="00D92898">
        <w:rPr>
          <w:spacing w:val="-4"/>
          <w:shd w:val="clear" w:color="auto" w:fill="FFFFFF"/>
          <w:lang w:val="en-GB"/>
        </w:rPr>
        <w:t>March</w:t>
      </w:r>
      <w:r w:rsidR="004B638F" w:rsidRPr="004B638F">
        <w:rPr>
          <w:spacing w:val="-4"/>
          <w:shd w:val="clear" w:color="auto" w:fill="FFFFFF"/>
          <w:lang w:val="en-GB"/>
        </w:rPr>
        <w:t xml:space="preserve"> 2021</w:t>
      </w:r>
      <w:r w:rsidR="009664CD" w:rsidRPr="004829B9">
        <w:rPr>
          <w:spacing w:val="-4"/>
          <w:shd w:val="clear" w:color="auto" w:fill="FFFFFF"/>
          <w:lang w:val="en-GB"/>
        </w:rPr>
        <w:t xml:space="preserve">, i.e. by </w:t>
      </w:r>
      <w:r w:rsidR="00D92898">
        <w:rPr>
          <w:spacing w:val="-4"/>
          <w:shd w:val="clear" w:color="auto" w:fill="FFFFFF"/>
          <w:lang w:val="en-GB"/>
        </w:rPr>
        <w:t>7.4</w:t>
      </w:r>
      <w:r w:rsidR="00C733A3" w:rsidRPr="004829B9">
        <w:rPr>
          <w:spacing w:val="-4"/>
          <w:shd w:val="clear" w:color="auto" w:fill="FFFFFF"/>
          <w:lang w:val="en-GB"/>
        </w:rPr>
        <w:t xml:space="preserve">% </w:t>
      </w:r>
      <w:r w:rsidR="00D92898">
        <w:rPr>
          <w:spacing w:val="-4"/>
          <w:shd w:val="clear" w:color="auto" w:fill="FFFFFF"/>
          <w:lang w:val="en-GB"/>
        </w:rPr>
        <w:t>more</w:t>
      </w:r>
      <w:r w:rsidR="00C733A3" w:rsidRPr="004829B9">
        <w:rPr>
          <w:spacing w:val="-4"/>
          <w:shd w:val="clear" w:color="auto" w:fill="FFFFFF"/>
          <w:lang w:val="en-GB"/>
        </w:rPr>
        <w:t xml:space="preserve"> than </w:t>
      </w:r>
      <w:r w:rsidR="00CD7B5E">
        <w:rPr>
          <w:spacing w:val="-4"/>
          <w:shd w:val="clear" w:color="auto" w:fill="FFFFFF"/>
          <w:lang w:val="en-GB"/>
        </w:rPr>
        <w:t>a year ago</w:t>
      </w:r>
      <w:r w:rsidR="00C733A3" w:rsidRPr="004829B9">
        <w:rPr>
          <w:spacing w:val="-4"/>
          <w:shd w:val="clear" w:color="auto" w:fill="FFFFFF"/>
          <w:lang w:val="en-GB"/>
        </w:rPr>
        <w:t xml:space="preserve">. </w:t>
      </w:r>
      <w:r w:rsidR="00C733A3" w:rsidRPr="004829B9">
        <w:rPr>
          <w:b/>
          <w:spacing w:val="-4"/>
          <w:shd w:val="clear" w:color="auto" w:fill="FFFFFF"/>
          <w:lang w:val="en-GB"/>
        </w:rPr>
        <w:t>Developers</w:t>
      </w:r>
      <w:r w:rsidR="0058073C" w:rsidRPr="004829B9">
        <w:rPr>
          <w:spacing w:val="-4"/>
          <w:shd w:val="clear" w:color="auto" w:fill="FFFFFF"/>
          <w:lang w:val="en-GB"/>
        </w:rPr>
        <w:t xml:space="preserve"> </w:t>
      </w:r>
      <w:r w:rsidR="00C733A3" w:rsidRPr="004829B9">
        <w:rPr>
          <w:spacing w:val="-4"/>
          <w:shd w:val="clear" w:color="auto" w:fill="FFFFFF"/>
          <w:lang w:val="en-GB"/>
        </w:rPr>
        <w:t xml:space="preserve">completed </w:t>
      </w:r>
      <w:r w:rsidR="00D92898">
        <w:rPr>
          <w:spacing w:val="-4"/>
          <w:shd w:val="clear" w:color="auto" w:fill="FFFFFF"/>
          <w:lang w:val="en-GB"/>
        </w:rPr>
        <w:t>30</w:t>
      </w:r>
      <w:r w:rsidR="00372328">
        <w:rPr>
          <w:spacing w:val="-4"/>
          <w:shd w:val="clear" w:color="auto" w:fill="FFFFFF"/>
          <w:lang w:val="en-GB"/>
        </w:rPr>
        <w:t>.</w:t>
      </w:r>
      <w:r w:rsidR="00D92898">
        <w:rPr>
          <w:spacing w:val="-4"/>
          <w:shd w:val="clear" w:color="auto" w:fill="FFFFFF"/>
          <w:lang w:val="en-GB"/>
        </w:rPr>
        <w:t>4</w:t>
      </w:r>
      <w:r w:rsidR="00372328" w:rsidRPr="00372328">
        <w:rPr>
          <w:spacing w:val="-4"/>
          <w:shd w:val="clear" w:color="auto" w:fill="FFFFFF"/>
          <w:lang w:val="en-GB"/>
        </w:rPr>
        <w:t xml:space="preserve"> </w:t>
      </w:r>
      <w:r w:rsidR="00A72CF4" w:rsidRPr="004829B9">
        <w:rPr>
          <w:spacing w:val="-4"/>
          <w:shd w:val="clear" w:color="auto" w:fill="FFFFFF"/>
          <w:lang w:val="en-GB"/>
        </w:rPr>
        <w:t>thous</w:t>
      </w:r>
      <w:r w:rsidR="002C751B">
        <w:rPr>
          <w:spacing w:val="-4"/>
          <w:shd w:val="clear" w:color="auto" w:fill="FFFFFF"/>
          <w:lang w:val="en-GB"/>
        </w:rPr>
        <w:t>a</w:t>
      </w:r>
      <w:r w:rsidR="004829B9">
        <w:rPr>
          <w:spacing w:val="-4"/>
          <w:shd w:val="clear" w:color="auto" w:fill="FFFFFF"/>
          <w:lang w:val="en-GB"/>
        </w:rPr>
        <w:t>nd</w:t>
      </w:r>
      <w:r w:rsidR="00A72CF4" w:rsidRPr="004829B9">
        <w:rPr>
          <w:spacing w:val="-4"/>
          <w:shd w:val="clear" w:color="auto" w:fill="FFFFFF"/>
          <w:lang w:val="en-GB"/>
        </w:rPr>
        <w:t xml:space="preserve"> dwellings </w:t>
      </w:r>
      <w:r w:rsidR="00243A60">
        <w:rPr>
          <w:spacing w:val="-4"/>
          <w:shd w:val="clear" w:color="auto" w:fill="FFFFFF"/>
          <w:lang w:val="en-GB"/>
        </w:rPr>
        <w:t xml:space="preserve">– </w:t>
      </w:r>
      <w:r w:rsidR="00016549" w:rsidRPr="00314007">
        <w:rPr>
          <w:spacing w:val="-4"/>
          <w:shd w:val="clear" w:color="auto" w:fill="FFFFFF"/>
          <w:lang w:val="en-GB"/>
        </w:rPr>
        <w:t>by</w:t>
      </w:r>
      <w:r w:rsidR="004B638F">
        <w:rPr>
          <w:color w:val="00B0F0"/>
          <w:spacing w:val="-4"/>
          <w:shd w:val="clear" w:color="auto" w:fill="FFFFFF"/>
          <w:lang w:val="en-GB"/>
        </w:rPr>
        <w:t> </w:t>
      </w:r>
      <w:r w:rsidR="00D92898">
        <w:rPr>
          <w:spacing w:val="-4"/>
          <w:shd w:val="clear" w:color="auto" w:fill="FFFFFF"/>
          <w:lang w:val="en-GB"/>
        </w:rPr>
        <w:t>1.2</w:t>
      </w:r>
      <w:r w:rsidR="000E65E1" w:rsidRPr="004829B9">
        <w:rPr>
          <w:spacing w:val="-4"/>
          <w:shd w:val="clear" w:color="auto" w:fill="FFFFFF"/>
          <w:lang w:val="en-GB"/>
        </w:rPr>
        <w:t>% </w:t>
      </w:r>
      <w:r w:rsidR="004B638F">
        <w:rPr>
          <w:spacing w:val="-4"/>
          <w:shd w:val="clear" w:color="auto" w:fill="FFFFFF"/>
          <w:lang w:val="en-GB"/>
        </w:rPr>
        <w:t>less</w:t>
      </w:r>
      <w:r w:rsidR="00C733A3" w:rsidRPr="004829B9">
        <w:rPr>
          <w:spacing w:val="-4"/>
          <w:shd w:val="clear" w:color="auto" w:fill="FFFFFF"/>
          <w:lang w:val="en-GB"/>
        </w:rPr>
        <w:t xml:space="preserve"> than in the </w:t>
      </w:r>
      <w:r w:rsidR="009664CD" w:rsidRPr="004829B9">
        <w:rPr>
          <w:spacing w:val="-4"/>
          <w:shd w:val="clear" w:color="auto" w:fill="FFFFFF"/>
          <w:lang w:val="en-GB"/>
        </w:rPr>
        <w:t>corresponding</w:t>
      </w:r>
      <w:r w:rsidR="00C733A3" w:rsidRPr="004829B9">
        <w:rPr>
          <w:spacing w:val="-4"/>
          <w:shd w:val="clear" w:color="auto" w:fill="FFFFFF"/>
          <w:lang w:val="en-GB"/>
        </w:rPr>
        <w:t xml:space="preserve"> </w:t>
      </w:r>
      <w:r w:rsidR="00CD7B5E">
        <w:rPr>
          <w:spacing w:val="-4"/>
          <w:shd w:val="clear" w:color="auto" w:fill="FFFFFF"/>
          <w:lang w:val="en-GB"/>
        </w:rPr>
        <w:t>period</w:t>
      </w:r>
      <w:r w:rsidR="004B638F">
        <w:rPr>
          <w:spacing w:val="-4"/>
          <w:shd w:val="clear" w:color="auto" w:fill="FFFFFF"/>
          <w:lang w:val="en-GB"/>
        </w:rPr>
        <w:t xml:space="preserve"> of 2020</w:t>
      </w:r>
      <w:r w:rsidR="00C733A3" w:rsidRPr="004829B9">
        <w:rPr>
          <w:spacing w:val="-4"/>
          <w:shd w:val="clear" w:color="auto" w:fill="FFFFFF"/>
          <w:lang w:val="en-GB"/>
        </w:rPr>
        <w:t xml:space="preserve">, whereas </w:t>
      </w:r>
      <w:r w:rsidR="00C733A3" w:rsidRPr="004829B9">
        <w:rPr>
          <w:b/>
          <w:spacing w:val="-4"/>
          <w:shd w:val="clear" w:color="auto" w:fill="FFFFFF"/>
          <w:lang w:val="en-GB"/>
        </w:rPr>
        <w:t>private</w:t>
      </w:r>
      <w:r w:rsidR="00C733A3" w:rsidRPr="004829B9">
        <w:rPr>
          <w:spacing w:val="-4"/>
          <w:shd w:val="clear" w:color="auto" w:fill="FFFFFF"/>
          <w:lang w:val="en-GB"/>
        </w:rPr>
        <w:t xml:space="preserve"> </w:t>
      </w:r>
      <w:r w:rsidR="00C733A3" w:rsidRPr="004829B9">
        <w:rPr>
          <w:b/>
          <w:spacing w:val="-4"/>
          <w:shd w:val="clear" w:color="auto" w:fill="FFFFFF"/>
          <w:lang w:val="en-GB"/>
        </w:rPr>
        <w:t>investors</w:t>
      </w:r>
      <w:r w:rsidR="00837231" w:rsidRPr="004829B9">
        <w:rPr>
          <w:spacing w:val="-4"/>
          <w:shd w:val="clear" w:color="auto" w:fill="FFFFFF"/>
          <w:lang w:val="en-GB"/>
        </w:rPr>
        <w:t xml:space="preserve"> completed </w:t>
      </w:r>
      <w:r w:rsidR="00D92898">
        <w:rPr>
          <w:spacing w:val="-4"/>
          <w:shd w:val="clear" w:color="auto" w:fill="FFFFFF"/>
          <w:lang w:val="en-GB"/>
        </w:rPr>
        <w:t>21</w:t>
      </w:r>
      <w:r w:rsidR="00372328">
        <w:rPr>
          <w:spacing w:val="-4"/>
          <w:shd w:val="clear" w:color="auto" w:fill="FFFFFF"/>
          <w:lang w:val="en-GB"/>
        </w:rPr>
        <w:t>.</w:t>
      </w:r>
      <w:r w:rsidR="004B638F">
        <w:rPr>
          <w:spacing w:val="-4"/>
          <w:shd w:val="clear" w:color="auto" w:fill="FFFFFF"/>
          <w:lang w:val="en-GB"/>
        </w:rPr>
        <w:t>7</w:t>
      </w:r>
      <w:r w:rsidR="00A7208C">
        <w:rPr>
          <w:spacing w:val="-4"/>
          <w:shd w:val="clear" w:color="auto" w:fill="FFFFFF"/>
          <w:lang w:val="en-GB"/>
        </w:rPr>
        <w:t> </w:t>
      </w:r>
      <w:r w:rsidR="00C733A3" w:rsidRPr="004829B9">
        <w:rPr>
          <w:spacing w:val="-4"/>
          <w:shd w:val="clear" w:color="auto" w:fill="FFFFFF"/>
          <w:lang w:val="en-GB"/>
        </w:rPr>
        <w:t>thous</w:t>
      </w:r>
      <w:r w:rsidR="004829B9">
        <w:rPr>
          <w:spacing w:val="-4"/>
          <w:shd w:val="clear" w:color="auto" w:fill="FFFFFF"/>
          <w:lang w:val="en-GB"/>
        </w:rPr>
        <w:t>and</w:t>
      </w:r>
      <w:r w:rsidR="00C733A3" w:rsidRPr="004829B9">
        <w:rPr>
          <w:spacing w:val="-4"/>
          <w:shd w:val="clear" w:color="auto" w:fill="FFFFFF"/>
          <w:lang w:val="en-GB"/>
        </w:rPr>
        <w:t xml:space="preserve"> dwellings, </w:t>
      </w:r>
      <w:r w:rsidR="009664CD" w:rsidRPr="004829B9">
        <w:rPr>
          <w:spacing w:val="-4"/>
          <w:shd w:val="clear" w:color="auto" w:fill="FFFFFF"/>
          <w:lang w:val="en-GB"/>
        </w:rPr>
        <w:t xml:space="preserve">i.e. by </w:t>
      </w:r>
      <w:r w:rsidR="00D92898">
        <w:rPr>
          <w:spacing w:val="-4"/>
          <w:shd w:val="clear" w:color="auto" w:fill="FFFFFF"/>
          <w:lang w:val="en-GB"/>
        </w:rPr>
        <w:t>21</w:t>
      </w:r>
      <w:r w:rsidR="00837231" w:rsidRPr="004829B9">
        <w:rPr>
          <w:spacing w:val="-4"/>
          <w:shd w:val="clear" w:color="auto" w:fill="FFFFFF"/>
          <w:lang w:val="en-GB"/>
        </w:rPr>
        <w:t>.</w:t>
      </w:r>
      <w:r w:rsidR="00CD7B5E">
        <w:rPr>
          <w:spacing w:val="-4"/>
          <w:shd w:val="clear" w:color="auto" w:fill="FFFFFF"/>
          <w:lang w:val="en-GB"/>
        </w:rPr>
        <w:t>1</w:t>
      </w:r>
      <w:r w:rsidR="00C733A3" w:rsidRPr="004829B9">
        <w:rPr>
          <w:spacing w:val="-4"/>
          <w:shd w:val="clear" w:color="auto" w:fill="FFFFFF"/>
          <w:lang w:val="en-GB"/>
        </w:rPr>
        <w:t xml:space="preserve">% </w:t>
      </w:r>
      <w:r w:rsidR="00970194">
        <w:rPr>
          <w:spacing w:val="-4"/>
          <w:shd w:val="clear" w:color="auto" w:fill="FFFFFF"/>
          <w:lang w:val="en-GB"/>
        </w:rPr>
        <w:t>more</w:t>
      </w:r>
      <w:r w:rsidR="0071658F" w:rsidRPr="004829B9">
        <w:rPr>
          <w:spacing w:val="-4"/>
          <w:shd w:val="clear" w:color="auto" w:fill="FFFFFF"/>
          <w:lang w:val="en-GB"/>
        </w:rPr>
        <w:t xml:space="preserve">. Within these forms of </w:t>
      </w:r>
      <w:r w:rsidR="00435283" w:rsidRPr="004829B9">
        <w:rPr>
          <w:spacing w:val="-4"/>
          <w:shd w:val="clear" w:color="auto" w:fill="FFFFFF"/>
          <w:lang w:val="en-GB"/>
        </w:rPr>
        <w:t xml:space="preserve">construction, </w:t>
      </w:r>
      <w:r w:rsidR="00D92898">
        <w:rPr>
          <w:spacing w:val="-4"/>
          <w:shd w:val="clear" w:color="auto" w:fill="FFFFFF"/>
          <w:lang w:val="en-GB"/>
        </w:rPr>
        <w:t>97</w:t>
      </w:r>
      <w:r w:rsidR="00E724BA" w:rsidRPr="004829B9">
        <w:rPr>
          <w:spacing w:val="-4"/>
          <w:shd w:val="clear" w:color="auto" w:fill="FFFFFF"/>
          <w:lang w:val="en-GB"/>
        </w:rPr>
        <w:t>.</w:t>
      </w:r>
      <w:r w:rsidR="00D92898">
        <w:rPr>
          <w:spacing w:val="-4"/>
          <w:shd w:val="clear" w:color="auto" w:fill="FFFFFF"/>
          <w:lang w:val="en-GB"/>
        </w:rPr>
        <w:t>8</w:t>
      </w:r>
      <w:r w:rsidR="00C94AC8" w:rsidRPr="004829B9">
        <w:rPr>
          <w:spacing w:val="-4"/>
          <w:shd w:val="clear" w:color="auto" w:fill="FFFFFF"/>
          <w:lang w:val="en-GB"/>
        </w:rPr>
        <w:t xml:space="preserve">% of </w:t>
      </w:r>
      <w:r w:rsidR="008B64BD">
        <w:rPr>
          <w:spacing w:val="-4"/>
          <w:shd w:val="clear" w:color="auto" w:fill="FFFFFF"/>
          <w:lang w:val="en-GB"/>
        </w:rPr>
        <w:t>the</w:t>
      </w:r>
      <w:r w:rsidR="00C94AC8" w:rsidRPr="004829B9">
        <w:rPr>
          <w:spacing w:val="-4"/>
          <w:shd w:val="clear" w:color="auto" w:fill="FFFFFF"/>
          <w:lang w:val="en-GB"/>
        </w:rPr>
        <w:t xml:space="preserve"> total number of </w:t>
      </w:r>
      <w:r w:rsidR="00365663">
        <w:rPr>
          <w:spacing w:val="-4"/>
          <w:shd w:val="clear" w:color="auto" w:fill="FFFFFF"/>
          <w:lang w:val="en-GB"/>
        </w:rPr>
        <w:t xml:space="preserve">newly </w:t>
      </w:r>
      <w:r w:rsidR="00C733A3" w:rsidRPr="004829B9">
        <w:rPr>
          <w:spacing w:val="-4"/>
          <w:shd w:val="clear" w:color="auto" w:fill="FFFFFF"/>
          <w:lang w:val="en-GB"/>
        </w:rPr>
        <w:t>comple</w:t>
      </w:r>
      <w:r w:rsidR="001C1808" w:rsidRPr="004829B9">
        <w:rPr>
          <w:spacing w:val="-4"/>
          <w:shd w:val="clear" w:color="auto" w:fill="FFFFFF"/>
          <w:lang w:val="en-GB"/>
        </w:rPr>
        <w:t>ted dwellings was built</w:t>
      </w:r>
      <w:r w:rsidR="00365663">
        <w:rPr>
          <w:spacing w:val="-4"/>
          <w:shd w:val="clear" w:color="auto" w:fill="FFFFFF"/>
          <w:lang w:val="en-GB"/>
        </w:rPr>
        <w:t xml:space="preserve">. </w:t>
      </w:r>
      <w:r w:rsidR="004B638F">
        <w:rPr>
          <w:spacing w:val="-4"/>
          <w:shd w:val="clear" w:color="auto" w:fill="FFFFFF"/>
          <w:lang w:val="en-GB"/>
        </w:rPr>
        <w:t>W</w:t>
      </w:r>
      <w:r w:rsidR="004B638F" w:rsidRPr="004B638F">
        <w:rPr>
          <w:spacing w:val="-4"/>
          <w:shd w:val="clear" w:color="auto" w:fill="FFFFFF"/>
          <w:lang w:val="en-GB"/>
        </w:rPr>
        <w:t xml:space="preserve">ithin </w:t>
      </w:r>
      <w:r w:rsidR="00CD7B5E" w:rsidRPr="00CD7B5E">
        <w:rPr>
          <w:b/>
          <w:spacing w:val="-4"/>
          <w:shd w:val="clear" w:color="auto" w:fill="FFFFFF"/>
          <w:lang w:val="en-GB"/>
        </w:rPr>
        <w:t>other forms</w:t>
      </w:r>
      <w:r w:rsidR="00CD7B5E" w:rsidRPr="00CD7B5E">
        <w:rPr>
          <w:spacing w:val="-4"/>
          <w:shd w:val="clear" w:color="auto" w:fill="FFFFFF"/>
          <w:lang w:val="en-GB"/>
        </w:rPr>
        <w:t xml:space="preserve"> of construction, i.e. </w:t>
      </w:r>
      <w:r w:rsidR="00CD7B5E">
        <w:rPr>
          <w:spacing w:val="-4"/>
          <w:shd w:val="clear" w:color="auto" w:fill="FFFFFF"/>
          <w:lang w:val="en-GB"/>
        </w:rPr>
        <w:t xml:space="preserve">cooperative, </w:t>
      </w:r>
      <w:r w:rsidR="00CD7B5E" w:rsidRPr="00CD7B5E">
        <w:rPr>
          <w:spacing w:val="-4"/>
          <w:shd w:val="clear" w:color="auto" w:fill="FFFFFF"/>
          <w:lang w:val="en-GB"/>
        </w:rPr>
        <w:t xml:space="preserve">municipal, public building society and company </w:t>
      </w:r>
      <w:r w:rsidR="004B638F" w:rsidRPr="004B638F">
        <w:rPr>
          <w:spacing w:val="-4"/>
          <w:shd w:val="clear" w:color="auto" w:fill="FFFFFF"/>
          <w:lang w:val="en-GB"/>
        </w:rPr>
        <w:t xml:space="preserve">construction </w:t>
      </w:r>
      <w:r w:rsidR="00D92898">
        <w:rPr>
          <w:spacing w:val="-4"/>
          <w:shd w:val="clear" w:color="auto" w:fill="FFFFFF"/>
          <w:lang w:val="en-GB"/>
        </w:rPr>
        <w:t>1 164</w:t>
      </w:r>
      <w:r w:rsidR="00365663">
        <w:rPr>
          <w:spacing w:val="-4"/>
          <w:shd w:val="clear" w:color="auto" w:fill="FFFFFF"/>
          <w:lang w:val="en-GB"/>
        </w:rPr>
        <w:t xml:space="preserve"> </w:t>
      </w:r>
      <w:r w:rsidR="00C733A3" w:rsidRPr="004829B9">
        <w:rPr>
          <w:spacing w:val="-4"/>
          <w:shd w:val="clear" w:color="auto" w:fill="FFFFFF"/>
          <w:lang w:val="en-GB"/>
        </w:rPr>
        <w:t xml:space="preserve">dwellings </w:t>
      </w:r>
      <w:r w:rsidR="00365663">
        <w:rPr>
          <w:spacing w:val="-4"/>
          <w:shd w:val="clear" w:color="auto" w:fill="FFFFFF"/>
          <w:lang w:val="en-GB"/>
        </w:rPr>
        <w:t xml:space="preserve">were completed </w:t>
      </w:r>
      <w:r w:rsidR="00C733A3" w:rsidRPr="004829B9">
        <w:rPr>
          <w:spacing w:val="-4"/>
          <w:shd w:val="clear" w:color="auto" w:fill="FFFFFF"/>
          <w:lang w:val="en-GB"/>
        </w:rPr>
        <w:t>(</w:t>
      </w:r>
      <w:r w:rsidR="00D92898">
        <w:rPr>
          <w:spacing w:val="-4"/>
          <w:shd w:val="clear" w:color="auto" w:fill="FFFFFF"/>
          <w:lang w:val="en-GB"/>
        </w:rPr>
        <w:t>907</w:t>
      </w:r>
      <w:r w:rsidR="00372328">
        <w:rPr>
          <w:spacing w:val="-4"/>
          <w:shd w:val="clear" w:color="auto" w:fill="FFFFFF"/>
          <w:lang w:val="en-GB"/>
        </w:rPr>
        <w:t xml:space="preserve"> </w:t>
      </w:r>
      <w:r w:rsidR="00365663">
        <w:rPr>
          <w:spacing w:val="-4"/>
          <w:shd w:val="clear" w:color="auto" w:fill="FFFFFF"/>
          <w:lang w:val="en-GB"/>
        </w:rPr>
        <w:t>in the previous year</w:t>
      </w:r>
      <w:r w:rsidR="00CD7B5E">
        <w:rPr>
          <w:spacing w:val="-4"/>
          <w:shd w:val="clear" w:color="auto" w:fill="FFFFFF"/>
          <w:lang w:val="en-GB"/>
        </w:rPr>
        <w:t>)</w:t>
      </w:r>
    </w:p>
    <w:p w14:paraId="6DA771CF" w14:textId="532441A7" w:rsidR="00054314" w:rsidRDefault="000A7C88" w:rsidP="00896EB9">
      <w:pPr>
        <w:rPr>
          <w:shd w:val="clear" w:color="auto" w:fill="FFFFFF"/>
          <w:lang w:val="en-GB"/>
        </w:rPr>
      </w:pPr>
      <w:r w:rsidRPr="004829B9">
        <w:rPr>
          <w:shd w:val="clear" w:color="auto" w:fill="FFFFFF"/>
          <w:lang w:val="en-GB"/>
        </w:rPr>
        <w:t>T</w:t>
      </w:r>
      <w:r w:rsidR="000348CC">
        <w:rPr>
          <w:shd w:val="clear" w:color="auto" w:fill="FFFFFF"/>
          <w:lang w:val="en-GB"/>
        </w:rPr>
        <w:t>he t</w:t>
      </w:r>
      <w:r w:rsidRPr="004829B9">
        <w:rPr>
          <w:shd w:val="clear" w:color="auto" w:fill="FFFFFF"/>
          <w:lang w:val="en-GB"/>
        </w:rPr>
        <w:t>otal useful floor</w:t>
      </w:r>
      <w:r w:rsidR="00D72B39">
        <w:rPr>
          <w:shd w:val="clear" w:color="auto" w:fill="FFFFFF"/>
          <w:lang w:val="en-GB"/>
        </w:rPr>
        <w:t xml:space="preserve"> area of dwellings completed in</w:t>
      </w:r>
      <w:r w:rsidR="00CD7B5E">
        <w:rPr>
          <w:shd w:val="clear" w:color="auto" w:fill="FFFFFF"/>
          <w:lang w:val="en-GB"/>
        </w:rPr>
        <w:t xml:space="preserve"> the period of</w:t>
      </w:r>
      <w:r w:rsidR="00365663">
        <w:rPr>
          <w:shd w:val="clear" w:color="auto" w:fill="FFFFFF"/>
          <w:lang w:val="en-GB"/>
        </w:rPr>
        <w:t xml:space="preserve"> January</w:t>
      </w:r>
      <w:r w:rsidR="00243A60">
        <w:rPr>
          <w:shd w:val="clear" w:color="auto" w:fill="FFFFFF"/>
          <w:lang w:val="en-GB"/>
        </w:rPr>
        <w:t>-</w:t>
      </w:r>
      <w:r w:rsidR="00D92898">
        <w:rPr>
          <w:shd w:val="clear" w:color="auto" w:fill="FFFFFF"/>
          <w:lang w:val="en-GB"/>
        </w:rPr>
        <w:t>March</w:t>
      </w:r>
      <w:r w:rsidR="00365663">
        <w:rPr>
          <w:shd w:val="clear" w:color="auto" w:fill="FFFFFF"/>
          <w:lang w:val="en-GB"/>
        </w:rPr>
        <w:t xml:space="preserve"> 2021</w:t>
      </w:r>
      <w:r w:rsidR="007C6C81" w:rsidRPr="004829B9">
        <w:rPr>
          <w:shd w:val="clear" w:color="auto" w:fill="FFFFFF"/>
          <w:lang w:val="en-GB"/>
        </w:rPr>
        <w:t xml:space="preserve"> </w:t>
      </w:r>
      <w:r w:rsidR="006A0E22" w:rsidRPr="004829B9">
        <w:rPr>
          <w:shd w:val="clear" w:color="auto" w:fill="FFFFFF"/>
          <w:lang w:val="en-GB"/>
        </w:rPr>
        <w:t>amounted to</w:t>
      </w:r>
      <w:r w:rsidRPr="004829B9">
        <w:rPr>
          <w:shd w:val="clear" w:color="auto" w:fill="FFFFFF"/>
          <w:lang w:val="en-GB"/>
        </w:rPr>
        <w:t xml:space="preserve"> </w:t>
      </w:r>
      <w:r w:rsidR="00D92898">
        <w:rPr>
          <w:shd w:val="clear" w:color="auto" w:fill="FFFFFF"/>
          <w:lang w:val="en-GB"/>
        </w:rPr>
        <w:t>5</w:t>
      </w:r>
      <w:r w:rsidR="00837231" w:rsidRPr="004829B9">
        <w:rPr>
          <w:shd w:val="clear" w:color="auto" w:fill="FFFFFF"/>
          <w:lang w:val="en-GB"/>
        </w:rPr>
        <w:t>.</w:t>
      </w:r>
      <w:r w:rsidR="00D92898">
        <w:rPr>
          <w:shd w:val="clear" w:color="auto" w:fill="FFFFFF"/>
          <w:lang w:val="en-GB"/>
        </w:rPr>
        <w:t>1</w:t>
      </w:r>
      <w:r w:rsidR="00837231" w:rsidRPr="004829B9">
        <w:rPr>
          <w:shd w:val="clear" w:color="auto" w:fill="FFFFFF"/>
          <w:lang w:val="en-GB"/>
        </w:rPr>
        <w:t xml:space="preserve"> m</w:t>
      </w:r>
      <w:r w:rsidR="000348CC">
        <w:rPr>
          <w:shd w:val="clear" w:color="auto" w:fill="FFFFFF"/>
          <w:lang w:val="en-GB"/>
        </w:rPr>
        <w:t>illion</w:t>
      </w:r>
      <w:r w:rsidR="00365663">
        <w:rPr>
          <w:shd w:val="clear" w:color="auto" w:fill="FFFFFF"/>
          <w:lang w:val="en-GB"/>
        </w:rPr>
        <w:t> </w:t>
      </w:r>
      <w:r w:rsidR="00837231" w:rsidRPr="004829B9">
        <w:rPr>
          <w:shd w:val="clear" w:color="auto" w:fill="FFFFFF"/>
          <w:lang w:val="en-GB"/>
        </w:rPr>
        <w:t>m</w:t>
      </w:r>
      <w:r w:rsidR="002C751B" w:rsidRPr="002C751B">
        <w:rPr>
          <w:shd w:val="clear" w:color="auto" w:fill="FFFFFF"/>
          <w:vertAlign w:val="superscript"/>
          <w:lang w:val="en-GB"/>
        </w:rPr>
        <w:t>2</w:t>
      </w:r>
      <w:r w:rsidR="00837231" w:rsidRPr="004829B9">
        <w:rPr>
          <w:shd w:val="clear" w:color="auto" w:fill="FFFFFF"/>
          <w:lang w:val="en-GB"/>
        </w:rPr>
        <w:t xml:space="preserve">, i.e. by </w:t>
      </w:r>
      <w:r w:rsidR="00D92898">
        <w:rPr>
          <w:shd w:val="clear" w:color="auto" w:fill="FFFFFF"/>
          <w:lang w:val="en-GB"/>
        </w:rPr>
        <w:t>13</w:t>
      </w:r>
      <w:r w:rsidR="00837231" w:rsidRPr="004829B9">
        <w:rPr>
          <w:shd w:val="clear" w:color="auto" w:fill="FFFFFF"/>
          <w:lang w:val="en-GB"/>
        </w:rPr>
        <w:t>.</w:t>
      </w:r>
      <w:r w:rsidR="00D92898">
        <w:rPr>
          <w:shd w:val="clear" w:color="auto" w:fill="FFFFFF"/>
          <w:lang w:val="en-GB"/>
        </w:rPr>
        <w:t>0</w:t>
      </w:r>
      <w:r w:rsidR="00EF767E" w:rsidRPr="004829B9">
        <w:rPr>
          <w:shd w:val="clear" w:color="auto" w:fill="FFFFFF"/>
          <w:lang w:val="en-GB"/>
        </w:rPr>
        <w:t xml:space="preserve">% </w:t>
      </w:r>
      <w:r w:rsidR="00243A60">
        <w:rPr>
          <w:shd w:val="clear" w:color="auto" w:fill="FFFFFF"/>
          <w:lang w:val="en-GB"/>
        </w:rPr>
        <w:t>more</w:t>
      </w:r>
      <w:r w:rsidR="00EF767E" w:rsidRPr="004829B9">
        <w:rPr>
          <w:shd w:val="clear" w:color="auto" w:fill="FFFFFF"/>
          <w:lang w:val="en-GB"/>
        </w:rPr>
        <w:t xml:space="preserve"> tha</w:t>
      </w:r>
      <w:r w:rsidRPr="004829B9">
        <w:rPr>
          <w:shd w:val="clear" w:color="auto" w:fill="FFFFFF"/>
          <w:lang w:val="en-GB"/>
        </w:rPr>
        <w:t xml:space="preserve">n </w:t>
      </w:r>
      <w:r w:rsidR="00C214E1">
        <w:rPr>
          <w:shd w:val="clear" w:color="auto" w:fill="FFFFFF"/>
          <w:lang w:val="en-GB"/>
        </w:rPr>
        <w:t>a year ago</w:t>
      </w:r>
      <w:r w:rsidR="003557A1">
        <w:rPr>
          <w:shd w:val="clear" w:color="auto" w:fill="FFFFFF"/>
          <w:lang w:val="en-GB"/>
        </w:rPr>
        <w:t xml:space="preserve"> and </w:t>
      </w:r>
      <w:r w:rsidRPr="004829B9">
        <w:rPr>
          <w:shd w:val="clear" w:color="auto" w:fill="FFFFFF"/>
          <w:lang w:val="en-GB"/>
        </w:rPr>
        <w:t xml:space="preserve">the average </w:t>
      </w:r>
      <w:r w:rsidR="005E3825" w:rsidRPr="004829B9">
        <w:rPr>
          <w:shd w:val="clear" w:color="auto" w:fill="FFFFFF"/>
          <w:lang w:val="en-GB"/>
        </w:rPr>
        <w:t xml:space="preserve">useful </w:t>
      </w:r>
      <w:r w:rsidRPr="004829B9">
        <w:rPr>
          <w:shd w:val="clear" w:color="auto" w:fill="FFFFFF"/>
          <w:lang w:val="en-GB"/>
        </w:rPr>
        <w:t>floor are</w:t>
      </w:r>
      <w:r w:rsidR="00BF61F6" w:rsidRPr="004829B9">
        <w:rPr>
          <w:shd w:val="clear" w:color="auto" w:fill="FFFFFF"/>
          <w:lang w:val="en-GB"/>
        </w:rPr>
        <w:t>a of 1 </w:t>
      </w:r>
      <w:r w:rsidR="00C625B8">
        <w:rPr>
          <w:shd w:val="clear" w:color="auto" w:fill="FFFFFF"/>
          <w:lang w:val="en-GB"/>
        </w:rPr>
        <w:t xml:space="preserve">dwelling </w:t>
      </w:r>
      <w:r w:rsidR="003557A1">
        <w:rPr>
          <w:shd w:val="clear" w:color="auto" w:fill="FFFFFF"/>
          <w:lang w:val="en-GB"/>
        </w:rPr>
        <w:t>was</w:t>
      </w:r>
      <w:r w:rsidR="003460DF" w:rsidRPr="004829B9">
        <w:rPr>
          <w:shd w:val="clear" w:color="auto" w:fill="FFFFFF"/>
          <w:lang w:val="en-GB"/>
        </w:rPr>
        <w:t xml:space="preserve"> </w:t>
      </w:r>
      <w:r w:rsidR="00B64363">
        <w:rPr>
          <w:shd w:val="clear" w:color="auto" w:fill="FFFFFF"/>
          <w:lang w:val="en-GB"/>
        </w:rPr>
        <w:t>95</w:t>
      </w:r>
      <w:r w:rsidR="005D25AB" w:rsidRPr="004829B9">
        <w:rPr>
          <w:shd w:val="clear" w:color="auto" w:fill="FFFFFF"/>
          <w:lang w:val="en-GB"/>
        </w:rPr>
        <w:t>.</w:t>
      </w:r>
      <w:r w:rsidR="00D92898">
        <w:rPr>
          <w:shd w:val="clear" w:color="auto" w:fill="FFFFFF"/>
          <w:lang w:val="en-GB"/>
        </w:rPr>
        <w:t>5</w:t>
      </w:r>
      <w:r w:rsidR="00365663">
        <w:rPr>
          <w:shd w:val="clear" w:color="auto" w:fill="FFFFFF"/>
          <w:lang w:val="en-GB"/>
        </w:rPr>
        <w:t> </w:t>
      </w:r>
      <w:r w:rsidRPr="004829B9">
        <w:rPr>
          <w:shd w:val="clear" w:color="auto" w:fill="FFFFFF"/>
          <w:lang w:val="en-GB"/>
        </w:rPr>
        <w:t>m</w:t>
      </w:r>
      <w:r w:rsidR="002C751B" w:rsidRPr="002C751B">
        <w:rPr>
          <w:shd w:val="clear" w:color="auto" w:fill="FFFFFF"/>
          <w:vertAlign w:val="superscript"/>
          <w:lang w:val="en-GB"/>
        </w:rPr>
        <w:t>2</w:t>
      </w:r>
      <w:r w:rsidRPr="004829B9">
        <w:rPr>
          <w:shd w:val="clear" w:color="auto" w:fill="FFFFFF"/>
          <w:lang w:val="en-GB"/>
        </w:rPr>
        <w:t>.</w:t>
      </w:r>
    </w:p>
    <w:p w14:paraId="679F1787" w14:textId="77777777" w:rsidR="00B64363" w:rsidRPr="004829B9" w:rsidRDefault="00B64363" w:rsidP="00896EB9">
      <w:pPr>
        <w:rPr>
          <w:shd w:val="clear" w:color="auto" w:fill="FFFFFF"/>
          <w:lang w:val="en-GB"/>
        </w:rPr>
      </w:pPr>
    </w:p>
    <w:p w14:paraId="4BC5FB40" w14:textId="77777777" w:rsidR="00054314" w:rsidRPr="004829B9" w:rsidRDefault="00054314" w:rsidP="00054314">
      <w:pPr>
        <w:keepNext/>
        <w:spacing w:before="240" w:line="240" w:lineRule="auto"/>
        <w:outlineLvl w:val="0"/>
        <w:rPr>
          <w:rFonts w:ascii="Fira Sans SemiBold" w:eastAsia="Times New Roman" w:hAnsi="Fira Sans SemiBold" w:cs="Times New Roman"/>
          <w:bCs/>
          <w:sz w:val="18"/>
          <w:szCs w:val="18"/>
          <w:lang w:val="en-GB" w:eastAsia="pl-PL"/>
        </w:rPr>
      </w:pPr>
      <w:r w:rsidRPr="004829B9">
        <w:rPr>
          <w:rFonts w:ascii="Fira Sans SemiBold" w:eastAsia="Times New Roman" w:hAnsi="Fira Sans SemiBold" w:cs="Times New Roman"/>
          <w:bCs/>
          <w:sz w:val="18"/>
          <w:szCs w:val="18"/>
          <w:lang w:val="en-GB" w:eastAsia="pl-PL"/>
        </w:rPr>
        <w:t>Table 1. Dwellings completed</w:t>
      </w:r>
    </w:p>
    <w:tbl>
      <w:tblPr>
        <w:tblStyle w:val="Siatkatabelijasna25"/>
        <w:tblpPr w:leftFromText="141" w:rightFromText="141" w:vertAnchor="text" w:horzAnchor="margin" w:tblpY="98"/>
        <w:tblW w:w="8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2049"/>
        <w:gridCol w:w="1206"/>
        <w:gridCol w:w="1206"/>
        <w:gridCol w:w="1351"/>
        <w:gridCol w:w="1061"/>
        <w:gridCol w:w="1207"/>
      </w:tblGrid>
      <w:tr w:rsidR="00B64363" w:rsidRPr="003C2145" w14:paraId="3D74A51D" w14:textId="77777777" w:rsidTr="00574E89">
        <w:trPr>
          <w:trHeight w:val="57"/>
        </w:trPr>
        <w:tc>
          <w:tcPr>
            <w:tcW w:w="2049" w:type="dxa"/>
            <w:vMerge w:val="restart"/>
            <w:vAlign w:val="center"/>
          </w:tcPr>
          <w:p w14:paraId="6DA6E46E" w14:textId="0739132C" w:rsidR="00B64363" w:rsidRPr="003C2145" w:rsidRDefault="009742AF" w:rsidP="00574E89">
            <w:pPr>
              <w:keepNext/>
              <w:tabs>
                <w:tab w:val="right" w:leader="dot" w:pos="4139"/>
              </w:tabs>
              <w:spacing w:before="0" w:line="240" w:lineRule="auto"/>
              <w:jc w:val="center"/>
              <w:outlineLvl w:val="0"/>
              <w:rPr>
                <w:rFonts w:eastAsia="Times New Roman" w:cs="Arial"/>
                <w:color w:val="000000" w:themeColor="text1"/>
                <w:sz w:val="16"/>
                <w:szCs w:val="16"/>
                <w:lang w:eastAsia="pl-PL"/>
              </w:rPr>
            </w:pPr>
            <w:bookmarkStart w:id="0" w:name="OLE_LINK2"/>
            <w:r w:rsidRPr="009742AF">
              <w:rPr>
                <w:rFonts w:eastAsia="Times New Roman" w:cs="Arial"/>
                <w:color w:val="000000" w:themeColor="text1"/>
                <w:sz w:val="16"/>
                <w:szCs w:val="16"/>
                <w:lang w:eastAsia="pl-PL"/>
              </w:rPr>
              <w:t>SPECIFICATION</w:t>
            </w:r>
          </w:p>
        </w:tc>
        <w:tc>
          <w:tcPr>
            <w:tcW w:w="6031" w:type="dxa"/>
            <w:gridSpan w:val="5"/>
            <w:vAlign w:val="center"/>
          </w:tcPr>
          <w:p w14:paraId="36964227" w14:textId="77777777" w:rsidR="00B64363" w:rsidRPr="003C2145" w:rsidRDefault="00B64363" w:rsidP="00574E89">
            <w:pPr>
              <w:keepNext/>
              <w:keepLines/>
              <w:spacing w:before="0" w:after="0" w:line="240" w:lineRule="auto"/>
              <w:jc w:val="center"/>
              <w:outlineLvl w:val="2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3C2145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20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21</w:t>
            </w:r>
          </w:p>
        </w:tc>
      </w:tr>
      <w:tr w:rsidR="00B64363" w:rsidRPr="003C2145" w14:paraId="0D3C2463" w14:textId="77777777" w:rsidTr="00574E89">
        <w:trPr>
          <w:trHeight w:val="20"/>
        </w:trPr>
        <w:tc>
          <w:tcPr>
            <w:tcW w:w="2049" w:type="dxa"/>
            <w:vMerge/>
            <w:tcBorders>
              <w:bottom w:val="single" w:sz="12" w:space="0" w:color="212492"/>
            </w:tcBorders>
            <w:vAlign w:val="center"/>
          </w:tcPr>
          <w:p w14:paraId="3EEF264C" w14:textId="77777777" w:rsidR="00B64363" w:rsidRPr="003C2145" w:rsidRDefault="00B64363" w:rsidP="00574E89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ascii="Fira Sans SemiBold" w:eastAsia="Times New Roman" w:hAnsi="Fira Sans SemiBold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3763" w:type="dxa"/>
            <w:gridSpan w:val="3"/>
            <w:tcBorders>
              <w:bottom w:val="single" w:sz="12" w:space="0" w:color="212492"/>
            </w:tcBorders>
            <w:vAlign w:val="center"/>
          </w:tcPr>
          <w:p w14:paraId="779D0680" w14:textId="16A07A41" w:rsidR="00B64363" w:rsidRPr="003C2145" w:rsidRDefault="00B64363" w:rsidP="00574E89">
            <w:pPr>
              <w:spacing w:before="0"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                                             </w:t>
            </w:r>
            <w:r w:rsidRPr="003C2145">
              <w:rPr>
                <w:color w:val="000000" w:themeColor="text1"/>
                <w:sz w:val="16"/>
                <w:szCs w:val="16"/>
              </w:rPr>
              <w:t>II</w:t>
            </w:r>
            <w:r w:rsidR="00D92898">
              <w:rPr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2268" w:type="dxa"/>
            <w:gridSpan w:val="2"/>
            <w:tcBorders>
              <w:bottom w:val="single" w:sz="12" w:space="0" w:color="212492"/>
            </w:tcBorders>
          </w:tcPr>
          <w:p w14:paraId="5E0F54FC" w14:textId="257EDA3E" w:rsidR="00B64363" w:rsidRPr="003C2145" w:rsidRDefault="00B64363" w:rsidP="00574E89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I-</w:t>
            </w:r>
            <w:r w:rsidRPr="003C2145">
              <w:rPr>
                <w:color w:val="000000" w:themeColor="text1"/>
                <w:sz w:val="16"/>
                <w:szCs w:val="16"/>
              </w:rPr>
              <w:t>II</w:t>
            </w:r>
            <w:r w:rsidR="00D92898">
              <w:rPr>
                <w:color w:val="000000" w:themeColor="text1"/>
                <w:sz w:val="16"/>
                <w:szCs w:val="16"/>
              </w:rPr>
              <w:t>I</w:t>
            </w:r>
          </w:p>
        </w:tc>
      </w:tr>
      <w:tr w:rsidR="00B64363" w:rsidRPr="003C2145" w14:paraId="451F7C87" w14:textId="77777777" w:rsidTr="00574E89">
        <w:trPr>
          <w:trHeight w:val="20"/>
        </w:trPr>
        <w:tc>
          <w:tcPr>
            <w:tcW w:w="2049" w:type="dxa"/>
            <w:vMerge/>
            <w:tcBorders>
              <w:bottom w:val="single" w:sz="12" w:space="0" w:color="212492"/>
            </w:tcBorders>
            <w:vAlign w:val="center"/>
          </w:tcPr>
          <w:p w14:paraId="574C9F76" w14:textId="77777777" w:rsidR="00B64363" w:rsidRPr="003C2145" w:rsidRDefault="00B64363" w:rsidP="00574E89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ascii="Fira Sans SemiBold" w:eastAsia="Times New Roman" w:hAnsi="Fira Sans SemiBold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14:paraId="318E663B" w14:textId="5818BE05" w:rsidR="00B64363" w:rsidRPr="003C2145" w:rsidRDefault="00B64363" w:rsidP="00574E89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B64363">
              <w:rPr>
                <w:color w:val="000000" w:themeColor="text1"/>
                <w:sz w:val="16"/>
                <w:szCs w:val="16"/>
              </w:rPr>
              <w:t>Number of dwellings</w:t>
            </w: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14:paraId="3EF4C2A5" w14:textId="0E875312" w:rsidR="00B64363" w:rsidRPr="003C2145" w:rsidRDefault="00B64363" w:rsidP="00574E89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C2145">
              <w:rPr>
                <w:color w:val="000000" w:themeColor="text1"/>
                <w:sz w:val="16"/>
                <w:szCs w:val="16"/>
              </w:rPr>
              <w:t>II</w:t>
            </w:r>
            <w:r w:rsidR="00D92898">
              <w:rPr>
                <w:color w:val="000000" w:themeColor="text1"/>
                <w:sz w:val="16"/>
                <w:szCs w:val="16"/>
              </w:rPr>
              <w:t>I</w:t>
            </w:r>
            <w:r w:rsidRPr="003C2145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2020</w:t>
            </w:r>
            <w:r w:rsidRPr="003C2145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351" w:type="dxa"/>
            <w:tcBorders>
              <w:bottom w:val="single" w:sz="12" w:space="0" w:color="212492"/>
            </w:tcBorders>
            <w:vAlign w:val="center"/>
          </w:tcPr>
          <w:p w14:paraId="4EDC0C48" w14:textId="788A8525" w:rsidR="00B64363" w:rsidRPr="003C2145" w:rsidRDefault="00B64363" w:rsidP="00574E89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C2145">
              <w:rPr>
                <w:color w:val="000000" w:themeColor="text1"/>
                <w:sz w:val="16"/>
                <w:szCs w:val="16"/>
              </w:rPr>
              <w:t>I</w:t>
            </w:r>
            <w:r w:rsidR="00D92898">
              <w:rPr>
                <w:color w:val="000000" w:themeColor="text1"/>
                <w:sz w:val="16"/>
                <w:szCs w:val="16"/>
              </w:rPr>
              <w:t>I</w:t>
            </w:r>
            <w:r w:rsidRPr="003C2145">
              <w:rPr>
                <w:color w:val="000000" w:themeColor="text1"/>
                <w:sz w:val="16"/>
                <w:szCs w:val="16"/>
              </w:rPr>
              <w:t xml:space="preserve"> 20</w:t>
            </w:r>
            <w:r>
              <w:rPr>
                <w:color w:val="000000" w:themeColor="text1"/>
                <w:sz w:val="16"/>
                <w:szCs w:val="16"/>
              </w:rPr>
              <w:t>21</w:t>
            </w:r>
            <w:r w:rsidRPr="003C2145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061" w:type="dxa"/>
            <w:tcBorders>
              <w:bottom w:val="single" w:sz="12" w:space="0" w:color="212492"/>
            </w:tcBorders>
            <w:vAlign w:val="center"/>
          </w:tcPr>
          <w:p w14:paraId="6AD005EA" w14:textId="1EC2AB08" w:rsidR="00B64363" w:rsidRPr="003C2145" w:rsidRDefault="00B64363" w:rsidP="00574E89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B64363">
              <w:rPr>
                <w:color w:val="000000" w:themeColor="text1"/>
                <w:sz w:val="16"/>
                <w:szCs w:val="16"/>
              </w:rPr>
              <w:t>Number of dwellings</w:t>
            </w:r>
          </w:p>
        </w:tc>
        <w:tc>
          <w:tcPr>
            <w:tcW w:w="1207" w:type="dxa"/>
            <w:tcBorders>
              <w:bottom w:val="single" w:sz="12" w:space="0" w:color="212492"/>
            </w:tcBorders>
            <w:vAlign w:val="center"/>
          </w:tcPr>
          <w:p w14:paraId="497FC117" w14:textId="7522D1B4" w:rsidR="00B64363" w:rsidRPr="003C2145" w:rsidRDefault="00B64363" w:rsidP="00574E89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C2145">
              <w:rPr>
                <w:color w:val="000000" w:themeColor="text1"/>
                <w:sz w:val="16"/>
                <w:szCs w:val="16"/>
              </w:rPr>
              <w:t>I-I</w:t>
            </w:r>
            <w:r w:rsidR="00D92898">
              <w:rPr>
                <w:color w:val="000000" w:themeColor="text1"/>
                <w:sz w:val="16"/>
                <w:szCs w:val="16"/>
              </w:rPr>
              <w:t>I</w:t>
            </w:r>
            <w:r w:rsidRPr="003C2145">
              <w:rPr>
                <w:color w:val="000000" w:themeColor="text1"/>
                <w:sz w:val="16"/>
                <w:szCs w:val="16"/>
              </w:rPr>
              <w:t>I 20</w:t>
            </w:r>
            <w:r>
              <w:rPr>
                <w:color w:val="000000" w:themeColor="text1"/>
                <w:sz w:val="16"/>
                <w:szCs w:val="16"/>
              </w:rPr>
              <w:t>20</w:t>
            </w:r>
            <w:r w:rsidRPr="003C2145">
              <w:rPr>
                <w:color w:val="000000" w:themeColor="text1"/>
                <w:sz w:val="16"/>
                <w:szCs w:val="16"/>
              </w:rPr>
              <w:t>=100</w:t>
            </w:r>
          </w:p>
        </w:tc>
      </w:tr>
      <w:tr w:rsidR="00D92898" w:rsidRPr="003C2145" w14:paraId="77C682AA" w14:textId="77777777" w:rsidTr="00574E89">
        <w:trPr>
          <w:trHeight w:val="57"/>
        </w:trPr>
        <w:tc>
          <w:tcPr>
            <w:tcW w:w="2049" w:type="dxa"/>
            <w:tcBorders>
              <w:top w:val="single" w:sz="12" w:space="0" w:color="212492"/>
            </w:tcBorders>
            <w:vAlign w:val="center"/>
          </w:tcPr>
          <w:p w14:paraId="63F91378" w14:textId="10364BB0" w:rsidR="00D92898" w:rsidRPr="003C2145" w:rsidRDefault="00D92898" w:rsidP="00D92898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4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TOTAL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14:paraId="656CC6EC" w14:textId="3109F147" w:rsidR="00D92898" w:rsidRPr="003C2145" w:rsidRDefault="00D92898" w:rsidP="00D92898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6C52CC">
              <w:rPr>
                <w:rFonts w:cs="Arial"/>
                <w:b/>
                <w:color w:val="000000" w:themeColor="text1"/>
                <w:sz w:val="16"/>
                <w:szCs w:val="16"/>
              </w:rPr>
              <w:t>19 448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14:paraId="19182DE5" w14:textId="7F0F1754" w:rsidR="00D92898" w:rsidRPr="003C2145" w:rsidRDefault="00D92898" w:rsidP="00D92898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124.</w:t>
            </w:r>
            <w:r w:rsidRPr="006C52CC">
              <w:rPr>
                <w:rFonts w:cs="Arial"/>
                <w:b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351" w:type="dxa"/>
            <w:tcBorders>
              <w:top w:val="single" w:sz="12" w:space="0" w:color="212492"/>
            </w:tcBorders>
            <w:vAlign w:val="center"/>
          </w:tcPr>
          <w:p w14:paraId="4FA55BB8" w14:textId="0E9A0606" w:rsidR="00D92898" w:rsidRPr="003C2145" w:rsidRDefault="00D92898" w:rsidP="00D92898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116.</w:t>
            </w:r>
            <w:r w:rsidRPr="006C52CC">
              <w:rPr>
                <w:rFonts w:cs="Arial"/>
                <w:b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061" w:type="dxa"/>
            <w:tcBorders>
              <w:top w:val="single" w:sz="12" w:space="0" w:color="212492"/>
            </w:tcBorders>
          </w:tcPr>
          <w:p w14:paraId="15BC7E29" w14:textId="43AE93A1" w:rsidR="00D92898" w:rsidRPr="003C2145" w:rsidRDefault="00D92898" w:rsidP="00D92898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AA2A09">
              <w:rPr>
                <w:rFonts w:cs="Arial"/>
                <w:b/>
                <w:color w:val="000000" w:themeColor="text1"/>
                <w:sz w:val="16"/>
                <w:szCs w:val="16"/>
              </w:rPr>
              <w:t>53 302</w:t>
            </w:r>
          </w:p>
        </w:tc>
        <w:tc>
          <w:tcPr>
            <w:tcW w:w="1207" w:type="dxa"/>
            <w:tcBorders>
              <w:top w:val="single" w:sz="12" w:space="0" w:color="212492"/>
            </w:tcBorders>
            <w:vAlign w:val="center"/>
          </w:tcPr>
          <w:p w14:paraId="7B4095FA" w14:textId="77F6E6AF" w:rsidR="00D92898" w:rsidRPr="003C2145" w:rsidRDefault="00D92898" w:rsidP="00D92898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107.</w:t>
            </w:r>
            <w:r w:rsidRPr="006C52CC">
              <w:rPr>
                <w:rFonts w:cs="Arial"/>
                <w:b/>
                <w:color w:val="000000" w:themeColor="text1"/>
                <w:sz w:val="16"/>
                <w:szCs w:val="16"/>
              </w:rPr>
              <w:t>4</w:t>
            </w:r>
          </w:p>
        </w:tc>
      </w:tr>
      <w:tr w:rsidR="00D92898" w:rsidRPr="003C2145" w14:paraId="1D40C008" w14:textId="77777777" w:rsidTr="00574E89">
        <w:trPr>
          <w:trHeight w:val="57"/>
        </w:trPr>
        <w:tc>
          <w:tcPr>
            <w:tcW w:w="2049" w:type="dxa"/>
            <w:vAlign w:val="center"/>
          </w:tcPr>
          <w:p w14:paraId="158FB4DD" w14:textId="085A529E" w:rsidR="00D92898" w:rsidRPr="003C2145" w:rsidRDefault="00D92898" w:rsidP="00D92898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Private</w:t>
            </w:r>
          </w:p>
        </w:tc>
        <w:tc>
          <w:tcPr>
            <w:tcW w:w="1206" w:type="dxa"/>
            <w:vAlign w:val="center"/>
          </w:tcPr>
          <w:p w14:paraId="451A3490" w14:textId="3AFF8F3D" w:rsidR="00D92898" w:rsidRPr="003C2145" w:rsidRDefault="00D92898" w:rsidP="00D9289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6C52CC">
              <w:rPr>
                <w:rFonts w:cs="Arial"/>
                <w:color w:val="000000" w:themeColor="text1"/>
                <w:sz w:val="16"/>
                <w:szCs w:val="16"/>
              </w:rPr>
              <w:t>8 032</w:t>
            </w:r>
          </w:p>
        </w:tc>
        <w:tc>
          <w:tcPr>
            <w:tcW w:w="1206" w:type="dxa"/>
            <w:vAlign w:val="center"/>
          </w:tcPr>
          <w:p w14:paraId="195F4D95" w14:textId="5188BAA0" w:rsidR="00D92898" w:rsidRPr="003C2145" w:rsidRDefault="00D92898" w:rsidP="00D9289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155.</w:t>
            </w:r>
            <w:r w:rsidRPr="006C52CC">
              <w:rPr>
                <w:rFonts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351" w:type="dxa"/>
            <w:vAlign w:val="center"/>
          </w:tcPr>
          <w:p w14:paraId="78301BBA" w14:textId="1B2C2994" w:rsidR="00D92898" w:rsidRPr="003C2145" w:rsidRDefault="00D92898" w:rsidP="00D9289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115.</w:t>
            </w:r>
            <w:r w:rsidRPr="006C52CC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061" w:type="dxa"/>
          </w:tcPr>
          <w:p w14:paraId="68A49D2A" w14:textId="63A142E1" w:rsidR="00D92898" w:rsidRPr="003C2145" w:rsidRDefault="00D92898" w:rsidP="00D9289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AA2A09">
              <w:rPr>
                <w:rFonts w:cs="Arial"/>
                <w:color w:val="000000" w:themeColor="text1"/>
                <w:sz w:val="16"/>
                <w:szCs w:val="16"/>
              </w:rPr>
              <w:t>21 734</w:t>
            </w:r>
          </w:p>
        </w:tc>
        <w:tc>
          <w:tcPr>
            <w:tcW w:w="1207" w:type="dxa"/>
            <w:vAlign w:val="center"/>
          </w:tcPr>
          <w:p w14:paraId="0E2E31FF" w14:textId="5D15F436" w:rsidR="00D92898" w:rsidRPr="003C2145" w:rsidRDefault="00D92898" w:rsidP="00D9289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121.</w:t>
            </w:r>
            <w:r w:rsidRPr="006C52CC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</w:tr>
      <w:tr w:rsidR="00D92898" w:rsidRPr="003C2145" w14:paraId="508A87A2" w14:textId="77777777" w:rsidTr="00574E89">
        <w:trPr>
          <w:trHeight w:val="57"/>
        </w:trPr>
        <w:tc>
          <w:tcPr>
            <w:tcW w:w="2049" w:type="dxa"/>
            <w:vAlign w:val="center"/>
          </w:tcPr>
          <w:p w14:paraId="5813B5D1" w14:textId="48E027A2" w:rsidR="00D92898" w:rsidRPr="003C2145" w:rsidRDefault="00D92898" w:rsidP="00D92898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 xml:space="preserve">For sale or rent </w:t>
            </w:r>
          </w:p>
        </w:tc>
        <w:tc>
          <w:tcPr>
            <w:tcW w:w="1206" w:type="dxa"/>
            <w:vAlign w:val="center"/>
          </w:tcPr>
          <w:p w14:paraId="0732F4A3" w14:textId="63AC8957" w:rsidR="00D92898" w:rsidRPr="003C2145" w:rsidRDefault="00D92898" w:rsidP="00D9289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6C52CC">
              <w:rPr>
                <w:rFonts w:cs="Arial"/>
                <w:color w:val="000000" w:themeColor="text1"/>
                <w:sz w:val="16"/>
                <w:szCs w:val="16"/>
              </w:rPr>
              <w:t>10 758</w:t>
            </w:r>
          </w:p>
        </w:tc>
        <w:tc>
          <w:tcPr>
            <w:tcW w:w="1206" w:type="dxa"/>
            <w:vAlign w:val="center"/>
          </w:tcPr>
          <w:p w14:paraId="48DFBF4C" w14:textId="2A6B338D" w:rsidR="00D92898" w:rsidRPr="003C2145" w:rsidRDefault="00D92898" w:rsidP="00D9289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105.</w:t>
            </w:r>
            <w:r w:rsidRPr="006C52CC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351" w:type="dxa"/>
            <w:vAlign w:val="center"/>
          </w:tcPr>
          <w:p w14:paraId="4ABA9549" w14:textId="2A69B216" w:rsidR="00D92898" w:rsidRPr="003C2145" w:rsidRDefault="00D92898" w:rsidP="00D9289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113.</w:t>
            </w:r>
            <w:r w:rsidRPr="006C52CC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061" w:type="dxa"/>
            <w:vAlign w:val="center"/>
          </w:tcPr>
          <w:p w14:paraId="72FDE0B7" w14:textId="4A0DD92D" w:rsidR="00D92898" w:rsidRPr="003C2145" w:rsidRDefault="00D92898" w:rsidP="00D9289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AA2A09">
              <w:rPr>
                <w:rFonts w:cs="Arial"/>
                <w:color w:val="000000" w:themeColor="text1"/>
                <w:sz w:val="16"/>
                <w:szCs w:val="16"/>
              </w:rPr>
              <w:t>30 404</w:t>
            </w:r>
          </w:p>
        </w:tc>
        <w:tc>
          <w:tcPr>
            <w:tcW w:w="1207" w:type="dxa"/>
            <w:vAlign w:val="center"/>
          </w:tcPr>
          <w:p w14:paraId="10A2CC76" w14:textId="069F229C" w:rsidR="00D92898" w:rsidRPr="003C2145" w:rsidRDefault="00D92898" w:rsidP="00D9289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98.</w:t>
            </w:r>
            <w:r w:rsidRPr="006C52CC">
              <w:rPr>
                <w:rFonts w:cs="Arial"/>
                <w:color w:val="000000" w:themeColor="text1"/>
                <w:sz w:val="16"/>
                <w:szCs w:val="16"/>
              </w:rPr>
              <w:t>8</w:t>
            </w:r>
          </w:p>
        </w:tc>
      </w:tr>
      <w:tr w:rsidR="00D92898" w:rsidRPr="003C2145" w14:paraId="58824C75" w14:textId="77777777" w:rsidTr="00574E89">
        <w:trPr>
          <w:trHeight w:val="57"/>
        </w:trPr>
        <w:tc>
          <w:tcPr>
            <w:tcW w:w="2049" w:type="dxa"/>
            <w:vAlign w:val="center"/>
          </w:tcPr>
          <w:p w14:paraId="6D82379A" w14:textId="48F6CDEB" w:rsidR="00D92898" w:rsidRPr="003C2145" w:rsidRDefault="00D92898" w:rsidP="00D92898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vertAlign w:val="superscript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 xml:space="preserve">  of which for rent</w:t>
            </w:r>
          </w:p>
        </w:tc>
        <w:tc>
          <w:tcPr>
            <w:tcW w:w="1206" w:type="dxa"/>
            <w:vAlign w:val="center"/>
          </w:tcPr>
          <w:p w14:paraId="379C0269" w14:textId="0CBB5D94" w:rsidR="00D92898" w:rsidRPr="003C2145" w:rsidRDefault="00D92898" w:rsidP="00D9289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6C52CC">
              <w:rPr>
                <w:rFonts w:cs="Arial"/>
                <w:color w:val="000000" w:themeColor="text1"/>
                <w:sz w:val="16"/>
                <w:szCs w:val="16"/>
              </w:rPr>
              <w:t>44</w:t>
            </w:r>
          </w:p>
        </w:tc>
        <w:tc>
          <w:tcPr>
            <w:tcW w:w="1206" w:type="dxa"/>
            <w:vAlign w:val="center"/>
          </w:tcPr>
          <w:p w14:paraId="77154C89" w14:textId="7CBE680E" w:rsidR="00D92898" w:rsidRPr="003C2145" w:rsidRDefault="00D92898" w:rsidP="00D9289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38.</w:t>
            </w:r>
            <w:r w:rsidRPr="006C52CC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351" w:type="dxa"/>
            <w:vAlign w:val="center"/>
          </w:tcPr>
          <w:p w14:paraId="07260E2C" w14:textId="764B6E70" w:rsidR="00D92898" w:rsidRPr="003C2145" w:rsidRDefault="00D92898" w:rsidP="00D9289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78.</w:t>
            </w:r>
            <w:r w:rsidRPr="006C52CC">
              <w:rPr>
                <w:rFonts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061" w:type="dxa"/>
            <w:vAlign w:val="center"/>
          </w:tcPr>
          <w:p w14:paraId="59FA5EC3" w14:textId="656D584D" w:rsidR="00D92898" w:rsidRPr="003C2145" w:rsidRDefault="00D92898" w:rsidP="00D9289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AA2A09">
              <w:rPr>
                <w:rFonts w:cs="Arial"/>
                <w:color w:val="000000" w:themeColor="text1"/>
                <w:sz w:val="16"/>
                <w:szCs w:val="16"/>
              </w:rPr>
              <w:t>203</w:t>
            </w:r>
          </w:p>
        </w:tc>
        <w:tc>
          <w:tcPr>
            <w:tcW w:w="1207" w:type="dxa"/>
            <w:vAlign w:val="center"/>
          </w:tcPr>
          <w:p w14:paraId="75124231" w14:textId="5F5F7768" w:rsidR="00D92898" w:rsidRPr="003C2145" w:rsidRDefault="00D92898" w:rsidP="00D9289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60.</w:t>
            </w:r>
            <w:r w:rsidRPr="006C52CC">
              <w:rPr>
                <w:rFonts w:cs="Arial"/>
                <w:color w:val="000000" w:themeColor="text1"/>
                <w:sz w:val="16"/>
                <w:szCs w:val="16"/>
              </w:rPr>
              <w:t>6</w:t>
            </w:r>
          </w:p>
        </w:tc>
      </w:tr>
      <w:tr w:rsidR="00D92898" w:rsidRPr="003C2145" w14:paraId="2288CE1E" w14:textId="77777777" w:rsidTr="00574E89">
        <w:trPr>
          <w:trHeight w:val="57"/>
        </w:trPr>
        <w:tc>
          <w:tcPr>
            <w:tcW w:w="2049" w:type="dxa"/>
            <w:vAlign w:val="center"/>
          </w:tcPr>
          <w:p w14:paraId="19BC0BAF" w14:textId="12E2EC41" w:rsidR="00D92898" w:rsidRPr="003C2145" w:rsidRDefault="00D92898" w:rsidP="00D92898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  <w:t>Cooperative</w:t>
            </w:r>
          </w:p>
        </w:tc>
        <w:tc>
          <w:tcPr>
            <w:tcW w:w="1206" w:type="dxa"/>
            <w:vAlign w:val="center"/>
          </w:tcPr>
          <w:p w14:paraId="5E18F09E" w14:textId="1D78D3B3" w:rsidR="00D92898" w:rsidRPr="003C2145" w:rsidRDefault="00D92898" w:rsidP="00D9289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6C52CC">
              <w:rPr>
                <w:rFonts w:cs="Arial"/>
                <w:color w:val="000000" w:themeColor="text1"/>
                <w:sz w:val="16"/>
                <w:szCs w:val="16"/>
              </w:rPr>
              <w:t>410</w:t>
            </w:r>
          </w:p>
        </w:tc>
        <w:tc>
          <w:tcPr>
            <w:tcW w:w="1206" w:type="dxa"/>
            <w:vAlign w:val="center"/>
          </w:tcPr>
          <w:p w14:paraId="7DD3D881" w14:textId="4B69106B" w:rsidR="00D92898" w:rsidRPr="003C2145" w:rsidRDefault="00D92898" w:rsidP="00D9289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539.</w:t>
            </w:r>
            <w:r w:rsidRPr="006C52CC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351" w:type="dxa"/>
            <w:vAlign w:val="center"/>
          </w:tcPr>
          <w:p w14:paraId="4325B769" w14:textId="3CE22A6F" w:rsidR="00D92898" w:rsidRPr="003C2145" w:rsidRDefault="00D92898" w:rsidP="00D9289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almost 15-fold more</w:t>
            </w:r>
          </w:p>
        </w:tc>
        <w:tc>
          <w:tcPr>
            <w:tcW w:w="1061" w:type="dxa"/>
            <w:vAlign w:val="center"/>
          </w:tcPr>
          <w:p w14:paraId="18FA1C60" w14:textId="280B1457" w:rsidR="00D92898" w:rsidRPr="003C2145" w:rsidRDefault="00D92898" w:rsidP="00D9289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AA2A09">
              <w:rPr>
                <w:rFonts w:cs="Arial"/>
                <w:color w:val="000000" w:themeColor="text1"/>
                <w:sz w:val="16"/>
                <w:szCs w:val="16"/>
              </w:rPr>
              <w:t>572</w:t>
            </w:r>
          </w:p>
        </w:tc>
        <w:tc>
          <w:tcPr>
            <w:tcW w:w="1207" w:type="dxa"/>
            <w:vAlign w:val="center"/>
          </w:tcPr>
          <w:p w14:paraId="4E1F5190" w14:textId="544F1596" w:rsidR="00D92898" w:rsidRPr="003C2145" w:rsidRDefault="00D92898" w:rsidP="00D9289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141.</w:t>
            </w:r>
            <w:r w:rsidRPr="006C52CC">
              <w:rPr>
                <w:rFonts w:cs="Arial"/>
                <w:color w:val="000000" w:themeColor="text1"/>
                <w:sz w:val="16"/>
                <w:szCs w:val="16"/>
              </w:rPr>
              <w:t>6</w:t>
            </w:r>
          </w:p>
        </w:tc>
      </w:tr>
      <w:tr w:rsidR="00D92898" w:rsidRPr="003C2145" w14:paraId="3F448AE5" w14:textId="77777777" w:rsidTr="00574E89">
        <w:trPr>
          <w:trHeight w:val="57"/>
        </w:trPr>
        <w:tc>
          <w:tcPr>
            <w:tcW w:w="2049" w:type="dxa"/>
            <w:vAlign w:val="center"/>
          </w:tcPr>
          <w:p w14:paraId="75580F57" w14:textId="38954F52" w:rsidR="00D92898" w:rsidRPr="003C2145" w:rsidRDefault="00D92898" w:rsidP="00D92898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Municipal</w:t>
            </w:r>
          </w:p>
        </w:tc>
        <w:tc>
          <w:tcPr>
            <w:tcW w:w="1206" w:type="dxa"/>
            <w:vAlign w:val="center"/>
          </w:tcPr>
          <w:p w14:paraId="4E517085" w14:textId="7C45F123" w:rsidR="00D92898" w:rsidRPr="003C2145" w:rsidRDefault="00D92898" w:rsidP="00D9289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6C52CC">
              <w:rPr>
                <w:rFonts w:cs="Arial"/>
                <w:color w:val="000000" w:themeColor="text1"/>
                <w:sz w:val="16"/>
                <w:szCs w:val="16"/>
              </w:rPr>
              <w:t>211</w:t>
            </w:r>
          </w:p>
        </w:tc>
        <w:tc>
          <w:tcPr>
            <w:tcW w:w="1206" w:type="dxa"/>
            <w:vAlign w:val="center"/>
          </w:tcPr>
          <w:p w14:paraId="25567828" w14:textId="27878FB2" w:rsidR="00D92898" w:rsidRPr="003C2145" w:rsidRDefault="00D92898" w:rsidP="00D9289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over 42-fold more</w:t>
            </w:r>
          </w:p>
        </w:tc>
        <w:tc>
          <w:tcPr>
            <w:tcW w:w="1351" w:type="dxa"/>
            <w:vAlign w:val="center"/>
          </w:tcPr>
          <w:p w14:paraId="014C6835" w14:textId="05761344" w:rsidR="00D92898" w:rsidRPr="003C2145" w:rsidRDefault="00D92898" w:rsidP="00D9289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6C52CC"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t>05.</w:t>
            </w:r>
            <w:r w:rsidRPr="006C52CC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1061" w:type="dxa"/>
          </w:tcPr>
          <w:p w14:paraId="6B466C47" w14:textId="57900F3E" w:rsidR="00D92898" w:rsidRPr="003C2145" w:rsidRDefault="00D92898" w:rsidP="00D92898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color w:val="000000" w:themeColor="text1"/>
                <w:sz w:val="16"/>
                <w:szCs w:val="16"/>
              </w:rPr>
            </w:pPr>
            <w:r w:rsidRPr="00AA2A09">
              <w:rPr>
                <w:rFonts w:cs="Arial"/>
                <w:color w:val="000000" w:themeColor="text1"/>
                <w:sz w:val="16"/>
                <w:szCs w:val="16"/>
              </w:rPr>
              <w:t>505</w:t>
            </w:r>
          </w:p>
        </w:tc>
        <w:tc>
          <w:tcPr>
            <w:tcW w:w="1207" w:type="dxa"/>
            <w:vAlign w:val="center"/>
          </w:tcPr>
          <w:p w14:paraId="07B4D463" w14:textId="75F104AF" w:rsidR="00D92898" w:rsidRPr="003C2145" w:rsidRDefault="00D92898" w:rsidP="00D9289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306.</w:t>
            </w:r>
            <w:r w:rsidRPr="006C52CC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</w:tr>
      <w:tr w:rsidR="00D92898" w:rsidRPr="003C2145" w14:paraId="0BA0AF5E" w14:textId="77777777" w:rsidTr="00574E89">
        <w:trPr>
          <w:trHeight w:val="57"/>
        </w:trPr>
        <w:tc>
          <w:tcPr>
            <w:tcW w:w="2049" w:type="dxa"/>
            <w:vAlign w:val="center"/>
          </w:tcPr>
          <w:p w14:paraId="43913E1F" w14:textId="45BC4A8B" w:rsidR="00D92898" w:rsidRPr="003C2145" w:rsidRDefault="00D92898" w:rsidP="00D92898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Public building society</w:t>
            </w:r>
          </w:p>
        </w:tc>
        <w:tc>
          <w:tcPr>
            <w:tcW w:w="1206" w:type="dxa"/>
            <w:vAlign w:val="center"/>
          </w:tcPr>
          <w:p w14:paraId="3608F751" w14:textId="38FA372F" w:rsidR="00D92898" w:rsidRPr="003C2145" w:rsidRDefault="00D92898" w:rsidP="00D9289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6C52CC">
              <w:rPr>
                <w:rFonts w:cs="Arial"/>
                <w:color w:val="000000" w:themeColor="text1"/>
                <w:sz w:val="16"/>
                <w:szCs w:val="16"/>
              </w:rPr>
              <w:t>36</w:t>
            </w:r>
          </w:p>
        </w:tc>
        <w:tc>
          <w:tcPr>
            <w:tcW w:w="1206" w:type="dxa"/>
            <w:vAlign w:val="center"/>
          </w:tcPr>
          <w:p w14:paraId="11049FEB" w14:textId="77AD3D30" w:rsidR="00D92898" w:rsidRPr="003C2145" w:rsidRDefault="00D92898" w:rsidP="00D9289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27.</w:t>
            </w:r>
            <w:r w:rsidRPr="006C52CC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351" w:type="dxa"/>
            <w:vAlign w:val="center"/>
          </w:tcPr>
          <w:p w14:paraId="7977A467" w14:textId="787D31F6" w:rsidR="00D92898" w:rsidRPr="003C2145" w:rsidRDefault="00D92898" w:rsidP="00D9289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138.</w:t>
            </w:r>
            <w:r w:rsidRPr="006C52CC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1061" w:type="dxa"/>
          </w:tcPr>
          <w:p w14:paraId="7DEAFFCC" w14:textId="43E8E0E1" w:rsidR="00D92898" w:rsidRPr="003C2145" w:rsidRDefault="00D92898" w:rsidP="00D92898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color w:val="000000" w:themeColor="text1"/>
                <w:sz w:val="16"/>
                <w:szCs w:val="16"/>
              </w:rPr>
            </w:pPr>
            <w:r w:rsidRPr="00AA2A09">
              <w:rPr>
                <w:rFonts w:cs="Arial"/>
                <w:color w:val="000000" w:themeColor="text1"/>
                <w:sz w:val="16"/>
                <w:szCs w:val="16"/>
              </w:rPr>
              <w:t>86</w:t>
            </w:r>
          </w:p>
        </w:tc>
        <w:tc>
          <w:tcPr>
            <w:tcW w:w="1207" w:type="dxa"/>
            <w:vAlign w:val="center"/>
          </w:tcPr>
          <w:p w14:paraId="3B642308" w14:textId="50E27F1C" w:rsidR="00D92898" w:rsidRPr="003C2145" w:rsidRDefault="00D92898" w:rsidP="00D9289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26.</w:t>
            </w:r>
            <w:r w:rsidRPr="006C52CC">
              <w:rPr>
                <w:rFonts w:cs="Arial"/>
                <w:color w:val="000000" w:themeColor="text1"/>
                <w:sz w:val="16"/>
                <w:szCs w:val="16"/>
              </w:rPr>
              <w:t>6</w:t>
            </w:r>
          </w:p>
        </w:tc>
      </w:tr>
      <w:tr w:rsidR="00D92898" w:rsidRPr="003C2145" w14:paraId="0EA6F2E3" w14:textId="77777777" w:rsidTr="00574E89">
        <w:trPr>
          <w:trHeight w:val="57"/>
        </w:trPr>
        <w:tc>
          <w:tcPr>
            <w:tcW w:w="2049" w:type="dxa"/>
            <w:vAlign w:val="center"/>
          </w:tcPr>
          <w:p w14:paraId="2E746B3D" w14:textId="6F124B61" w:rsidR="00D92898" w:rsidRPr="003C2145" w:rsidRDefault="00D92898" w:rsidP="00D92898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Company</w:t>
            </w:r>
          </w:p>
        </w:tc>
        <w:tc>
          <w:tcPr>
            <w:tcW w:w="1206" w:type="dxa"/>
            <w:vAlign w:val="center"/>
          </w:tcPr>
          <w:p w14:paraId="4342BE94" w14:textId="2F117177" w:rsidR="00D92898" w:rsidRPr="003C2145" w:rsidRDefault="00D92898" w:rsidP="00D9289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206" w:type="dxa"/>
            <w:vAlign w:val="center"/>
          </w:tcPr>
          <w:p w14:paraId="72960F2D" w14:textId="4E70928A" w:rsidR="00D92898" w:rsidRPr="003C2145" w:rsidRDefault="00D92898" w:rsidP="00D9289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11.1</w:t>
            </w:r>
          </w:p>
        </w:tc>
        <w:tc>
          <w:tcPr>
            <w:tcW w:w="1351" w:type="dxa"/>
            <w:vAlign w:val="center"/>
          </w:tcPr>
          <w:p w14:paraId="01D12245" w14:textId="1586E951" w:rsidR="00D92898" w:rsidRPr="003C2145" w:rsidRDefault="00D92898" w:rsidP="00D9289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4075A5"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1061" w:type="dxa"/>
          </w:tcPr>
          <w:p w14:paraId="4F1C5A5A" w14:textId="7F352D2F" w:rsidR="00D92898" w:rsidRPr="003C2145" w:rsidRDefault="00D92898" w:rsidP="00D92898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color w:val="000000" w:themeColor="text1"/>
                <w:sz w:val="16"/>
                <w:szCs w:val="16"/>
              </w:rPr>
            </w:pPr>
            <w:r w:rsidRPr="00AA2A09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207" w:type="dxa"/>
            <w:vAlign w:val="center"/>
          </w:tcPr>
          <w:p w14:paraId="0DC30BC3" w14:textId="71FB7F21" w:rsidR="00D92898" w:rsidRPr="003C2145" w:rsidRDefault="00D92898" w:rsidP="00D9289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6.</w:t>
            </w:r>
            <w:r w:rsidRPr="006C52CC">
              <w:rPr>
                <w:rFonts w:cs="Arial"/>
                <w:color w:val="000000" w:themeColor="text1"/>
                <w:sz w:val="16"/>
                <w:szCs w:val="16"/>
              </w:rPr>
              <w:t>7</w:t>
            </w:r>
          </w:p>
        </w:tc>
      </w:tr>
      <w:bookmarkEnd w:id="0"/>
    </w:tbl>
    <w:p w14:paraId="4C4EBE85" w14:textId="77777777" w:rsidR="00054314" w:rsidRPr="004829B9" w:rsidRDefault="00054314" w:rsidP="00054314">
      <w:pPr>
        <w:keepNext/>
        <w:spacing w:before="240" w:line="240" w:lineRule="auto"/>
        <w:outlineLvl w:val="0"/>
        <w:rPr>
          <w:rFonts w:ascii="Fira Sans SemiBold" w:eastAsia="Times New Roman" w:hAnsi="Fira Sans SemiBold" w:cs="Times New Roman"/>
          <w:bCs/>
          <w:sz w:val="18"/>
          <w:szCs w:val="18"/>
          <w:lang w:val="en-GB" w:eastAsia="pl-PL"/>
        </w:rPr>
      </w:pPr>
    </w:p>
    <w:p w14:paraId="03EFC1DF" w14:textId="77777777" w:rsidR="00154AC9" w:rsidRPr="004829B9" w:rsidRDefault="00154AC9" w:rsidP="00896EB9">
      <w:pPr>
        <w:rPr>
          <w:shd w:val="clear" w:color="auto" w:fill="FFFFFF"/>
          <w:lang w:val="en-GB"/>
        </w:rPr>
      </w:pPr>
    </w:p>
    <w:p w14:paraId="1FED3B6A" w14:textId="77777777" w:rsidR="0058073C" w:rsidRPr="004829B9" w:rsidRDefault="0058073C" w:rsidP="008F6310">
      <w:pPr>
        <w:rPr>
          <w:rFonts w:ascii="Fira Sans SemiBold" w:hAnsi="Fira Sans SemiBold"/>
          <w:color w:val="001D77"/>
          <w:spacing w:val="-4"/>
          <w:shd w:val="clear" w:color="auto" w:fill="FFFFFF"/>
          <w:lang w:val="en-GB"/>
        </w:rPr>
      </w:pPr>
    </w:p>
    <w:p w14:paraId="71002120" w14:textId="77777777" w:rsidR="009829F8" w:rsidRPr="004829B9" w:rsidRDefault="009829F8" w:rsidP="008F6310">
      <w:pPr>
        <w:rPr>
          <w:rFonts w:ascii="Fira Sans SemiBold" w:hAnsi="Fira Sans SemiBold"/>
          <w:color w:val="001D77"/>
          <w:spacing w:val="-4"/>
          <w:shd w:val="clear" w:color="auto" w:fill="FFFFFF"/>
          <w:lang w:val="en-GB"/>
        </w:rPr>
      </w:pPr>
    </w:p>
    <w:p w14:paraId="10D3BA04" w14:textId="77777777" w:rsidR="00A7208C" w:rsidRDefault="00A7208C" w:rsidP="008F6310">
      <w:pPr>
        <w:rPr>
          <w:rFonts w:ascii="Fira Sans SemiBold" w:hAnsi="Fira Sans SemiBold"/>
          <w:color w:val="001D77"/>
          <w:spacing w:val="-4"/>
          <w:shd w:val="clear" w:color="auto" w:fill="FFFFFF"/>
          <w:lang w:val="en-GB"/>
        </w:rPr>
      </w:pPr>
    </w:p>
    <w:p w14:paraId="2D03BCD7" w14:textId="4A2941C6" w:rsidR="00896EB9" w:rsidRPr="004829B9" w:rsidRDefault="00896EB9" w:rsidP="008F6310">
      <w:pPr>
        <w:rPr>
          <w:rFonts w:ascii="Fira Sans SemiBold" w:hAnsi="Fira Sans SemiBold"/>
          <w:color w:val="001D77"/>
          <w:spacing w:val="-4"/>
          <w:shd w:val="clear" w:color="auto" w:fill="FFFFFF"/>
          <w:lang w:val="en-GB"/>
        </w:rPr>
      </w:pPr>
      <w:r w:rsidRPr="004829B9">
        <w:rPr>
          <w:rFonts w:ascii="Fira Sans SemiBold" w:hAnsi="Fira Sans SemiBold"/>
          <w:color w:val="001D77"/>
          <w:spacing w:val="-4"/>
          <w:shd w:val="clear" w:color="auto" w:fill="FFFFFF"/>
          <w:lang w:val="en-GB"/>
        </w:rPr>
        <w:lastRenderedPageBreak/>
        <w:t xml:space="preserve">Dwellings for which permits have been granted or which have been registered with </w:t>
      </w:r>
      <w:r w:rsidRPr="004829B9">
        <w:rPr>
          <w:rFonts w:ascii="Fira Sans SemiBold" w:hAnsi="Fira Sans SemiBold"/>
          <w:color w:val="001D77"/>
          <w:spacing w:val="-4"/>
          <w:shd w:val="clear" w:color="auto" w:fill="FFFFFF"/>
          <w:lang w:val="en-GB"/>
        </w:rPr>
        <w:br/>
        <w:t>a construction project</w:t>
      </w:r>
    </w:p>
    <w:p w14:paraId="03705375" w14:textId="28E8B279" w:rsidR="00C47CE4" w:rsidRPr="004829B9" w:rsidRDefault="003557A1" w:rsidP="00896EB9">
      <w:pPr>
        <w:rPr>
          <w:b/>
          <w:shd w:val="clear" w:color="auto" w:fill="FFFFFF"/>
          <w:lang w:val="en-GB"/>
        </w:rPr>
      </w:pPr>
      <w:r w:rsidRPr="004829B9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51E55D6D" wp14:editId="69BF41E9">
                <wp:simplePos x="0" y="0"/>
                <wp:positionH relativeFrom="rightMargin">
                  <wp:posOffset>77470</wp:posOffset>
                </wp:positionH>
                <wp:positionV relativeFrom="paragraph">
                  <wp:posOffset>6350</wp:posOffset>
                </wp:positionV>
                <wp:extent cx="1688465" cy="1235075"/>
                <wp:effectExtent l="0" t="0" r="0" b="3175"/>
                <wp:wrapNone/>
                <wp:docPr id="15" name="Pole tekstow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8465" cy="1235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5DCCB4E" w14:textId="27E5BEEA" w:rsidR="00574E89" w:rsidRPr="00AD1492" w:rsidRDefault="00574E89" w:rsidP="00C47CE4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The number of d</w:t>
                            </w:r>
                            <w:r w:rsidRPr="004C57EC">
                              <w:rPr>
                                <w:lang w:val="en-US"/>
                              </w:rPr>
                              <w:t>wellings for which permits have been grante</w:t>
                            </w:r>
                            <w:r>
                              <w:rPr>
                                <w:lang w:val="en-US"/>
                              </w:rPr>
                              <w:t xml:space="preserve">d or which have been registered </w:t>
                            </w:r>
                            <w:r w:rsidRPr="004C57EC">
                              <w:rPr>
                                <w:lang w:val="en-US"/>
                              </w:rPr>
                              <w:t>with a construction project</w:t>
                            </w:r>
                            <w:r>
                              <w:rPr>
                                <w:lang w:val="en-US"/>
                              </w:rPr>
                              <w:t xml:space="preserve"> in</w:t>
                            </w:r>
                            <w:r w:rsidRPr="00AD1492">
                              <w:rPr>
                                <w:lang w:val="en-US"/>
                              </w:rPr>
                              <w:t xml:space="preserve">creased </w:t>
                            </w:r>
                            <w:r>
                              <w:rPr>
                                <w:lang w:val="en-US"/>
                              </w:rPr>
                              <w:t xml:space="preserve">in the period of I-III 2021 </w:t>
                            </w:r>
                            <w:r w:rsidRPr="00AD1492">
                              <w:rPr>
                                <w:lang w:val="en-US"/>
                              </w:rPr>
                              <w:t xml:space="preserve">by </w:t>
                            </w:r>
                            <w:r>
                              <w:rPr>
                                <w:lang w:val="en-US"/>
                              </w:rPr>
                              <w:t>42</w:t>
                            </w:r>
                            <w:r w:rsidRPr="00AD1492">
                              <w:rPr>
                                <w:lang w:val="en-US"/>
                              </w:rPr>
                              <w:t>.</w:t>
                            </w:r>
                            <w:r>
                              <w:rPr>
                                <w:lang w:val="en-US"/>
                              </w:rPr>
                              <w:t>0</w:t>
                            </w:r>
                            <w:r w:rsidRPr="00AD1492">
                              <w:rPr>
                                <w:lang w:val="en-US"/>
                              </w:rPr>
                              <w:t xml:space="preserve">% y/y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E55D6D" id="Pole tekstowe 15" o:spid="_x0000_s1030" type="#_x0000_t202" style="position:absolute;margin-left:6.1pt;margin-top:.5pt;width:132.95pt;height:97.25pt;z-index:25175756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" filled="f" stroked="f" strokeweight=".5pt">
                <v:textbox>
                  <w:txbxContent>
                    <w:p w14:paraId="35DCCB4E" w14:textId="27E5BEEA" w:rsidR="00574E89" w:rsidRPr="00AD1492" w:rsidRDefault="00574E89" w:rsidP="00C47CE4">
                      <w:pPr>
                        <w:pStyle w:val="tekstzboku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The number of d</w:t>
                      </w:r>
                      <w:r w:rsidRPr="004C57EC">
                        <w:rPr>
                          <w:lang w:val="en-US"/>
                        </w:rPr>
                        <w:t>wellings for which permits have been grante</w:t>
                      </w:r>
                      <w:r>
                        <w:rPr>
                          <w:lang w:val="en-US"/>
                        </w:rPr>
                        <w:t xml:space="preserve">d or which have been registered </w:t>
                      </w:r>
                      <w:r w:rsidRPr="004C57EC">
                        <w:rPr>
                          <w:lang w:val="en-US"/>
                        </w:rPr>
                        <w:t>with a construction project</w:t>
                      </w:r>
                      <w:r>
                        <w:rPr>
                          <w:lang w:val="en-US"/>
                        </w:rPr>
                        <w:t xml:space="preserve"> in</w:t>
                      </w:r>
                      <w:r w:rsidRPr="00AD1492">
                        <w:rPr>
                          <w:lang w:val="en-US"/>
                        </w:rPr>
                        <w:t xml:space="preserve">creased </w:t>
                      </w:r>
                      <w:r>
                        <w:rPr>
                          <w:lang w:val="en-US"/>
                        </w:rPr>
                        <w:t xml:space="preserve">in the period of I-III 2021 </w:t>
                      </w:r>
                      <w:r w:rsidRPr="00AD1492">
                        <w:rPr>
                          <w:lang w:val="en-US"/>
                        </w:rPr>
                        <w:t xml:space="preserve">by </w:t>
                      </w:r>
                      <w:r>
                        <w:rPr>
                          <w:lang w:val="en-US"/>
                        </w:rPr>
                        <w:t>42</w:t>
                      </w:r>
                      <w:r w:rsidRPr="00AD1492">
                        <w:rPr>
                          <w:lang w:val="en-US"/>
                        </w:rPr>
                        <w:t>.</w:t>
                      </w:r>
                      <w:r>
                        <w:rPr>
                          <w:lang w:val="en-US"/>
                        </w:rPr>
                        <w:t>0</w:t>
                      </w:r>
                      <w:r w:rsidRPr="00AD1492">
                        <w:rPr>
                          <w:lang w:val="en-US"/>
                        </w:rPr>
                        <w:t xml:space="preserve">% y/y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D1D77" w:rsidRPr="004829B9">
        <w:rPr>
          <w:szCs w:val="19"/>
          <w:shd w:val="clear" w:color="auto" w:fill="FFFFFF"/>
          <w:lang w:val="en-GB"/>
        </w:rPr>
        <w:t>In</w:t>
      </w:r>
      <w:r w:rsidR="00C214E1">
        <w:rPr>
          <w:szCs w:val="19"/>
          <w:shd w:val="clear" w:color="auto" w:fill="FFFFFF"/>
          <w:lang w:val="en-GB"/>
        </w:rPr>
        <w:t xml:space="preserve"> </w:t>
      </w:r>
      <w:r w:rsidR="00B64363">
        <w:rPr>
          <w:szCs w:val="19"/>
          <w:shd w:val="clear" w:color="auto" w:fill="FFFFFF"/>
          <w:lang w:val="en-GB"/>
        </w:rPr>
        <w:t xml:space="preserve">the first </w:t>
      </w:r>
      <w:r w:rsidR="00D92898">
        <w:rPr>
          <w:szCs w:val="19"/>
          <w:shd w:val="clear" w:color="auto" w:fill="FFFFFF"/>
          <w:lang w:val="en-GB"/>
        </w:rPr>
        <w:t>quarter</w:t>
      </w:r>
      <w:r w:rsidR="00B64363">
        <w:rPr>
          <w:szCs w:val="19"/>
          <w:shd w:val="clear" w:color="auto" w:fill="FFFFFF"/>
          <w:lang w:val="en-GB"/>
        </w:rPr>
        <w:t xml:space="preserve"> of</w:t>
      </w:r>
      <w:r w:rsidR="00BD1D77" w:rsidRPr="004829B9">
        <w:rPr>
          <w:szCs w:val="19"/>
          <w:shd w:val="clear" w:color="auto" w:fill="FFFFFF"/>
          <w:lang w:val="en-GB"/>
        </w:rPr>
        <w:t xml:space="preserve"> </w:t>
      </w:r>
      <w:r w:rsidR="00A7208C">
        <w:rPr>
          <w:szCs w:val="19"/>
          <w:shd w:val="clear" w:color="auto" w:fill="FFFFFF"/>
          <w:lang w:val="en-GB"/>
        </w:rPr>
        <w:t>2021</w:t>
      </w:r>
      <w:r w:rsidR="000348CC">
        <w:rPr>
          <w:szCs w:val="19"/>
          <w:shd w:val="clear" w:color="auto" w:fill="FFFFFF"/>
          <w:lang w:val="en-GB"/>
        </w:rPr>
        <w:t>,</w:t>
      </w:r>
      <w:r w:rsidR="00BD1D77" w:rsidRPr="004829B9">
        <w:rPr>
          <w:szCs w:val="19"/>
          <w:shd w:val="clear" w:color="auto" w:fill="FFFFFF"/>
          <w:lang w:val="en-GB"/>
        </w:rPr>
        <w:t xml:space="preserve"> </w:t>
      </w:r>
      <w:r w:rsidR="00C47CE4" w:rsidRPr="004829B9">
        <w:rPr>
          <w:shd w:val="clear" w:color="auto" w:fill="FFFFFF"/>
          <w:lang w:val="en-GB"/>
        </w:rPr>
        <w:t>permits and registrations have been granted for</w:t>
      </w:r>
      <w:r w:rsidR="00314007">
        <w:rPr>
          <w:shd w:val="clear" w:color="auto" w:fill="FFFFFF"/>
          <w:lang w:val="en-GB"/>
        </w:rPr>
        <w:t xml:space="preserve"> </w:t>
      </w:r>
      <w:r w:rsidR="00C47CE4" w:rsidRPr="004829B9">
        <w:rPr>
          <w:shd w:val="clear" w:color="auto" w:fill="FFFFFF"/>
          <w:lang w:val="en-GB"/>
        </w:rPr>
        <w:t xml:space="preserve">construction of </w:t>
      </w:r>
      <w:r w:rsidR="00854717">
        <w:rPr>
          <w:shd w:val="clear" w:color="auto" w:fill="FFFFFF"/>
          <w:lang w:val="en-GB"/>
        </w:rPr>
        <w:t>84</w:t>
      </w:r>
      <w:r w:rsidR="00DE7DD4">
        <w:rPr>
          <w:shd w:val="clear" w:color="auto" w:fill="FFFFFF"/>
          <w:lang w:val="en-GB"/>
        </w:rPr>
        <w:t>.</w:t>
      </w:r>
      <w:r w:rsidR="00854717">
        <w:rPr>
          <w:shd w:val="clear" w:color="auto" w:fill="FFFFFF"/>
          <w:lang w:val="en-GB"/>
        </w:rPr>
        <w:t>3</w:t>
      </w:r>
      <w:r w:rsidR="00DE7DD4" w:rsidRPr="00DE7DD4">
        <w:rPr>
          <w:shd w:val="clear" w:color="auto" w:fill="FFFFFF"/>
          <w:lang w:val="en-GB"/>
        </w:rPr>
        <w:t xml:space="preserve"> </w:t>
      </w:r>
      <w:r w:rsidR="00086F9F" w:rsidRPr="004829B9">
        <w:rPr>
          <w:shd w:val="clear" w:color="auto" w:fill="FFFFFF"/>
          <w:lang w:val="en-GB"/>
        </w:rPr>
        <w:t>thous</w:t>
      </w:r>
      <w:r w:rsidR="000348CC">
        <w:rPr>
          <w:shd w:val="clear" w:color="auto" w:fill="FFFFFF"/>
          <w:lang w:val="en-GB"/>
        </w:rPr>
        <w:t>and</w:t>
      </w:r>
      <w:r w:rsidR="00FD0C2F" w:rsidRPr="004829B9">
        <w:rPr>
          <w:shd w:val="clear" w:color="auto" w:fill="FFFFFF"/>
          <w:lang w:val="en-GB"/>
        </w:rPr>
        <w:t xml:space="preserve"> dwellings, </w:t>
      </w:r>
      <w:r w:rsidR="00C47CE4" w:rsidRPr="004829B9">
        <w:rPr>
          <w:shd w:val="clear" w:color="auto" w:fill="FFFFFF"/>
          <w:lang w:val="en-GB"/>
        </w:rPr>
        <w:t xml:space="preserve">i.e. by </w:t>
      </w:r>
      <w:r w:rsidR="00854717">
        <w:rPr>
          <w:shd w:val="clear" w:color="auto" w:fill="FFFFFF"/>
          <w:lang w:val="en-GB"/>
        </w:rPr>
        <w:t>42</w:t>
      </w:r>
      <w:r w:rsidR="00E245E1" w:rsidRPr="004829B9">
        <w:rPr>
          <w:shd w:val="clear" w:color="auto" w:fill="FFFFFF"/>
          <w:lang w:val="en-GB"/>
        </w:rPr>
        <w:t>.</w:t>
      </w:r>
      <w:r w:rsidR="00854717">
        <w:rPr>
          <w:shd w:val="clear" w:color="auto" w:fill="FFFFFF"/>
          <w:lang w:val="en-GB"/>
        </w:rPr>
        <w:t>0</w:t>
      </w:r>
      <w:r w:rsidR="00C47CE4" w:rsidRPr="004829B9">
        <w:rPr>
          <w:shd w:val="clear" w:color="auto" w:fill="FFFFFF"/>
          <w:lang w:val="en-GB"/>
        </w:rPr>
        <w:t xml:space="preserve">% </w:t>
      </w:r>
      <w:r w:rsidR="00DE7DD4">
        <w:rPr>
          <w:shd w:val="clear" w:color="auto" w:fill="FFFFFF"/>
          <w:lang w:val="en-GB"/>
        </w:rPr>
        <w:t>more</w:t>
      </w:r>
      <w:r w:rsidR="00C47CE4" w:rsidRPr="004829B9">
        <w:rPr>
          <w:shd w:val="clear" w:color="auto" w:fill="FFFFFF"/>
          <w:lang w:val="en-GB"/>
        </w:rPr>
        <w:t xml:space="preserve"> than in </w:t>
      </w:r>
      <w:r w:rsidR="00C214E1">
        <w:rPr>
          <w:shd w:val="clear" w:color="auto" w:fill="FFFFFF"/>
          <w:lang w:val="en-GB"/>
        </w:rPr>
        <w:t>2020</w:t>
      </w:r>
      <w:r w:rsidR="00856FE3" w:rsidRPr="004829B9">
        <w:rPr>
          <w:shd w:val="clear" w:color="auto" w:fill="FFFFFF"/>
          <w:lang w:val="en-GB"/>
        </w:rPr>
        <w:t xml:space="preserve">. </w:t>
      </w:r>
      <w:r w:rsidR="00C47CE4" w:rsidRPr="004829B9">
        <w:rPr>
          <w:shd w:val="clear" w:color="auto" w:fill="FFFFFF"/>
          <w:lang w:val="en-GB"/>
        </w:rPr>
        <w:t xml:space="preserve">Permits for construction of the biggest number of dwellings were given to </w:t>
      </w:r>
      <w:r w:rsidR="00435283" w:rsidRPr="004829B9">
        <w:rPr>
          <w:b/>
          <w:shd w:val="clear" w:color="auto" w:fill="FFFFFF"/>
          <w:lang w:val="en-GB"/>
        </w:rPr>
        <w:t xml:space="preserve">developers </w:t>
      </w:r>
      <w:r w:rsidR="00BD1D77" w:rsidRPr="004829B9">
        <w:rPr>
          <w:shd w:val="clear" w:color="auto" w:fill="FFFFFF"/>
          <w:lang w:val="en-GB"/>
        </w:rPr>
        <w:t>(</w:t>
      </w:r>
      <w:r w:rsidR="00854717">
        <w:rPr>
          <w:shd w:val="clear" w:color="auto" w:fill="FFFFFF"/>
          <w:lang w:val="en-GB"/>
        </w:rPr>
        <w:t>56</w:t>
      </w:r>
      <w:r w:rsidR="00DE7DD4">
        <w:rPr>
          <w:shd w:val="clear" w:color="auto" w:fill="FFFFFF"/>
          <w:lang w:val="en-GB"/>
        </w:rPr>
        <w:t>.</w:t>
      </w:r>
      <w:r w:rsidR="00854717">
        <w:rPr>
          <w:shd w:val="clear" w:color="auto" w:fill="FFFFFF"/>
          <w:lang w:val="en-GB"/>
        </w:rPr>
        <w:t>3</w:t>
      </w:r>
      <w:r w:rsidR="00DE7DD4" w:rsidRPr="00DE7DD4">
        <w:rPr>
          <w:shd w:val="clear" w:color="auto" w:fill="FFFFFF"/>
          <w:lang w:val="en-GB"/>
        </w:rPr>
        <w:t xml:space="preserve"> </w:t>
      </w:r>
      <w:r w:rsidR="00086F9F" w:rsidRPr="004829B9">
        <w:rPr>
          <w:shd w:val="clear" w:color="auto" w:fill="FFFFFF"/>
          <w:lang w:val="en-GB"/>
        </w:rPr>
        <w:t>thous</w:t>
      </w:r>
      <w:r w:rsidR="000348CC">
        <w:rPr>
          <w:shd w:val="clear" w:color="auto" w:fill="FFFFFF"/>
          <w:lang w:val="en-GB"/>
        </w:rPr>
        <w:t>and</w:t>
      </w:r>
      <w:r w:rsidR="00734857">
        <w:rPr>
          <w:shd w:val="clear" w:color="auto" w:fill="FFFFFF"/>
          <w:lang w:val="en-GB"/>
        </w:rPr>
        <w:t>, an</w:t>
      </w:r>
      <w:r w:rsidR="00854717">
        <w:rPr>
          <w:shd w:val="clear" w:color="auto" w:fill="FFFFFF"/>
          <w:lang w:val="en-GB"/>
        </w:rPr>
        <w:t xml:space="preserve"> increase of 51.5</w:t>
      </w:r>
      <w:r w:rsidR="00FE3A83">
        <w:rPr>
          <w:shd w:val="clear" w:color="auto" w:fill="FFFFFF"/>
          <w:lang w:val="en-GB"/>
        </w:rPr>
        <w:t>% y/y</w:t>
      </w:r>
      <w:r w:rsidR="00BD1D77" w:rsidRPr="004829B9">
        <w:rPr>
          <w:shd w:val="clear" w:color="auto" w:fill="FFFFFF"/>
          <w:lang w:val="en-GB"/>
        </w:rPr>
        <w:t>)</w:t>
      </w:r>
      <w:r w:rsidR="00C47CE4" w:rsidRPr="004829B9">
        <w:rPr>
          <w:shd w:val="clear" w:color="auto" w:fill="FFFFFF"/>
          <w:lang w:val="en-GB"/>
        </w:rPr>
        <w:t xml:space="preserve"> and to </w:t>
      </w:r>
      <w:r w:rsidR="00C47CE4" w:rsidRPr="004829B9">
        <w:rPr>
          <w:b/>
          <w:shd w:val="clear" w:color="auto" w:fill="FFFFFF"/>
          <w:lang w:val="en-GB"/>
        </w:rPr>
        <w:t>private investors</w:t>
      </w:r>
      <w:r w:rsidR="00BD1D77" w:rsidRPr="004829B9">
        <w:rPr>
          <w:shd w:val="clear" w:color="auto" w:fill="FFFFFF"/>
          <w:lang w:val="en-GB"/>
        </w:rPr>
        <w:t xml:space="preserve"> (</w:t>
      </w:r>
      <w:r w:rsidR="00854717">
        <w:rPr>
          <w:shd w:val="clear" w:color="auto" w:fill="FFFFFF"/>
          <w:lang w:val="en-GB"/>
        </w:rPr>
        <w:t>2</w:t>
      </w:r>
      <w:r w:rsidR="00B64363">
        <w:rPr>
          <w:shd w:val="clear" w:color="auto" w:fill="FFFFFF"/>
          <w:lang w:val="en-GB"/>
        </w:rPr>
        <w:t>7</w:t>
      </w:r>
      <w:r w:rsidR="00DE7DD4">
        <w:rPr>
          <w:shd w:val="clear" w:color="auto" w:fill="FFFFFF"/>
          <w:lang w:val="en-GB"/>
        </w:rPr>
        <w:t>.</w:t>
      </w:r>
      <w:r w:rsidR="00854717">
        <w:rPr>
          <w:shd w:val="clear" w:color="auto" w:fill="FFFFFF"/>
          <w:lang w:val="en-GB"/>
        </w:rPr>
        <w:t>2</w:t>
      </w:r>
      <w:r w:rsidR="00DE7DD4" w:rsidRPr="00DE7DD4">
        <w:rPr>
          <w:shd w:val="clear" w:color="auto" w:fill="FFFFFF"/>
          <w:lang w:val="en-GB"/>
        </w:rPr>
        <w:t xml:space="preserve"> </w:t>
      </w:r>
      <w:r w:rsidR="00086F9F" w:rsidRPr="004829B9">
        <w:rPr>
          <w:shd w:val="clear" w:color="auto" w:fill="FFFFFF"/>
          <w:lang w:val="en-GB"/>
        </w:rPr>
        <w:t>thous</w:t>
      </w:r>
      <w:r w:rsidR="000348CC">
        <w:rPr>
          <w:shd w:val="clear" w:color="auto" w:fill="FFFFFF"/>
          <w:lang w:val="en-GB"/>
        </w:rPr>
        <w:t>and</w:t>
      </w:r>
      <w:r w:rsidR="00854717">
        <w:rPr>
          <w:shd w:val="clear" w:color="auto" w:fill="FFFFFF"/>
          <w:lang w:val="en-GB"/>
        </w:rPr>
        <w:t>, an increase of 24.3</w:t>
      </w:r>
      <w:r w:rsidR="00FE3A83" w:rsidRPr="00B7342E">
        <w:rPr>
          <w:shd w:val="clear" w:color="auto" w:fill="FFFFFF"/>
          <w:lang w:val="en-GB"/>
        </w:rPr>
        <w:t>%</w:t>
      </w:r>
      <w:r w:rsidR="00BD1D77" w:rsidRPr="00B7342E">
        <w:rPr>
          <w:shd w:val="clear" w:color="auto" w:fill="FFFFFF"/>
          <w:lang w:val="en-GB"/>
        </w:rPr>
        <w:t>)</w:t>
      </w:r>
      <w:r w:rsidR="00CF36C5" w:rsidRPr="004829B9">
        <w:rPr>
          <w:shd w:val="clear" w:color="auto" w:fill="FFFFFF"/>
          <w:lang w:val="en-GB"/>
        </w:rPr>
        <w:t xml:space="preserve">. </w:t>
      </w:r>
      <w:r w:rsidR="000A40DF">
        <w:rPr>
          <w:shd w:val="clear" w:color="auto" w:fill="FFFFFF"/>
          <w:lang w:val="en-GB"/>
        </w:rPr>
        <w:t>W</w:t>
      </w:r>
      <w:r w:rsidR="003B05CF">
        <w:rPr>
          <w:shd w:val="clear" w:color="auto" w:fill="FFFFFF"/>
          <w:lang w:val="en-GB"/>
        </w:rPr>
        <w:t>ithin</w:t>
      </w:r>
      <w:r w:rsidR="00507D43" w:rsidRPr="004829B9">
        <w:rPr>
          <w:shd w:val="clear" w:color="auto" w:fill="FFFFFF"/>
          <w:lang w:val="en-GB"/>
        </w:rPr>
        <w:t xml:space="preserve"> </w:t>
      </w:r>
      <w:r w:rsidR="000A7C88" w:rsidRPr="004829B9">
        <w:rPr>
          <w:shd w:val="clear" w:color="auto" w:fill="FFFFFF"/>
          <w:lang w:val="en-GB"/>
        </w:rPr>
        <w:t xml:space="preserve">these forms </w:t>
      </w:r>
      <w:r w:rsidR="003D5833">
        <w:rPr>
          <w:shd w:val="clear" w:color="auto" w:fill="FFFFFF"/>
          <w:lang w:val="en-GB"/>
        </w:rPr>
        <w:t>of construction</w:t>
      </w:r>
      <w:r w:rsidR="000A40DF">
        <w:rPr>
          <w:shd w:val="clear" w:color="auto" w:fill="FFFFFF"/>
          <w:lang w:val="en-GB"/>
        </w:rPr>
        <w:t xml:space="preserve">, </w:t>
      </w:r>
      <w:r w:rsidR="00AE2B3C">
        <w:rPr>
          <w:shd w:val="clear" w:color="auto" w:fill="FFFFFF"/>
          <w:lang w:val="en-GB"/>
        </w:rPr>
        <w:t xml:space="preserve">permits have been granted </w:t>
      </w:r>
      <w:r w:rsidR="000A40DF" w:rsidRPr="000A40DF">
        <w:rPr>
          <w:shd w:val="clear" w:color="auto" w:fill="FFFFFF"/>
          <w:lang w:val="en-GB"/>
        </w:rPr>
        <w:t>and registrations with a construction project were made</w:t>
      </w:r>
      <w:r w:rsidR="000A40DF">
        <w:rPr>
          <w:shd w:val="clear" w:color="auto" w:fill="FFFFFF"/>
          <w:lang w:val="en-GB"/>
        </w:rPr>
        <w:t xml:space="preserve"> for</w:t>
      </w:r>
      <w:r w:rsidR="00DE7DD4">
        <w:rPr>
          <w:shd w:val="clear" w:color="auto" w:fill="FFFFFF"/>
          <w:lang w:val="en-GB"/>
        </w:rPr>
        <w:t xml:space="preserve"> 99</w:t>
      </w:r>
      <w:r w:rsidR="001A1F89" w:rsidRPr="004829B9">
        <w:rPr>
          <w:shd w:val="clear" w:color="auto" w:fill="FFFFFF"/>
          <w:lang w:val="en-GB"/>
        </w:rPr>
        <w:t>.</w:t>
      </w:r>
      <w:r w:rsidR="00854717">
        <w:rPr>
          <w:shd w:val="clear" w:color="auto" w:fill="FFFFFF"/>
          <w:lang w:val="en-GB"/>
        </w:rPr>
        <w:t>1</w:t>
      </w:r>
      <w:r w:rsidR="000A7C88" w:rsidRPr="004829B9">
        <w:rPr>
          <w:shd w:val="clear" w:color="auto" w:fill="FFFFFF"/>
          <w:lang w:val="en-GB"/>
        </w:rPr>
        <w:t>% of dwellings</w:t>
      </w:r>
      <w:r w:rsidR="000A40DF">
        <w:rPr>
          <w:shd w:val="clear" w:color="auto" w:fill="FFFFFF"/>
          <w:lang w:val="en-GB"/>
        </w:rPr>
        <w:t xml:space="preserve"> in total</w:t>
      </w:r>
      <w:r w:rsidR="00507D43" w:rsidRPr="004829B9">
        <w:rPr>
          <w:shd w:val="clear" w:color="auto" w:fill="FFFFFF"/>
          <w:lang w:val="en-GB"/>
        </w:rPr>
        <w:t xml:space="preserve">. </w:t>
      </w:r>
      <w:r w:rsidR="00A7208C">
        <w:rPr>
          <w:spacing w:val="-4"/>
          <w:shd w:val="clear" w:color="auto" w:fill="FFFFFF"/>
          <w:lang w:val="en-GB"/>
        </w:rPr>
        <w:t>In</w:t>
      </w:r>
      <w:r w:rsidR="00C214E1" w:rsidRPr="004B638F">
        <w:rPr>
          <w:spacing w:val="-4"/>
          <w:shd w:val="clear" w:color="auto" w:fill="FFFFFF"/>
          <w:lang w:val="en-GB"/>
        </w:rPr>
        <w:t xml:space="preserve"> </w:t>
      </w:r>
      <w:r w:rsidR="00B64363" w:rsidRPr="00B64363">
        <w:rPr>
          <w:b/>
          <w:spacing w:val="-4"/>
          <w:shd w:val="clear" w:color="auto" w:fill="FFFFFF"/>
          <w:lang w:val="en-GB"/>
        </w:rPr>
        <w:t xml:space="preserve">other forms </w:t>
      </w:r>
      <w:r w:rsidR="00B64363" w:rsidRPr="00B64363">
        <w:rPr>
          <w:spacing w:val="-4"/>
          <w:shd w:val="clear" w:color="auto" w:fill="FFFFFF"/>
          <w:lang w:val="en-GB"/>
        </w:rPr>
        <w:t xml:space="preserve">of construction </w:t>
      </w:r>
      <w:r w:rsidR="00854717">
        <w:rPr>
          <w:spacing w:val="-4"/>
          <w:shd w:val="clear" w:color="auto" w:fill="FFFFFF"/>
          <w:lang w:val="en-GB"/>
        </w:rPr>
        <w:t>774</w:t>
      </w:r>
      <w:r w:rsidR="00B64363" w:rsidRPr="00B64363">
        <w:rPr>
          <w:spacing w:val="-4"/>
          <w:shd w:val="clear" w:color="auto" w:fill="FFFFFF"/>
          <w:lang w:val="en-GB"/>
        </w:rPr>
        <w:t xml:space="preserve"> dwellings</w:t>
      </w:r>
      <w:r w:rsidR="00B64363">
        <w:rPr>
          <w:b/>
          <w:spacing w:val="-4"/>
          <w:shd w:val="clear" w:color="auto" w:fill="FFFFFF"/>
          <w:lang w:val="en-GB"/>
        </w:rPr>
        <w:t xml:space="preserve"> </w:t>
      </w:r>
      <w:r w:rsidR="00507D43" w:rsidRPr="004829B9">
        <w:rPr>
          <w:shd w:val="clear" w:color="auto" w:fill="FFFFFF"/>
          <w:lang w:val="en-GB"/>
        </w:rPr>
        <w:t xml:space="preserve">for which permits have been granted or which have been registered </w:t>
      </w:r>
      <w:r w:rsidR="000E65E1" w:rsidRPr="004829B9">
        <w:rPr>
          <w:shd w:val="clear" w:color="auto" w:fill="FFFFFF"/>
          <w:lang w:val="en-GB"/>
        </w:rPr>
        <w:t>with a </w:t>
      </w:r>
      <w:r w:rsidR="00507D43" w:rsidRPr="004829B9">
        <w:rPr>
          <w:shd w:val="clear" w:color="auto" w:fill="FFFFFF"/>
          <w:lang w:val="en-GB"/>
        </w:rPr>
        <w:t xml:space="preserve">construction project </w:t>
      </w:r>
      <w:r w:rsidR="00C47CE4" w:rsidRPr="004829B9">
        <w:rPr>
          <w:shd w:val="clear" w:color="auto" w:fill="FFFFFF"/>
          <w:lang w:val="en-GB"/>
        </w:rPr>
        <w:t xml:space="preserve">were </w:t>
      </w:r>
      <w:r w:rsidR="00CD44F1" w:rsidRPr="004829B9">
        <w:rPr>
          <w:shd w:val="clear" w:color="auto" w:fill="FFFFFF"/>
          <w:lang w:val="en-GB"/>
        </w:rPr>
        <w:t>not</w:t>
      </w:r>
      <w:r w:rsidR="00507D43" w:rsidRPr="004829B9">
        <w:rPr>
          <w:shd w:val="clear" w:color="auto" w:fill="FFFFFF"/>
          <w:lang w:val="en-GB"/>
        </w:rPr>
        <w:t>ed</w:t>
      </w:r>
      <w:r w:rsidR="00C214E1">
        <w:rPr>
          <w:shd w:val="clear" w:color="auto" w:fill="FFFFFF"/>
          <w:lang w:val="en-GB"/>
        </w:rPr>
        <w:t xml:space="preserve"> (</w:t>
      </w:r>
      <w:r w:rsidR="00854717">
        <w:rPr>
          <w:shd w:val="clear" w:color="auto" w:fill="FFFFFF"/>
          <w:lang w:val="en-GB"/>
        </w:rPr>
        <w:t>328</w:t>
      </w:r>
      <w:r w:rsidR="00C214E1">
        <w:rPr>
          <w:shd w:val="clear" w:color="auto" w:fill="FFFFFF"/>
          <w:lang w:val="en-GB"/>
        </w:rPr>
        <w:t> dwellings in the previous year</w:t>
      </w:r>
      <w:r w:rsidR="00B64363">
        <w:rPr>
          <w:shd w:val="clear" w:color="auto" w:fill="FFFFFF"/>
          <w:lang w:val="en-GB"/>
        </w:rPr>
        <w:t>).</w:t>
      </w:r>
    </w:p>
    <w:p w14:paraId="073E70B2" w14:textId="77777777" w:rsidR="00896EB9" w:rsidRPr="004829B9" w:rsidRDefault="00896EB9" w:rsidP="00DE7DD4">
      <w:pPr>
        <w:pStyle w:val="tytuwykresu"/>
        <w:ind w:left="709" w:hanging="709"/>
        <w:rPr>
          <w:szCs w:val="19"/>
          <w:shd w:val="clear" w:color="auto" w:fill="FFFFFF"/>
          <w:lang w:val="en-GB"/>
        </w:rPr>
      </w:pPr>
      <w:r w:rsidRPr="004829B9">
        <w:rPr>
          <w:sz w:val="19"/>
          <w:szCs w:val="19"/>
          <w:shd w:val="clear" w:color="auto" w:fill="FFFFFF"/>
          <w:lang w:val="en-GB"/>
        </w:rPr>
        <w:t xml:space="preserve">Table 2. </w:t>
      </w:r>
      <w:r w:rsidRPr="004829B9">
        <w:rPr>
          <w:szCs w:val="19"/>
          <w:shd w:val="clear" w:color="auto" w:fill="FFFFFF"/>
          <w:lang w:val="en-GB"/>
        </w:rPr>
        <w:t xml:space="preserve">Dwellings for which permits have been granted or which have been registered with </w:t>
      </w:r>
      <w:r w:rsidRPr="004829B9">
        <w:rPr>
          <w:szCs w:val="19"/>
          <w:shd w:val="clear" w:color="auto" w:fill="FFFFFF"/>
          <w:lang w:val="en-GB"/>
        </w:rPr>
        <w:br/>
        <w:t>a construction project</w:t>
      </w:r>
    </w:p>
    <w:tbl>
      <w:tblPr>
        <w:tblStyle w:val="Siatkatabelijasna27"/>
        <w:tblpPr w:leftFromText="141" w:rightFromText="141" w:vertAnchor="text" w:horzAnchor="margin" w:tblpY="98"/>
        <w:tblW w:w="8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2049"/>
        <w:gridCol w:w="1206"/>
        <w:gridCol w:w="1281"/>
        <w:gridCol w:w="1134"/>
        <w:gridCol w:w="1134"/>
        <w:gridCol w:w="1276"/>
      </w:tblGrid>
      <w:tr w:rsidR="009742AF" w:rsidRPr="004075A5" w14:paraId="652EDD20" w14:textId="77777777" w:rsidTr="00574E89">
        <w:trPr>
          <w:trHeight w:val="57"/>
        </w:trPr>
        <w:tc>
          <w:tcPr>
            <w:tcW w:w="2049" w:type="dxa"/>
            <w:vMerge w:val="restart"/>
            <w:vAlign w:val="center"/>
          </w:tcPr>
          <w:p w14:paraId="3AA568A9" w14:textId="2D9D8E34" w:rsidR="009742AF" w:rsidRPr="004075A5" w:rsidRDefault="009742AF" w:rsidP="00574E89">
            <w:pPr>
              <w:keepNext/>
              <w:tabs>
                <w:tab w:val="right" w:leader="dot" w:pos="4139"/>
              </w:tabs>
              <w:spacing w:before="0" w:line="240" w:lineRule="auto"/>
              <w:jc w:val="center"/>
              <w:outlineLvl w:val="0"/>
              <w:rPr>
                <w:rFonts w:eastAsia="Times New Roman" w:cs="Arial"/>
                <w:color w:val="000000" w:themeColor="text1"/>
                <w:sz w:val="16"/>
                <w:szCs w:val="16"/>
                <w:lang w:eastAsia="pl-PL"/>
              </w:rPr>
            </w:pPr>
            <w:bookmarkStart w:id="1" w:name="OLE_LINK3"/>
            <w:r w:rsidRPr="009742AF">
              <w:rPr>
                <w:rFonts w:eastAsia="Times New Roman" w:cs="Arial"/>
                <w:color w:val="000000" w:themeColor="text1"/>
                <w:sz w:val="16"/>
                <w:szCs w:val="16"/>
                <w:lang w:eastAsia="pl-PL"/>
              </w:rPr>
              <w:t>SPECIFICATION</w:t>
            </w:r>
          </w:p>
        </w:tc>
        <w:tc>
          <w:tcPr>
            <w:tcW w:w="6031" w:type="dxa"/>
            <w:gridSpan w:val="5"/>
            <w:vAlign w:val="center"/>
          </w:tcPr>
          <w:p w14:paraId="76ACFB3A" w14:textId="77777777" w:rsidR="009742AF" w:rsidRPr="004075A5" w:rsidRDefault="009742AF" w:rsidP="00574E89">
            <w:pPr>
              <w:keepNext/>
              <w:keepLines/>
              <w:spacing w:before="0" w:after="0" w:line="240" w:lineRule="auto"/>
              <w:jc w:val="center"/>
              <w:outlineLvl w:val="2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2021</w:t>
            </w:r>
          </w:p>
        </w:tc>
      </w:tr>
      <w:tr w:rsidR="009742AF" w:rsidRPr="004075A5" w14:paraId="407E8CA0" w14:textId="77777777" w:rsidTr="00574E89">
        <w:trPr>
          <w:trHeight w:val="20"/>
        </w:trPr>
        <w:tc>
          <w:tcPr>
            <w:tcW w:w="2049" w:type="dxa"/>
            <w:vMerge/>
            <w:tcBorders>
              <w:bottom w:val="single" w:sz="12" w:space="0" w:color="212492"/>
            </w:tcBorders>
            <w:vAlign w:val="center"/>
          </w:tcPr>
          <w:p w14:paraId="51E5F49B" w14:textId="77777777" w:rsidR="009742AF" w:rsidRPr="004075A5" w:rsidRDefault="009742AF" w:rsidP="00574E89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ascii="Fira Sans SemiBold" w:eastAsia="Times New Roman" w:hAnsi="Fira Sans SemiBold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3621" w:type="dxa"/>
            <w:gridSpan w:val="3"/>
            <w:tcBorders>
              <w:bottom w:val="single" w:sz="12" w:space="0" w:color="212492"/>
            </w:tcBorders>
            <w:vAlign w:val="center"/>
          </w:tcPr>
          <w:p w14:paraId="7DE5D24B" w14:textId="63FB4262" w:rsidR="009742AF" w:rsidRPr="004075A5" w:rsidRDefault="009742AF" w:rsidP="00574E89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075A5">
              <w:rPr>
                <w:color w:val="000000" w:themeColor="text1"/>
                <w:sz w:val="16"/>
                <w:szCs w:val="16"/>
              </w:rPr>
              <w:t>II</w:t>
            </w:r>
            <w:r w:rsidR="00D92898">
              <w:rPr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2410" w:type="dxa"/>
            <w:gridSpan w:val="2"/>
            <w:tcBorders>
              <w:bottom w:val="single" w:sz="12" w:space="0" w:color="212492"/>
            </w:tcBorders>
          </w:tcPr>
          <w:p w14:paraId="74C18E57" w14:textId="392E89BC" w:rsidR="009742AF" w:rsidRPr="004075A5" w:rsidRDefault="009742AF" w:rsidP="00574E89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I-</w:t>
            </w:r>
            <w:r w:rsidRPr="004075A5">
              <w:rPr>
                <w:color w:val="000000" w:themeColor="text1"/>
                <w:sz w:val="16"/>
                <w:szCs w:val="16"/>
              </w:rPr>
              <w:t>II</w:t>
            </w:r>
            <w:r w:rsidR="00D92898">
              <w:rPr>
                <w:color w:val="000000" w:themeColor="text1"/>
                <w:sz w:val="16"/>
                <w:szCs w:val="16"/>
              </w:rPr>
              <w:t>I</w:t>
            </w:r>
          </w:p>
        </w:tc>
      </w:tr>
      <w:tr w:rsidR="009742AF" w:rsidRPr="004075A5" w14:paraId="34D84E6E" w14:textId="77777777" w:rsidTr="00574E89">
        <w:trPr>
          <w:trHeight w:val="20"/>
        </w:trPr>
        <w:tc>
          <w:tcPr>
            <w:tcW w:w="2049" w:type="dxa"/>
            <w:vMerge/>
            <w:tcBorders>
              <w:bottom w:val="single" w:sz="12" w:space="0" w:color="212492"/>
            </w:tcBorders>
            <w:vAlign w:val="center"/>
          </w:tcPr>
          <w:p w14:paraId="51E5BB0D" w14:textId="77777777" w:rsidR="009742AF" w:rsidRPr="004075A5" w:rsidRDefault="009742AF" w:rsidP="00574E89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ascii="Fira Sans SemiBold" w:eastAsia="Times New Roman" w:hAnsi="Fira Sans SemiBold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14:paraId="7545D542" w14:textId="018F2B6C" w:rsidR="009742AF" w:rsidRPr="004075A5" w:rsidRDefault="009742AF" w:rsidP="00574E89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9742AF">
              <w:rPr>
                <w:color w:val="000000" w:themeColor="text1"/>
                <w:sz w:val="16"/>
                <w:szCs w:val="16"/>
              </w:rPr>
              <w:t>Number of dwellings</w:t>
            </w:r>
          </w:p>
        </w:tc>
        <w:tc>
          <w:tcPr>
            <w:tcW w:w="1281" w:type="dxa"/>
            <w:tcBorders>
              <w:bottom w:val="single" w:sz="12" w:space="0" w:color="212492"/>
            </w:tcBorders>
            <w:vAlign w:val="center"/>
          </w:tcPr>
          <w:p w14:paraId="131348A1" w14:textId="4966CCDC" w:rsidR="009742AF" w:rsidRPr="004075A5" w:rsidRDefault="009742AF" w:rsidP="00574E89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4075A5">
              <w:rPr>
                <w:color w:val="000000" w:themeColor="text1"/>
                <w:sz w:val="16"/>
                <w:szCs w:val="16"/>
              </w:rPr>
              <w:t>II</w:t>
            </w:r>
            <w:r w:rsidR="00D92898">
              <w:rPr>
                <w:color w:val="000000" w:themeColor="text1"/>
                <w:sz w:val="16"/>
                <w:szCs w:val="16"/>
              </w:rPr>
              <w:t>I</w:t>
            </w:r>
            <w:r w:rsidRPr="004075A5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2020</w:t>
            </w:r>
            <w:r w:rsidRPr="004075A5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134" w:type="dxa"/>
            <w:tcBorders>
              <w:bottom w:val="single" w:sz="12" w:space="0" w:color="212492"/>
            </w:tcBorders>
            <w:vAlign w:val="center"/>
          </w:tcPr>
          <w:p w14:paraId="65D60182" w14:textId="07CDEC6A" w:rsidR="009742AF" w:rsidRPr="004075A5" w:rsidRDefault="00D92898" w:rsidP="00574E89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</w:t>
            </w:r>
            <w:r w:rsidR="009742AF" w:rsidRPr="004075A5">
              <w:rPr>
                <w:color w:val="000000" w:themeColor="text1"/>
                <w:sz w:val="16"/>
                <w:szCs w:val="16"/>
              </w:rPr>
              <w:t>I 2</w:t>
            </w:r>
            <w:r w:rsidR="009742AF">
              <w:rPr>
                <w:color w:val="000000" w:themeColor="text1"/>
                <w:sz w:val="16"/>
                <w:szCs w:val="16"/>
              </w:rPr>
              <w:t>021</w:t>
            </w:r>
            <w:r w:rsidR="009742AF" w:rsidRPr="004075A5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134" w:type="dxa"/>
            <w:tcBorders>
              <w:bottom w:val="single" w:sz="12" w:space="0" w:color="212492"/>
            </w:tcBorders>
            <w:vAlign w:val="center"/>
          </w:tcPr>
          <w:p w14:paraId="5E04BAD5" w14:textId="3C487BCE" w:rsidR="009742AF" w:rsidRPr="004075A5" w:rsidRDefault="009742AF" w:rsidP="00574E89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9742AF">
              <w:rPr>
                <w:color w:val="000000" w:themeColor="text1"/>
                <w:sz w:val="16"/>
                <w:szCs w:val="16"/>
              </w:rPr>
              <w:t>Number of dwellings</w:t>
            </w:r>
          </w:p>
        </w:tc>
        <w:tc>
          <w:tcPr>
            <w:tcW w:w="1276" w:type="dxa"/>
            <w:tcBorders>
              <w:bottom w:val="single" w:sz="12" w:space="0" w:color="212492"/>
            </w:tcBorders>
            <w:vAlign w:val="center"/>
          </w:tcPr>
          <w:p w14:paraId="768058B7" w14:textId="01F365D8" w:rsidR="009742AF" w:rsidRPr="004075A5" w:rsidRDefault="009742AF" w:rsidP="00574E89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4075A5">
              <w:rPr>
                <w:color w:val="000000" w:themeColor="text1"/>
                <w:sz w:val="16"/>
                <w:szCs w:val="16"/>
              </w:rPr>
              <w:t>I-II</w:t>
            </w:r>
            <w:r w:rsidR="00D92898">
              <w:rPr>
                <w:color w:val="000000" w:themeColor="text1"/>
                <w:sz w:val="16"/>
                <w:szCs w:val="16"/>
              </w:rPr>
              <w:t>I</w:t>
            </w:r>
            <w:r w:rsidRPr="004075A5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2020</w:t>
            </w:r>
            <w:r w:rsidRPr="004075A5">
              <w:rPr>
                <w:color w:val="000000" w:themeColor="text1"/>
                <w:sz w:val="16"/>
                <w:szCs w:val="16"/>
              </w:rPr>
              <w:t>=100</w:t>
            </w:r>
          </w:p>
        </w:tc>
      </w:tr>
      <w:tr w:rsidR="00D92898" w:rsidRPr="004075A5" w14:paraId="363C5E69" w14:textId="77777777" w:rsidTr="00574E89">
        <w:trPr>
          <w:trHeight w:val="57"/>
        </w:trPr>
        <w:tc>
          <w:tcPr>
            <w:tcW w:w="2049" w:type="dxa"/>
            <w:tcBorders>
              <w:top w:val="single" w:sz="12" w:space="0" w:color="212492"/>
            </w:tcBorders>
            <w:vAlign w:val="center"/>
          </w:tcPr>
          <w:p w14:paraId="6945A5CE" w14:textId="0F3C1913" w:rsidR="00D92898" w:rsidRPr="004075A5" w:rsidRDefault="00D92898" w:rsidP="00D92898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4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TOTAL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14:paraId="2FF6B37E" w14:textId="03180DBB" w:rsidR="00D92898" w:rsidRPr="004075A5" w:rsidRDefault="00D92898" w:rsidP="00D92898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 w:rsidRPr="00737CFE">
              <w:rPr>
                <w:rFonts w:cs="Arial"/>
                <w:b/>
                <w:sz w:val="16"/>
                <w:szCs w:val="16"/>
              </w:rPr>
              <w:t>33 869</w:t>
            </w:r>
          </w:p>
        </w:tc>
        <w:tc>
          <w:tcPr>
            <w:tcW w:w="1281" w:type="dxa"/>
            <w:tcBorders>
              <w:top w:val="single" w:sz="12" w:space="0" w:color="212492"/>
            </w:tcBorders>
            <w:vAlign w:val="center"/>
          </w:tcPr>
          <w:p w14:paraId="2650B294" w14:textId="7EE5089C" w:rsidR="00D92898" w:rsidRPr="004075A5" w:rsidRDefault="00D92898" w:rsidP="00D92898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153.</w:t>
            </w:r>
            <w:r w:rsidRPr="00737CFE">
              <w:rPr>
                <w:rFonts w:cs="Arial"/>
                <w:b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12" w:space="0" w:color="212492"/>
            </w:tcBorders>
            <w:vAlign w:val="center"/>
          </w:tcPr>
          <w:p w14:paraId="00DFAE63" w14:textId="6CBA4C65" w:rsidR="00D92898" w:rsidRPr="004075A5" w:rsidRDefault="00D92898" w:rsidP="00D92898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124.</w:t>
            </w:r>
            <w:r w:rsidRPr="00737CFE">
              <w:rPr>
                <w:rFonts w:cs="Arial"/>
                <w:b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12" w:space="0" w:color="212492"/>
            </w:tcBorders>
            <w:vAlign w:val="center"/>
          </w:tcPr>
          <w:p w14:paraId="2031BE8B" w14:textId="4C5D417B" w:rsidR="00D92898" w:rsidRPr="004075A5" w:rsidRDefault="00D92898" w:rsidP="00D92898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 w:rsidRPr="00237FB7">
              <w:rPr>
                <w:rFonts w:cs="Arial"/>
                <w:b/>
                <w:sz w:val="16"/>
                <w:szCs w:val="16"/>
              </w:rPr>
              <w:t>84 338</w:t>
            </w:r>
          </w:p>
        </w:tc>
        <w:tc>
          <w:tcPr>
            <w:tcW w:w="1276" w:type="dxa"/>
            <w:tcBorders>
              <w:top w:val="single" w:sz="12" w:space="0" w:color="212492"/>
            </w:tcBorders>
            <w:vAlign w:val="center"/>
          </w:tcPr>
          <w:p w14:paraId="2F67A547" w14:textId="752592BB" w:rsidR="00D92898" w:rsidRPr="004075A5" w:rsidRDefault="00854717" w:rsidP="00D92898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142.</w:t>
            </w:r>
            <w:r w:rsidR="00D92898" w:rsidRPr="00737CFE">
              <w:rPr>
                <w:rFonts w:cs="Arial"/>
                <w:b/>
                <w:sz w:val="16"/>
                <w:szCs w:val="16"/>
              </w:rPr>
              <w:t>0</w:t>
            </w:r>
          </w:p>
        </w:tc>
      </w:tr>
      <w:tr w:rsidR="00D92898" w:rsidRPr="004075A5" w14:paraId="5A60AF97" w14:textId="77777777" w:rsidTr="00574E89">
        <w:trPr>
          <w:trHeight w:val="57"/>
        </w:trPr>
        <w:tc>
          <w:tcPr>
            <w:tcW w:w="2049" w:type="dxa"/>
            <w:vAlign w:val="center"/>
          </w:tcPr>
          <w:p w14:paraId="44FEBA86" w14:textId="3CBD3A6D" w:rsidR="00D92898" w:rsidRPr="004075A5" w:rsidRDefault="00D92898" w:rsidP="00D92898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Private</w:t>
            </w:r>
          </w:p>
        </w:tc>
        <w:tc>
          <w:tcPr>
            <w:tcW w:w="1206" w:type="dxa"/>
            <w:vAlign w:val="center"/>
          </w:tcPr>
          <w:p w14:paraId="7B4676B3" w14:textId="51E7600D" w:rsidR="00D92898" w:rsidRPr="004075A5" w:rsidRDefault="00D92898" w:rsidP="00D9289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737CFE">
              <w:rPr>
                <w:rFonts w:cs="Arial"/>
                <w:sz w:val="16"/>
                <w:szCs w:val="16"/>
              </w:rPr>
              <w:t>10 208</w:t>
            </w:r>
          </w:p>
        </w:tc>
        <w:tc>
          <w:tcPr>
            <w:tcW w:w="1281" w:type="dxa"/>
            <w:vAlign w:val="center"/>
          </w:tcPr>
          <w:p w14:paraId="5944B0EE" w14:textId="1F5E4761" w:rsidR="00D92898" w:rsidRPr="004075A5" w:rsidRDefault="00D92898" w:rsidP="00D9289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126.</w:t>
            </w:r>
            <w:r w:rsidRPr="00737CFE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vAlign w:val="center"/>
          </w:tcPr>
          <w:p w14:paraId="3B4476B3" w14:textId="3BB02191" w:rsidR="00D92898" w:rsidRPr="004075A5" w:rsidRDefault="00D92898" w:rsidP="00D9289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116.</w:t>
            </w:r>
            <w:r w:rsidRPr="00737CFE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vAlign w:val="center"/>
          </w:tcPr>
          <w:p w14:paraId="4C8A7B81" w14:textId="1569F63C" w:rsidR="00D92898" w:rsidRPr="004075A5" w:rsidRDefault="00D92898" w:rsidP="00D92898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jc w:val="right"/>
              <w:outlineLvl w:val="4"/>
              <w:rPr>
                <w:rFonts w:eastAsiaTheme="majorEastAsia" w:cstheme="majorBidi"/>
                <w:sz w:val="16"/>
                <w:szCs w:val="16"/>
              </w:rPr>
            </w:pPr>
            <w:r w:rsidRPr="00237FB7">
              <w:rPr>
                <w:rFonts w:eastAsiaTheme="majorEastAsia" w:cstheme="majorBidi"/>
                <w:sz w:val="16"/>
                <w:szCs w:val="16"/>
              </w:rPr>
              <w:t>27 230</w:t>
            </w:r>
          </w:p>
        </w:tc>
        <w:tc>
          <w:tcPr>
            <w:tcW w:w="1276" w:type="dxa"/>
            <w:vAlign w:val="center"/>
          </w:tcPr>
          <w:p w14:paraId="77B0F2D4" w14:textId="35605DE0" w:rsidR="00D92898" w:rsidRPr="004075A5" w:rsidRDefault="00854717" w:rsidP="00D9289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124.</w:t>
            </w:r>
            <w:r w:rsidR="00D92898" w:rsidRPr="00737CFE">
              <w:rPr>
                <w:rFonts w:cs="Arial"/>
                <w:sz w:val="16"/>
                <w:szCs w:val="16"/>
              </w:rPr>
              <w:t>3</w:t>
            </w:r>
          </w:p>
        </w:tc>
      </w:tr>
      <w:tr w:rsidR="00D92898" w:rsidRPr="004075A5" w14:paraId="253F359E" w14:textId="77777777" w:rsidTr="00574E89">
        <w:trPr>
          <w:trHeight w:val="381"/>
        </w:trPr>
        <w:tc>
          <w:tcPr>
            <w:tcW w:w="2049" w:type="dxa"/>
            <w:vAlign w:val="center"/>
          </w:tcPr>
          <w:p w14:paraId="4A3D285E" w14:textId="713098B9" w:rsidR="00D92898" w:rsidRPr="004075A5" w:rsidRDefault="00D92898" w:rsidP="00D92898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 xml:space="preserve">For sale or rent </w:t>
            </w:r>
          </w:p>
        </w:tc>
        <w:tc>
          <w:tcPr>
            <w:tcW w:w="1206" w:type="dxa"/>
            <w:vAlign w:val="center"/>
          </w:tcPr>
          <w:p w14:paraId="2742894C" w14:textId="7E25E56C" w:rsidR="00D92898" w:rsidRPr="004075A5" w:rsidRDefault="00D92898" w:rsidP="00D9289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737CFE">
              <w:rPr>
                <w:rFonts w:cs="Arial"/>
                <w:sz w:val="16"/>
                <w:szCs w:val="16"/>
              </w:rPr>
              <w:t>23 290</w:t>
            </w:r>
          </w:p>
        </w:tc>
        <w:tc>
          <w:tcPr>
            <w:tcW w:w="1281" w:type="dxa"/>
            <w:vAlign w:val="center"/>
          </w:tcPr>
          <w:p w14:paraId="3E99F8B5" w14:textId="0E2FAD66" w:rsidR="00D92898" w:rsidRPr="004075A5" w:rsidRDefault="00D92898" w:rsidP="00D9289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167.</w:t>
            </w:r>
            <w:r w:rsidRPr="00737CFE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1134" w:type="dxa"/>
            <w:vAlign w:val="center"/>
          </w:tcPr>
          <w:p w14:paraId="33E71843" w14:textId="1A780759" w:rsidR="00D92898" w:rsidRPr="004075A5" w:rsidRDefault="00D92898" w:rsidP="00D9289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128.</w:t>
            </w:r>
            <w:r w:rsidRPr="00737CFE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1134" w:type="dxa"/>
            <w:vAlign w:val="center"/>
          </w:tcPr>
          <w:p w14:paraId="439A9A61" w14:textId="67102EC6" w:rsidR="00D92898" w:rsidRPr="004075A5" w:rsidRDefault="00D92898" w:rsidP="00D92898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jc w:val="right"/>
              <w:outlineLvl w:val="7"/>
              <w:rPr>
                <w:rFonts w:eastAsiaTheme="majorEastAsia" w:cstheme="majorBidi"/>
                <w:sz w:val="16"/>
                <w:szCs w:val="16"/>
              </w:rPr>
            </w:pPr>
            <w:r w:rsidRPr="00237FB7">
              <w:rPr>
                <w:rFonts w:eastAsiaTheme="majorEastAsia" w:cstheme="majorBidi"/>
                <w:sz w:val="16"/>
                <w:szCs w:val="16"/>
              </w:rPr>
              <w:t>56 334</w:t>
            </w:r>
          </w:p>
        </w:tc>
        <w:tc>
          <w:tcPr>
            <w:tcW w:w="1276" w:type="dxa"/>
            <w:vAlign w:val="center"/>
          </w:tcPr>
          <w:p w14:paraId="1D21657D" w14:textId="4F45923B" w:rsidR="00D92898" w:rsidRPr="004075A5" w:rsidRDefault="00854717" w:rsidP="00D9289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151.</w:t>
            </w:r>
            <w:r w:rsidR="00D92898" w:rsidRPr="00737CFE">
              <w:rPr>
                <w:rFonts w:cs="Arial"/>
                <w:sz w:val="16"/>
                <w:szCs w:val="16"/>
              </w:rPr>
              <w:t>5</w:t>
            </w:r>
          </w:p>
        </w:tc>
      </w:tr>
      <w:tr w:rsidR="00D92898" w:rsidRPr="004075A5" w14:paraId="49CCABB5" w14:textId="77777777" w:rsidTr="00574E89">
        <w:trPr>
          <w:trHeight w:val="254"/>
        </w:trPr>
        <w:tc>
          <w:tcPr>
            <w:tcW w:w="2049" w:type="dxa"/>
            <w:vAlign w:val="center"/>
          </w:tcPr>
          <w:p w14:paraId="04F8B3A3" w14:textId="40A4038A" w:rsidR="00D92898" w:rsidRPr="004075A5" w:rsidRDefault="00D92898" w:rsidP="00D92898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  <w:t>Cooperative</w:t>
            </w:r>
          </w:p>
        </w:tc>
        <w:tc>
          <w:tcPr>
            <w:tcW w:w="1206" w:type="dxa"/>
            <w:vAlign w:val="center"/>
          </w:tcPr>
          <w:p w14:paraId="54102165" w14:textId="4A0E79D7" w:rsidR="00D92898" w:rsidRPr="004075A5" w:rsidRDefault="00D92898" w:rsidP="00D9289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737CFE">
              <w:rPr>
                <w:rFonts w:cs="Arial"/>
                <w:sz w:val="16"/>
                <w:szCs w:val="16"/>
              </w:rPr>
              <w:t>180</w:t>
            </w:r>
          </w:p>
        </w:tc>
        <w:tc>
          <w:tcPr>
            <w:tcW w:w="1281" w:type="dxa"/>
            <w:vAlign w:val="center"/>
          </w:tcPr>
          <w:p w14:paraId="09DE0DD7" w14:textId="05E12850" w:rsidR="00D92898" w:rsidRPr="004075A5" w:rsidRDefault="00D92898" w:rsidP="00D9289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102.</w:t>
            </w:r>
            <w:r w:rsidRPr="00737CFE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1134" w:type="dxa"/>
            <w:vAlign w:val="center"/>
          </w:tcPr>
          <w:p w14:paraId="26C5A508" w14:textId="7056CFBF" w:rsidR="00D92898" w:rsidRPr="004075A5" w:rsidRDefault="00D92898" w:rsidP="00D9289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147.</w:t>
            </w:r>
            <w:r w:rsidRPr="00737CFE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vAlign w:val="center"/>
          </w:tcPr>
          <w:p w14:paraId="0758F907" w14:textId="0530235C" w:rsidR="00D92898" w:rsidRPr="004075A5" w:rsidRDefault="00D92898" w:rsidP="00D92898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jc w:val="right"/>
              <w:outlineLvl w:val="7"/>
              <w:rPr>
                <w:rFonts w:eastAsiaTheme="majorEastAsia" w:cstheme="majorBidi"/>
                <w:sz w:val="16"/>
                <w:szCs w:val="16"/>
              </w:rPr>
            </w:pPr>
            <w:r w:rsidRPr="00237FB7">
              <w:rPr>
                <w:rFonts w:eastAsiaTheme="majorEastAsia" w:cstheme="majorBidi"/>
                <w:sz w:val="16"/>
                <w:szCs w:val="16"/>
              </w:rPr>
              <w:t>377</w:t>
            </w:r>
          </w:p>
        </w:tc>
        <w:tc>
          <w:tcPr>
            <w:tcW w:w="1276" w:type="dxa"/>
            <w:vAlign w:val="center"/>
          </w:tcPr>
          <w:p w14:paraId="3736BBBA" w14:textId="318BAAE8" w:rsidR="00D92898" w:rsidRPr="004075A5" w:rsidRDefault="00854717" w:rsidP="00D9289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185.</w:t>
            </w:r>
            <w:r w:rsidR="00D92898" w:rsidRPr="00737CFE">
              <w:rPr>
                <w:rFonts w:cs="Arial"/>
                <w:sz w:val="16"/>
                <w:szCs w:val="16"/>
              </w:rPr>
              <w:t>7</w:t>
            </w:r>
          </w:p>
        </w:tc>
      </w:tr>
      <w:tr w:rsidR="00D92898" w:rsidRPr="004075A5" w14:paraId="6AE47FCE" w14:textId="77777777" w:rsidTr="00574E89">
        <w:trPr>
          <w:trHeight w:val="57"/>
        </w:trPr>
        <w:tc>
          <w:tcPr>
            <w:tcW w:w="2049" w:type="dxa"/>
            <w:vAlign w:val="center"/>
          </w:tcPr>
          <w:p w14:paraId="4BE41020" w14:textId="03705341" w:rsidR="00D92898" w:rsidRPr="004075A5" w:rsidRDefault="00D92898" w:rsidP="00D92898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Municipal</w:t>
            </w:r>
          </w:p>
        </w:tc>
        <w:tc>
          <w:tcPr>
            <w:tcW w:w="1206" w:type="dxa"/>
            <w:vAlign w:val="center"/>
          </w:tcPr>
          <w:p w14:paraId="074B7F82" w14:textId="4544CF7B" w:rsidR="00D92898" w:rsidRPr="004075A5" w:rsidRDefault="00D92898" w:rsidP="00D9289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737CFE">
              <w:rPr>
                <w:rFonts w:cs="Arial"/>
                <w:sz w:val="16"/>
                <w:szCs w:val="16"/>
              </w:rPr>
              <w:t>118</w:t>
            </w:r>
          </w:p>
        </w:tc>
        <w:tc>
          <w:tcPr>
            <w:tcW w:w="1281" w:type="dxa"/>
            <w:vAlign w:val="center"/>
          </w:tcPr>
          <w:p w14:paraId="394FC924" w14:textId="665024A1" w:rsidR="00D92898" w:rsidRPr="00394560" w:rsidRDefault="00854717" w:rsidP="00D9289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almost</w:t>
            </w:r>
            <w:r w:rsidR="00D92898">
              <w:rPr>
                <w:rFonts w:cs="Arial"/>
                <w:sz w:val="16"/>
                <w:szCs w:val="16"/>
              </w:rPr>
              <w:t xml:space="preserve"> 20</w:t>
            </w:r>
            <w:r w:rsidR="00D92898" w:rsidRPr="00394560">
              <w:rPr>
                <w:rFonts w:cs="Arial"/>
                <w:sz w:val="16"/>
                <w:szCs w:val="16"/>
              </w:rPr>
              <w:t>-</w:t>
            </w:r>
          </w:p>
          <w:p w14:paraId="75710FA7" w14:textId="53E492FE" w:rsidR="00D92898" w:rsidRPr="004075A5" w:rsidRDefault="00854717" w:rsidP="00D9289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fold more</w:t>
            </w:r>
          </w:p>
        </w:tc>
        <w:tc>
          <w:tcPr>
            <w:tcW w:w="1134" w:type="dxa"/>
            <w:vAlign w:val="center"/>
          </w:tcPr>
          <w:p w14:paraId="0D727A2C" w14:textId="6167CD27" w:rsidR="00D92898" w:rsidRPr="004075A5" w:rsidRDefault="00D92898" w:rsidP="00D9289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111.</w:t>
            </w:r>
            <w:r w:rsidRPr="00737CFE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1134" w:type="dxa"/>
            <w:vAlign w:val="center"/>
          </w:tcPr>
          <w:p w14:paraId="7BC5B13D" w14:textId="142C0393" w:rsidR="00D92898" w:rsidRPr="004075A5" w:rsidRDefault="00D92898" w:rsidP="00D92898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sz w:val="16"/>
                <w:szCs w:val="16"/>
              </w:rPr>
            </w:pPr>
            <w:r w:rsidRPr="00237FB7">
              <w:rPr>
                <w:sz w:val="16"/>
                <w:szCs w:val="16"/>
              </w:rPr>
              <w:t>252</w:t>
            </w:r>
          </w:p>
        </w:tc>
        <w:tc>
          <w:tcPr>
            <w:tcW w:w="1276" w:type="dxa"/>
            <w:vAlign w:val="center"/>
          </w:tcPr>
          <w:p w14:paraId="6A2D6765" w14:textId="63D18FE4" w:rsidR="00D92898" w:rsidRPr="004075A5" w:rsidRDefault="00854717" w:rsidP="00D9289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204.</w:t>
            </w:r>
            <w:r w:rsidR="00D92898" w:rsidRPr="00737CFE">
              <w:rPr>
                <w:rFonts w:cs="Arial"/>
                <w:sz w:val="16"/>
                <w:szCs w:val="16"/>
              </w:rPr>
              <w:t>9</w:t>
            </w:r>
          </w:p>
        </w:tc>
      </w:tr>
      <w:tr w:rsidR="00D92898" w:rsidRPr="004075A5" w14:paraId="37430476" w14:textId="77777777" w:rsidTr="00574E89">
        <w:trPr>
          <w:trHeight w:val="57"/>
        </w:trPr>
        <w:tc>
          <w:tcPr>
            <w:tcW w:w="2049" w:type="dxa"/>
            <w:vAlign w:val="center"/>
          </w:tcPr>
          <w:p w14:paraId="5B07F42D" w14:textId="55C2ED06" w:rsidR="00D92898" w:rsidRPr="004075A5" w:rsidRDefault="00D92898" w:rsidP="00D92898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Public building society</w:t>
            </w:r>
          </w:p>
        </w:tc>
        <w:tc>
          <w:tcPr>
            <w:tcW w:w="1206" w:type="dxa"/>
            <w:vAlign w:val="center"/>
          </w:tcPr>
          <w:p w14:paraId="5B2F4361" w14:textId="2D0505C5" w:rsidR="00D92898" w:rsidRPr="004075A5" w:rsidRDefault="00D92898" w:rsidP="00D9289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737CFE">
              <w:rPr>
                <w:rFonts w:cs="Arial"/>
                <w:sz w:val="16"/>
                <w:szCs w:val="16"/>
              </w:rPr>
              <w:t>71</w:t>
            </w:r>
          </w:p>
        </w:tc>
        <w:tc>
          <w:tcPr>
            <w:tcW w:w="1281" w:type="dxa"/>
            <w:vAlign w:val="center"/>
          </w:tcPr>
          <w:p w14:paraId="3F38C2B2" w14:textId="0ABBA8C9" w:rsidR="00D92898" w:rsidRPr="004075A5" w:rsidRDefault="00D92898" w:rsidP="00D9289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1134" w:type="dxa"/>
            <w:vAlign w:val="center"/>
          </w:tcPr>
          <w:p w14:paraId="7F91F410" w14:textId="4C66A07C" w:rsidR="00D92898" w:rsidRPr="004075A5" w:rsidRDefault="00D92898" w:rsidP="00D9289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129.</w:t>
            </w:r>
            <w:r w:rsidRPr="00737CFE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vAlign w:val="center"/>
          </w:tcPr>
          <w:p w14:paraId="1D4CFC01" w14:textId="0F5D1FD3" w:rsidR="00D92898" w:rsidRPr="004075A5" w:rsidRDefault="00D92898" w:rsidP="00D92898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sz w:val="16"/>
                <w:szCs w:val="16"/>
              </w:rPr>
            </w:pPr>
            <w:r w:rsidRPr="00237FB7">
              <w:rPr>
                <w:sz w:val="16"/>
                <w:szCs w:val="16"/>
              </w:rPr>
              <w:t>141</w:t>
            </w:r>
          </w:p>
        </w:tc>
        <w:tc>
          <w:tcPr>
            <w:tcW w:w="1276" w:type="dxa"/>
            <w:vAlign w:val="center"/>
          </w:tcPr>
          <w:p w14:paraId="2D6C854F" w14:textId="0306BA3F" w:rsidR="00D92898" w:rsidRPr="004075A5" w:rsidRDefault="00D92898" w:rsidP="00D9289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.</w:t>
            </w:r>
          </w:p>
        </w:tc>
      </w:tr>
      <w:tr w:rsidR="00D92898" w:rsidRPr="004075A5" w14:paraId="600577D6" w14:textId="77777777" w:rsidTr="00574E89">
        <w:trPr>
          <w:trHeight w:val="57"/>
        </w:trPr>
        <w:tc>
          <w:tcPr>
            <w:tcW w:w="2049" w:type="dxa"/>
            <w:vAlign w:val="center"/>
          </w:tcPr>
          <w:p w14:paraId="210EF7C3" w14:textId="0E998393" w:rsidR="00D92898" w:rsidRPr="004075A5" w:rsidRDefault="00D92898" w:rsidP="00D92898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Company</w:t>
            </w:r>
          </w:p>
        </w:tc>
        <w:tc>
          <w:tcPr>
            <w:tcW w:w="1206" w:type="dxa"/>
            <w:vAlign w:val="center"/>
          </w:tcPr>
          <w:p w14:paraId="5643C5F6" w14:textId="57ADC6C0" w:rsidR="00D92898" w:rsidRPr="004075A5" w:rsidRDefault="00D92898" w:rsidP="00D9289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1281" w:type="dxa"/>
            <w:vAlign w:val="center"/>
          </w:tcPr>
          <w:p w14:paraId="010E4B35" w14:textId="4EC329B5" w:rsidR="00D92898" w:rsidRPr="004075A5" w:rsidRDefault="00D92898" w:rsidP="00D9289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100.0</w:t>
            </w:r>
          </w:p>
        </w:tc>
        <w:tc>
          <w:tcPr>
            <w:tcW w:w="1134" w:type="dxa"/>
            <w:vAlign w:val="center"/>
          </w:tcPr>
          <w:p w14:paraId="1C67E5C1" w14:textId="541310AC" w:rsidR="00D92898" w:rsidRPr="004075A5" w:rsidRDefault="00D92898" w:rsidP="00D9289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4075A5"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1134" w:type="dxa"/>
            <w:vAlign w:val="center"/>
          </w:tcPr>
          <w:p w14:paraId="58E5EB1D" w14:textId="3C8E9075" w:rsidR="00D92898" w:rsidRPr="004075A5" w:rsidRDefault="00D92898" w:rsidP="00D92898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sz w:val="16"/>
                <w:szCs w:val="16"/>
              </w:rPr>
            </w:pPr>
            <w:r w:rsidRPr="00237FB7">
              <w:rPr>
                <w:sz w:val="16"/>
                <w:szCs w:val="16"/>
              </w:rPr>
              <w:t>4</w:t>
            </w:r>
          </w:p>
        </w:tc>
        <w:tc>
          <w:tcPr>
            <w:tcW w:w="1276" w:type="dxa"/>
            <w:vAlign w:val="center"/>
          </w:tcPr>
          <w:p w14:paraId="0779A040" w14:textId="4113DD12" w:rsidR="00D92898" w:rsidRPr="004075A5" w:rsidRDefault="00854717" w:rsidP="00D9289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200.</w:t>
            </w:r>
            <w:r w:rsidR="00D92898" w:rsidRPr="00737CFE">
              <w:rPr>
                <w:rFonts w:cs="Arial"/>
                <w:sz w:val="16"/>
                <w:szCs w:val="16"/>
              </w:rPr>
              <w:t>0</w:t>
            </w:r>
          </w:p>
        </w:tc>
      </w:tr>
      <w:bookmarkEnd w:id="1"/>
    </w:tbl>
    <w:p w14:paraId="2230FC6A" w14:textId="77777777" w:rsidR="00896EB9" w:rsidRPr="004829B9" w:rsidRDefault="00896EB9" w:rsidP="00095A18">
      <w:pPr>
        <w:pStyle w:val="tytuwykresu"/>
        <w:jc w:val="both"/>
        <w:rPr>
          <w:b w:val="0"/>
          <w:sz w:val="19"/>
          <w:szCs w:val="19"/>
          <w:shd w:val="clear" w:color="auto" w:fill="FFFFFF"/>
          <w:lang w:val="en-GB"/>
        </w:rPr>
      </w:pPr>
    </w:p>
    <w:p w14:paraId="3A8AA2D4" w14:textId="77777777" w:rsidR="00896EB9" w:rsidRPr="004829B9" w:rsidRDefault="00896EB9" w:rsidP="00E55DC7">
      <w:pPr>
        <w:jc w:val="both"/>
        <w:rPr>
          <w:rFonts w:ascii="Fira Sans SemiBold" w:hAnsi="Fira Sans SemiBold"/>
          <w:color w:val="001D77"/>
          <w:spacing w:val="-4"/>
          <w:shd w:val="clear" w:color="auto" w:fill="FFFFFF"/>
          <w:lang w:val="en-GB"/>
        </w:rPr>
      </w:pPr>
      <w:r w:rsidRPr="004829B9">
        <w:rPr>
          <w:rFonts w:ascii="Fira Sans SemiBold" w:hAnsi="Fira Sans SemiBold"/>
          <w:color w:val="001D77"/>
          <w:spacing w:val="-4"/>
          <w:shd w:val="clear" w:color="auto" w:fill="FFFFFF"/>
          <w:lang w:val="en-GB"/>
        </w:rPr>
        <w:t>Dwellings in which construction has begun</w:t>
      </w:r>
    </w:p>
    <w:p w14:paraId="739580B8" w14:textId="13904B81" w:rsidR="00095A18" w:rsidRPr="004829B9" w:rsidRDefault="00896EB9" w:rsidP="00CF36C5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  <w:r w:rsidRPr="004829B9">
        <w:rPr>
          <w:b w:val="0"/>
          <w:sz w:val="19"/>
          <w:szCs w:val="19"/>
          <w:shd w:val="clear" w:color="auto" w:fill="FFFFFF"/>
          <w:lang w:val="en-GB"/>
        </w:rPr>
        <w:t xml:space="preserve">In </w:t>
      </w:r>
      <w:r w:rsidR="009742AF">
        <w:rPr>
          <w:b w:val="0"/>
          <w:sz w:val="19"/>
          <w:szCs w:val="19"/>
          <w:shd w:val="clear" w:color="auto" w:fill="FFFFFF"/>
          <w:lang w:val="en-GB"/>
        </w:rPr>
        <w:t xml:space="preserve">the period of </w:t>
      </w:r>
      <w:r w:rsidR="009118D4">
        <w:rPr>
          <w:b w:val="0"/>
          <w:sz w:val="19"/>
          <w:szCs w:val="19"/>
          <w:shd w:val="clear" w:color="auto" w:fill="FFFFFF"/>
          <w:lang w:val="en-GB"/>
        </w:rPr>
        <w:t>January</w:t>
      </w:r>
      <w:r w:rsidR="009742AF">
        <w:rPr>
          <w:b w:val="0"/>
          <w:sz w:val="19"/>
          <w:szCs w:val="19"/>
          <w:shd w:val="clear" w:color="auto" w:fill="FFFFFF"/>
          <w:lang w:val="en-GB"/>
        </w:rPr>
        <w:t>-</w:t>
      </w:r>
      <w:r w:rsidR="00854717">
        <w:rPr>
          <w:b w:val="0"/>
          <w:sz w:val="19"/>
          <w:szCs w:val="19"/>
          <w:shd w:val="clear" w:color="auto" w:fill="FFFFFF"/>
          <w:lang w:val="en-GB"/>
        </w:rPr>
        <w:t>March</w:t>
      </w:r>
      <w:r w:rsidR="009118D4">
        <w:rPr>
          <w:b w:val="0"/>
          <w:sz w:val="19"/>
          <w:szCs w:val="19"/>
          <w:shd w:val="clear" w:color="auto" w:fill="FFFFFF"/>
          <w:lang w:val="en-GB"/>
        </w:rPr>
        <w:t xml:space="preserve"> 2021</w:t>
      </w:r>
      <w:r w:rsidR="00133F23">
        <w:rPr>
          <w:b w:val="0"/>
          <w:sz w:val="19"/>
          <w:szCs w:val="19"/>
          <w:shd w:val="clear" w:color="auto" w:fill="FFFFFF"/>
          <w:lang w:val="en-GB"/>
        </w:rPr>
        <w:t>,</w:t>
      </w:r>
      <w:r w:rsidR="00BD1D77" w:rsidRPr="004829B9">
        <w:rPr>
          <w:b w:val="0"/>
          <w:sz w:val="19"/>
          <w:szCs w:val="19"/>
          <w:shd w:val="clear" w:color="auto" w:fill="FFFFFF"/>
          <w:lang w:val="en-GB"/>
        </w:rPr>
        <w:t xml:space="preserve"> t</w:t>
      </w:r>
      <w:r w:rsidR="00095A18" w:rsidRPr="004829B9">
        <w:rPr>
          <w:b w:val="0"/>
          <w:sz w:val="19"/>
          <w:szCs w:val="19"/>
          <w:shd w:val="clear" w:color="auto" w:fill="FFFFFF"/>
          <w:lang w:val="en-GB"/>
        </w:rPr>
        <w:t xml:space="preserve">he number of dwellings in which construction has begun </w:t>
      </w:r>
      <w:r w:rsidR="00610B5E" w:rsidRPr="004829B9">
        <w:rPr>
          <w:b w:val="0"/>
          <w:sz w:val="19"/>
          <w:szCs w:val="19"/>
          <w:shd w:val="clear" w:color="auto" w:fill="FFFFFF"/>
          <w:lang w:val="en-GB"/>
        </w:rPr>
        <w:t xml:space="preserve">was </w:t>
      </w:r>
      <w:r w:rsidR="00854717">
        <w:rPr>
          <w:b w:val="0"/>
          <w:sz w:val="19"/>
          <w:szCs w:val="19"/>
          <w:shd w:val="clear" w:color="auto" w:fill="FFFFFF"/>
          <w:lang w:val="en-GB"/>
        </w:rPr>
        <w:t>63,7</w:t>
      </w:r>
      <w:r w:rsidR="00954347" w:rsidRPr="00954347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086F9F" w:rsidRPr="004829B9">
        <w:rPr>
          <w:b w:val="0"/>
          <w:sz w:val="19"/>
          <w:szCs w:val="19"/>
          <w:shd w:val="clear" w:color="auto" w:fill="FFFFFF"/>
          <w:lang w:val="en-GB"/>
        </w:rPr>
        <w:t>thous</w:t>
      </w:r>
      <w:r w:rsidR="00133F23">
        <w:rPr>
          <w:b w:val="0"/>
          <w:sz w:val="19"/>
          <w:szCs w:val="19"/>
          <w:shd w:val="clear" w:color="auto" w:fill="FFFFFF"/>
          <w:lang w:val="en-GB"/>
        </w:rPr>
        <w:t>and</w:t>
      </w:r>
      <w:r w:rsidR="00095A18" w:rsidRPr="004829B9">
        <w:rPr>
          <w:b w:val="0"/>
          <w:sz w:val="19"/>
          <w:szCs w:val="19"/>
          <w:shd w:val="clear" w:color="auto" w:fill="FFFFFF"/>
          <w:lang w:val="en-GB"/>
        </w:rPr>
        <w:t xml:space="preserve">, i.e. by </w:t>
      </w:r>
      <w:r w:rsidR="00854717">
        <w:rPr>
          <w:b w:val="0"/>
          <w:sz w:val="19"/>
          <w:szCs w:val="19"/>
          <w:shd w:val="clear" w:color="auto" w:fill="FFFFFF"/>
          <w:lang w:val="en-GB"/>
        </w:rPr>
        <w:t>21.2</w:t>
      </w:r>
      <w:r w:rsidR="00856FE3" w:rsidRPr="004829B9">
        <w:rPr>
          <w:b w:val="0"/>
          <w:sz w:val="19"/>
          <w:szCs w:val="19"/>
          <w:shd w:val="clear" w:color="auto" w:fill="FFFFFF"/>
          <w:lang w:val="en-GB"/>
        </w:rPr>
        <w:t>%</w:t>
      </w:r>
      <w:r w:rsidR="00D76E73" w:rsidRPr="004829B9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854717">
        <w:rPr>
          <w:b w:val="0"/>
          <w:sz w:val="19"/>
          <w:szCs w:val="19"/>
          <w:shd w:val="clear" w:color="auto" w:fill="FFFFFF"/>
          <w:lang w:val="en-GB"/>
        </w:rPr>
        <w:t>more</w:t>
      </w:r>
      <w:r w:rsidR="00D76E73" w:rsidRPr="004829B9">
        <w:rPr>
          <w:lang w:val="en-GB"/>
        </w:rPr>
        <w:t xml:space="preserve"> </w:t>
      </w:r>
      <w:r w:rsidR="00D76E73" w:rsidRPr="004829B9">
        <w:rPr>
          <w:b w:val="0"/>
          <w:sz w:val="19"/>
          <w:szCs w:val="19"/>
          <w:shd w:val="clear" w:color="auto" w:fill="FFFFFF"/>
          <w:lang w:val="en-GB"/>
        </w:rPr>
        <w:t xml:space="preserve">than </w:t>
      </w:r>
      <w:r w:rsidR="009118D4">
        <w:rPr>
          <w:b w:val="0"/>
          <w:sz w:val="19"/>
          <w:szCs w:val="19"/>
          <w:shd w:val="clear" w:color="auto" w:fill="FFFFFF"/>
          <w:lang w:val="en-GB"/>
        </w:rPr>
        <w:t>a year ago</w:t>
      </w:r>
      <w:r w:rsidR="00B2646D" w:rsidRPr="004829B9">
        <w:rPr>
          <w:b w:val="0"/>
          <w:sz w:val="19"/>
          <w:szCs w:val="19"/>
          <w:shd w:val="clear" w:color="auto" w:fill="FFFFFF"/>
          <w:lang w:val="en-GB"/>
        </w:rPr>
        <w:t xml:space="preserve">. </w:t>
      </w:r>
      <w:r w:rsidR="00B2646D" w:rsidRPr="004829B9">
        <w:rPr>
          <w:sz w:val="19"/>
          <w:szCs w:val="19"/>
          <w:shd w:val="clear" w:color="auto" w:fill="FFFFFF"/>
          <w:lang w:val="en-GB"/>
        </w:rPr>
        <w:t>D</w:t>
      </w:r>
      <w:r w:rsidR="00095A18" w:rsidRPr="004829B9">
        <w:rPr>
          <w:sz w:val="19"/>
          <w:szCs w:val="19"/>
          <w:shd w:val="clear" w:color="auto" w:fill="FFFFFF"/>
          <w:lang w:val="en-GB"/>
        </w:rPr>
        <w:t xml:space="preserve">evelopers </w:t>
      </w:r>
      <w:r w:rsidR="00095A18" w:rsidRPr="004829B9">
        <w:rPr>
          <w:b w:val="0"/>
          <w:sz w:val="19"/>
          <w:szCs w:val="19"/>
          <w:shd w:val="clear" w:color="auto" w:fill="FFFFFF"/>
          <w:lang w:val="en-GB"/>
        </w:rPr>
        <w:t xml:space="preserve">have started construction of </w:t>
      </w:r>
      <w:r w:rsidR="00854717">
        <w:rPr>
          <w:b w:val="0"/>
          <w:sz w:val="19"/>
          <w:szCs w:val="19"/>
          <w:shd w:val="clear" w:color="auto" w:fill="FFFFFF"/>
          <w:lang w:val="en-GB"/>
        </w:rPr>
        <w:t>40</w:t>
      </w:r>
      <w:r w:rsidR="00CC4866">
        <w:rPr>
          <w:b w:val="0"/>
          <w:sz w:val="19"/>
          <w:szCs w:val="19"/>
          <w:shd w:val="clear" w:color="auto" w:fill="FFFFFF"/>
          <w:lang w:val="en-GB"/>
        </w:rPr>
        <w:t>.</w:t>
      </w:r>
      <w:r w:rsidR="00854717">
        <w:rPr>
          <w:b w:val="0"/>
          <w:sz w:val="19"/>
          <w:szCs w:val="19"/>
          <w:shd w:val="clear" w:color="auto" w:fill="FFFFFF"/>
          <w:lang w:val="en-GB"/>
        </w:rPr>
        <w:t>1</w:t>
      </w:r>
      <w:r w:rsidR="00954347" w:rsidRPr="00954347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086F9F" w:rsidRPr="004829B9">
        <w:rPr>
          <w:b w:val="0"/>
          <w:sz w:val="19"/>
          <w:szCs w:val="19"/>
          <w:shd w:val="clear" w:color="auto" w:fill="FFFFFF"/>
          <w:lang w:val="en-GB"/>
        </w:rPr>
        <w:t>thous</w:t>
      </w:r>
      <w:r w:rsidR="00133F23">
        <w:rPr>
          <w:b w:val="0"/>
          <w:sz w:val="19"/>
          <w:szCs w:val="19"/>
          <w:shd w:val="clear" w:color="auto" w:fill="FFFFFF"/>
          <w:lang w:val="en-GB"/>
        </w:rPr>
        <w:t>and</w:t>
      </w:r>
      <w:r w:rsidR="00095A18" w:rsidRPr="004829B9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46238A" w:rsidRPr="004829B9">
        <w:rPr>
          <w:b w:val="0"/>
          <w:sz w:val="19"/>
          <w:szCs w:val="19"/>
          <w:shd w:val="clear" w:color="auto" w:fill="FFFFFF"/>
          <w:lang w:val="en-GB"/>
        </w:rPr>
        <w:t>d</w:t>
      </w:r>
      <w:r w:rsidR="00095A18" w:rsidRPr="004829B9">
        <w:rPr>
          <w:b w:val="0"/>
          <w:sz w:val="19"/>
          <w:szCs w:val="19"/>
          <w:shd w:val="clear" w:color="auto" w:fill="FFFFFF"/>
          <w:lang w:val="en-GB"/>
        </w:rPr>
        <w:t>wellings</w:t>
      </w:r>
      <w:r w:rsidR="00EB69AF" w:rsidRPr="004829B9">
        <w:rPr>
          <w:b w:val="0"/>
          <w:sz w:val="19"/>
          <w:szCs w:val="19"/>
          <w:shd w:val="clear" w:color="auto" w:fill="FFFFFF"/>
          <w:lang w:val="en-GB"/>
        </w:rPr>
        <w:t xml:space="preserve"> (</w:t>
      </w:r>
      <w:r w:rsidR="00133F23">
        <w:rPr>
          <w:b w:val="0"/>
          <w:sz w:val="19"/>
          <w:szCs w:val="19"/>
          <w:shd w:val="clear" w:color="auto" w:fill="FFFFFF"/>
          <w:lang w:val="en-GB"/>
        </w:rPr>
        <w:t xml:space="preserve">by </w:t>
      </w:r>
      <w:r w:rsidR="00854717">
        <w:rPr>
          <w:b w:val="0"/>
          <w:sz w:val="19"/>
          <w:szCs w:val="19"/>
          <w:shd w:val="clear" w:color="auto" w:fill="FFFFFF"/>
          <w:lang w:val="en-GB"/>
        </w:rPr>
        <w:t>26</w:t>
      </w:r>
      <w:r w:rsidR="00954347">
        <w:rPr>
          <w:b w:val="0"/>
          <w:sz w:val="19"/>
          <w:szCs w:val="19"/>
          <w:shd w:val="clear" w:color="auto" w:fill="FFFFFF"/>
          <w:lang w:val="en-GB"/>
        </w:rPr>
        <w:t>.</w:t>
      </w:r>
      <w:r w:rsidR="00854717">
        <w:rPr>
          <w:b w:val="0"/>
          <w:sz w:val="19"/>
          <w:szCs w:val="19"/>
          <w:shd w:val="clear" w:color="auto" w:fill="FFFFFF"/>
          <w:lang w:val="en-GB"/>
        </w:rPr>
        <w:t>0</w:t>
      </w:r>
      <w:r w:rsidR="00EB69AF" w:rsidRPr="004829B9">
        <w:rPr>
          <w:b w:val="0"/>
          <w:sz w:val="19"/>
          <w:szCs w:val="19"/>
          <w:shd w:val="clear" w:color="auto" w:fill="FFFFFF"/>
          <w:lang w:val="en-GB"/>
        </w:rPr>
        <w:t xml:space="preserve">% </w:t>
      </w:r>
      <w:r w:rsidR="009118D4">
        <w:rPr>
          <w:b w:val="0"/>
          <w:sz w:val="19"/>
          <w:szCs w:val="19"/>
          <w:shd w:val="clear" w:color="auto" w:fill="FFFFFF"/>
          <w:lang w:val="en-GB"/>
        </w:rPr>
        <w:t>more</w:t>
      </w:r>
      <w:r w:rsidR="00EB69AF" w:rsidRPr="004829B9">
        <w:rPr>
          <w:b w:val="0"/>
          <w:sz w:val="19"/>
          <w:szCs w:val="19"/>
          <w:shd w:val="clear" w:color="auto" w:fill="FFFFFF"/>
          <w:lang w:val="en-GB"/>
        </w:rPr>
        <w:t>)</w:t>
      </w:r>
      <w:r w:rsidR="00095A18" w:rsidRPr="004829B9">
        <w:rPr>
          <w:b w:val="0"/>
          <w:sz w:val="19"/>
          <w:szCs w:val="19"/>
          <w:shd w:val="clear" w:color="auto" w:fill="FFFFFF"/>
          <w:lang w:val="en-GB"/>
        </w:rPr>
        <w:t xml:space="preserve">, </w:t>
      </w:r>
      <w:r w:rsidR="00CD44F1" w:rsidRPr="004829B9">
        <w:rPr>
          <w:b w:val="0"/>
          <w:sz w:val="19"/>
          <w:szCs w:val="19"/>
          <w:shd w:val="clear" w:color="auto" w:fill="FFFFFF"/>
          <w:lang w:val="en-GB"/>
        </w:rPr>
        <w:t xml:space="preserve">and </w:t>
      </w:r>
      <w:r w:rsidR="00095A18" w:rsidRPr="004829B9">
        <w:rPr>
          <w:sz w:val="19"/>
          <w:szCs w:val="19"/>
          <w:shd w:val="clear" w:color="auto" w:fill="FFFFFF"/>
          <w:lang w:val="en-GB"/>
        </w:rPr>
        <w:t xml:space="preserve">private </w:t>
      </w:r>
      <w:r w:rsidR="00095A18" w:rsidRPr="004829B9">
        <w:rPr>
          <w:b w:val="0"/>
          <w:sz w:val="19"/>
          <w:szCs w:val="19"/>
          <w:shd w:val="clear" w:color="auto" w:fill="FFFFFF"/>
          <w:lang w:val="en-GB"/>
        </w:rPr>
        <w:t xml:space="preserve">investors </w:t>
      </w:r>
      <w:r w:rsidR="00F342E0" w:rsidRPr="004829B9">
        <w:rPr>
          <w:b w:val="0"/>
          <w:sz w:val="19"/>
          <w:szCs w:val="19"/>
          <w:shd w:val="clear" w:color="auto" w:fill="FFFFFF"/>
          <w:lang w:val="en-GB"/>
        </w:rPr>
        <w:t>of </w:t>
      </w:r>
      <w:r w:rsidR="00854717">
        <w:rPr>
          <w:b w:val="0"/>
          <w:sz w:val="19"/>
          <w:szCs w:val="19"/>
          <w:shd w:val="clear" w:color="auto" w:fill="FFFFFF"/>
          <w:lang w:val="en-GB"/>
        </w:rPr>
        <w:t>22</w:t>
      </w:r>
      <w:r w:rsidR="00CC4866">
        <w:rPr>
          <w:b w:val="0"/>
          <w:sz w:val="19"/>
          <w:szCs w:val="19"/>
          <w:shd w:val="clear" w:color="auto" w:fill="FFFFFF"/>
          <w:lang w:val="en-GB"/>
        </w:rPr>
        <w:t>.</w:t>
      </w:r>
      <w:r w:rsidR="00854717">
        <w:rPr>
          <w:b w:val="0"/>
          <w:sz w:val="19"/>
          <w:szCs w:val="19"/>
          <w:shd w:val="clear" w:color="auto" w:fill="FFFFFF"/>
          <w:lang w:val="en-GB"/>
        </w:rPr>
        <w:t>1</w:t>
      </w:r>
      <w:r w:rsidR="00954347" w:rsidRPr="00954347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086F9F" w:rsidRPr="004829B9">
        <w:rPr>
          <w:b w:val="0"/>
          <w:sz w:val="19"/>
          <w:szCs w:val="19"/>
          <w:shd w:val="clear" w:color="auto" w:fill="FFFFFF"/>
          <w:lang w:val="en-GB"/>
        </w:rPr>
        <w:t>thous</w:t>
      </w:r>
      <w:r w:rsidR="00133F23">
        <w:rPr>
          <w:b w:val="0"/>
          <w:sz w:val="19"/>
          <w:szCs w:val="19"/>
          <w:shd w:val="clear" w:color="auto" w:fill="FFFFFF"/>
          <w:lang w:val="en-GB"/>
        </w:rPr>
        <w:t>and</w:t>
      </w:r>
      <w:r w:rsidR="0071658F" w:rsidRPr="004829B9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854717">
        <w:rPr>
          <w:b w:val="0"/>
          <w:sz w:val="19"/>
          <w:szCs w:val="19"/>
          <w:shd w:val="clear" w:color="auto" w:fill="FFFFFF"/>
          <w:lang w:val="en-GB"/>
        </w:rPr>
        <w:t>(by 12.8% more</w:t>
      </w:r>
      <w:r w:rsidR="00B77062">
        <w:rPr>
          <w:b w:val="0"/>
          <w:sz w:val="19"/>
          <w:szCs w:val="19"/>
          <w:shd w:val="clear" w:color="auto" w:fill="FFFFFF"/>
          <w:lang w:val="en-GB"/>
        </w:rPr>
        <w:t>). A</w:t>
      </w:r>
      <w:r w:rsidR="0046238A" w:rsidRPr="004829B9">
        <w:rPr>
          <w:b w:val="0"/>
          <w:sz w:val="19"/>
          <w:szCs w:val="19"/>
          <w:shd w:val="clear" w:color="auto" w:fill="FFFFFF"/>
          <w:lang w:val="en-GB"/>
        </w:rPr>
        <w:t>ltogether</w:t>
      </w:r>
      <w:r w:rsidR="003029E3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3029E3" w:rsidRPr="00314007">
        <w:rPr>
          <w:b w:val="0"/>
          <w:sz w:val="19"/>
          <w:szCs w:val="19"/>
          <w:shd w:val="clear" w:color="auto" w:fill="FFFFFF"/>
          <w:lang w:val="en-GB"/>
        </w:rPr>
        <w:t>the share of these forms of construction</w:t>
      </w:r>
      <w:r w:rsidR="0046238A" w:rsidRPr="00314007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3029E3" w:rsidRPr="00314007">
        <w:rPr>
          <w:b w:val="0"/>
          <w:sz w:val="19"/>
          <w:szCs w:val="19"/>
          <w:shd w:val="clear" w:color="auto" w:fill="FFFFFF"/>
          <w:lang w:val="en-GB"/>
        </w:rPr>
        <w:t>was</w:t>
      </w:r>
      <w:r w:rsidR="00133F23" w:rsidRPr="00314007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854717">
        <w:rPr>
          <w:b w:val="0"/>
          <w:sz w:val="19"/>
          <w:szCs w:val="19"/>
          <w:shd w:val="clear" w:color="auto" w:fill="FFFFFF"/>
          <w:lang w:val="en-GB"/>
        </w:rPr>
        <w:t>97</w:t>
      </w:r>
      <w:r w:rsidR="00CC4866">
        <w:rPr>
          <w:b w:val="0"/>
          <w:sz w:val="19"/>
          <w:szCs w:val="19"/>
          <w:shd w:val="clear" w:color="auto" w:fill="FFFFFF"/>
          <w:lang w:val="en-GB"/>
        </w:rPr>
        <w:t>.</w:t>
      </w:r>
      <w:r w:rsidR="00854717">
        <w:rPr>
          <w:b w:val="0"/>
          <w:sz w:val="19"/>
          <w:szCs w:val="19"/>
          <w:shd w:val="clear" w:color="auto" w:fill="FFFFFF"/>
          <w:lang w:val="en-GB"/>
        </w:rPr>
        <w:t>8</w:t>
      </w:r>
      <w:r w:rsidR="00B77EC9" w:rsidRPr="00314007">
        <w:rPr>
          <w:b w:val="0"/>
          <w:sz w:val="19"/>
          <w:szCs w:val="19"/>
          <w:shd w:val="clear" w:color="auto" w:fill="FFFFFF"/>
          <w:lang w:val="en-GB"/>
        </w:rPr>
        <w:t>%</w:t>
      </w:r>
      <w:r w:rsidR="001C1808" w:rsidRPr="00314007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1C1808" w:rsidRPr="004829B9">
        <w:rPr>
          <w:b w:val="0"/>
          <w:sz w:val="19"/>
          <w:szCs w:val="19"/>
          <w:shd w:val="clear" w:color="auto" w:fill="FFFFFF"/>
          <w:lang w:val="en-GB"/>
        </w:rPr>
        <w:t>of</w:t>
      </w:r>
      <w:r w:rsidR="00CD44F1" w:rsidRPr="004829B9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8B64BD">
        <w:rPr>
          <w:b w:val="0"/>
          <w:sz w:val="19"/>
          <w:szCs w:val="19"/>
          <w:shd w:val="clear" w:color="auto" w:fill="FFFFFF"/>
          <w:lang w:val="en-GB"/>
        </w:rPr>
        <w:t>the</w:t>
      </w:r>
      <w:r w:rsidR="00C03049" w:rsidRPr="004829B9">
        <w:rPr>
          <w:b w:val="0"/>
          <w:sz w:val="19"/>
          <w:szCs w:val="19"/>
          <w:shd w:val="clear" w:color="auto" w:fill="FFFFFF"/>
          <w:lang w:val="en-GB"/>
        </w:rPr>
        <w:t> </w:t>
      </w:r>
      <w:r w:rsidR="001C1808" w:rsidRPr="004829B9">
        <w:rPr>
          <w:b w:val="0"/>
          <w:sz w:val="19"/>
          <w:szCs w:val="19"/>
          <w:shd w:val="clear" w:color="auto" w:fill="FFFFFF"/>
          <w:lang w:val="en-GB"/>
        </w:rPr>
        <w:t>total number of dwellings</w:t>
      </w:r>
      <w:r w:rsidR="00B77EC9" w:rsidRPr="004829B9">
        <w:rPr>
          <w:b w:val="0"/>
          <w:sz w:val="19"/>
          <w:szCs w:val="19"/>
          <w:shd w:val="clear" w:color="auto" w:fill="FFFFFF"/>
          <w:lang w:val="en-GB"/>
        </w:rPr>
        <w:t xml:space="preserve">. </w:t>
      </w:r>
      <w:r w:rsidR="00B77062">
        <w:rPr>
          <w:b w:val="0"/>
          <w:sz w:val="19"/>
          <w:szCs w:val="19"/>
          <w:shd w:val="clear" w:color="auto" w:fill="FFFFFF"/>
          <w:lang w:val="en-GB"/>
        </w:rPr>
        <w:t>I</w:t>
      </w:r>
      <w:r w:rsidR="00B77062" w:rsidRPr="004829B9">
        <w:rPr>
          <w:b w:val="0"/>
          <w:sz w:val="19"/>
          <w:szCs w:val="19"/>
          <w:shd w:val="clear" w:color="auto" w:fill="FFFFFF"/>
          <w:lang w:val="en-GB"/>
        </w:rPr>
        <w:t xml:space="preserve">n </w:t>
      </w:r>
      <w:r w:rsidR="00497FB5" w:rsidRPr="00497FB5">
        <w:rPr>
          <w:sz w:val="19"/>
          <w:szCs w:val="19"/>
          <w:shd w:val="clear" w:color="auto" w:fill="FFFFFF"/>
          <w:lang w:val="en-GB"/>
        </w:rPr>
        <w:t xml:space="preserve">other forms </w:t>
      </w:r>
      <w:r w:rsidR="00497FB5" w:rsidRPr="00497FB5">
        <w:rPr>
          <w:b w:val="0"/>
          <w:sz w:val="19"/>
          <w:szCs w:val="19"/>
          <w:shd w:val="clear" w:color="auto" w:fill="FFFFFF"/>
          <w:lang w:val="en-GB"/>
        </w:rPr>
        <w:t>of</w:t>
      </w:r>
      <w:r w:rsidR="00497FB5">
        <w:rPr>
          <w:sz w:val="19"/>
          <w:szCs w:val="19"/>
          <w:shd w:val="clear" w:color="auto" w:fill="FFFFFF"/>
          <w:lang w:val="en-GB"/>
        </w:rPr>
        <w:t xml:space="preserve"> </w:t>
      </w:r>
      <w:r w:rsidR="00B77062" w:rsidRPr="004829B9">
        <w:rPr>
          <w:b w:val="0"/>
          <w:sz w:val="19"/>
          <w:szCs w:val="19"/>
          <w:shd w:val="clear" w:color="auto" w:fill="FFFFFF"/>
          <w:lang w:val="en-GB"/>
        </w:rPr>
        <w:t xml:space="preserve">construction </w:t>
      </w:r>
      <w:r w:rsidR="00B77062" w:rsidRPr="00B77062">
        <w:rPr>
          <w:b w:val="0"/>
          <w:sz w:val="19"/>
          <w:szCs w:val="19"/>
          <w:shd w:val="clear" w:color="auto" w:fill="FFFFFF"/>
          <w:lang w:val="en-GB"/>
        </w:rPr>
        <w:t xml:space="preserve">the number of dwellings in which construction has begun was </w:t>
      </w:r>
      <w:r w:rsidR="00854717">
        <w:rPr>
          <w:b w:val="0"/>
          <w:sz w:val="19"/>
          <w:szCs w:val="19"/>
          <w:shd w:val="clear" w:color="auto" w:fill="FFFFFF"/>
          <w:lang w:val="en-GB"/>
        </w:rPr>
        <w:t>1 417</w:t>
      </w:r>
      <w:r w:rsidR="00B77062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B77EC9" w:rsidRPr="004829B9">
        <w:rPr>
          <w:b w:val="0"/>
          <w:sz w:val="19"/>
          <w:szCs w:val="19"/>
          <w:shd w:val="clear" w:color="auto" w:fill="FFFFFF"/>
          <w:lang w:val="en-GB"/>
        </w:rPr>
        <w:t>(</w:t>
      </w:r>
      <w:r w:rsidR="00854717">
        <w:rPr>
          <w:b w:val="0"/>
          <w:sz w:val="19"/>
          <w:szCs w:val="19"/>
          <w:shd w:val="clear" w:color="auto" w:fill="FFFFFF"/>
          <w:lang w:val="en-GB"/>
        </w:rPr>
        <w:t>1 071</w:t>
      </w:r>
      <w:r w:rsidR="00B77062">
        <w:rPr>
          <w:b w:val="0"/>
          <w:sz w:val="19"/>
          <w:szCs w:val="19"/>
          <w:shd w:val="clear" w:color="auto" w:fill="FFFFFF"/>
          <w:lang w:val="en-GB"/>
        </w:rPr>
        <w:t xml:space="preserve"> in the previous year</w:t>
      </w:r>
      <w:r w:rsidR="00677574" w:rsidRPr="004829B9">
        <w:rPr>
          <w:b w:val="0"/>
          <w:sz w:val="19"/>
          <w:szCs w:val="19"/>
          <w:shd w:val="clear" w:color="auto" w:fill="FFFFFF"/>
          <w:lang w:val="en-GB"/>
        </w:rPr>
        <w:t>)</w:t>
      </w:r>
      <w:r w:rsidR="00497FB5">
        <w:rPr>
          <w:b w:val="0"/>
          <w:sz w:val="19"/>
          <w:szCs w:val="19"/>
          <w:shd w:val="clear" w:color="auto" w:fill="FFFFFF"/>
          <w:lang w:val="en-GB"/>
        </w:rPr>
        <w:t>.</w:t>
      </w:r>
    </w:p>
    <w:p w14:paraId="398571FB" w14:textId="35569DC3" w:rsidR="00E26291" w:rsidRPr="009742AF" w:rsidRDefault="00B4601E" w:rsidP="007207E6">
      <w:pPr>
        <w:pStyle w:val="tytuwykresu"/>
        <w:rPr>
          <w:szCs w:val="19"/>
          <w:shd w:val="clear" w:color="auto" w:fill="FFFFFF"/>
          <w:lang w:val="en-GB"/>
        </w:rPr>
      </w:pPr>
      <w:r w:rsidRPr="004829B9">
        <w:rPr>
          <w:bCs/>
          <w:szCs w:val="19"/>
          <w:shd w:val="clear" w:color="auto" w:fill="FFFFFF"/>
          <w:lang w:val="en-GB"/>
        </w:rPr>
        <w:t>Table 3. Dwellings in which construction has begun</w:t>
      </w:r>
    </w:p>
    <w:tbl>
      <w:tblPr>
        <w:tblStyle w:val="Siatkatabelijasna271"/>
        <w:tblpPr w:leftFromText="141" w:rightFromText="141" w:vertAnchor="text" w:horzAnchor="margin" w:tblpY="98"/>
        <w:tblW w:w="8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2049"/>
        <w:gridCol w:w="1353"/>
        <w:gridCol w:w="1134"/>
        <w:gridCol w:w="1276"/>
        <w:gridCol w:w="1134"/>
        <w:gridCol w:w="1134"/>
      </w:tblGrid>
      <w:tr w:rsidR="009742AF" w:rsidRPr="009742AF" w14:paraId="42B31331" w14:textId="77777777" w:rsidTr="00574E89">
        <w:trPr>
          <w:trHeight w:val="57"/>
        </w:trPr>
        <w:tc>
          <w:tcPr>
            <w:tcW w:w="2049" w:type="dxa"/>
            <w:vMerge w:val="restart"/>
            <w:vAlign w:val="center"/>
          </w:tcPr>
          <w:p w14:paraId="7AD684F9" w14:textId="5A20F73E" w:rsidR="009742AF" w:rsidRPr="009742AF" w:rsidRDefault="009742AF" w:rsidP="009742AF">
            <w:pPr>
              <w:keepNext/>
              <w:tabs>
                <w:tab w:val="right" w:leader="dot" w:pos="4139"/>
              </w:tabs>
              <w:spacing w:before="0" w:line="240" w:lineRule="auto"/>
              <w:jc w:val="center"/>
              <w:outlineLvl w:val="0"/>
              <w:rPr>
                <w:rFonts w:eastAsia="Times New Roman" w:cs="Arial"/>
                <w:color w:val="000000" w:themeColor="text1"/>
                <w:sz w:val="16"/>
                <w:szCs w:val="16"/>
                <w:lang w:eastAsia="pl-PL"/>
              </w:rPr>
            </w:pPr>
            <w:r w:rsidRPr="009742AF">
              <w:rPr>
                <w:rFonts w:eastAsia="Times New Roman" w:cs="Arial"/>
                <w:color w:val="000000" w:themeColor="text1"/>
                <w:sz w:val="16"/>
                <w:szCs w:val="16"/>
                <w:lang w:eastAsia="pl-PL"/>
              </w:rPr>
              <w:t>SPECIFICATION</w:t>
            </w:r>
          </w:p>
        </w:tc>
        <w:tc>
          <w:tcPr>
            <w:tcW w:w="6031" w:type="dxa"/>
            <w:gridSpan w:val="5"/>
            <w:vAlign w:val="center"/>
          </w:tcPr>
          <w:p w14:paraId="12B8481C" w14:textId="77777777" w:rsidR="009742AF" w:rsidRPr="009742AF" w:rsidRDefault="009742AF" w:rsidP="009742AF">
            <w:pPr>
              <w:keepNext/>
              <w:keepLines/>
              <w:spacing w:before="0" w:after="0" w:line="240" w:lineRule="auto"/>
              <w:jc w:val="center"/>
              <w:outlineLvl w:val="2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9742AF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2021</w:t>
            </w:r>
          </w:p>
        </w:tc>
      </w:tr>
      <w:tr w:rsidR="009742AF" w:rsidRPr="009742AF" w14:paraId="21415E66" w14:textId="77777777" w:rsidTr="009742AF">
        <w:trPr>
          <w:trHeight w:val="20"/>
        </w:trPr>
        <w:tc>
          <w:tcPr>
            <w:tcW w:w="2049" w:type="dxa"/>
            <w:vMerge/>
            <w:tcBorders>
              <w:bottom w:val="single" w:sz="12" w:space="0" w:color="212492"/>
            </w:tcBorders>
            <w:vAlign w:val="center"/>
          </w:tcPr>
          <w:p w14:paraId="6AF42167" w14:textId="77777777" w:rsidR="009742AF" w:rsidRPr="009742AF" w:rsidRDefault="009742AF" w:rsidP="009742AF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ascii="Fira Sans SemiBold" w:eastAsia="Times New Roman" w:hAnsi="Fira Sans SemiBold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3763" w:type="dxa"/>
            <w:gridSpan w:val="3"/>
            <w:tcBorders>
              <w:bottom w:val="single" w:sz="12" w:space="0" w:color="212492"/>
            </w:tcBorders>
            <w:vAlign w:val="center"/>
          </w:tcPr>
          <w:p w14:paraId="32B26E1F" w14:textId="62BE650E" w:rsidR="009742AF" w:rsidRPr="009742AF" w:rsidRDefault="009742AF" w:rsidP="009742AF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9742AF">
              <w:rPr>
                <w:color w:val="000000" w:themeColor="text1"/>
                <w:sz w:val="16"/>
                <w:szCs w:val="16"/>
              </w:rPr>
              <w:t>II</w:t>
            </w:r>
            <w:r w:rsidR="00854717">
              <w:rPr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2268" w:type="dxa"/>
            <w:gridSpan w:val="2"/>
            <w:tcBorders>
              <w:bottom w:val="single" w:sz="12" w:space="0" w:color="212492"/>
            </w:tcBorders>
          </w:tcPr>
          <w:p w14:paraId="02375EED" w14:textId="21AD57C0" w:rsidR="009742AF" w:rsidRPr="009742AF" w:rsidRDefault="009742AF" w:rsidP="009742AF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9742AF">
              <w:rPr>
                <w:color w:val="000000" w:themeColor="text1"/>
                <w:sz w:val="16"/>
                <w:szCs w:val="16"/>
              </w:rPr>
              <w:t>I-II</w:t>
            </w:r>
            <w:r w:rsidR="00854717">
              <w:rPr>
                <w:color w:val="000000" w:themeColor="text1"/>
                <w:sz w:val="16"/>
                <w:szCs w:val="16"/>
              </w:rPr>
              <w:t>I</w:t>
            </w:r>
          </w:p>
        </w:tc>
      </w:tr>
      <w:tr w:rsidR="009742AF" w:rsidRPr="009742AF" w14:paraId="20FBE1E6" w14:textId="77777777" w:rsidTr="009742AF">
        <w:trPr>
          <w:trHeight w:val="20"/>
        </w:trPr>
        <w:tc>
          <w:tcPr>
            <w:tcW w:w="2049" w:type="dxa"/>
            <w:vMerge/>
            <w:tcBorders>
              <w:bottom w:val="single" w:sz="12" w:space="0" w:color="212492"/>
            </w:tcBorders>
            <w:vAlign w:val="center"/>
          </w:tcPr>
          <w:p w14:paraId="63CF40A7" w14:textId="77777777" w:rsidR="009742AF" w:rsidRPr="009742AF" w:rsidRDefault="009742AF" w:rsidP="009742AF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ascii="Fira Sans SemiBold" w:eastAsia="Times New Roman" w:hAnsi="Fira Sans SemiBold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353" w:type="dxa"/>
            <w:tcBorders>
              <w:bottom w:val="single" w:sz="12" w:space="0" w:color="212492"/>
            </w:tcBorders>
            <w:vAlign w:val="center"/>
          </w:tcPr>
          <w:p w14:paraId="20F03018" w14:textId="40DE832C" w:rsidR="009742AF" w:rsidRPr="009742AF" w:rsidRDefault="009742AF" w:rsidP="009742AF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9742AF">
              <w:rPr>
                <w:color w:val="000000" w:themeColor="text1"/>
                <w:sz w:val="16"/>
                <w:szCs w:val="16"/>
              </w:rPr>
              <w:t>Number of dwellings</w:t>
            </w:r>
          </w:p>
        </w:tc>
        <w:tc>
          <w:tcPr>
            <w:tcW w:w="1134" w:type="dxa"/>
            <w:tcBorders>
              <w:bottom w:val="single" w:sz="12" w:space="0" w:color="212492"/>
            </w:tcBorders>
            <w:vAlign w:val="center"/>
          </w:tcPr>
          <w:p w14:paraId="3971D200" w14:textId="3D37B6E2" w:rsidR="009742AF" w:rsidRPr="009742AF" w:rsidRDefault="009742AF" w:rsidP="009742AF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9742AF">
              <w:rPr>
                <w:color w:val="000000" w:themeColor="text1"/>
                <w:sz w:val="16"/>
                <w:szCs w:val="16"/>
              </w:rPr>
              <w:t>II</w:t>
            </w:r>
            <w:r w:rsidR="00854717">
              <w:rPr>
                <w:color w:val="000000" w:themeColor="text1"/>
                <w:sz w:val="16"/>
                <w:szCs w:val="16"/>
              </w:rPr>
              <w:t>I</w:t>
            </w:r>
            <w:r w:rsidRPr="009742AF">
              <w:rPr>
                <w:color w:val="000000" w:themeColor="text1"/>
                <w:sz w:val="16"/>
                <w:szCs w:val="16"/>
              </w:rPr>
              <w:t xml:space="preserve"> 2020=100</w:t>
            </w:r>
          </w:p>
        </w:tc>
        <w:tc>
          <w:tcPr>
            <w:tcW w:w="1276" w:type="dxa"/>
            <w:tcBorders>
              <w:bottom w:val="single" w:sz="12" w:space="0" w:color="212492"/>
            </w:tcBorders>
            <w:vAlign w:val="center"/>
          </w:tcPr>
          <w:p w14:paraId="5E921633" w14:textId="1D6FCC0D" w:rsidR="009742AF" w:rsidRPr="009742AF" w:rsidRDefault="009742AF" w:rsidP="009742AF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9742AF">
              <w:rPr>
                <w:color w:val="000000" w:themeColor="text1"/>
                <w:sz w:val="16"/>
                <w:szCs w:val="16"/>
              </w:rPr>
              <w:t>I</w:t>
            </w:r>
            <w:r w:rsidR="00854717">
              <w:rPr>
                <w:color w:val="000000" w:themeColor="text1"/>
                <w:sz w:val="16"/>
                <w:szCs w:val="16"/>
              </w:rPr>
              <w:t>I</w:t>
            </w:r>
            <w:r w:rsidRPr="009742AF">
              <w:rPr>
                <w:color w:val="000000" w:themeColor="text1"/>
                <w:sz w:val="16"/>
                <w:szCs w:val="16"/>
              </w:rPr>
              <w:t xml:space="preserve"> 2021=100</w:t>
            </w:r>
          </w:p>
        </w:tc>
        <w:tc>
          <w:tcPr>
            <w:tcW w:w="1134" w:type="dxa"/>
            <w:tcBorders>
              <w:bottom w:val="single" w:sz="12" w:space="0" w:color="212492"/>
            </w:tcBorders>
            <w:vAlign w:val="center"/>
          </w:tcPr>
          <w:p w14:paraId="256A9851" w14:textId="1E7E7DE8" w:rsidR="009742AF" w:rsidRPr="009742AF" w:rsidRDefault="009742AF" w:rsidP="009742AF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9742AF">
              <w:rPr>
                <w:color w:val="000000" w:themeColor="text1"/>
                <w:sz w:val="16"/>
                <w:szCs w:val="16"/>
              </w:rPr>
              <w:t>Number of dwellings</w:t>
            </w:r>
          </w:p>
        </w:tc>
        <w:tc>
          <w:tcPr>
            <w:tcW w:w="1134" w:type="dxa"/>
            <w:tcBorders>
              <w:bottom w:val="single" w:sz="12" w:space="0" w:color="212492"/>
            </w:tcBorders>
            <w:vAlign w:val="center"/>
          </w:tcPr>
          <w:p w14:paraId="05622396" w14:textId="64F3E14B" w:rsidR="009742AF" w:rsidRPr="009742AF" w:rsidRDefault="009742AF" w:rsidP="009742AF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9742AF">
              <w:rPr>
                <w:color w:val="000000" w:themeColor="text1"/>
                <w:sz w:val="16"/>
                <w:szCs w:val="16"/>
              </w:rPr>
              <w:t>I-II</w:t>
            </w:r>
            <w:r w:rsidR="00854717">
              <w:rPr>
                <w:color w:val="000000" w:themeColor="text1"/>
                <w:sz w:val="16"/>
                <w:szCs w:val="16"/>
              </w:rPr>
              <w:t>I</w:t>
            </w:r>
            <w:r w:rsidRPr="009742AF">
              <w:rPr>
                <w:color w:val="000000" w:themeColor="text1"/>
                <w:sz w:val="16"/>
                <w:szCs w:val="16"/>
              </w:rPr>
              <w:t xml:space="preserve"> 2020=100</w:t>
            </w:r>
          </w:p>
        </w:tc>
      </w:tr>
      <w:tr w:rsidR="00854717" w:rsidRPr="009742AF" w14:paraId="78BFCBE6" w14:textId="77777777" w:rsidTr="009742AF">
        <w:trPr>
          <w:trHeight w:val="57"/>
        </w:trPr>
        <w:tc>
          <w:tcPr>
            <w:tcW w:w="2049" w:type="dxa"/>
            <w:tcBorders>
              <w:top w:val="single" w:sz="12" w:space="0" w:color="212492"/>
            </w:tcBorders>
            <w:vAlign w:val="center"/>
          </w:tcPr>
          <w:p w14:paraId="7A15F511" w14:textId="7E144C87" w:rsidR="00854717" w:rsidRPr="009742AF" w:rsidRDefault="00854717" w:rsidP="00854717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4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TOTAL</w:t>
            </w:r>
          </w:p>
        </w:tc>
        <w:tc>
          <w:tcPr>
            <w:tcW w:w="1353" w:type="dxa"/>
            <w:tcBorders>
              <w:top w:val="single" w:sz="12" w:space="0" w:color="212492"/>
            </w:tcBorders>
            <w:vAlign w:val="center"/>
          </w:tcPr>
          <w:p w14:paraId="37677614" w14:textId="1A62C5C2" w:rsidR="00854717" w:rsidRPr="009742AF" w:rsidRDefault="00854717" w:rsidP="00854717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 w:rsidRPr="007B60E5">
              <w:rPr>
                <w:rFonts w:cs="Arial"/>
                <w:b/>
                <w:sz w:val="16"/>
                <w:szCs w:val="16"/>
              </w:rPr>
              <w:t>30 143</w:t>
            </w:r>
          </w:p>
        </w:tc>
        <w:tc>
          <w:tcPr>
            <w:tcW w:w="1134" w:type="dxa"/>
            <w:tcBorders>
              <w:top w:val="single" w:sz="12" w:space="0" w:color="212492"/>
            </w:tcBorders>
            <w:vAlign w:val="center"/>
          </w:tcPr>
          <w:p w14:paraId="17299C22" w14:textId="36CA568B" w:rsidR="00854717" w:rsidRPr="009742AF" w:rsidRDefault="00854717" w:rsidP="00854717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160.</w:t>
            </w:r>
            <w:r w:rsidRPr="00237FB7">
              <w:rPr>
                <w:rFonts w:cs="Arial"/>
                <w:b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single" w:sz="12" w:space="0" w:color="212492"/>
            </w:tcBorders>
            <w:vAlign w:val="center"/>
          </w:tcPr>
          <w:p w14:paraId="3257870A" w14:textId="2BF464FA" w:rsidR="00854717" w:rsidRPr="009742AF" w:rsidRDefault="00854717" w:rsidP="00854717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187.</w:t>
            </w:r>
            <w:r w:rsidRPr="00237FB7">
              <w:rPr>
                <w:rFonts w:cs="Arial"/>
                <w:b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12" w:space="0" w:color="212492"/>
            </w:tcBorders>
            <w:vAlign w:val="center"/>
          </w:tcPr>
          <w:p w14:paraId="62E4576F" w14:textId="385DF53E" w:rsidR="00854717" w:rsidRPr="009742AF" w:rsidRDefault="00854717" w:rsidP="00854717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 w:rsidRPr="00A267D3">
              <w:rPr>
                <w:rFonts w:cs="Arial"/>
                <w:b/>
                <w:sz w:val="16"/>
                <w:szCs w:val="16"/>
              </w:rPr>
              <w:t>63 678</w:t>
            </w:r>
          </w:p>
        </w:tc>
        <w:tc>
          <w:tcPr>
            <w:tcW w:w="1134" w:type="dxa"/>
            <w:tcBorders>
              <w:top w:val="single" w:sz="12" w:space="0" w:color="212492"/>
            </w:tcBorders>
            <w:vAlign w:val="center"/>
          </w:tcPr>
          <w:p w14:paraId="6CFB1E21" w14:textId="41674AAB" w:rsidR="00854717" w:rsidRPr="009742AF" w:rsidRDefault="00854717" w:rsidP="00854717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121.</w:t>
            </w:r>
            <w:r w:rsidRPr="00A267D3">
              <w:rPr>
                <w:rFonts w:cs="Arial"/>
                <w:b/>
                <w:sz w:val="16"/>
                <w:szCs w:val="16"/>
              </w:rPr>
              <w:t>2</w:t>
            </w:r>
          </w:p>
        </w:tc>
      </w:tr>
      <w:tr w:rsidR="00854717" w:rsidRPr="009742AF" w14:paraId="1AF51B79" w14:textId="77777777" w:rsidTr="009742AF">
        <w:trPr>
          <w:trHeight w:val="57"/>
        </w:trPr>
        <w:tc>
          <w:tcPr>
            <w:tcW w:w="2049" w:type="dxa"/>
            <w:vAlign w:val="center"/>
          </w:tcPr>
          <w:p w14:paraId="70FE36C1" w14:textId="11A32CE6" w:rsidR="00854717" w:rsidRPr="009742AF" w:rsidRDefault="00854717" w:rsidP="0085471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Private</w:t>
            </w:r>
          </w:p>
        </w:tc>
        <w:tc>
          <w:tcPr>
            <w:tcW w:w="1353" w:type="dxa"/>
            <w:vAlign w:val="center"/>
          </w:tcPr>
          <w:p w14:paraId="63878239" w14:textId="0F42A827" w:rsidR="00854717" w:rsidRPr="009742AF" w:rsidRDefault="00854717" w:rsidP="00854717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7B60E5">
              <w:rPr>
                <w:rFonts w:cs="Arial"/>
                <w:sz w:val="16"/>
                <w:szCs w:val="16"/>
              </w:rPr>
              <w:t>11 958</w:t>
            </w:r>
          </w:p>
        </w:tc>
        <w:tc>
          <w:tcPr>
            <w:tcW w:w="1134" w:type="dxa"/>
            <w:vAlign w:val="center"/>
          </w:tcPr>
          <w:p w14:paraId="609BA523" w14:textId="05158179" w:rsidR="00854717" w:rsidRPr="009742AF" w:rsidRDefault="00854717" w:rsidP="00854717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162.</w:t>
            </w:r>
            <w:r w:rsidRPr="00237FB7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1276" w:type="dxa"/>
            <w:vAlign w:val="center"/>
          </w:tcPr>
          <w:p w14:paraId="4E1B2726" w14:textId="7F9C74BB" w:rsidR="00854717" w:rsidRPr="009742AF" w:rsidRDefault="00854717" w:rsidP="00854717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220.</w:t>
            </w:r>
            <w:r w:rsidRPr="00237FB7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14:paraId="02B9CB2E" w14:textId="0A756831" w:rsidR="00854717" w:rsidRPr="009742AF" w:rsidRDefault="00854717" w:rsidP="0085471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jc w:val="right"/>
              <w:outlineLvl w:val="4"/>
              <w:rPr>
                <w:rFonts w:eastAsiaTheme="majorEastAsia" w:cstheme="majorBidi"/>
                <w:sz w:val="16"/>
                <w:szCs w:val="16"/>
              </w:rPr>
            </w:pPr>
            <w:r w:rsidRPr="00A267D3">
              <w:rPr>
                <w:rFonts w:eastAsiaTheme="majorEastAsia" w:cstheme="majorBidi"/>
                <w:sz w:val="16"/>
                <w:szCs w:val="16"/>
              </w:rPr>
              <w:t>22 131</w:t>
            </w:r>
          </w:p>
        </w:tc>
        <w:tc>
          <w:tcPr>
            <w:tcW w:w="1134" w:type="dxa"/>
            <w:vAlign w:val="center"/>
          </w:tcPr>
          <w:p w14:paraId="2CB4462E" w14:textId="016F2BF0" w:rsidR="00854717" w:rsidRPr="009742AF" w:rsidRDefault="00854717" w:rsidP="00854717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112.</w:t>
            </w:r>
            <w:r w:rsidRPr="00A267D3">
              <w:rPr>
                <w:rFonts w:cs="Arial"/>
                <w:sz w:val="16"/>
                <w:szCs w:val="16"/>
              </w:rPr>
              <w:t>8</w:t>
            </w:r>
          </w:p>
        </w:tc>
      </w:tr>
      <w:tr w:rsidR="00854717" w:rsidRPr="009742AF" w14:paraId="5438C4EC" w14:textId="77777777" w:rsidTr="009742AF">
        <w:trPr>
          <w:trHeight w:val="381"/>
        </w:trPr>
        <w:tc>
          <w:tcPr>
            <w:tcW w:w="2049" w:type="dxa"/>
            <w:vAlign w:val="center"/>
          </w:tcPr>
          <w:p w14:paraId="482BA362" w14:textId="1F4BF9AB" w:rsidR="00854717" w:rsidRPr="009742AF" w:rsidRDefault="00854717" w:rsidP="0085471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 xml:space="preserve">For sale or rent </w:t>
            </w:r>
          </w:p>
        </w:tc>
        <w:tc>
          <w:tcPr>
            <w:tcW w:w="1353" w:type="dxa"/>
            <w:vAlign w:val="center"/>
          </w:tcPr>
          <w:p w14:paraId="4D27C9CE" w14:textId="20BC9F53" w:rsidR="00854717" w:rsidRPr="009742AF" w:rsidRDefault="00854717" w:rsidP="00854717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7B60E5">
              <w:rPr>
                <w:rFonts w:cs="Arial"/>
                <w:sz w:val="16"/>
                <w:szCs w:val="16"/>
              </w:rPr>
              <w:t>17 821</w:t>
            </w:r>
          </w:p>
        </w:tc>
        <w:tc>
          <w:tcPr>
            <w:tcW w:w="1134" w:type="dxa"/>
            <w:vAlign w:val="center"/>
          </w:tcPr>
          <w:p w14:paraId="0A75D08F" w14:textId="248CEF54" w:rsidR="00854717" w:rsidRPr="009742AF" w:rsidRDefault="00854717" w:rsidP="00854717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159.</w:t>
            </w:r>
            <w:r w:rsidRPr="007B60E5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1276" w:type="dxa"/>
            <w:vAlign w:val="center"/>
          </w:tcPr>
          <w:p w14:paraId="64CEC6ED" w14:textId="4E303FB5" w:rsidR="00854717" w:rsidRPr="009742AF" w:rsidRDefault="00854717" w:rsidP="00854717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180.</w:t>
            </w:r>
            <w:r w:rsidRPr="00237FB7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1134" w:type="dxa"/>
            <w:vAlign w:val="center"/>
          </w:tcPr>
          <w:p w14:paraId="6BB26F27" w14:textId="19734A0F" w:rsidR="00854717" w:rsidRPr="009742AF" w:rsidRDefault="00854717" w:rsidP="0085471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jc w:val="right"/>
              <w:outlineLvl w:val="7"/>
              <w:rPr>
                <w:rFonts w:eastAsiaTheme="majorEastAsia" w:cstheme="majorBidi"/>
                <w:sz w:val="16"/>
                <w:szCs w:val="16"/>
              </w:rPr>
            </w:pPr>
            <w:r w:rsidRPr="00A267D3">
              <w:rPr>
                <w:rFonts w:eastAsiaTheme="majorEastAsia" w:cstheme="majorBidi"/>
                <w:sz w:val="16"/>
                <w:szCs w:val="16"/>
              </w:rPr>
              <w:t>40 130</w:t>
            </w:r>
          </w:p>
        </w:tc>
        <w:tc>
          <w:tcPr>
            <w:tcW w:w="1134" w:type="dxa"/>
            <w:vAlign w:val="center"/>
          </w:tcPr>
          <w:p w14:paraId="375F0B14" w14:textId="7CCD13CA" w:rsidR="00854717" w:rsidRPr="009742AF" w:rsidRDefault="00854717" w:rsidP="00854717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126.</w:t>
            </w:r>
            <w:r w:rsidRPr="00A267D3">
              <w:rPr>
                <w:rFonts w:cs="Arial"/>
                <w:sz w:val="16"/>
                <w:szCs w:val="16"/>
              </w:rPr>
              <w:t>0</w:t>
            </w:r>
          </w:p>
        </w:tc>
      </w:tr>
      <w:tr w:rsidR="00854717" w:rsidRPr="009742AF" w14:paraId="0C63BA5A" w14:textId="77777777" w:rsidTr="009742AF">
        <w:trPr>
          <w:trHeight w:val="265"/>
        </w:trPr>
        <w:tc>
          <w:tcPr>
            <w:tcW w:w="2049" w:type="dxa"/>
            <w:vAlign w:val="center"/>
          </w:tcPr>
          <w:p w14:paraId="20E77697" w14:textId="1AF9CEF1" w:rsidR="00854717" w:rsidRPr="009742AF" w:rsidRDefault="00854717" w:rsidP="0085471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 xml:space="preserve">  of which for rent</w:t>
            </w:r>
          </w:p>
        </w:tc>
        <w:tc>
          <w:tcPr>
            <w:tcW w:w="1353" w:type="dxa"/>
            <w:vAlign w:val="center"/>
          </w:tcPr>
          <w:p w14:paraId="6ABD4510" w14:textId="21BD0917" w:rsidR="00854717" w:rsidRPr="009742AF" w:rsidRDefault="00854717" w:rsidP="00854717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7B60E5">
              <w:rPr>
                <w:rFonts w:cs="Arial"/>
                <w:sz w:val="16"/>
                <w:szCs w:val="16"/>
              </w:rPr>
              <w:t>128</w:t>
            </w:r>
          </w:p>
        </w:tc>
        <w:tc>
          <w:tcPr>
            <w:tcW w:w="1134" w:type="dxa"/>
            <w:vAlign w:val="center"/>
          </w:tcPr>
          <w:p w14:paraId="7A0F5837" w14:textId="46867499" w:rsidR="00854717" w:rsidRPr="009742AF" w:rsidRDefault="00854717" w:rsidP="00854717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312.</w:t>
            </w:r>
            <w:r w:rsidRPr="007B60E5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1276" w:type="dxa"/>
            <w:vAlign w:val="center"/>
          </w:tcPr>
          <w:p w14:paraId="42F7FEF5" w14:textId="77B2613C" w:rsidR="00854717" w:rsidRPr="00237FB7" w:rsidRDefault="00854717" w:rsidP="00854717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almost 13</w:t>
            </w:r>
            <w:r w:rsidRPr="00237FB7">
              <w:rPr>
                <w:rFonts w:cs="Arial"/>
                <w:sz w:val="16"/>
                <w:szCs w:val="16"/>
              </w:rPr>
              <w:t>-</w:t>
            </w:r>
          </w:p>
          <w:p w14:paraId="39B83B47" w14:textId="4077CB9C" w:rsidR="00854717" w:rsidRPr="009742AF" w:rsidRDefault="00854717" w:rsidP="00854717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fold more</w:t>
            </w:r>
          </w:p>
        </w:tc>
        <w:tc>
          <w:tcPr>
            <w:tcW w:w="1134" w:type="dxa"/>
            <w:vAlign w:val="center"/>
          </w:tcPr>
          <w:p w14:paraId="6BC6F206" w14:textId="6607C709" w:rsidR="00854717" w:rsidRPr="009742AF" w:rsidRDefault="00854717" w:rsidP="0085471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jc w:val="right"/>
              <w:outlineLvl w:val="7"/>
              <w:rPr>
                <w:rFonts w:eastAsiaTheme="majorEastAsia" w:cstheme="majorBidi"/>
                <w:sz w:val="16"/>
                <w:szCs w:val="16"/>
              </w:rPr>
            </w:pPr>
            <w:r w:rsidRPr="00A267D3">
              <w:rPr>
                <w:rFonts w:eastAsiaTheme="majorEastAsia" w:cstheme="majorBidi"/>
                <w:sz w:val="16"/>
                <w:szCs w:val="16"/>
              </w:rPr>
              <w:t>171</w:t>
            </w:r>
          </w:p>
        </w:tc>
        <w:tc>
          <w:tcPr>
            <w:tcW w:w="1134" w:type="dxa"/>
            <w:vAlign w:val="center"/>
          </w:tcPr>
          <w:p w14:paraId="4A3FCB36" w14:textId="2B413105" w:rsidR="00854717" w:rsidRPr="009742AF" w:rsidRDefault="00854717" w:rsidP="00854717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62.</w:t>
            </w:r>
            <w:r w:rsidRPr="00A267D3">
              <w:rPr>
                <w:rFonts w:cs="Arial"/>
                <w:sz w:val="16"/>
                <w:szCs w:val="16"/>
              </w:rPr>
              <w:t>4</w:t>
            </w:r>
          </w:p>
        </w:tc>
      </w:tr>
      <w:tr w:rsidR="00854717" w:rsidRPr="009742AF" w14:paraId="4D26EBDA" w14:textId="77777777" w:rsidTr="009742AF">
        <w:trPr>
          <w:trHeight w:val="254"/>
        </w:trPr>
        <w:tc>
          <w:tcPr>
            <w:tcW w:w="2049" w:type="dxa"/>
            <w:vAlign w:val="center"/>
          </w:tcPr>
          <w:p w14:paraId="68F0B91A" w14:textId="0C9794B6" w:rsidR="00854717" w:rsidRPr="009742AF" w:rsidRDefault="00854717" w:rsidP="00854717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  <w:t>Cooperative</w:t>
            </w:r>
          </w:p>
        </w:tc>
        <w:tc>
          <w:tcPr>
            <w:tcW w:w="1353" w:type="dxa"/>
            <w:vAlign w:val="center"/>
          </w:tcPr>
          <w:p w14:paraId="75FA134D" w14:textId="3B2EA19D" w:rsidR="00854717" w:rsidRPr="009742AF" w:rsidRDefault="00854717" w:rsidP="00854717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7B60E5">
              <w:rPr>
                <w:rFonts w:cs="Arial"/>
                <w:sz w:val="16"/>
                <w:szCs w:val="16"/>
              </w:rPr>
              <w:t>308</w:t>
            </w:r>
          </w:p>
        </w:tc>
        <w:tc>
          <w:tcPr>
            <w:tcW w:w="1134" w:type="dxa"/>
            <w:vAlign w:val="center"/>
          </w:tcPr>
          <w:p w14:paraId="15C370A7" w14:textId="7579A44D" w:rsidR="00854717" w:rsidRPr="009742AF" w:rsidRDefault="00854717" w:rsidP="00854717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540.</w:t>
            </w:r>
            <w:r w:rsidRPr="007B60E5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1276" w:type="dxa"/>
            <w:vAlign w:val="center"/>
          </w:tcPr>
          <w:p w14:paraId="05C57DEE" w14:textId="6B512165" w:rsidR="00854717" w:rsidRPr="009742AF" w:rsidRDefault="00854717" w:rsidP="00854717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513.</w:t>
            </w:r>
            <w:r w:rsidRPr="00237FB7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1134" w:type="dxa"/>
            <w:vAlign w:val="center"/>
          </w:tcPr>
          <w:p w14:paraId="047CBCFA" w14:textId="506F6905" w:rsidR="00854717" w:rsidRPr="009742AF" w:rsidRDefault="00854717" w:rsidP="0085471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jc w:val="right"/>
              <w:outlineLvl w:val="7"/>
              <w:rPr>
                <w:rFonts w:eastAsiaTheme="majorEastAsia" w:cstheme="majorBidi"/>
                <w:sz w:val="16"/>
                <w:szCs w:val="16"/>
              </w:rPr>
            </w:pPr>
            <w:r w:rsidRPr="00A267D3">
              <w:rPr>
                <w:rFonts w:eastAsiaTheme="majorEastAsia" w:cstheme="majorBidi"/>
                <w:sz w:val="16"/>
                <w:szCs w:val="16"/>
              </w:rPr>
              <w:t>484</w:t>
            </w:r>
          </w:p>
        </w:tc>
        <w:tc>
          <w:tcPr>
            <w:tcW w:w="1134" w:type="dxa"/>
            <w:vAlign w:val="center"/>
          </w:tcPr>
          <w:p w14:paraId="406A680F" w14:textId="435EE9EE" w:rsidR="00854717" w:rsidRPr="009742AF" w:rsidRDefault="00854717" w:rsidP="00854717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91.</w:t>
            </w:r>
            <w:r w:rsidRPr="00A267D3">
              <w:rPr>
                <w:rFonts w:cs="Arial"/>
                <w:sz w:val="16"/>
                <w:szCs w:val="16"/>
              </w:rPr>
              <w:t>7</w:t>
            </w:r>
          </w:p>
        </w:tc>
      </w:tr>
      <w:tr w:rsidR="00854717" w:rsidRPr="009742AF" w14:paraId="75797574" w14:textId="77777777" w:rsidTr="009742AF">
        <w:trPr>
          <w:trHeight w:val="57"/>
        </w:trPr>
        <w:tc>
          <w:tcPr>
            <w:tcW w:w="2049" w:type="dxa"/>
            <w:vAlign w:val="center"/>
          </w:tcPr>
          <w:p w14:paraId="6932F351" w14:textId="210E2910" w:rsidR="00854717" w:rsidRPr="009742AF" w:rsidRDefault="00854717" w:rsidP="0085471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Municipal</w:t>
            </w:r>
          </w:p>
        </w:tc>
        <w:tc>
          <w:tcPr>
            <w:tcW w:w="1353" w:type="dxa"/>
            <w:vAlign w:val="center"/>
          </w:tcPr>
          <w:p w14:paraId="62AD648F" w14:textId="7E9631B5" w:rsidR="00854717" w:rsidRPr="009742AF" w:rsidRDefault="00854717" w:rsidP="00854717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vAlign w:val="center"/>
          </w:tcPr>
          <w:p w14:paraId="30F79EA3" w14:textId="7BFE8DE3" w:rsidR="00854717" w:rsidRPr="009742AF" w:rsidRDefault="00854717" w:rsidP="00854717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50.</w:t>
            </w:r>
            <w:r w:rsidRPr="007B60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14:paraId="226BB853" w14:textId="6904C00B" w:rsidR="00854717" w:rsidRPr="009742AF" w:rsidRDefault="00854717" w:rsidP="00854717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1.0</w:t>
            </w:r>
          </w:p>
        </w:tc>
        <w:tc>
          <w:tcPr>
            <w:tcW w:w="1134" w:type="dxa"/>
            <w:vAlign w:val="center"/>
          </w:tcPr>
          <w:p w14:paraId="198AFE41" w14:textId="59C7A2B3" w:rsidR="00854717" w:rsidRPr="009742AF" w:rsidRDefault="00854717" w:rsidP="00854717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sz w:val="16"/>
                <w:szCs w:val="16"/>
              </w:rPr>
            </w:pPr>
            <w:r w:rsidRPr="00A267D3">
              <w:rPr>
                <w:sz w:val="16"/>
                <w:szCs w:val="16"/>
              </w:rPr>
              <w:t>105</w:t>
            </w:r>
          </w:p>
        </w:tc>
        <w:tc>
          <w:tcPr>
            <w:tcW w:w="1134" w:type="dxa"/>
            <w:vAlign w:val="center"/>
          </w:tcPr>
          <w:p w14:paraId="0448BCA3" w14:textId="17436E12" w:rsidR="00854717" w:rsidRPr="009742AF" w:rsidRDefault="00854717" w:rsidP="00854717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136.</w:t>
            </w:r>
            <w:r w:rsidRPr="00A267D3">
              <w:rPr>
                <w:rFonts w:cs="Arial"/>
                <w:sz w:val="16"/>
                <w:szCs w:val="16"/>
              </w:rPr>
              <w:t>4</w:t>
            </w:r>
          </w:p>
        </w:tc>
      </w:tr>
      <w:tr w:rsidR="00854717" w:rsidRPr="009742AF" w14:paraId="19303E3E" w14:textId="77777777" w:rsidTr="009742AF">
        <w:trPr>
          <w:trHeight w:val="57"/>
        </w:trPr>
        <w:tc>
          <w:tcPr>
            <w:tcW w:w="2049" w:type="dxa"/>
            <w:vAlign w:val="center"/>
          </w:tcPr>
          <w:p w14:paraId="4F9BE4D7" w14:textId="2EC3D680" w:rsidR="00854717" w:rsidRPr="009742AF" w:rsidRDefault="00854717" w:rsidP="0085471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Public building society</w:t>
            </w:r>
          </w:p>
        </w:tc>
        <w:tc>
          <w:tcPr>
            <w:tcW w:w="1353" w:type="dxa"/>
            <w:vAlign w:val="center"/>
          </w:tcPr>
          <w:p w14:paraId="2AA6F621" w14:textId="10F30D21" w:rsidR="00854717" w:rsidRPr="009742AF" w:rsidRDefault="00854717" w:rsidP="00854717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55</w:t>
            </w:r>
          </w:p>
        </w:tc>
        <w:tc>
          <w:tcPr>
            <w:tcW w:w="1134" w:type="dxa"/>
            <w:vAlign w:val="center"/>
          </w:tcPr>
          <w:p w14:paraId="5F9A1A43" w14:textId="7169BF35" w:rsidR="00854717" w:rsidRPr="009742AF" w:rsidRDefault="00854717" w:rsidP="00854717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35.</w:t>
            </w:r>
            <w:r w:rsidRPr="007B60E5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1276" w:type="dxa"/>
            <w:vAlign w:val="center"/>
          </w:tcPr>
          <w:p w14:paraId="35EE7520" w14:textId="4DA8DC32" w:rsidR="00854717" w:rsidRPr="009742AF" w:rsidRDefault="00854717" w:rsidP="00854717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8.6</w:t>
            </w:r>
          </w:p>
        </w:tc>
        <w:tc>
          <w:tcPr>
            <w:tcW w:w="1134" w:type="dxa"/>
            <w:vAlign w:val="center"/>
          </w:tcPr>
          <w:p w14:paraId="18101EF9" w14:textId="751B9962" w:rsidR="00854717" w:rsidRPr="009742AF" w:rsidRDefault="00854717" w:rsidP="00854717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sz w:val="16"/>
                <w:szCs w:val="16"/>
              </w:rPr>
            </w:pPr>
            <w:r w:rsidRPr="00A267D3">
              <w:rPr>
                <w:sz w:val="16"/>
                <w:szCs w:val="16"/>
              </w:rPr>
              <w:t>828</w:t>
            </w:r>
          </w:p>
        </w:tc>
        <w:tc>
          <w:tcPr>
            <w:tcW w:w="1134" w:type="dxa"/>
            <w:vAlign w:val="center"/>
          </w:tcPr>
          <w:p w14:paraId="3D8101D6" w14:textId="5AFBA891" w:rsidR="00854717" w:rsidRPr="009742AF" w:rsidRDefault="00854717" w:rsidP="00854717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201.</w:t>
            </w:r>
            <w:r w:rsidRPr="00A267D3">
              <w:rPr>
                <w:rFonts w:cs="Arial"/>
                <w:sz w:val="16"/>
                <w:szCs w:val="16"/>
              </w:rPr>
              <w:t>0</w:t>
            </w:r>
          </w:p>
        </w:tc>
      </w:tr>
      <w:tr w:rsidR="00854717" w:rsidRPr="009742AF" w14:paraId="08F9BC9D" w14:textId="77777777" w:rsidTr="009742AF">
        <w:trPr>
          <w:trHeight w:val="57"/>
        </w:trPr>
        <w:tc>
          <w:tcPr>
            <w:tcW w:w="2049" w:type="dxa"/>
            <w:vAlign w:val="center"/>
          </w:tcPr>
          <w:p w14:paraId="6AD09FA5" w14:textId="2DB948C3" w:rsidR="00854717" w:rsidRPr="009742AF" w:rsidRDefault="00854717" w:rsidP="0085471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Company</w:t>
            </w:r>
          </w:p>
        </w:tc>
        <w:tc>
          <w:tcPr>
            <w:tcW w:w="1353" w:type="dxa"/>
            <w:vAlign w:val="center"/>
          </w:tcPr>
          <w:p w14:paraId="608975F3" w14:textId="1709ED40" w:rsidR="00854717" w:rsidRPr="009742AF" w:rsidRDefault="00854717" w:rsidP="00854717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4075A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14:paraId="147ED29B" w14:textId="01D8E787" w:rsidR="00854717" w:rsidRPr="009742AF" w:rsidRDefault="00854717" w:rsidP="00854717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4075A5"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1276" w:type="dxa"/>
            <w:vAlign w:val="center"/>
          </w:tcPr>
          <w:p w14:paraId="60624A4A" w14:textId="472FA168" w:rsidR="00854717" w:rsidRPr="009742AF" w:rsidRDefault="00854717" w:rsidP="00854717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4075A5"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1134" w:type="dxa"/>
            <w:vAlign w:val="center"/>
          </w:tcPr>
          <w:p w14:paraId="35C8EBC0" w14:textId="59A5A7E6" w:rsidR="00854717" w:rsidRPr="009742AF" w:rsidRDefault="00854717" w:rsidP="00854717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14:paraId="7808E9AE" w14:textId="4BBE6891" w:rsidR="00854717" w:rsidRPr="009742AF" w:rsidRDefault="00854717" w:rsidP="00854717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.</w:t>
            </w:r>
          </w:p>
        </w:tc>
      </w:tr>
    </w:tbl>
    <w:p w14:paraId="037EA8A8" w14:textId="77777777" w:rsidR="00854717" w:rsidRDefault="00854717" w:rsidP="007207E6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</w:p>
    <w:p w14:paraId="2D18F0AD" w14:textId="77777777" w:rsidR="00854717" w:rsidRDefault="00854717" w:rsidP="007207E6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</w:p>
    <w:p w14:paraId="34D75009" w14:textId="47691B7F" w:rsidR="00154AC9" w:rsidRPr="004829B9" w:rsidRDefault="005D23AA" w:rsidP="007207E6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  <w:r w:rsidRPr="004829B9">
        <w:rPr>
          <w:b w:val="0"/>
          <w:sz w:val="19"/>
          <w:szCs w:val="19"/>
          <w:shd w:val="clear" w:color="auto" w:fill="FFFFFF"/>
          <w:lang w:val="en-GB"/>
        </w:rPr>
        <w:lastRenderedPageBreak/>
        <w:t xml:space="preserve">It is estimated that </w:t>
      </w:r>
      <w:r w:rsidR="008B64BD">
        <w:rPr>
          <w:b w:val="0"/>
          <w:sz w:val="19"/>
          <w:szCs w:val="19"/>
          <w:shd w:val="clear" w:color="auto" w:fill="FFFFFF"/>
          <w:lang w:val="en-GB"/>
        </w:rPr>
        <w:t>at</w:t>
      </w:r>
      <w:r w:rsidR="008B64BD" w:rsidRPr="004829B9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Pr="004829B9">
        <w:rPr>
          <w:b w:val="0"/>
          <w:sz w:val="19"/>
          <w:szCs w:val="19"/>
          <w:shd w:val="clear" w:color="auto" w:fill="FFFFFF"/>
          <w:lang w:val="en-GB"/>
        </w:rPr>
        <w:t xml:space="preserve">the end of </w:t>
      </w:r>
      <w:r w:rsidR="00854717">
        <w:rPr>
          <w:b w:val="0"/>
          <w:sz w:val="19"/>
          <w:szCs w:val="19"/>
          <w:shd w:val="clear" w:color="auto" w:fill="FFFFFF"/>
          <w:lang w:val="en-GB"/>
        </w:rPr>
        <w:t>March</w:t>
      </w:r>
      <w:r w:rsidR="00B4601E" w:rsidRPr="004829B9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B77062">
        <w:rPr>
          <w:b w:val="0"/>
          <w:sz w:val="19"/>
          <w:szCs w:val="19"/>
          <w:shd w:val="clear" w:color="auto" w:fill="FFFFFF"/>
          <w:lang w:val="en-GB"/>
        </w:rPr>
        <w:t>2021</w:t>
      </w:r>
      <w:r w:rsidR="00133F23">
        <w:rPr>
          <w:b w:val="0"/>
          <w:sz w:val="19"/>
          <w:szCs w:val="19"/>
          <w:shd w:val="clear" w:color="auto" w:fill="FFFFFF"/>
          <w:lang w:val="en-GB"/>
        </w:rPr>
        <w:t>,</w:t>
      </w:r>
      <w:r w:rsidR="00854717">
        <w:rPr>
          <w:b w:val="0"/>
          <w:sz w:val="19"/>
          <w:szCs w:val="19"/>
          <w:shd w:val="clear" w:color="auto" w:fill="FFFFFF"/>
          <w:lang w:val="en-GB"/>
        </w:rPr>
        <w:t xml:space="preserve"> there were 838</w:t>
      </w:r>
      <w:r w:rsidR="00AC3185" w:rsidRPr="004829B9">
        <w:rPr>
          <w:b w:val="0"/>
          <w:sz w:val="19"/>
          <w:szCs w:val="19"/>
          <w:shd w:val="clear" w:color="auto" w:fill="FFFFFF"/>
          <w:lang w:val="en-GB"/>
        </w:rPr>
        <w:t>.</w:t>
      </w:r>
      <w:r w:rsidR="00854717">
        <w:rPr>
          <w:b w:val="0"/>
          <w:sz w:val="19"/>
          <w:szCs w:val="19"/>
          <w:shd w:val="clear" w:color="auto" w:fill="FFFFFF"/>
          <w:lang w:val="en-GB"/>
        </w:rPr>
        <w:t>4</w:t>
      </w:r>
      <w:r w:rsidRPr="004829B9">
        <w:rPr>
          <w:b w:val="0"/>
          <w:sz w:val="19"/>
          <w:szCs w:val="19"/>
          <w:shd w:val="clear" w:color="auto" w:fill="FFFFFF"/>
          <w:lang w:val="en-GB"/>
        </w:rPr>
        <w:t xml:space="preserve"> thous</w:t>
      </w:r>
      <w:r w:rsidR="00133F23">
        <w:rPr>
          <w:b w:val="0"/>
          <w:sz w:val="19"/>
          <w:szCs w:val="19"/>
          <w:shd w:val="clear" w:color="auto" w:fill="FFFFFF"/>
          <w:lang w:val="en-GB"/>
        </w:rPr>
        <w:t>and</w:t>
      </w:r>
      <w:r w:rsidRPr="004829B9">
        <w:rPr>
          <w:b w:val="0"/>
          <w:sz w:val="19"/>
          <w:szCs w:val="19"/>
          <w:shd w:val="clear" w:color="auto" w:fill="FFFFFF"/>
          <w:lang w:val="en-GB"/>
        </w:rPr>
        <w:t xml:space="preserve"> dwellings under construction, i.e. by </w:t>
      </w:r>
      <w:r w:rsidR="00854717">
        <w:rPr>
          <w:b w:val="0"/>
          <w:sz w:val="19"/>
          <w:szCs w:val="19"/>
          <w:shd w:val="clear" w:color="auto" w:fill="FFFFFF"/>
          <w:lang w:val="en-GB"/>
        </w:rPr>
        <w:t>1.2</w:t>
      </w:r>
      <w:r w:rsidRPr="004829B9">
        <w:rPr>
          <w:b w:val="0"/>
          <w:sz w:val="19"/>
          <w:szCs w:val="19"/>
          <w:shd w:val="clear" w:color="auto" w:fill="FFFFFF"/>
          <w:lang w:val="en-GB"/>
        </w:rPr>
        <w:t>% more</w:t>
      </w:r>
      <w:r w:rsidRPr="004829B9">
        <w:rPr>
          <w:lang w:val="en-GB"/>
        </w:rPr>
        <w:t xml:space="preserve"> </w:t>
      </w:r>
      <w:r w:rsidRPr="004829B9">
        <w:rPr>
          <w:b w:val="0"/>
          <w:sz w:val="19"/>
          <w:szCs w:val="19"/>
          <w:shd w:val="clear" w:color="auto" w:fill="FFFFFF"/>
          <w:lang w:val="en-GB"/>
        </w:rPr>
        <w:t xml:space="preserve">than </w:t>
      </w:r>
      <w:r w:rsidR="000013A9" w:rsidRPr="004829B9">
        <w:rPr>
          <w:b w:val="0"/>
          <w:sz w:val="19"/>
          <w:szCs w:val="19"/>
          <w:shd w:val="clear" w:color="auto" w:fill="FFFFFF"/>
          <w:lang w:val="en-GB"/>
        </w:rPr>
        <w:t xml:space="preserve">in the corresponding </w:t>
      </w:r>
      <w:r w:rsidR="00D862D9">
        <w:rPr>
          <w:b w:val="0"/>
          <w:sz w:val="19"/>
          <w:szCs w:val="19"/>
          <w:shd w:val="clear" w:color="auto" w:fill="FFFFFF"/>
          <w:lang w:val="en-GB"/>
        </w:rPr>
        <w:t>month of 2020</w:t>
      </w:r>
      <w:r w:rsidR="00AA22EE" w:rsidRPr="004829B9">
        <w:rPr>
          <w:b w:val="0"/>
          <w:sz w:val="19"/>
          <w:szCs w:val="19"/>
          <w:shd w:val="clear" w:color="auto" w:fill="FFFFFF"/>
          <w:lang w:val="en-GB"/>
        </w:rPr>
        <w:t>.</w:t>
      </w:r>
    </w:p>
    <w:p w14:paraId="4326474E" w14:textId="42DA78DE" w:rsidR="005D23AA" w:rsidRPr="004829B9" w:rsidRDefault="005D23AA" w:rsidP="007207E6">
      <w:pPr>
        <w:pStyle w:val="tytuwykresu"/>
        <w:rPr>
          <w:lang w:val="en-GB"/>
        </w:rPr>
      </w:pPr>
    </w:p>
    <w:p w14:paraId="2E8A539A" w14:textId="13B2FE2C" w:rsidR="007207E6" w:rsidRPr="004829B9" w:rsidRDefault="00AD1492" w:rsidP="007207E6">
      <w:pPr>
        <w:pStyle w:val="tytuwykresu"/>
        <w:rPr>
          <w:lang w:val="en-GB"/>
        </w:rPr>
      </w:pPr>
      <w:r w:rsidRPr="004829B9">
        <w:rPr>
          <w:lang w:val="en-GB"/>
        </w:rPr>
        <w:t xml:space="preserve">Chart 1. Construction activity in the scope of </w:t>
      </w:r>
      <w:r w:rsidR="00256AD9" w:rsidRPr="004829B9">
        <w:rPr>
          <w:lang w:val="en-GB"/>
        </w:rPr>
        <w:t>residential construction</w:t>
      </w:r>
      <w:r w:rsidR="005D23AA" w:rsidRPr="004829B9">
        <w:rPr>
          <w:lang w:val="en-GB"/>
        </w:rPr>
        <w:t xml:space="preserve"> in Poland</w:t>
      </w:r>
    </w:p>
    <w:p w14:paraId="07DDCEC0" w14:textId="3B4E0140" w:rsidR="00F37978" w:rsidRPr="003A600F" w:rsidRDefault="00574E89" w:rsidP="003A600F">
      <w:pPr>
        <w:pStyle w:val="Nagwek1"/>
        <w:rPr>
          <w:color w:val="auto"/>
          <w:sz w:val="18"/>
          <w:szCs w:val="18"/>
          <w:lang w:val="en-GB"/>
        </w:rPr>
      </w:pPr>
      <w:r w:rsidRPr="004829B9">
        <w:rPr>
          <w:b/>
          <w:noProof/>
          <w:spacing w:val="-4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768832" behindDoc="0" locked="0" layoutInCell="1" allowOverlap="1" wp14:anchorId="50036E1A" wp14:editId="595CE9D5">
                <wp:simplePos x="0" y="0"/>
                <wp:positionH relativeFrom="page">
                  <wp:posOffset>5697220</wp:posOffset>
                </wp:positionH>
                <wp:positionV relativeFrom="paragraph">
                  <wp:posOffset>190500</wp:posOffset>
                </wp:positionV>
                <wp:extent cx="1814830" cy="2178050"/>
                <wp:effectExtent l="0" t="0" r="0" b="0"/>
                <wp:wrapSquare wrapText="bothSides"/>
                <wp:docPr id="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830" cy="2178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FBF1C9" w14:textId="342D8E43" w:rsidR="00574E89" w:rsidRPr="00AC3185" w:rsidRDefault="00574E89" w:rsidP="00903A58">
                            <w:pP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In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>March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, compared to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>February</w:t>
                            </w:r>
                            <w:r w:rsidRPr="009742A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2021, the n</w:t>
                            </w:r>
                            <w:r w:rsidRPr="00F1184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umber of dwellings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completed increased (by 16.3%), </w:t>
                            </w:r>
                            <w:r w:rsidRPr="0031400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as well as</w:t>
                            </w:r>
                            <w:r w:rsidRPr="005825F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Pr="00574E8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the number of dwellings for which permits have been granted or which have been registered with a const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ruction (by 24.6</w:t>
                            </w:r>
                            <w:r w:rsidRPr="00574E8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%)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and the number of dwellings </w:t>
                            </w:r>
                            <w:r w:rsidRPr="00700FC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in which construction has begun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(by 87.0%)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036E1A" id="_x0000_s1031" type="#_x0000_t202" style="position:absolute;margin-left:448.6pt;margin-top:15pt;width:142.9pt;height:171.5pt;z-index:25176883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" filled="f" stroked="f">
                <v:textbox>
                  <w:txbxContent>
                    <w:p w14:paraId="58FBF1C9" w14:textId="342D8E43" w:rsidR="00574E89" w:rsidRPr="00AC3185" w:rsidRDefault="00574E89" w:rsidP="00903A58">
                      <w:pP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In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>March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, compared to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>February</w:t>
                      </w:r>
                      <w:r w:rsidRPr="009742A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 xml:space="preserve">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2021, the n</w:t>
                      </w:r>
                      <w:r w:rsidRPr="00F1184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umber of dwellings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completed increased (by 16.3%), </w:t>
                      </w:r>
                      <w:r w:rsidRPr="0031400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as well as</w:t>
                      </w:r>
                      <w:r w:rsidRPr="005825F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Pr="00574E8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the number of dwellings for which permits have been granted or which have been registered with a const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ruction (by 24.6</w:t>
                      </w:r>
                      <w:r w:rsidRPr="00574E8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%)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and the number of dwellings </w:t>
                      </w:r>
                      <w:r w:rsidRPr="00700FC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in which construction has begun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(by 87.0%)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700FC6" w:rsidRPr="00406BFF">
        <w:rPr>
          <w:b/>
          <w:noProof/>
          <w:spacing w:val="-4"/>
          <w:shd w:val="clear" w:color="auto" w:fill="FFFFFF"/>
          <w:lang w:val="en-GB"/>
        </w:rPr>
        <w:t xml:space="preserve"> </w:t>
      </w:r>
      <w:r w:rsidR="003A600F">
        <w:rPr>
          <w:noProof/>
        </w:rPr>
        <w:drawing>
          <wp:inline distT="0" distB="0" distL="0" distR="0" wp14:anchorId="200F1C87" wp14:editId="34430D70">
            <wp:extent cx="5122545" cy="2217761"/>
            <wp:effectExtent l="0" t="0" r="0" b="0"/>
            <wp:docPr id="3" name="Wykres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bookmarkStart w:id="2" w:name="_GoBack"/>
      <w:bookmarkEnd w:id="2"/>
    </w:p>
    <w:p w14:paraId="6B2C5EA1" w14:textId="411AA4DE" w:rsidR="00CB6084" w:rsidRPr="004829B9" w:rsidRDefault="00E26291" w:rsidP="00CB6084">
      <w:pPr>
        <w:rPr>
          <w:szCs w:val="19"/>
          <w:shd w:val="clear" w:color="auto" w:fill="FFFFFF"/>
          <w:lang w:val="en-GB"/>
        </w:rPr>
      </w:pPr>
      <w:r>
        <w:rPr>
          <w:szCs w:val="19"/>
          <w:shd w:val="clear" w:color="auto" w:fill="FFFFFF"/>
          <w:lang w:val="en-GB"/>
        </w:rPr>
        <w:t xml:space="preserve">In </w:t>
      </w:r>
      <w:r w:rsidR="00700FC6">
        <w:rPr>
          <w:szCs w:val="19"/>
          <w:shd w:val="clear" w:color="auto" w:fill="FFFFFF"/>
          <w:lang w:val="en-GB"/>
        </w:rPr>
        <w:t xml:space="preserve">the </w:t>
      </w:r>
      <w:r w:rsidR="00574E89">
        <w:rPr>
          <w:szCs w:val="19"/>
          <w:shd w:val="clear" w:color="auto" w:fill="FFFFFF"/>
          <w:lang w:val="en-GB"/>
        </w:rPr>
        <w:t>first quarter of</w:t>
      </w:r>
      <w:r w:rsidR="00D862D9">
        <w:rPr>
          <w:szCs w:val="19"/>
          <w:shd w:val="clear" w:color="auto" w:fill="FFFFFF"/>
          <w:lang w:val="en-GB"/>
        </w:rPr>
        <w:t xml:space="preserve"> 2021</w:t>
      </w:r>
      <w:r>
        <w:rPr>
          <w:szCs w:val="19"/>
          <w:shd w:val="clear" w:color="auto" w:fill="FFFFFF"/>
          <w:lang w:val="en-GB"/>
        </w:rPr>
        <w:t xml:space="preserve">, </w:t>
      </w:r>
      <w:r w:rsidR="00574E89">
        <w:rPr>
          <w:szCs w:val="19"/>
          <w:shd w:val="clear" w:color="auto" w:fill="FFFFFF"/>
          <w:lang w:val="en-GB"/>
        </w:rPr>
        <w:t xml:space="preserve">the </w:t>
      </w:r>
      <w:r w:rsidR="002A29A6">
        <w:rPr>
          <w:szCs w:val="19"/>
          <w:shd w:val="clear" w:color="auto" w:fill="FFFFFF"/>
          <w:lang w:val="en-GB"/>
        </w:rPr>
        <w:t>high</w:t>
      </w:r>
      <w:r w:rsidR="00574E89">
        <w:rPr>
          <w:szCs w:val="19"/>
          <w:shd w:val="clear" w:color="auto" w:fill="FFFFFF"/>
          <w:lang w:val="en-GB"/>
        </w:rPr>
        <w:t>est</w:t>
      </w:r>
      <w:r w:rsidR="002A29A6">
        <w:rPr>
          <w:szCs w:val="19"/>
          <w:shd w:val="clear" w:color="auto" w:fill="FFFFFF"/>
          <w:lang w:val="en-GB"/>
        </w:rPr>
        <w:t xml:space="preserve"> values of </w:t>
      </w:r>
      <w:r w:rsidR="00CB6084" w:rsidRPr="004829B9">
        <w:rPr>
          <w:szCs w:val="19"/>
          <w:shd w:val="clear" w:color="auto" w:fill="FFFFFF"/>
          <w:lang w:val="en-GB"/>
        </w:rPr>
        <w:t>dwellings</w:t>
      </w:r>
      <w:r w:rsidR="00E43CD7" w:rsidRPr="00E43CD7">
        <w:rPr>
          <w:szCs w:val="19"/>
          <w:shd w:val="clear" w:color="auto" w:fill="FFFFFF"/>
          <w:lang w:val="en-GB"/>
        </w:rPr>
        <w:t xml:space="preserve"> </w:t>
      </w:r>
      <w:r w:rsidR="00D81B78">
        <w:rPr>
          <w:szCs w:val="19"/>
          <w:shd w:val="clear" w:color="auto" w:fill="FFFFFF"/>
          <w:lang w:val="en-GB"/>
        </w:rPr>
        <w:t>completed</w:t>
      </w:r>
      <w:r w:rsidR="0016126E">
        <w:rPr>
          <w:szCs w:val="19"/>
          <w:shd w:val="clear" w:color="auto" w:fill="FFFFFF"/>
          <w:lang w:val="en-GB"/>
        </w:rPr>
        <w:t xml:space="preserve">, as well as </w:t>
      </w:r>
      <w:r w:rsidR="0016126E" w:rsidRPr="0016126E">
        <w:rPr>
          <w:szCs w:val="19"/>
          <w:shd w:val="clear" w:color="auto" w:fill="FFFFFF"/>
          <w:lang w:val="en-GB"/>
        </w:rPr>
        <w:t xml:space="preserve">dwellings </w:t>
      </w:r>
      <w:r w:rsidR="00700FC6" w:rsidRPr="00700FC6">
        <w:rPr>
          <w:szCs w:val="19"/>
          <w:shd w:val="clear" w:color="auto" w:fill="FFFFFF"/>
          <w:lang w:val="en-GB"/>
        </w:rPr>
        <w:t xml:space="preserve">in which construction has begun </w:t>
      </w:r>
      <w:r w:rsidR="00700FC6">
        <w:rPr>
          <w:szCs w:val="19"/>
          <w:shd w:val="clear" w:color="auto" w:fill="FFFFFF"/>
          <w:lang w:val="en-GB"/>
        </w:rPr>
        <w:t xml:space="preserve">and dwellings </w:t>
      </w:r>
      <w:r w:rsidR="0016126E" w:rsidRPr="0016126E">
        <w:rPr>
          <w:szCs w:val="19"/>
          <w:shd w:val="clear" w:color="auto" w:fill="FFFFFF"/>
          <w:lang w:val="en-GB"/>
        </w:rPr>
        <w:t>for which permits have been granted or which have been registered with a construction project</w:t>
      </w:r>
      <w:r w:rsidR="00DD2696">
        <w:rPr>
          <w:szCs w:val="19"/>
          <w:shd w:val="clear" w:color="auto" w:fill="FFFFFF"/>
          <w:lang w:val="en-GB"/>
        </w:rPr>
        <w:t xml:space="preserve">, </w:t>
      </w:r>
      <w:r w:rsidR="002A29A6">
        <w:rPr>
          <w:szCs w:val="19"/>
          <w:shd w:val="clear" w:color="auto" w:fill="FFFFFF"/>
          <w:lang w:val="en-GB"/>
        </w:rPr>
        <w:t>were</w:t>
      </w:r>
      <w:r w:rsidR="00EF6032" w:rsidRPr="00EF6032">
        <w:rPr>
          <w:szCs w:val="19"/>
          <w:shd w:val="clear" w:color="auto" w:fill="FFFFFF"/>
          <w:lang w:val="en-GB"/>
        </w:rPr>
        <w:t xml:space="preserve"> recorded in Mazowieckie voivodship</w:t>
      </w:r>
      <w:r w:rsidR="00EF6032">
        <w:rPr>
          <w:szCs w:val="19"/>
          <w:shd w:val="clear" w:color="auto" w:fill="FFFFFF"/>
          <w:lang w:val="en-GB"/>
        </w:rPr>
        <w:t xml:space="preserve"> (</w:t>
      </w:r>
      <w:r w:rsidR="00DD2696">
        <w:rPr>
          <w:szCs w:val="19"/>
          <w:shd w:val="clear" w:color="auto" w:fill="FFFFFF"/>
          <w:lang w:val="en-GB"/>
        </w:rPr>
        <w:t xml:space="preserve">respectively </w:t>
      </w:r>
      <w:r w:rsidR="00574E89">
        <w:rPr>
          <w:szCs w:val="19"/>
          <w:shd w:val="clear" w:color="auto" w:fill="FFFFFF"/>
          <w:lang w:val="en-GB"/>
        </w:rPr>
        <w:t>10.6</w:t>
      </w:r>
      <w:r w:rsidR="00EF6032">
        <w:rPr>
          <w:szCs w:val="19"/>
          <w:shd w:val="clear" w:color="auto" w:fill="FFFFFF"/>
          <w:lang w:val="en-GB"/>
        </w:rPr>
        <w:t xml:space="preserve"> thousand</w:t>
      </w:r>
      <w:r w:rsidR="00574E89">
        <w:rPr>
          <w:szCs w:val="19"/>
          <w:shd w:val="clear" w:color="auto" w:fill="FFFFFF"/>
          <w:lang w:val="en-GB"/>
        </w:rPr>
        <w:t>, 9.2</w:t>
      </w:r>
      <w:r w:rsidR="003563AE">
        <w:rPr>
          <w:szCs w:val="19"/>
          <w:shd w:val="clear" w:color="auto" w:fill="FFFFFF"/>
          <w:lang w:val="en-GB"/>
        </w:rPr>
        <w:t xml:space="preserve"> </w:t>
      </w:r>
      <w:r w:rsidR="003563AE" w:rsidRPr="003563AE">
        <w:rPr>
          <w:szCs w:val="19"/>
          <w:shd w:val="clear" w:color="auto" w:fill="FFFFFF"/>
          <w:lang w:val="en-GB"/>
        </w:rPr>
        <w:t>thousand</w:t>
      </w:r>
      <w:r w:rsidR="00574E89">
        <w:rPr>
          <w:szCs w:val="19"/>
          <w:shd w:val="clear" w:color="auto" w:fill="FFFFFF"/>
          <w:lang w:val="en-GB"/>
        </w:rPr>
        <w:t xml:space="preserve"> and 13</w:t>
      </w:r>
      <w:r w:rsidR="002A29A6">
        <w:rPr>
          <w:szCs w:val="19"/>
          <w:shd w:val="clear" w:color="auto" w:fill="FFFFFF"/>
          <w:lang w:val="en-GB"/>
        </w:rPr>
        <w:t>.2</w:t>
      </w:r>
      <w:r w:rsidR="00CC4866">
        <w:rPr>
          <w:szCs w:val="19"/>
          <w:shd w:val="clear" w:color="auto" w:fill="FFFFFF"/>
          <w:lang w:val="en-GB"/>
        </w:rPr>
        <w:t> </w:t>
      </w:r>
      <w:r w:rsidR="00CF2564" w:rsidRPr="00CF2564">
        <w:rPr>
          <w:szCs w:val="19"/>
          <w:shd w:val="clear" w:color="auto" w:fill="FFFFFF"/>
          <w:lang w:val="en-GB"/>
        </w:rPr>
        <w:t>thousand</w:t>
      </w:r>
      <w:r w:rsidR="00574E89">
        <w:rPr>
          <w:szCs w:val="19"/>
          <w:shd w:val="clear" w:color="auto" w:fill="FFFFFF"/>
          <w:lang w:val="en-GB"/>
        </w:rPr>
        <w:t xml:space="preserve">). High values were also noted in </w:t>
      </w:r>
      <w:r w:rsidR="00700FC6">
        <w:rPr>
          <w:szCs w:val="19"/>
          <w:shd w:val="clear" w:color="auto" w:fill="FFFFFF"/>
          <w:lang w:val="en-GB"/>
        </w:rPr>
        <w:t xml:space="preserve"> Wielkopolskie </w:t>
      </w:r>
      <w:r w:rsidR="00574E89">
        <w:rPr>
          <w:szCs w:val="19"/>
          <w:shd w:val="clear" w:color="auto" w:fill="FFFFFF"/>
          <w:lang w:val="en-GB"/>
        </w:rPr>
        <w:t>(5.7</w:t>
      </w:r>
      <w:r w:rsidR="00F333CC">
        <w:rPr>
          <w:szCs w:val="19"/>
          <w:shd w:val="clear" w:color="auto" w:fill="FFFFFF"/>
          <w:lang w:val="en-GB"/>
        </w:rPr>
        <w:t xml:space="preserve"> </w:t>
      </w:r>
      <w:r w:rsidR="00574E89">
        <w:rPr>
          <w:szCs w:val="19"/>
          <w:shd w:val="clear" w:color="auto" w:fill="FFFFFF"/>
          <w:lang w:val="en-GB"/>
        </w:rPr>
        <w:t>thousand, 8.4</w:t>
      </w:r>
      <w:r w:rsidR="00406BFF">
        <w:rPr>
          <w:szCs w:val="19"/>
          <w:shd w:val="clear" w:color="auto" w:fill="FFFFFF"/>
          <w:lang w:val="en-GB"/>
        </w:rPr>
        <w:t> </w:t>
      </w:r>
      <w:r w:rsidR="00F333CC">
        <w:rPr>
          <w:szCs w:val="19"/>
          <w:shd w:val="clear" w:color="auto" w:fill="FFFFFF"/>
          <w:lang w:val="en-GB"/>
        </w:rPr>
        <w:t>thousand</w:t>
      </w:r>
      <w:r w:rsidR="003563AE">
        <w:rPr>
          <w:szCs w:val="19"/>
          <w:shd w:val="clear" w:color="auto" w:fill="FFFFFF"/>
          <w:lang w:val="en-GB"/>
        </w:rPr>
        <w:t xml:space="preserve"> </w:t>
      </w:r>
      <w:r w:rsidR="003563AE" w:rsidRPr="003563AE">
        <w:rPr>
          <w:szCs w:val="19"/>
          <w:shd w:val="clear" w:color="auto" w:fill="FFFFFF"/>
          <w:lang w:val="en-GB"/>
        </w:rPr>
        <w:t>and</w:t>
      </w:r>
      <w:r w:rsidR="00574E89">
        <w:rPr>
          <w:szCs w:val="19"/>
          <w:shd w:val="clear" w:color="auto" w:fill="FFFFFF"/>
          <w:lang w:val="en-GB"/>
        </w:rPr>
        <w:t xml:space="preserve"> 9.3</w:t>
      </w:r>
      <w:r w:rsidR="00AB0212">
        <w:rPr>
          <w:szCs w:val="19"/>
          <w:shd w:val="clear" w:color="auto" w:fill="FFFFFF"/>
          <w:lang w:val="en-GB"/>
        </w:rPr>
        <w:t xml:space="preserve"> </w:t>
      </w:r>
      <w:r w:rsidR="003563AE" w:rsidRPr="003563AE">
        <w:rPr>
          <w:szCs w:val="19"/>
          <w:shd w:val="clear" w:color="auto" w:fill="FFFFFF"/>
          <w:lang w:val="en-GB"/>
        </w:rPr>
        <w:t>thousand</w:t>
      </w:r>
      <w:r w:rsidR="00574E89">
        <w:rPr>
          <w:szCs w:val="19"/>
          <w:shd w:val="clear" w:color="auto" w:fill="FFFFFF"/>
          <w:lang w:val="en-GB"/>
        </w:rPr>
        <w:t xml:space="preserve">), </w:t>
      </w:r>
      <w:r w:rsidR="00497FB5">
        <w:rPr>
          <w:szCs w:val="19"/>
          <w:shd w:val="clear" w:color="auto" w:fill="FFFFFF"/>
          <w:lang w:val="en-GB"/>
        </w:rPr>
        <w:t>Dolnośląskie</w:t>
      </w:r>
      <w:r w:rsidR="00574E89">
        <w:rPr>
          <w:szCs w:val="19"/>
          <w:shd w:val="clear" w:color="auto" w:fill="FFFFFF"/>
          <w:lang w:val="en-GB"/>
        </w:rPr>
        <w:t xml:space="preserve"> (5</w:t>
      </w:r>
      <w:r w:rsidR="00700FC6">
        <w:rPr>
          <w:szCs w:val="19"/>
          <w:shd w:val="clear" w:color="auto" w:fill="FFFFFF"/>
          <w:lang w:val="en-GB"/>
        </w:rPr>
        <w:t>.3</w:t>
      </w:r>
      <w:r w:rsidR="002A29A6">
        <w:rPr>
          <w:szCs w:val="19"/>
          <w:shd w:val="clear" w:color="auto" w:fill="FFFFFF"/>
          <w:lang w:val="en-GB"/>
        </w:rPr>
        <w:t xml:space="preserve"> </w:t>
      </w:r>
      <w:r w:rsidR="002A29A6" w:rsidRPr="002A29A6">
        <w:rPr>
          <w:szCs w:val="19"/>
          <w:shd w:val="clear" w:color="auto" w:fill="FFFFFF"/>
          <w:lang w:val="en-GB"/>
        </w:rPr>
        <w:t>thousand</w:t>
      </w:r>
      <w:r w:rsidR="00574E89">
        <w:rPr>
          <w:szCs w:val="19"/>
          <w:shd w:val="clear" w:color="auto" w:fill="FFFFFF"/>
          <w:lang w:val="en-GB"/>
        </w:rPr>
        <w:t>, 5.5 </w:t>
      </w:r>
      <w:r w:rsidR="002A29A6" w:rsidRPr="002A29A6">
        <w:rPr>
          <w:szCs w:val="19"/>
          <w:shd w:val="clear" w:color="auto" w:fill="FFFFFF"/>
          <w:lang w:val="en-GB"/>
        </w:rPr>
        <w:t>thousand</w:t>
      </w:r>
      <w:r w:rsidR="00574E89">
        <w:rPr>
          <w:szCs w:val="19"/>
          <w:shd w:val="clear" w:color="auto" w:fill="FFFFFF"/>
          <w:lang w:val="en-GB"/>
        </w:rPr>
        <w:t xml:space="preserve"> and 7</w:t>
      </w:r>
      <w:r w:rsidR="00700FC6">
        <w:rPr>
          <w:szCs w:val="19"/>
          <w:shd w:val="clear" w:color="auto" w:fill="FFFFFF"/>
          <w:lang w:val="en-GB"/>
        </w:rPr>
        <w:t>.2</w:t>
      </w:r>
      <w:r w:rsidR="00497FB5">
        <w:rPr>
          <w:szCs w:val="19"/>
          <w:shd w:val="clear" w:color="auto" w:fill="FFFFFF"/>
          <w:lang w:val="en-GB"/>
        </w:rPr>
        <w:t> </w:t>
      </w:r>
      <w:r w:rsidR="002A29A6" w:rsidRPr="002A29A6">
        <w:rPr>
          <w:szCs w:val="19"/>
          <w:shd w:val="clear" w:color="auto" w:fill="FFFFFF"/>
          <w:lang w:val="en-GB"/>
        </w:rPr>
        <w:t>thousand</w:t>
      </w:r>
      <w:r w:rsidR="00574E89">
        <w:rPr>
          <w:szCs w:val="19"/>
          <w:shd w:val="clear" w:color="auto" w:fill="FFFFFF"/>
          <w:lang w:val="en-GB"/>
        </w:rPr>
        <w:t>), Małopolskie (4</w:t>
      </w:r>
      <w:r w:rsidR="00574E89" w:rsidRPr="00574E89">
        <w:rPr>
          <w:szCs w:val="19"/>
          <w:shd w:val="clear" w:color="auto" w:fill="FFFFFF"/>
          <w:lang w:val="en-GB"/>
        </w:rPr>
        <w:t xml:space="preserve">.7 thousand, </w:t>
      </w:r>
      <w:r w:rsidR="00574E89">
        <w:rPr>
          <w:szCs w:val="19"/>
          <w:shd w:val="clear" w:color="auto" w:fill="FFFFFF"/>
          <w:lang w:val="en-GB"/>
        </w:rPr>
        <w:t>5.6 thousand and 6.7</w:t>
      </w:r>
      <w:r w:rsidR="00574E89" w:rsidRPr="00574E89">
        <w:rPr>
          <w:szCs w:val="19"/>
          <w:shd w:val="clear" w:color="auto" w:fill="FFFFFF"/>
          <w:lang w:val="en-GB"/>
        </w:rPr>
        <w:t xml:space="preserve"> thousand</w:t>
      </w:r>
      <w:r w:rsidR="00574E89">
        <w:rPr>
          <w:szCs w:val="19"/>
          <w:shd w:val="clear" w:color="auto" w:fill="FFFFFF"/>
          <w:lang w:val="en-GB"/>
        </w:rPr>
        <w:t>) and Pomorskie (4.6 thousand, 6.2 thousand and 9.1</w:t>
      </w:r>
      <w:r w:rsidR="00574E89" w:rsidRPr="00574E89">
        <w:rPr>
          <w:szCs w:val="19"/>
          <w:shd w:val="clear" w:color="auto" w:fill="FFFFFF"/>
          <w:lang w:val="en-GB"/>
        </w:rPr>
        <w:t xml:space="preserve"> thousand</w:t>
      </w:r>
      <w:r w:rsidR="00574E89">
        <w:rPr>
          <w:szCs w:val="19"/>
          <w:shd w:val="clear" w:color="auto" w:fill="FFFFFF"/>
          <w:lang w:val="en-GB"/>
        </w:rPr>
        <w:t>).</w:t>
      </w:r>
    </w:p>
    <w:p w14:paraId="73CBA65A" w14:textId="4DC44986" w:rsidR="00903A58" w:rsidRDefault="001C1808" w:rsidP="00903A58">
      <w:pPr>
        <w:pStyle w:val="Nagwek1"/>
        <w:rPr>
          <w:color w:val="auto"/>
          <w:sz w:val="18"/>
          <w:szCs w:val="18"/>
          <w:lang w:val="en-GB"/>
        </w:rPr>
      </w:pPr>
      <w:r w:rsidRPr="004829B9">
        <w:rPr>
          <w:color w:val="auto"/>
          <w:sz w:val="18"/>
          <w:szCs w:val="18"/>
          <w:lang w:val="en-GB"/>
        </w:rPr>
        <w:t xml:space="preserve">Chart 2. Construction activity in the scope of </w:t>
      </w:r>
      <w:r w:rsidR="00256AD9" w:rsidRPr="004829B9">
        <w:rPr>
          <w:color w:val="auto"/>
          <w:sz w:val="18"/>
          <w:szCs w:val="18"/>
          <w:lang w:val="en-GB"/>
        </w:rPr>
        <w:t>residential construction</w:t>
      </w:r>
      <w:r w:rsidRPr="004829B9">
        <w:rPr>
          <w:color w:val="auto"/>
          <w:sz w:val="18"/>
          <w:szCs w:val="18"/>
          <w:lang w:val="en-GB"/>
        </w:rPr>
        <w:t xml:space="preserve"> by voivodships </w:t>
      </w:r>
      <w:r w:rsidRPr="004829B9">
        <w:rPr>
          <w:color w:val="auto"/>
          <w:sz w:val="18"/>
          <w:szCs w:val="18"/>
          <w:lang w:val="en-GB"/>
        </w:rPr>
        <w:br/>
      </w:r>
      <w:r w:rsidR="00384D8B" w:rsidRPr="004829B9">
        <w:rPr>
          <w:color w:val="auto"/>
          <w:sz w:val="18"/>
          <w:szCs w:val="18"/>
          <w:lang w:val="en-GB"/>
        </w:rPr>
        <w:t xml:space="preserve">               </w:t>
      </w:r>
      <w:r w:rsidR="000401D6" w:rsidRPr="004829B9">
        <w:rPr>
          <w:color w:val="auto"/>
          <w:sz w:val="18"/>
          <w:szCs w:val="18"/>
          <w:lang w:val="en-GB"/>
        </w:rPr>
        <w:t>(January</w:t>
      </w:r>
      <w:r w:rsidR="00700FC6">
        <w:rPr>
          <w:color w:val="auto"/>
          <w:sz w:val="18"/>
          <w:szCs w:val="18"/>
          <w:lang w:val="en-GB"/>
        </w:rPr>
        <w:t xml:space="preserve"> - </w:t>
      </w:r>
      <w:r w:rsidR="00574E89">
        <w:rPr>
          <w:color w:val="auto"/>
          <w:sz w:val="18"/>
          <w:szCs w:val="18"/>
          <w:lang w:val="en-GB"/>
        </w:rPr>
        <w:t>March</w:t>
      </w:r>
      <w:r w:rsidR="00E873C8" w:rsidRPr="004829B9">
        <w:rPr>
          <w:color w:val="auto"/>
          <w:sz w:val="18"/>
          <w:szCs w:val="18"/>
          <w:lang w:val="en-GB"/>
        </w:rPr>
        <w:t xml:space="preserve"> </w:t>
      </w:r>
      <w:r w:rsidR="00D862D9">
        <w:rPr>
          <w:color w:val="auto"/>
          <w:sz w:val="18"/>
          <w:szCs w:val="18"/>
          <w:lang w:val="en-GB"/>
        </w:rPr>
        <w:t>2021</w:t>
      </w:r>
      <w:r w:rsidRPr="004829B9">
        <w:rPr>
          <w:color w:val="auto"/>
          <w:sz w:val="18"/>
          <w:szCs w:val="18"/>
          <w:lang w:val="en-GB"/>
        </w:rPr>
        <w:t>)</w:t>
      </w:r>
    </w:p>
    <w:p w14:paraId="66C5A628" w14:textId="5C32B9F0" w:rsidR="003A358E" w:rsidRDefault="003A600F" w:rsidP="00A12B93">
      <w:pPr>
        <w:pStyle w:val="Nagwek1"/>
        <w:rPr>
          <w:color w:val="auto"/>
          <w:sz w:val="18"/>
          <w:szCs w:val="18"/>
          <w:lang w:val="en-GB"/>
        </w:rPr>
      </w:pPr>
      <w:r>
        <w:rPr>
          <w:noProof/>
        </w:rPr>
        <w:drawing>
          <wp:inline distT="0" distB="0" distL="0" distR="0" wp14:anchorId="21141371" wp14:editId="3339D989">
            <wp:extent cx="5122545" cy="2913797"/>
            <wp:effectExtent l="0" t="0" r="0" b="1270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4F8A40B4" w14:textId="77777777" w:rsidR="00A12B93" w:rsidRDefault="00A12B93" w:rsidP="00A12B93">
      <w:pPr>
        <w:rPr>
          <w:lang w:val="en-GB" w:eastAsia="pl-PL"/>
        </w:rPr>
      </w:pPr>
    </w:p>
    <w:p w14:paraId="7B845408" w14:textId="77777777" w:rsidR="005825F0" w:rsidRPr="00A12B93" w:rsidRDefault="005825F0" w:rsidP="00A12B93">
      <w:pPr>
        <w:rPr>
          <w:lang w:val="en-GB" w:eastAsia="pl-PL"/>
        </w:rPr>
      </w:pPr>
    </w:p>
    <w:p w14:paraId="47844B4F" w14:textId="6E2D5CE7" w:rsidR="00694AF0" w:rsidRPr="00257306" w:rsidRDefault="00257306" w:rsidP="0046503D">
      <w:pPr>
        <w:rPr>
          <w:szCs w:val="19"/>
          <w:shd w:val="clear" w:color="auto" w:fill="FFFFFF"/>
          <w:lang w:val="en-GB"/>
        </w:rPr>
        <w:sectPr w:rsidR="00694AF0" w:rsidRPr="00257306" w:rsidSect="00A05A3A">
          <w:headerReference w:type="default" r:id="rId13"/>
          <w:footerReference w:type="default" r:id="rId14"/>
          <w:headerReference w:type="first" r:id="rId15"/>
          <w:footerReference w:type="first" r:id="rId16"/>
          <w:type w:val="continuous"/>
          <w:pgSz w:w="11906" w:h="16838"/>
          <w:pgMar w:top="720" w:right="3119" w:bottom="720" w:left="720" w:header="284" w:footer="397" w:gutter="0"/>
          <w:pgNumType w:start="1"/>
          <w:cols w:space="708"/>
          <w:titlePg/>
          <w:docGrid w:linePitch="360"/>
        </w:sectPr>
      </w:pPr>
      <w:r w:rsidRPr="00257306">
        <w:rPr>
          <w:szCs w:val="19"/>
          <w:shd w:val="clear" w:color="auto" w:fill="FFFFFF"/>
          <w:lang w:val="en-GB"/>
        </w:rPr>
        <w:t>In case of quoting Statistics Poland data, please provide information: “Source of data: Statistics Poland” and in case of publishing calculations made on data published by Statistics Poland, please include the following disclaimer: “Own study based on figu</w:t>
      </w:r>
      <w:r>
        <w:rPr>
          <w:szCs w:val="19"/>
          <w:shd w:val="clear" w:color="auto" w:fill="FFFFFF"/>
          <w:lang w:val="en-GB"/>
        </w:rPr>
        <w:t>res from Statistics Poland”.</w:t>
      </w:r>
    </w:p>
    <w:p w14:paraId="3949FC6D" w14:textId="77777777" w:rsidR="000470AA" w:rsidRPr="004829B9" w:rsidRDefault="000470AA" w:rsidP="0046503D">
      <w:pPr>
        <w:rPr>
          <w:sz w:val="18"/>
          <w:lang w:val="en-GB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3"/>
        <w:gridCol w:w="3824"/>
      </w:tblGrid>
      <w:tr w:rsidR="00B34C4C" w:rsidRPr="004829B9" w14:paraId="40C6557F" w14:textId="77777777" w:rsidTr="00E873C8">
        <w:trPr>
          <w:trHeight w:val="1912"/>
        </w:trPr>
        <w:tc>
          <w:tcPr>
            <w:tcW w:w="4379" w:type="dxa"/>
          </w:tcPr>
          <w:p w14:paraId="6665BC8F" w14:textId="77777777" w:rsidR="00B34C4C" w:rsidRPr="004829B9" w:rsidRDefault="00B34C4C" w:rsidP="00E873C8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  <w:lang w:val="en-GB"/>
              </w:rPr>
            </w:pPr>
            <w:r w:rsidRPr="004829B9">
              <w:rPr>
                <w:rFonts w:cs="Arial"/>
                <w:color w:val="000000" w:themeColor="text1"/>
                <w:sz w:val="20"/>
                <w:lang w:val="en-GB"/>
              </w:rPr>
              <w:t>Prepared by:</w:t>
            </w:r>
          </w:p>
          <w:p w14:paraId="67FFA76B" w14:textId="77777777" w:rsidR="00B34C4C" w:rsidRPr="004829B9" w:rsidRDefault="00B34C4C" w:rsidP="00E873C8">
            <w:pPr>
              <w:spacing w:before="0" w:after="0" w:line="240" w:lineRule="auto"/>
              <w:rPr>
                <w:rFonts w:cs="Arial"/>
                <w:b/>
                <w:sz w:val="20"/>
                <w:lang w:val="en-GB"/>
              </w:rPr>
            </w:pPr>
            <w:r w:rsidRPr="004829B9">
              <w:rPr>
                <w:rFonts w:cs="Arial"/>
                <w:b/>
                <w:sz w:val="20"/>
                <w:lang w:val="en-GB"/>
              </w:rPr>
              <w:t>Statistical Office in Lublin</w:t>
            </w:r>
          </w:p>
          <w:p w14:paraId="55C69C2C" w14:textId="77777777" w:rsidR="00B34C4C" w:rsidRPr="004829B9" w:rsidRDefault="00105BED" w:rsidP="00E873C8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auto"/>
                <w:sz w:val="20"/>
                <w:szCs w:val="28"/>
                <w:lang w:val="en-GB"/>
              </w:rPr>
            </w:pPr>
            <w:r w:rsidRPr="004829B9">
              <w:rPr>
                <w:rFonts w:ascii="Fira Sans" w:hAnsi="Fira Sans" w:cs="Arial"/>
                <w:b/>
                <w:color w:val="auto"/>
                <w:sz w:val="20"/>
                <w:szCs w:val="28"/>
                <w:lang w:val="en-GB"/>
              </w:rPr>
              <w:t>Director Krzysztof Markowski</w:t>
            </w:r>
          </w:p>
          <w:p w14:paraId="3F6217D4" w14:textId="6E53501C" w:rsidR="00B34C4C" w:rsidRPr="004829B9" w:rsidRDefault="00D46532" w:rsidP="00E873C8">
            <w:pPr>
              <w:pStyle w:val="Nagwek3"/>
              <w:spacing w:before="0" w:line="240" w:lineRule="auto"/>
              <w:rPr>
                <w:rFonts w:ascii="Fira Sans" w:hAnsi="Fira Sans" w:cs="Arial"/>
                <w:color w:val="auto"/>
                <w:sz w:val="20"/>
                <w:lang w:val="en-GB"/>
              </w:rPr>
            </w:pPr>
            <w:r w:rsidRPr="003A56B5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Office: tel. </w:t>
            </w:r>
            <w:r w:rsidR="00105BED" w:rsidRPr="004829B9">
              <w:rPr>
                <w:rFonts w:ascii="Fira Sans" w:hAnsi="Fira Sans" w:cs="Arial"/>
                <w:color w:val="auto"/>
                <w:sz w:val="20"/>
                <w:lang w:val="en-GB"/>
              </w:rPr>
              <w:t>(</w:t>
            </w:r>
            <w:r w:rsidR="002F2E8D" w:rsidRPr="004829B9">
              <w:rPr>
                <w:rFonts w:ascii="Fira Sans" w:hAnsi="Fira Sans" w:cs="Arial"/>
                <w:color w:val="auto"/>
                <w:sz w:val="20"/>
                <w:lang w:val="en-GB"/>
              </w:rPr>
              <w:t>+</w:t>
            </w:r>
            <w:r w:rsidR="00B34C4C" w:rsidRPr="004829B9">
              <w:rPr>
                <w:rFonts w:ascii="Fira Sans" w:hAnsi="Fira Sans" w:cs="Arial"/>
                <w:color w:val="auto"/>
                <w:sz w:val="20"/>
                <w:lang w:val="en-GB"/>
              </w:rPr>
              <w:t xml:space="preserve">48 </w:t>
            </w:r>
            <w:r w:rsidR="00105BED" w:rsidRPr="004829B9">
              <w:rPr>
                <w:rFonts w:ascii="Fira Sans" w:hAnsi="Fira Sans" w:cs="Arial"/>
                <w:color w:val="auto"/>
                <w:sz w:val="20"/>
                <w:lang w:val="en-GB"/>
              </w:rPr>
              <w:t>81) 533 20</w:t>
            </w:r>
            <w:r w:rsidR="008C48C6" w:rsidRPr="004829B9">
              <w:rPr>
                <w:rFonts w:ascii="Fira Sans" w:hAnsi="Fira Sans" w:cs="Arial"/>
                <w:color w:val="auto"/>
                <w:sz w:val="20"/>
                <w:lang w:val="en-GB"/>
              </w:rPr>
              <w:t xml:space="preserve"> </w:t>
            </w:r>
            <w:r w:rsidR="00105BED" w:rsidRPr="004829B9">
              <w:rPr>
                <w:rFonts w:ascii="Fira Sans" w:hAnsi="Fira Sans" w:cs="Arial"/>
                <w:color w:val="auto"/>
                <w:sz w:val="20"/>
                <w:lang w:val="en-GB"/>
              </w:rPr>
              <w:t>52</w:t>
            </w:r>
          </w:p>
          <w:p w14:paraId="313903AC" w14:textId="77777777" w:rsidR="00B34C4C" w:rsidRPr="004829B9" w:rsidRDefault="00B34C4C" w:rsidP="00E873C8">
            <w:pPr>
              <w:pStyle w:val="Nagwek3"/>
              <w:spacing w:before="0" w:line="240" w:lineRule="auto"/>
              <w:rPr>
                <w:rFonts w:ascii="Fira Sans" w:hAnsi="Fira Sans"/>
                <w:b/>
                <w:color w:val="000000" w:themeColor="text1"/>
                <w:lang w:val="en-GB"/>
              </w:rPr>
            </w:pPr>
          </w:p>
        </w:tc>
        <w:tc>
          <w:tcPr>
            <w:tcW w:w="3942" w:type="dxa"/>
          </w:tcPr>
          <w:p w14:paraId="734EA749" w14:textId="002C959A" w:rsidR="00B34C4C" w:rsidRPr="004829B9" w:rsidRDefault="00B34C4C" w:rsidP="00E873C8">
            <w:pPr>
              <w:pStyle w:val="Default"/>
              <w:rPr>
                <w:sz w:val="20"/>
                <w:szCs w:val="20"/>
                <w:lang w:val="en-GB"/>
              </w:rPr>
            </w:pPr>
            <w:r w:rsidRPr="004829B9">
              <w:rPr>
                <w:sz w:val="20"/>
                <w:szCs w:val="20"/>
                <w:lang w:val="en-GB"/>
              </w:rPr>
              <w:t xml:space="preserve">Dissemination: </w:t>
            </w:r>
            <w:r w:rsidRPr="004829B9">
              <w:rPr>
                <w:rFonts w:cs="Arial"/>
                <w:color w:val="000000" w:themeColor="text1"/>
                <w:sz w:val="20"/>
                <w:lang w:val="en-GB"/>
              </w:rPr>
              <w:br/>
            </w:r>
            <w:r w:rsidRPr="004829B9">
              <w:rPr>
                <w:rFonts w:cs="Arial"/>
                <w:b/>
                <w:color w:val="000000" w:themeColor="text1"/>
                <w:sz w:val="20"/>
                <w:lang w:val="en-GB"/>
              </w:rPr>
              <w:t>The Spoke</w:t>
            </w:r>
            <w:r w:rsidR="00133F23">
              <w:rPr>
                <w:rFonts w:cs="Arial"/>
                <w:b/>
                <w:color w:val="000000" w:themeColor="text1"/>
                <w:sz w:val="20"/>
                <w:lang w:val="en-GB"/>
              </w:rPr>
              <w:t>s</w:t>
            </w:r>
            <w:r w:rsidRPr="004829B9"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person for the President </w:t>
            </w:r>
          </w:p>
          <w:p w14:paraId="2B749880" w14:textId="4973DE75" w:rsidR="00B34C4C" w:rsidRPr="004829B9" w:rsidRDefault="00B34C4C" w:rsidP="00E873C8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4829B9">
              <w:rPr>
                <w:rFonts w:cs="Arial"/>
                <w:b/>
                <w:color w:val="000000" w:themeColor="text1"/>
                <w:sz w:val="20"/>
                <w:lang w:val="en-GB"/>
              </w:rPr>
              <w:t>of the Statistic</w:t>
            </w:r>
            <w:r w:rsidR="00133F23">
              <w:rPr>
                <w:rFonts w:cs="Arial"/>
                <w:b/>
                <w:color w:val="000000" w:themeColor="text1"/>
                <w:sz w:val="20"/>
                <w:lang w:val="en-GB"/>
              </w:rPr>
              <w:t>s</w:t>
            </w:r>
            <w:r w:rsidRPr="004829B9"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 Poland</w:t>
            </w:r>
          </w:p>
          <w:p w14:paraId="330B3F71" w14:textId="77777777" w:rsidR="00B34C4C" w:rsidRPr="004829B9" w:rsidRDefault="007F1E2E" w:rsidP="00E873C8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4829B9">
              <w:rPr>
                <w:rFonts w:cs="Arial"/>
                <w:b/>
                <w:color w:val="000000" w:themeColor="text1"/>
                <w:sz w:val="20"/>
                <w:lang w:val="en-GB"/>
              </w:rPr>
              <w:t>Karolina Banaszek</w:t>
            </w:r>
          </w:p>
          <w:p w14:paraId="518D9CD4" w14:textId="4C421917" w:rsidR="00B34C4C" w:rsidRPr="004829B9" w:rsidRDefault="00D46532" w:rsidP="00E873C8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 w:val="20"/>
                <w:lang w:val="fi-FI"/>
              </w:rPr>
              <w:t xml:space="preserve">Mobile: </w:t>
            </w:r>
            <w:r w:rsidR="00105BED" w:rsidRPr="004829B9"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(+48) 695 255 011</w:t>
            </w:r>
          </w:p>
        </w:tc>
      </w:tr>
    </w:tbl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B34C4C" w:rsidRPr="00D92898" w14:paraId="494BDD91" w14:textId="77777777" w:rsidTr="00E873C8">
        <w:trPr>
          <w:trHeight w:val="610"/>
        </w:trPr>
        <w:tc>
          <w:tcPr>
            <w:tcW w:w="2721" w:type="pct"/>
            <w:vMerge w:val="restart"/>
            <w:vAlign w:val="center"/>
          </w:tcPr>
          <w:p w14:paraId="13CAB2DF" w14:textId="77777777" w:rsidR="00B34C4C" w:rsidRPr="004829B9" w:rsidRDefault="00B34C4C" w:rsidP="00E873C8">
            <w:pPr>
              <w:rPr>
                <w:b/>
                <w:sz w:val="20"/>
                <w:lang w:val="en-GB"/>
              </w:rPr>
            </w:pPr>
            <w:r w:rsidRPr="004829B9">
              <w:rPr>
                <w:b/>
                <w:sz w:val="20"/>
                <w:lang w:val="en-GB"/>
              </w:rPr>
              <w:t>Press Office</w:t>
            </w:r>
          </w:p>
          <w:p w14:paraId="623CBE4C" w14:textId="4BBC772D" w:rsidR="00B34C4C" w:rsidRPr="004829B9" w:rsidRDefault="00D46532" w:rsidP="00E873C8">
            <w:pPr>
              <w:rPr>
                <w:sz w:val="20"/>
                <w:lang w:val="en-GB"/>
              </w:rPr>
            </w:pPr>
            <w:r w:rsidRPr="003A56B5">
              <w:rPr>
                <w:rFonts w:cs="Arial"/>
                <w:color w:val="000000" w:themeColor="text1"/>
                <w:sz w:val="20"/>
                <w:lang w:val="fi-FI"/>
              </w:rPr>
              <w:t xml:space="preserve">Office: tel. </w:t>
            </w:r>
            <w:r w:rsidR="00BA5050" w:rsidRPr="004829B9">
              <w:rPr>
                <w:sz w:val="20"/>
                <w:lang w:val="en-GB"/>
              </w:rPr>
              <w:t>(</w:t>
            </w:r>
            <w:r w:rsidR="00B34C4C" w:rsidRPr="004829B9">
              <w:rPr>
                <w:sz w:val="20"/>
                <w:lang w:val="en-GB"/>
              </w:rPr>
              <w:t>+ 48</w:t>
            </w:r>
            <w:r w:rsidR="00B34C4C" w:rsidRPr="004829B9">
              <w:rPr>
                <w:b/>
                <w:sz w:val="20"/>
                <w:lang w:val="en-GB"/>
              </w:rPr>
              <w:t xml:space="preserve"> </w:t>
            </w:r>
            <w:r w:rsidR="008235EC" w:rsidRPr="004829B9">
              <w:rPr>
                <w:sz w:val="20"/>
                <w:lang w:val="en-GB"/>
              </w:rPr>
              <w:t>22</w:t>
            </w:r>
            <w:r w:rsidR="00BA5050" w:rsidRPr="004829B9">
              <w:rPr>
                <w:sz w:val="20"/>
                <w:lang w:val="en-GB"/>
              </w:rPr>
              <w:t>)</w:t>
            </w:r>
            <w:r w:rsidR="008235EC" w:rsidRPr="004829B9">
              <w:rPr>
                <w:sz w:val="20"/>
                <w:lang w:val="en-GB"/>
              </w:rPr>
              <w:t xml:space="preserve"> 608 34</w:t>
            </w:r>
            <w:r w:rsidR="008C48C6" w:rsidRPr="004829B9">
              <w:rPr>
                <w:sz w:val="20"/>
                <w:lang w:val="en-GB"/>
              </w:rPr>
              <w:t xml:space="preserve"> </w:t>
            </w:r>
            <w:r w:rsidR="00BA5050" w:rsidRPr="004829B9">
              <w:rPr>
                <w:sz w:val="20"/>
                <w:lang w:val="en-GB"/>
              </w:rPr>
              <w:t xml:space="preserve">91, </w:t>
            </w:r>
            <w:r w:rsidR="008235EC" w:rsidRPr="004829B9">
              <w:rPr>
                <w:sz w:val="20"/>
                <w:lang w:val="en-GB"/>
              </w:rPr>
              <w:t>608 38</w:t>
            </w:r>
            <w:r w:rsidR="008C48C6" w:rsidRPr="004829B9">
              <w:rPr>
                <w:sz w:val="20"/>
                <w:lang w:val="en-GB"/>
              </w:rPr>
              <w:t xml:space="preserve"> </w:t>
            </w:r>
            <w:r w:rsidR="00B34C4C" w:rsidRPr="004829B9">
              <w:rPr>
                <w:sz w:val="20"/>
                <w:lang w:val="en-GB"/>
              </w:rPr>
              <w:t xml:space="preserve">04 </w:t>
            </w:r>
          </w:p>
          <w:p w14:paraId="4F5D46AB" w14:textId="77777777" w:rsidR="00B34C4C" w:rsidRPr="004829B9" w:rsidRDefault="00B34C4C" w:rsidP="00E873C8">
            <w:pPr>
              <w:rPr>
                <w:b/>
                <w:sz w:val="18"/>
                <w:lang w:val="en-GB"/>
              </w:rPr>
            </w:pPr>
            <w:r w:rsidRPr="004829B9">
              <w:rPr>
                <w:b/>
                <w:sz w:val="20"/>
                <w:lang w:val="en-GB"/>
              </w:rPr>
              <w:t xml:space="preserve">e-mail: </w:t>
            </w:r>
            <w:hyperlink r:id="rId17" w:history="1">
              <w:r w:rsidRPr="004829B9">
                <w:rPr>
                  <w:rStyle w:val="Hipercze"/>
                  <w:rFonts w:cstheme="minorBidi"/>
                  <w:b/>
                  <w:color w:val="auto"/>
                  <w:sz w:val="20"/>
                  <w:lang w:val="en-GB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14:paraId="486CFEE3" w14:textId="77777777" w:rsidR="00B34C4C" w:rsidRPr="004829B9" w:rsidRDefault="00B34C4C" w:rsidP="00E873C8">
            <w:pPr>
              <w:rPr>
                <w:sz w:val="18"/>
                <w:lang w:val="en-GB"/>
              </w:rPr>
            </w:pPr>
            <w:r w:rsidRPr="004829B9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7024" behindDoc="0" locked="0" layoutInCell="1" allowOverlap="1" wp14:anchorId="1F32D071" wp14:editId="7B735092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0" name="Obraz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14:paraId="187B3278" w14:textId="77777777" w:rsidR="00B34C4C" w:rsidRPr="004829B9" w:rsidRDefault="00B34C4C" w:rsidP="00E873C8">
            <w:pPr>
              <w:rPr>
                <w:sz w:val="18"/>
                <w:lang w:val="en-GB"/>
              </w:rPr>
            </w:pPr>
            <w:r w:rsidRPr="004829B9">
              <w:rPr>
                <w:sz w:val="20"/>
                <w:lang w:val="en-GB"/>
              </w:rPr>
              <w:t>www.stat.gov.pl</w:t>
            </w:r>
            <w:r w:rsidR="008235EC" w:rsidRPr="004829B9">
              <w:rPr>
                <w:sz w:val="20"/>
                <w:lang w:val="en-GB"/>
              </w:rPr>
              <w:t>/en/</w:t>
            </w:r>
          </w:p>
        </w:tc>
      </w:tr>
      <w:tr w:rsidR="00B34C4C" w:rsidRPr="004829B9" w14:paraId="648C1E67" w14:textId="77777777" w:rsidTr="00E873C8">
        <w:trPr>
          <w:trHeight w:val="436"/>
        </w:trPr>
        <w:tc>
          <w:tcPr>
            <w:tcW w:w="2721" w:type="pct"/>
            <w:vMerge/>
            <w:vAlign w:val="center"/>
          </w:tcPr>
          <w:p w14:paraId="7E7FD173" w14:textId="77777777" w:rsidR="00B34C4C" w:rsidRPr="004829B9" w:rsidRDefault="00B34C4C" w:rsidP="00E873C8">
            <w:pPr>
              <w:rPr>
                <w:sz w:val="18"/>
                <w:lang w:val="en-GB"/>
              </w:rPr>
            </w:pPr>
          </w:p>
        </w:tc>
        <w:tc>
          <w:tcPr>
            <w:tcW w:w="369" w:type="pct"/>
            <w:vAlign w:val="center"/>
          </w:tcPr>
          <w:p w14:paraId="08931773" w14:textId="77777777" w:rsidR="00B34C4C" w:rsidRPr="004829B9" w:rsidRDefault="00B34C4C" w:rsidP="00E873C8">
            <w:pPr>
              <w:rPr>
                <w:sz w:val="18"/>
                <w:lang w:val="en-GB"/>
              </w:rPr>
            </w:pPr>
            <w:r w:rsidRPr="004829B9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9072" behindDoc="0" locked="0" layoutInCell="1" allowOverlap="1" wp14:anchorId="11E6E2DC" wp14:editId="6199C219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5" name="Obraz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14:paraId="0DF75532" w14:textId="77777777" w:rsidR="00B34C4C" w:rsidRPr="004829B9" w:rsidRDefault="008235EC" w:rsidP="00E873C8">
            <w:pPr>
              <w:rPr>
                <w:sz w:val="18"/>
                <w:lang w:val="en-GB"/>
              </w:rPr>
            </w:pPr>
            <w:r w:rsidRPr="004829B9">
              <w:rPr>
                <w:sz w:val="20"/>
                <w:lang w:val="en-GB"/>
              </w:rPr>
              <w:t>@StatPoland</w:t>
            </w:r>
          </w:p>
        </w:tc>
      </w:tr>
      <w:tr w:rsidR="00B34C4C" w:rsidRPr="004829B9" w14:paraId="29595757" w14:textId="77777777" w:rsidTr="00E873C8">
        <w:trPr>
          <w:trHeight w:val="436"/>
        </w:trPr>
        <w:tc>
          <w:tcPr>
            <w:tcW w:w="2721" w:type="pct"/>
            <w:vMerge/>
            <w:vAlign w:val="center"/>
          </w:tcPr>
          <w:p w14:paraId="6E773AF1" w14:textId="77777777" w:rsidR="00B34C4C" w:rsidRPr="004829B9" w:rsidRDefault="00B34C4C" w:rsidP="00E873C8">
            <w:pPr>
              <w:rPr>
                <w:sz w:val="18"/>
                <w:lang w:val="en-GB"/>
              </w:rPr>
            </w:pPr>
          </w:p>
        </w:tc>
        <w:tc>
          <w:tcPr>
            <w:tcW w:w="369" w:type="pct"/>
            <w:vAlign w:val="center"/>
          </w:tcPr>
          <w:p w14:paraId="6F1D3479" w14:textId="77777777" w:rsidR="00B34C4C" w:rsidRPr="004829B9" w:rsidRDefault="00B34C4C" w:rsidP="00E873C8">
            <w:pPr>
              <w:rPr>
                <w:sz w:val="18"/>
                <w:lang w:val="en-GB"/>
              </w:rPr>
            </w:pPr>
            <w:r w:rsidRPr="004829B9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8048" behindDoc="0" locked="0" layoutInCell="1" allowOverlap="1" wp14:anchorId="62B8316A" wp14:editId="4F4CA4C5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6" name="Obraz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14:paraId="4E72E8C9" w14:textId="77777777" w:rsidR="00B34C4C" w:rsidRPr="004829B9" w:rsidRDefault="00B34C4C" w:rsidP="00E873C8">
            <w:pPr>
              <w:rPr>
                <w:sz w:val="20"/>
                <w:lang w:val="en-GB"/>
              </w:rPr>
            </w:pPr>
            <w:r w:rsidRPr="004829B9">
              <w:rPr>
                <w:sz w:val="20"/>
                <w:lang w:val="en-GB"/>
              </w:rPr>
              <w:t>@GlownyUrzadStatystyczny</w:t>
            </w:r>
          </w:p>
        </w:tc>
      </w:tr>
    </w:tbl>
    <w:p w14:paraId="637862CB" w14:textId="77777777" w:rsidR="00B34C4C" w:rsidRPr="004829B9" w:rsidRDefault="00B34C4C" w:rsidP="0046503D">
      <w:pPr>
        <w:rPr>
          <w:sz w:val="18"/>
          <w:lang w:val="en-GB"/>
        </w:rPr>
      </w:pPr>
      <w:r w:rsidRPr="004829B9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4A59FDAC" wp14:editId="79657CBB">
                <wp:simplePos x="0" y="0"/>
                <wp:positionH relativeFrom="margin">
                  <wp:posOffset>39370</wp:posOffset>
                </wp:positionH>
                <wp:positionV relativeFrom="paragraph">
                  <wp:posOffset>359410</wp:posOffset>
                </wp:positionV>
                <wp:extent cx="6400800" cy="4535170"/>
                <wp:effectExtent l="0" t="0" r="19050" b="17780"/>
                <wp:wrapSquare wrapText="bothSides"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453517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17866C" w14:textId="77777777" w:rsidR="00574E89" w:rsidRDefault="00574E89" w:rsidP="00AB6D25">
                            <w:pPr>
                              <w:rPr>
                                <w:b/>
                              </w:rPr>
                            </w:pPr>
                          </w:p>
                          <w:p w14:paraId="438C998D" w14:textId="77777777" w:rsidR="00574E89" w:rsidRDefault="00574E89" w:rsidP="00000009">
                            <w:pPr>
                              <w:rPr>
                                <w:b/>
                                <w:lang w:val="en-GB"/>
                              </w:rPr>
                            </w:pPr>
                            <w:r w:rsidRPr="004063B6">
                              <w:rPr>
                                <w:b/>
                                <w:lang w:val="en-GB"/>
                              </w:rPr>
                              <w:t>Related information</w:t>
                            </w:r>
                          </w:p>
                          <w:p w14:paraId="03EB9888" w14:textId="77777777" w:rsidR="00574E89" w:rsidRPr="004E377B" w:rsidRDefault="00574E89" w:rsidP="00000009">
                            <w:pPr>
                              <w:rPr>
                                <w:rStyle w:val="Hipercze"/>
                                <w:rFonts w:cstheme="minorBidi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4E377B">
                              <w:rPr>
                                <w:color w:val="0000FF"/>
                                <w:sz w:val="18"/>
                                <w:szCs w:val="18"/>
                                <w:lang w:val="en-GB"/>
                              </w:rPr>
                              <w:fldChar w:fldCharType="begin"/>
                            </w:r>
                            <w:r>
                              <w:rPr>
                                <w:color w:val="0000FF"/>
                                <w:sz w:val="18"/>
                                <w:szCs w:val="18"/>
                                <w:lang w:val="en-GB"/>
                              </w:rPr>
                              <w:instrText>HYPERLINK "https://stat.gov.pl/en/topics/other-studies/informations-on-socio-economic-situation/publikacja,4.html" \o "Statistical Bulletin"</w:instrText>
                            </w:r>
                            <w:r w:rsidRPr="004E377B">
                              <w:rPr>
                                <w:color w:val="0000FF"/>
                                <w:sz w:val="18"/>
                                <w:szCs w:val="18"/>
                                <w:lang w:val="en-GB"/>
                              </w:rPr>
                              <w:fldChar w:fldCharType="separate"/>
                            </w:r>
                            <w:r w:rsidRPr="00F11843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GB"/>
                              </w:rPr>
                              <w:t>Statistical Bulletin</w:t>
                            </w:r>
                            <w:r w:rsidRPr="004E377B">
                              <w:rPr>
                                <w:rStyle w:val="Hipercze"/>
                                <w:rFonts w:cstheme="minorBidi"/>
                                <w:sz w:val="18"/>
                                <w:szCs w:val="18"/>
                                <w:lang w:val="en-GB"/>
                              </w:rPr>
                              <w:t xml:space="preserve"> </w:t>
                            </w:r>
                          </w:p>
                          <w:p w14:paraId="004758E0" w14:textId="77777777" w:rsidR="00574E89" w:rsidRPr="008235EC" w:rsidRDefault="00574E89" w:rsidP="00F11843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lang w:val="en-US"/>
                              </w:rPr>
                            </w:pPr>
                            <w:r w:rsidRPr="004E377B">
                              <w:rPr>
                                <w:sz w:val="18"/>
                                <w:szCs w:val="18"/>
                                <w:lang w:val="en-GB"/>
                              </w:rPr>
                              <w:fldChar w:fldCharType="end"/>
                            </w:r>
                            <w:hyperlink r:id="rId21" w:history="1">
                              <w:r w:rsidRPr="00F11843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GB"/>
                                </w:rPr>
                                <w:t>Socio-economic situation of the country</w:t>
                              </w:r>
                            </w:hyperlink>
                          </w:p>
                          <w:p w14:paraId="4C293715" w14:textId="77777777" w:rsidR="00574E89" w:rsidRPr="005C7839" w:rsidRDefault="00574E89" w:rsidP="00000009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GB"/>
                              </w:rPr>
                            </w:pPr>
                            <w:hyperlink r:id="rId22" w:history="1">
                              <w:r w:rsidRPr="005C7839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GB"/>
                                </w:rPr>
                                <w:t>Construction results</w:t>
                              </w:r>
                            </w:hyperlink>
                            <w: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GB"/>
                              </w:rPr>
                              <w:t xml:space="preserve"> </w:t>
                            </w:r>
                          </w:p>
                          <w:p w14:paraId="6432F2D3" w14:textId="77777777" w:rsidR="00574E89" w:rsidRPr="00F11843" w:rsidRDefault="00574E89" w:rsidP="00000009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  <w:p w14:paraId="119A7AD9" w14:textId="77777777" w:rsidR="00574E89" w:rsidRPr="00734C04" w:rsidRDefault="00574E89" w:rsidP="00000009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4063B6"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  <w:t>Data available in databases</w:t>
                            </w:r>
                          </w:p>
                          <w:p w14:paraId="6E678369" w14:textId="0F342923" w:rsidR="00574E89" w:rsidRPr="0026083F" w:rsidRDefault="00574E89" w:rsidP="00000009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GB"/>
                              </w:rPr>
                            </w:pPr>
                            <w:hyperlink r:id="rId23" w:history="1">
                              <w:r w:rsidRPr="00F11843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GB"/>
                                </w:rPr>
                                <w:t>Knowledge Databases Construction</w:t>
                              </w:r>
                            </w:hyperlink>
                          </w:p>
                          <w:p w14:paraId="14295646" w14:textId="77777777" w:rsidR="00574E89" w:rsidRDefault="00574E89" w:rsidP="00000009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GB"/>
                              </w:rPr>
                            </w:pPr>
                            <w:hyperlink r:id="rId24" w:history="1">
                              <w:r w:rsidRPr="00F11843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GB"/>
                                </w:rPr>
                                <w:t>Local Data Bank</w:t>
                              </w:r>
                            </w:hyperlink>
                          </w:p>
                          <w:p w14:paraId="10DF6A1D" w14:textId="77777777" w:rsidR="00574E89" w:rsidRPr="00F11843" w:rsidRDefault="00574E89" w:rsidP="00000009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  <w:p w14:paraId="65F6943A" w14:textId="77777777" w:rsidR="00574E89" w:rsidRDefault="00574E89" w:rsidP="00000009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</w:pPr>
                            <w:r w:rsidRPr="004063B6"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  <w:t>Terms used in official statistics</w:t>
                            </w:r>
                          </w:p>
                          <w:p w14:paraId="3FA17007" w14:textId="77777777" w:rsidR="00574E89" w:rsidRPr="008235EC" w:rsidRDefault="00574E89" w:rsidP="00000009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lang w:val="en-US"/>
                              </w:rPr>
                            </w:pPr>
                            <w:hyperlink r:id="rId25" w:history="1">
                              <w:r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GB"/>
                                </w:rPr>
                                <w:t>Dwellings for which permits have been granted or which have been registered with a construction project</w:t>
                              </w:r>
                            </w:hyperlink>
                          </w:p>
                          <w:p w14:paraId="2F539928" w14:textId="77777777" w:rsidR="00574E89" w:rsidRPr="00F11843" w:rsidRDefault="00574E89" w:rsidP="00000009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GB"/>
                              </w:rPr>
                            </w:pPr>
                            <w:hyperlink r:id="rId26" w:history="1">
                              <w:r w:rsidRPr="00F11843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GB"/>
                                </w:rPr>
                                <w:t>Dwellings in which construction has begun</w:t>
                              </w:r>
                            </w:hyperlink>
                            <w:hyperlink r:id="rId27" w:history="1"/>
                          </w:p>
                          <w:p w14:paraId="35275A7D" w14:textId="77777777" w:rsidR="00574E89" w:rsidRPr="00F11843" w:rsidRDefault="00574E89" w:rsidP="00000009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GB"/>
                              </w:rPr>
                            </w:pPr>
                            <w:hyperlink r:id="rId28" w:history="1">
                              <w:r w:rsidRPr="00F11843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GB"/>
                                </w:rPr>
                                <w:t>Dwellings completed</w:t>
                              </w:r>
                            </w:hyperlink>
                          </w:p>
                          <w:p w14:paraId="41C747C6" w14:textId="77777777" w:rsidR="00574E89" w:rsidRDefault="00574E89" w:rsidP="00000009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15195305" w14:textId="77777777" w:rsidR="00574E89" w:rsidRPr="003B6350" w:rsidRDefault="00574E89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59FDAC" id="_x0000_s1032" type="#_x0000_t202" style="position:absolute;margin-left:3.1pt;margin-top:28.3pt;width:7in;height:357.1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" fillcolor="#f2f2f2 [3052]" strokecolor="white [3212]">
                <v:textbox>
                  <w:txbxContent>
                    <w:p w14:paraId="0A17866C" w14:textId="77777777" w:rsidR="00574E89" w:rsidRDefault="00574E89" w:rsidP="00AB6D25">
                      <w:pPr>
                        <w:rPr>
                          <w:b/>
                        </w:rPr>
                      </w:pPr>
                    </w:p>
                    <w:p w14:paraId="438C998D" w14:textId="77777777" w:rsidR="00574E89" w:rsidRDefault="00574E89" w:rsidP="00000009">
                      <w:pPr>
                        <w:rPr>
                          <w:b/>
                          <w:lang w:val="en-GB"/>
                        </w:rPr>
                      </w:pPr>
                      <w:r w:rsidRPr="004063B6">
                        <w:rPr>
                          <w:b/>
                          <w:lang w:val="en-GB"/>
                        </w:rPr>
                        <w:t>Related information</w:t>
                      </w:r>
                    </w:p>
                    <w:p w14:paraId="03EB9888" w14:textId="77777777" w:rsidR="00574E89" w:rsidRPr="004E377B" w:rsidRDefault="00574E89" w:rsidP="00000009">
                      <w:pPr>
                        <w:rPr>
                          <w:rStyle w:val="Hipercze"/>
                          <w:rFonts w:cstheme="minorBidi"/>
                          <w:sz w:val="18"/>
                          <w:szCs w:val="18"/>
                          <w:lang w:val="en-GB"/>
                        </w:rPr>
                      </w:pPr>
                      <w:r w:rsidRPr="004E377B">
                        <w:rPr>
                          <w:color w:val="0000FF"/>
                          <w:sz w:val="18"/>
                          <w:szCs w:val="18"/>
                          <w:lang w:val="en-GB"/>
                        </w:rPr>
                        <w:fldChar w:fldCharType="begin"/>
                      </w:r>
                      <w:r>
                        <w:rPr>
                          <w:color w:val="0000FF"/>
                          <w:sz w:val="18"/>
                          <w:szCs w:val="18"/>
                          <w:lang w:val="en-GB"/>
                        </w:rPr>
                        <w:instrText>HYPERLINK "https://stat.gov.pl/en/topics/other-studies/informations-on-socio-economic-situation/publikacja,4.html" \o "Statistical Bulletin"</w:instrText>
                      </w:r>
                      <w:r w:rsidRPr="004E377B">
                        <w:rPr>
                          <w:color w:val="0000FF"/>
                          <w:sz w:val="18"/>
                          <w:szCs w:val="18"/>
                          <w:lang w:val="en-GB"/>
                        </w:rPr>
                        <w:fldChar w:fldCharType="separate"/>
                      </w:r>
                      <w:r w:rsidRPr="00F11843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GB"/>
                        </w:rPr>
                        <w:t>Statistical Bulletin</w:t>
                      </w:r>
                      <w:r w:rsidRPr="004E377B">
                        <w:rPr>
                          <w:rStyle w:val="Hipercze"/>
                          <w:rFonts w:cstheme="minorBidi"/>
                          <w:sz w:val="18"/>
                          <w:szCs w:val="18"/>
                          <w:lang w:val="en-GB"/>
                        </w:rPr>
                        <w:t xml:space="preserve"> </w:t>
                      </w:r>
                    </w:p>
                    <w:p w14:paraId="004758E0" w14:textId="77777777" w:rsidR="00574E89" w:rsidRPr="008235EC" w:rsidRDefault="00574E89" w:rsidP="00F11843">
                      <w:pPr>
                        <w:rPr>
                          <w:rStyle w:val="Hipercze"/>
                          <w:rFonts w:cstheme="minorBidi"/>
                          <w:color w:val="001D77"/>
                          <w:lang w:val="en-US"/>
                        </w:rPr>
                      </w:pPr>
                      <w:r w:rsidRPr="004E377B">
                        <w:rPr>
                          <w:sz w:val="18"/>
                          <w:szCs w:val="18"/>
                          <w:lang w:val="en-GB"/>
                        </w:rPr>
                        <w:fldChar w:fldCharType="end"/>
                      </w:r>
                      <w:hyperlink r:id="rId29" w:history="1">
                        <w:r w:rsidRPr="00F11843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GB"/>
                          </w:rPr>
                          <w:t>Socio-economic situation of the country</w:t>
                        </w:r>
                      </w:hyperlink>
                    </w:p>
                    <w:p w14:paraId="4C293715" w14:textId="77777777" w:rsidR="00574E89" w:rsidRPr="005C7839" w:rsidRDefault="00574E89" w:rsidP="00000009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GB"/>
                        </w:rPr>
                      </w:pPr>
                      <w:hyperlink r:id="rId30" w:history="1">
                        <w:r w:rsidRPr="005C7839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GB"/>
                          </w:rPr>
                          <w:t>Construction results</w:t>
                        </w:r>
                      </w:hyperlink>
                      <w: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GB"/>
                        </w:rPr>
                        <w:t xml:space="preserve"> </w:t>
                      </w:r>
                    </w:p>
                    <w:p w14:paraId="6432F2D3" w14:textId="77777777" w:rsidR="00574E89" w:rsidRPr="00F11843" w:rsidRDefault="00574E89" w:rsidP="00000009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GB"/>
                        </w:rPr>
                      </w:pPr>
                    </w:p>
                    <w:p w14:paraId="119A7AD9" w14:textId="77777777" w:rsidR="00574E89" w:rsidRPr="00734C04" w:rsidRDefault="00574E89" w:rsidP="00000009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GB"/>
                        </w:rPr>
                      </w:pPr>
                      <w:r w:rsidRPr="004063B6"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  <w:t>Data available in databases</w:t>
                      </w:r>
                    </w:p>
                    <w:p w14:paraId="6E678369" w14:textId="0F342923" w:rsidR="00574E89" w:rsidRPr="0026083F" w:rsidRDefault="00574E89" w:rsidP="00000009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GB"/>
                        </w:rPr>
                      </w:pPr>
                      <w:hyperlink r:id="rId31" w:history="1">
                        <w:r w:rsidRPr="00F11843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GB"/>
                          </w:rPr>
                          <w:t>Knowledge Databases Construction</w:t>
                        </w:r>
                      </w:hyperlink>
                    </w:p>
                    <w:p w14:paraId="14295646" w14:textId="77777777" w:rsidR="00574E89" w:rsidRDefault="00574E89" w:rsidP="00000009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GB"/>
                        </w:rPr>
                      </w:pPr>
                      <w:hyperlink r:id="rId32" w:history="1">
                        <w:r w:rsidRPr="00F11843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GB"/>
                          </w:rPr>
                          <w:t>Local Data Bank</w:t>
                        </w:r>
                      </w:hyperlink>
                    </w:p>
                    <w:p w14:paraId="10DF6A1D" w14:textId="77777777" w:rsidR="00574E89" w:rsidRPr="00F11843" w:rsidRDefault="00574E89" w:rsidP="00000009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GB"/>
                        </w:rPr>
                      </w:pPr>
                    </w:p>
                    <w:p w14:paraId="65F6943A" w14:textId="77777777" w:rsidR="00574E89" w:rsidRDefault="00574E89" w:rsidP="00000009">
                      <w:pPr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</w:pPr>
                      <w:r w:rsidRPr="004063B6"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  <w:t>Terms used in official statistics</w:t>
                      </w:r>
                    </w:p>
                    <w:p w14:paraId="3FA17007" w14:textId="77777777" w:rsidR="00574E89" w:rsidRPr="008235EC" w:rsidRDefault="00574E89" w:rsidP="00000009">
                      <w:pPr>
                        <w:rPr>
                          <w:rStyle w:val="Hipercze"/>
                          <w:rFonts w:cstheme="minorBidi"/>
                          <w:color w:val="001D77"/>
                          <w:lang w:val="en-US"/>
                        </w:rPr>
                      </w:pPr>
                      <w:hyperlink r:id="rId33" w:history="1">
                        <w:r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GB"/>
                          </w:rPr>
                          <w:t>Dwellings for which permits have been granted or which have been registered with a construction project</w:t>
                        </w:r>
                      </w:hyperlink>
                    </w:p>
                    <w:p w14:paraId="2F539928" w14:textId="77777777" w:rsidR="00574E89" w:rsidRPr="00F11843" w:rsidRDefault="00574E89" w:rsidP="00000009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GB"/>
                        </w:rPr>
                      </w:pPr>
                      <w:hyperlink r:id="rId34" w:history="1">
                        <w:r w:rsidRPr="00F11843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GB"/>
                          </w:rPr>
                          <w:t>Dwellings in which construction has begun</w:t>
                        </w:r>
                      </w:hyperlink>
                      <w:hyperlink r:id="rId35" w:history="1"/>
                    </w:p>
                    <w:p w14:paraId="35275A7D" w14:textId="77777777" w:rsidR="00574E89" w:rsidRPr="00F11843" w:rsidRDefault="00574E89" w:rsidP="00000009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GB"/>
                        </w:rPr>
                      </w:pPr>
                      <w:hyperlink r:id="rId36" w:history="1">
                        <w:r w:rsidRPr="00F11843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GB"/>
                          </w:rPr>
                          <w:t>Dwellings completed</w:t>
                        </w:r>
                      </w:hyperlink>
                    </w:p>
                    <w:p w14:paraId="41C747C6" w14:textId="77777777" w:rsidR="00574E89" w:rsidRDefault="00574E89" w:rsidP="00000009">
                      <w:pPr>
                        <w:rPr>
                          <w:lang w:val="en-GB"/>
                        </w:rPr>
                      </w:pPr>
                    </w:p>
                    <w:p w14:paraId="15195305" w14:textId="77777777" w:rsidR="00574E89" w:rsidRPr="003B6350" w:rsidRDefault="00574E89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C72FCCF" w14:textId="77777777" w:rsidR="000470AA" w:rsidRPr="004829B9" w:rsidRDefault="000470AA" w:rsidP="0046503D">
      <w:pPr>
        <w:rPr>
          <w:sz w:val="20"/>
          <w:lang w:val="en-GB"/>
        </w:rPr>
      </w:pPr>
    </w:p>
    <w:p w14:paraId="6DD284D6" w14:textId="77777777" w:rsidR="00B80D90" w:rsidRDefault="00B80D90" w:rsidP="00B80D90">
      <w:pPr>
        <w:spacing w:before="100" w:beforeAutospacing="1" w:after="100" w:afterAutospacing="1"/>
        <w:rPr>
          <w:rFonts w:cs="Arial"/>
          <w:b/>
          <w:i/>
          <w:lang w:eastAsia="pl-PL"/>
        </w:rPr>
      </w:pPr>
      <w:r w:rsidRPr="005A4AA7">
        <w:rPr>
          <w:b/>
          <w:i/>
        </w:rPr>
        <w:fldChar w:fldCharType="begin"/>
      </w:r>
      <w:r w:rsidRPr="005A4AA7">
        <w:rPr>
          <w:b/>
          <w:i/>
        </w:rPr>
        <w:instrText xml:space="preserve"> DOCPROPERTY  PodpisInfo  \* MERGEFORMAT </w:instrText>
      </w:r>
      <w:r w:rsidRPr="005A4AA7">
        <w:rPr>
          <w:b/>
          <w:i/>
        </w:rPr>
        <w:fldChar w:fldCharType="separate"/>
      </w:r>
      <w:r w:rsidRPr="005A4AA7">
        <w:rPr>
          <w:rFonts w:cs="Arial"/>
          <w:b/>
          <w:i/>
          <w:lang w:eastAsia="pl-PL"/>
        </w:rPr>
        <w:t xml:space="preserve"> </w:t>
      </w:r>
      <w:r w:rsidRPr="005A4AA7">
        <w:rPr>
          <w:rFonts w:cs="Arial"/>
          <w:b/>
          <w:i/>
          <w:lang w:eastAsia="pl-PL"/>
        </w:rPr>
        <w:fldChar w:fldCharType="end"/>
      </w: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0470AA" w:rsidRPr="004829B9" w14:paraId="6D1780AE" w14:textId="77777777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14:paraId="39472902" w14:textId="77777777" w:rsidR="000470AA" w:rsidRPr="004829B9" w:rsidRDefault="000470AA" w:rsidP="00000009">
            <w:pPr>
              <w:rPr>
                <w:sz w:val="18"/>
                <w:lang w:val="en-GB"/>
              </w:rPr>
            </w:pPr>
          </w:p>
        </w:tc>
        <w:tc>
          <w:tcPr>
            <w:tcW w:w="369" w:type="pct"/>
            <w:vAlign w:val="center"/>
          </w:tcPr>
          <w:p w14:paraId="79FCF89C" w14:textId="77777777" w:rsidR="000470AA" w:rsidRPr="004829B9" w:rsidRDefault="000470AA" w:rsidP="0046503D">
            <w:pPr>
              <w:rPr>
                <w:sz w:val="18"/>
                <w:lang w:val="en-GB"/>
              </w:rPr>
            </w:pPr>
          </w:p>
        </w:tc>
        <w:tc>
          <w:tcPr>
            <w:tcW w:w="1910" w:type="pct"/>
            <w:vAlign w:val="center"/>
          </w:tcPr>
          <w:p w14:paraId="78DA6311" w14:textId="77777777" w:rsidR="000470AA" w:rsidRPr="004829B9" w:rsidRDefault="000470AA" w:rsidP="0046503D">
            <w:pPr>
              <w:rPr>
                <w:sz w:val="18"/>
                <w:lang w:val="en-GB"/>
              </w:rPr>
            </w:pPr>
          </w:p>
        </w:tc>
      </w:tr>
      <w:tr w:rsidR="000470AA" w:rsidRPr="004829B9" w14:paraId="5DF708B3" w14:textId="77777777" w:rsidTr="000470AA">
        <w:trPr>
          <w:trHeight w:val="436"/>
        </w:trPr>
        <w:tc>
          <w:tcPr>
            <w:tcW w:w="2721" w:type="pct"/>
            <w:vMerge/>
            <w:vAlign w:val="center"/>
          </w:tcPr>
          <w:p w14:paraId="39B076A4" w14:textId="77777777" w:rsidR="000470AA" w:rsidRPr="004829B9" w:rsidRDefault="000470AA" w:rsidP="0046503D">
            <w:pPr>
              <w:rPr>
                <w:sz w:val="18"/>
                <w:lang w:val="en-GB"/>
              </w:rPr>
            </w:pPr>
          </w:p>
        </w:tc>
        <w:tc>
          <w:tcPr>
            <w:tcW w:w="369" w:type="pct"/>
            <w:vAlign w:val="center"/>
          </w:tcPr>
          <w:p w14:paraId="41C44CEA" w14:textId="77777777" w:rsidR="000470AA" w:rsidRPr="004829B9" w:rsidRDefault="000470AA" w:rsidP="0046503D">
            <w:pPr>
              <w:rPr>
                <w:sz w:val="18"/>
                <w:lang w:val="en-GB"/>
              </w:rPr>
            </w:pPr>
          </w:p>
        </w:tc>
        <w:tc>
          <w:tcPr>
            <w:tcW w:w="1910" w:type="pct"/>
          </w:tcPr>
          <w:p w14:paraId="22C796F5" w14:textId="77777777" w:rsidR="000470AA" w:rsidRPr="004829B9" w:rsidRDefault="000470AA" w:rsidP="0046503D">
            <w:pPr>
              <w:rPr>
                <w:sz w:val="18"/>
                <w:lang w:val="en-GB"/>
              </w:rPr>
            </w:pPr>
          </w:p>
        </w:tc>
      </w:tr>
      <w:tr w:rsidR="000470AA" w:rsidRPr="004829B9" w14:paraId="257B58F0" w14:textId="77777777" w:rsidTr="000470AA">
        <w:trPr>
          <w:trHeight w:val="436"/>
        </w:trPr>
        <w:tc>
          <w:tcPr>
            <w:tcW w:w="2721" w:type="pct"/>
            <w:vMerge/>
            <w:vAlign w:val="center"/>
          </w:tcPr>
          <w:p w14:paraId="691590BE" w14:textId="77777777" w:rsidR="000470AA" w:rsidRPr="004829B9" w:rsidRDefault="000470AA" w:rsidP="0046503D">
            <w:pPr>
              <w:rPr>
                <w:sz w:val="18"/>
                <w:lang w:val="en-GB"/>
              </w:rPr>
            </w:pPr>
          </w:p>
        </w:tc>
        <w:tc>
          <w:tcPr>
            <w:tcW w:w="369" w:type="pct"/>
            <w:vAlign w:val="center"/>
          </w:tcPr>
          <w:p w14:paraId="7B5EC16E" w14:textId="77777777" w:rsidR="000470AA" w:rsidRPr="004829B9" w:rsidRDefault="000470AA" w:rsidP="0046503D">
            <w:pPr>
              <w:rPr>
                <w:sz w:val="18"/>
                <w:lang w:val="en-GB"/>
              </w:rPr>
            </w:pPr>
          </w:p>
        </w:tc>
        <w:tc>
          <w:tcPr>
            <w:tcW w:w="1910" w:type="pct"/>
          </w:tcPr>
          <w:p w14:paraId="7D2F9530" w14:textId="77777777" w:rsidR="000470AA" w:rsidRPr="004829B9" w:rsidRDefault="000470AA" w:rsidP="0046503D">
            <w:pPr>
              <w:rPr>
                <w:sz w:val="20"/>
                <w:lang w:val="en-GB"/>
              </w:rPr>
            </w:pPr>
          </w:p>
        </w:tc>
      </w:tr>
    </w:tbl>
    <w:p w14:paraId="080FA477" w14:textId="48ECE00C" w:rsidR="00D261A2" w:rsidRPr="004829B9" w:rsidRDefault="00D261A2" w:rsidP="0046503D">
      <w:pPr>
        <w:rPr>
          <w:sz w:val="18"/>
          <w:lang w:val="en-GB"/>
        </w:rPr>
      </w:pPr>
    </w:p>
    <w:sectPr w:rsidR="00D261A2" w:rsidRPr="004829B9" w:rsidSect="00AE4F99">
      <w:headerReference w:type="default" r:id="rId37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87058B" w14:textId="77777777" w:rsidR="007B5D10" w:rsidRDefault="007B5D10" w:rsidP="000662E2">
      <w:pPr>
        <w:spacing w:after="0" w:line="240" w:lineRule="auto"/>
      </w:pPr>
      <w:r>
        <w:separator/>
      </w:r>
    </w:p>
  </w:endnote>
  <w:endnote w:type="continuationSeparator" w:id="0">
    <w:p w14:paraId="08BA290D" w14:textId="77777777" w:rsidR="007B5D10" w:rsidRDefault="007B5D10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7037478"/>
      <w:docPartObj>
        <w:docPartGallery w:val="Page Numbers (Bottom of Page)"/>
        <w:docPartUnique/>
      </w:docPartObj>
    </w:sdtPr>
    <w:sdtContent>
      <w:p w14:paraId="69D92171" w14:textId="77777777" w:rsidR="00574E89" w:rsidRDefault="00574E89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A600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9E4E8CE" w14:textId="77777777" w:rsidR="00574E89" w:rsidRPr="007B4F73" w:rsidRDefault="00574E89" w:rsidP="007B4F73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92914977"/>
      <w:docPartObj>
        <w:docPartGallery w:val="Page Numbers (Bottom of Page)"/>
        <w:docPartUnique/>
      </w:docPartObj>
    </w:sdtPr>
    <w:sdtContent>
      <w:p w14:paraId="1F0383AA" w14:textId="77777777" w:rsidR="00574E89" w:rsidRDefault="00574E89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A600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4DECD5F" w14:textId="77777777" w:rsidR="00574E89" w:rsidRPr="00CC1C7C" w:rsidRDefault="00574E89" w:rsidP="00CC1C7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6AB761" w14:textId="77777777" w:rsidR="007B5D10" w:rsidRDefault="007B5D10" w:rsidP="000662E2">
      <w:pPr>
        <w:spacing w:after="0" w:line="240" w:lineRule="auto"/>
      </w:pPr>
      <w:r>
        <w:separator/>
      </w:r>
    </w:p>
  </w:footnote>
  <w:footnote w:type="continuationSeparator" w:id="0">
    <w:p w14:paraId="6E9D04D8" w14:textId="77777777" w:rsidR="007B5D10" w:rsidRDefault="007B5D10" w:rsidP="000662E2">
      <w:pPr>
        <w:spacing w:after="0" w:line="240" w:lineRule="auto"/>
      </w:pPr>
      <w:r>
        <w:continuationSeparator/>
      </w:r>
    </w:p>
  </w:footnote>
  <w:footnote w:id="1">
    <w:p w14:paraId="226F094D" w14:textId="77777777" w:rsidR="00574E89" w:rsidRPr="008C48C6" w:rsidRDefault="00574E89">
      <w:pPr>
        <w:pStyle w:val="Tekstprzypisudolnego"/>
        <w:rPr>
          <w:sz w:val="16"/>
          <w:szCs w:val="16"/>
          <w:lang w:val="en-US"/>
        </w:rPr>
      </w:pPr>
      <w:r w:rsidRPr="008C48C6">
        <w:rPr>
          <w:rStyle w:val="Odwoanieprzypisudolnego"/>
          <w:sz w:val="16"/>
          <w:szCs w:val="16"/>
        </w:rPr>
        <w:footnoteRef/>
      </w:r>
      <w:r w:rsidRPr="008C48C6">
        <w:rPr>
          <w:sz w:val="16"/>
          <w:szCs w:val="16"/>
          <w:lang w:val="en-US"/>
        </w:rPr>
        <w:t xml:space="preserve"> </w:t>
      </w:r>
      <w:r w:rsidRPr="008C48C6">
        <w:rPr>
          <w:sz w:val="16"/>
          <w:szCs w:val="16"/>
          <w:shd w:val="clear" w:color="auto" w:fill="FFFFFF"/>
          <w:lang w:val="en-GB"/>
        </w:rPr>
        <w:t>Reported data – subject to change upon developing quarterly reports</w:t>
      </w:r>
      <w:r>
        <w:rPr>
          <w:sz w:val="16"/>
          <w:szCs w:val="16"/>
          <w:shd w:val="clear" w:color="auto" w:fill="FFFFFF"/>
          <w:lang w:val="en-GB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8EAB8D" w14:textId="77777777" w:rsidR="00574E89" w:rsidRDefault="00574E89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701764D1" wp14:editId="4C839CD6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rect w14:anchorId="0E213653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  <w:p w14:paraId="26580C5A" w14:textId="77777777" w:rsidR="00574E89" w:rsidRDefault="00574E8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D601F1" w14:textId="77777777" w:rsidR="00574E89" w:rsidRDefault="00574E89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7024A1C5" wp14:editId="485EEF36">
              <wp:simplePos x="0" y="0"/>
              <wp:positionH relativeFrom="column">
                <wp:posOffset>5233238</wp:posOffset>
              </wp:positionH>
              <wp:positionV relativeFrom="paragraph">
                <wp:posOffset>836728</wp:posOffset>
              </wp:positionV>
              <wp:extent cx="1432560" cy="336550"/>
              <wp:effectExtent l="0" t="0" r="0" b="6350"/>
              <wp:wrapNone/>
              <wp:docPr id="1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46DC43" w14:textId="5FB4E7E8" w:rsidR="00574E89" w:rsidRPr="00C97596" w:rsidRDefault="00574E89" w:rsidP="00820FB9">
                          <w:pPr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22.04.2021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24A1C5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412.05pt;margin-top:65.9pt;width:112.8pt;height:26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" filled="f" stroked="f">
              <v:textbox>
                <w:txbxContent>
                  <w:p w14:paraId="2046DC43" w14:textId="5FB4E7E8" w:rsidR="00574E89" w:rsidRPr="00C97596" w:rsidRDefault="00574E89" w:rsidP="00820FB9">
                    <w:pPr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22.04.2021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inline distT="0" distB="0" distL="0" distR="0" wp14:anchorId="7D0BD324" wp14:editId="49AFF4D4">
          <wp:extent cx="1866900" cy="704850"/>
          <wp:effectExtent l="0" t="0" r="0" b="0"/>
          <wp:docPr id="17" name="Obraz 17" descr="logog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g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E504074" wp14:editId="67C5A15E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2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068B322" w14:textId="77777777" w:rsidR="00574E89" w:rsidRPr="003C6C8D" w:rsidRDefault="00574E89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E504074" id="Schemat blokowy: opóźnienie 6" o:spid="_x0000_s1034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2068B322" w14:textId="77777777" w:rsidR="00574E89" w:rsidRPr="003C6C8D" w:rsidRDefault="00574E89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23CC7D79" wp14:editId="76F65B21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rect w14:anchorId="3FDDCCD9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" fillcolor="#f2f2f2" stroked="f" strokeweight="1pt">
              <v:path arrowok="t"/>
              <w10:wrap type="tight"/>
            </v:rect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6412E876" wp14:editId="446CF13A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560" cy="336550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06D657" w14:textId="77777777" w:rsidR="00574E89" w:rsidRPr="00C97596" w:rsidRDefault="00574E89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23.05.2019 r.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412E876" id="_x0000_s1035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CHVmb6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14:paraId="6106D657" w14:textId="77777777" w:rsidR="00574E89" w:rsidRPr="00C97596" w:rsidRDefault="00574E89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 xml:space="preserve">23.05.2019 r.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EF62A5" w14:textId="77777777" w:rsidR="00574E89" w:rsidRDefault="00574E89">
    <w:pPr>
      <w:pStyle w:val="Nagwek"/>
    </w:pPr>
  </w:p>
  <w:p w14:paraId="77A82982" w14:textId="77777777" w:rsidR="00574E89" w:rsidRDefault="00574E8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5" type="#_x0000_t75" style="width:123.05pt;height:124.65pt;visibility:visible;mso-wrap-style:square" o:bullet="t">
        <v:imagedata r:id="rId1" o:title=""/>
      </v:shape>
    </w:pict>
  </w:numPicBullet>
  <w:numPicBullet w:numPicBulletId="1">
    <w:pict>
      <v:shape id="_x0000_i1056" type="#_x0000_t75" style="width:124.1pt;height:124.6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43A2AC6"/>
    <w:multiLevelType w:val="hybridMultilevel"/>
    <w:tmpl w:val="DC8453EE"/>
    <w:lvl w:ilvl="0" w:tplc="8B42DD9A">
      <w:start w:val="4"/>
      <w:numFmt w:val="lowerLetter"/>
      <w:lvlText w:val="%1)"/>
      <w:lvlJc w:val="left"/>
      <w:pPr>
        <w:ind w:left="720" w:hanging="360"/>
      </w:pPr>
      <w:rPr>
        <w:rFonts w:ascii="Fira Sans" w:hAnsi="Fira Sans"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C40E5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6B2415"/>
    <w:multiLevelType w:val="hybridMultilevel"/>
    <w:tmpl w:val="E11CA14A"/>
    <w:lvl w:ilvl="0" w:tplc="0658E16E">
      <w:start w:val="1"/>
      <w:numFmt w:val="lowerLetter"/>
      <w:lvlText w:val="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E6E9E"/>
    <w:multiLevelType w:val="hybridMultilevel"/>
    <w:tmpl w:val="11FC34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4C0299B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7318E2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9A042F0"/>
    <w:multiLevelType w:val="hybridMultilevel"/>
    <w:tmpl w:val="040CB3C8"/>
    <w:lvl w:ilvl="0" w:tplc="B25ABA9A">
      <w:start w:val="1"/>
      <w:numFmt w:val="lowerLetter"/>
      <w:lvlText w:val="%1)"/>
      <w:lvlJc w:val="left"/>
      <w:pPr>
        <w:ind w:left="360" w:hanging="360"/>
      </w:pPr>
      <w:rPr>
        <w:rFonts w:hint="default"/>
        <w:vertAlign w:val="superscrip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2011809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9"/>
  </w:num>
  <w:num w:numId="6">
    <w:abstractNumId w:val="6"/>
  </w:num>
  <w:num w:numId="7">
    <w:abstractNumId w:val="4"/>
  </w:num>
  <w:num w:numId="8">
    <w:abstractNumId w:val="1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9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009"/>
    <w:rsid w:val="000001B5"/>
    <w:rsid w:val="00000BC9"/>
    <w:rsid w:val="000013A9"/>
    <w:rsid w:val="00001C5B"/>
    <w:rsid w:val="0000301D"/>
    <w:rsid w:val="00003437"/>
    <w:rsid w:val="00005167"/>
    <w:rsid w:val="0000709F"/>
    <w:rsid w:val="00007996"/>
    <w:rsid w:val="00007BF9"/>
    <w:rsid w:val="00010800"/>
    <w:rsid w:val="000108B8"/>
    <w:rsid w:val="00010A4A"/>
    <w:rsid w:val="000111EC"/>
    <w:rsid w:val="00011E33"/>
    <w:rsid w:val="00013599"/>
    <w:rsid w:val="000152F5"/>
    <w:rsid w:val="00016549"/>
    <w:rsid w:val="000169EB"/>
    <w:rsid w:val="00024626"/>
    <w:rsid w:val="00024871"/>
    <w:rsid w:val="000271FB"/>
    <w:rsid w:val="0003236F"/>
    <w:rsid w:val="00033479"/>
    <w:rsid w:val="000348CC"/>
    <w:rsid w:val="00035EA7"/>
    <w:rsid w:val="000401D6"/>
    <w:rsid w:val="000411F6"/>
    <w:rsid w:val="000441C0"/>
    <w:rsid w:val="000457C6"/>
    <w:rsid w:val="0004582E"/>
    <w:rsid w:val="000470AA"/>
    <w:rsid w:val="0005122F"/>
    <w:rsid w:val="00051868"/>
    <w:rsid w:val="00052A8A"/>
    <w:rsid w:val="00052F03"/>
    <w:rsid w:val="00053190"/>
    <w:rsid w:val="0005394E"/>
    <w:rsid w:val="00054314"/>
    <w:rsid w:val="00057CA1"/>
    <w:rsid w:val="000614C9"/>
    <w:rsid w:val="000657FC"/>
    <w:rsid w:val="000662E2"/>
    <w:rsid w:val="00066883"/>
    <w:rsid w:val="000712A2"/>
    <w:rsid w:val="000717DD"/>
    <w:rsid w:val="00071E3B"/>
    <w:rsid w:val="00073311"/>
    <w:rsid w:val="00074DD8"/>
    <w:rsid w:val="000761AC"/>
    <w:rsid w:val="00076D95"/>
    <w:rsid w:val="00077753"/>
    <w:rsid w:val="000806F7"/>
    <w:rsid w:val="000809C8"/>
    <w:rsid w:val="000834A5"/>
    <w:rsid w:val="00084531"/>
    <w:rsid w:val="00084FCD"/>
    <w:rsid w:val="000869CD"/>
    <w:rsid w:val="00086B7D"/>
    <w:rsid w:val="00086F9F"/>
    <w:rsid w:val="0008718C"/>
    <w:rsid w:val="00087CEB"/>
    <w:rsid w:val="00091E35"/>
    <w:rsid w:val="00093BAC"/>
    <w:rsid w:val="00095A18"/>
    <w:rsid w:val="000A39FD"/>
    <w:rsid w:val="000A3ACF"/>
    <w:rsid w:val="000A40DF"/>
    <w:rsid w:val="000A6670"/>
    <w:rsid w:val="000A672D"/>
    <w:rsid w:val="000A7C88"/>
    <w:rsid w:val="000B0727"/>
    <w:rsid w:val="000B18AB"/>
    <w:rsid w:val="000B318F"/>
    <w:rsid w:val="000B4DA2"/>
    <w:rsid w:val="000B4E03"/>
    <w:rsid w:val="000C0137"/>
    <w:rsid w:val="000C135D"/>
    <w:rsid w:val="000C2D0C"/>
    <w:rsid w:val="000C52EA"/>
    <w:rsid w:val="000C570E"/>
    <w:rsid w:val="000D1427"/>
    <w:rsid w:val="000D1A71"/>
    <w:rsid w:val="000D1D43"/>
    <w:rsid w:val="000D225C"/>
    <w:rsid w:val="000D2A5C"/>
    <w:rsid w:val="000D2E0B"/>
    <w:rsid w:val="000D348A"/>
    <w:rsid w:val="000E0918"/>
    <w:rsid w:val="000E1F4F"/>
    <w:rsid w:val="000E65E1"/>
    <w:rsid w:val="000F1626"/>
    <w:rsid w:val="000F435D"/>
    <w:rsid w:val="000F445C"/>
    <w:rsid w:val="000F74F0"/>
    <w:rsid w:val="000F7A5A"/>
    <w:rsid w:val="001011C3"/>
    <w:rsid w:val="001052CB"/>
    <w:rsid w:val="00105BED"/>
    <w:rsid w:val="001070E5"/>
    <w:rsid w:val="00110D87"/>
    <w:rsid w:val="001113A6"/>
    <w:rsid w:val="00111FD5"/>
    <w:rsid w:val="00112607"/>
    <w:rsid w:val="00113070"/>
    <w:rsid w:val="0011391E"/>
    <w:rsid w:val="00114DB9"/>
    <w:rsid w:val="00115574"/>
    <w:rsid w:val="00116087"/>
    <w:rsid w:val="00127C74"/>
    <w:rsid w:val="00130296"/>
    <w:rsid w:val="00133F23"/>
    <w:rsid w:val="00135E5C"/>
    <w:rsid w:val="00135FC7"/>
    <w:rsid w:val="00136D24"/>
    <w:rsid w:val="00137794"/>
    <w:rsid w:val="001409E1"/>
    <w:rsid w:val="00140E7D"/>
    <w:rsid w:val="001423B6"/>
    <w:rsid w:val="001448A7"/>
    <w:rsid w:val="00146621"/>
    <w:rsid w:val="00146D85"/>
    <w:rsid w:val="00152273"/>
    <w:rsid w:val="00154AC9"/>
    <w:rsid w:val="0016126E"/>
    <w:rsid w:val="00162325"/>
    <w:rsid w:val="00167EED"/>
    <w:rsid w:val="00175380"/>
    <w:rsid w:val="0017779B"/>
    <w:rsid w:val="00177DD6"/>
    <w:rsid w:val="00177F32"/>
    <w:rsid w:val="00182464"/>
    <w:rsid w:val="001850EA"/>
    <w:rsid w:val="001855B0"/>
    <w:rsid w:val="00191CE7"/>
    <w:rsid w:val="00193519"/>
    <w:rsid w:val="00194103"/>
    <w:rsid w:val="001945FA"/>
    <w:rsid w:val="001951DA"/>
    <w:rsid w:val="001952F2"/>
    <w:rsid w:val="00195767"/>
    <w:rsid w:val="001A1513"/>
    <w:rsid w:val="001A1F89"/>
    <w:rsid w:val="001A3BA1"/>
    <w:rsid w:val="001A4380"/>
    <w:rsid w:val="001A53F4"/>
    <w:rsid w:val="001A6EC1"/>
    <w:rsid w:val="001B1CE5"/>
    <w:rsid w:val="001B4A86"/>
    <w:rsid w:val="001B7948"/>
    <w:rsid w:val="001C1808"/>
    <w:rsid w:val="001C30AD"/>
    <w:rsid w:val="001C3269"/>
    <w:rsid w:val="001C3694"/>
    <w:rsid w:val="001C5029"/>
    <w:rsid w:val="001C50CA"/>
    <w:rsid w:val="001D03B4"/>
    <w:rsid w:val="001D087B"/>
    <w:rsid w:val="001D1DB4"/>
    <w:rsid w:val="001D270F"/>
    <w:rsid w:val="001D2AD6"/>
    <w:rsid w:val="001D508C"/>
    <w:rsid w:val="001D7244"/>
    <w:rsid w:val="001E307A"/>
    <w:rsid w:val="001E3ACC"/>
    <w:rsid w:val="001E475A"/>
    <w:rsid w:val="001F1170"/>
    <w:rsid w:val="001F31BD"/>
    <w:rsid w:val="001F3686"/>
    <w:rsid w:val="001F5873"/>
    <w:rsid w:val="001F649C"/>
    <w:rsid w:val="00202E71"/>
    <w:rsid w:val="002030BE"/>
    <w:rsid w:val="00207BF8"/>
    <w:rsid w:val="00211FA7"/>
    <w:rsid w:val="002123EA"/>
    <w:rsid w:val="00212787"/>
    <w:rsid w:val="00216F21"/>
    <w:rsid w:val="00217D5E"/>
    <w:rsid w:val="00223849"/>
    <w:rsid w:val="00224A09"/>
    <w:rsid w:val="00224D54"/>
    <w:rsid w:val="00237220"/>
    <w:rsid w:val="00237A99"/>
    <w:rsid w:val="00243A60"/>
    <w:rsid w:val="00244842"/>
    <w:rsid w:val="002452B8"/>
    <w:rsid w:val="00246441"/>
    <w:rsid w:val="0025490E"/>
    <w:rsid w:val="00254D71"/>
    <w:rsid w:val="0025542F"/>
    <w:rsid w:val="00256AD9"/>
    <w:rsid w:val="00257306"/>
    <w:rsid w:val="002574F9"/>
    <w:rsid w:val="00257AA4"/>
    <w:rsid w:val="0026083F"/>
    <w:rsid w:val="002615C6"/>
    <w:rsid w:val="00261B24"/>
    <w:rsid w:val="0026524A"/>
    <w:rsid w:val="00270874"/>
    <w:rsid w:val="0027193F"/>
    <w:rsid w:val="002722B3"/>
    <w:rsid w:val="00273A1F"/>
    <w:rsid w:val="0027483D"/>
    <w:rsid w:val="0027606C"/>
    <w:rsid w:val="00276811"/>
    <w:rsid w:val="0028261A"/>
    <w:rsid w:val="00282699"/>
    <w:rsid w:val="00284BF7"/>
    <w:rsid w:val="00291BB9"/>
    <w:rsid w:val="002924CF"/>
    <w:rsid w:val="0029251D"/>
    <w:rsid w:val="002926DF"/>
    <w:rsid w:val="00295E14"/>
    <w:rsid w:val="00296697"/>
    <w:rsid w:val="002A0E7B"/>
    <w:rsid w:val="002A0F08"/>
    <w:rsid w:val="002A0F5D"/>
    <w:rsid w:val="002A29A6"/>
    <w:rsid w:val="002A42E3"/>
    <w:rsid w:val="002A4348"/>
    <w:rsid w:val="002B0009"/>
    <w:rsid w:val="002B0472"/>
    <w:rsid w:val="002B04B3"/>
    <w:rsid w:val="002B0D68"/>
    <w:rsid w:val="002B18C6"/>
    <w:rsid w:val="002B1FCD"/>
    <w:rsid w:val="002B42CC"/>
    <w:rsid w:val="002B6593"/>
    <w:rsid w:val="002B6B12"/>
    <w:rsid w:val="002B6B7B"/>
    <w:rsid w:val="002C1E44"/>
    <w:rsid w:val="002C2695"/>
    <w:rsid w:val="002C39C1"/>
    <w:rsid w:val="002C424B"/>
    <w:rsid w:val="002C751B"/>
    <w:rsid w:val="002D2ECD"/>
    <w:rsid w:val="002D6990"/>
    <w:rsid w:val="002D6C7A"/>
    <w:rsid w:val="002E13A8"/>
    <w:rsid w:val="002E1E0B"/>
    <w:rsid w:val="002E3590"/>
    <w:rsid w:val="002E462D"/>
    <w:rsid w:val="002E5ABC"/>
    <w:rsid w:val="002E6140"/>
    <w:rsid w:val="002E6985"/>
    <w:rsid w:val="002E71B6"/>
    <w:rsid w:val="002E727B"/>
    <w:rsid w:val="002E7AB0"/>
    <w:rsid w:val="002F1F42"/>
    <w:rsid w:val="002F2C84"/>
    <w:rsid w:val="002F2E8D"/>
    <w:rsid w:val="002F77C8"/>
    <w:rsid w:val="0030115B"/>
    <w:rsid w:val="003029E3"/>
    <w:rsid w:val="00304F22"/>
    <w:rsid w:val="00306C7C"/>
    <w:rsid w:val="00313E16"/>
    <w:rsid w:val="00314007"/>
    <w:rsid w:val="0031409D"/>
    <w:rsid w:val="00315805"/>
    <w:rsid w:val="00317C29"/>
    <w:rsid w:val="00320924"/>
    <w:rsid w:val="003228C1"/>
    <w:rsid w:val="00322EDD"/>
    <w:rsid w:val="003231A1"/>
    <w:rsid w:val="0033001D"/>
    <w:rsid w:val="00332263"/>
    <w:rsid w:val="00332320"/>
    <w:rsid w:val="00335136"/>
    <w:rsid w:val="00340085"/>
    <w:rsid w:val="00341A4D"/>
    <w:rsid w:val="003426AA"/>
    <w:rsid w:val="00342DCF"/>
    <w:rsid w:val="003434CA"/>
    <w:rsid w:val="003460DF"/>
    <w:rsid w:val="00346C98"/>
    <w:rsid w:val="003473DF"/>
    <w:rsid w:val="00347C1F"/>
    <w:rsid w:val="00347D72"/>
    <w:rsid w:val="00352354"/>
    <w:rsid w:val="003523EB"/>
    <w:rsid w:val="003557A1"/>
    <w:rsid w:val="003563AE"/>
    <w:rsid w:val="00357611"/>
    <w:rsid w:val="003613E6"/>
    <w:rsid w:val="003621DC"/>
    <w:rsid w:val="00362216"/>
    <w:rsid w:val="003627FC"/>
    <w:rsid w:val="003646B3"/>
    <w:rsid w:val="00365663"/>
    <w:rsid w:val="00365F22"/>
    <w:rsid w:val="00367237"/>
    <w:rsid w:val="003674D8"/>
    <w:rsid w:val="0037077F"/>
    <w:rsid w:val="00371C7E"/>
    <w:rsid w:val="00372328"/>
    <w:rsid w:val="0037385E"/>
    <w:rsid w:val="00373882"/>
    <w:rsid w:val="00375215"/>
    <w:rsid w:val="00381DB4"/>
    <w:rsid w:val="003843DB"/>
    <w:rsid w:val="00384D8B"/>
    <w:rsid w:val="003854ED"/>
    <w:rsid w:val="003866C9"/>
    <w:rsid w:val="00386D02"/>
    <w:rsid w:val="003931C0"/>
    <w:rsid w:val="0039373A"/>
    <w:rsid w:val="00393761"/>
    <w:rsid w:val="00394C33"/>
    <w:rsid w:val="00396499"/>
    <w:rsid w:val="00397D18"/>
    <w:rsid w:val="003A09C1"/>
    <w:rsid w:val="003A18A4"/>
    <w:rsid w:val="003A1B36"/>
    <w:rsid w:val="003A2F3A"/>
    <w:rsid w:val="003A358E"/>
    <w:rsid w:val="003A3FCF"/>
    <w:rsid w:val="003A42AA"/>
    <w:rsid w:val="003A600F"/>
    <w:rsid w:val="003A716C"/>
    <w:rsid w:val="003A7E95"/>
    <w:rsid w:val="003B05CF"/>
    <w:rsid w:val="003B1454"/>
    <w:rsid w:val="003B24CF"/>
    <w:rsid w:val="003B5AC1"/>
    <w:rsid w:val="003B6350"/>
    <w:rsid w:val="003B7573"/>
    <w:rsid w:val="003C0487"/>
    <w:rsid w:val="003C1155"/>
    <w:rsid w:val="003C1BFD"/>
    <w:rsid w:val="003C34BC"/>
    <w:rsid w:val="003C59E0"/>
    <w:rsid w:val="003C6C8D"/>
    <w:rsid w:val="003D0A95"/>
    <w:rsid w:val="003D3374"/>
    <w:rsid w:val="003D4820"/>
    <w:rsid w:val="003D4F95"/>
    <w:rsid w:val="003D5465"/>
    <w:rsid w:val="003D5833"/>
    <w:rsid w:val="003D5F42"/>
    <w:rsid w:val="003D60A9"/>
    <w:rsid w:val="003D6FE0"/>
    <w:rsid w:val="003D795B"/>
    <w:rsid w:val="003E0F23"/>
    <w:rsid w:val="003E3031"/>
    <w:rsid w:val="003E3A04"/>
    <w:rsid w:val="003F13A9"/>
    <w:rsid w:val="003F19F4"/>
    <w:rsid w:val="003F3B3C"/>
    <w:rsid w:val="003F4C97"/>
    <w:rsid w:val="003F53CA"/>
    <w:rsid w:val="003F68D3"/>
    <w:rsid w:val="003F7ED6"/>
    <w:rsid w:val="003F7FE6"/>
    <w:rsid w:val="00400193"/>
    <w:rsid w:val="00401DB3"/>
    <w:rsid w:val="004045B4"/>
    <w:rsid w:val="00406BFF"/>
    <w:rsid w:val="00412461"/>
    <w:rsid w:val="004130BC"/>
    <w:rsid w:val="004132CC"/>
    <w:rsid w:val="0042048D"/>
    <w:rsid w:val="00420B41"/>
    <w:rsid w:val="004212E7"/>
    <w:rsid w:val="004231A6"/>
    <w:rsid w:val="0042446D"/>
    <w:rsid w:val="00425417"/>
    <w:rsid w:val="00427281"/>
    <w:rsid w:val="00427BF8"/>
    <w:rsid w:val="00431C02"/>
    <w:rsid w:val="0043307C"/>
    <w:rsid w:val="004347B4"/>
    <w:rsid w:val="00435283"/>
    <w:rsid w:val="0043577A"/>
    <w:rsid w:val="00435BD0"/>
    <w:rsid w:val="00436B47"/>
    <w:rsid w:val="00437395"/>
    <w:rsid w:val="00440E30"/>
    <w:rsid w:val="0044258C"/>
    <w:rsid w:val="00443D4F"/>
    <w:rsid w:val="00443F1E"/>
    <w:rsid w:val="00444B75"/>
    <w:rsid w:val="00445047"/>
    <w:rsid w:val="004466B1"/>
    <w:rsid w:val="00450A42"/>
    <w:rsid w:val="00450E62"/>
    <w:rsid w:val="0045309B"/>
    <w:rsid w:val="00454004"/>
    <w:rsid w:val="00456EF1"/>
    <w:rsid w:val="0046238A"/>
    <w:rsid w:val="0046324F"/>
    <w:rsid w:val="00463E39"/>
    <w:rsid w:val="00464D4F"/>
    <w:rsid w:val="0046503D"/>
    <w:rsid w:val="004652C2"/>
    <w:rsid w:val="004657A9"/>
    <w:rsid w:val="004657FC"/>
    <w:rsid w:val="00467905"/>
    <w:rsid w:val="00467EFF"/>
    <w:rsid w:val="00471D34"/>
    <w:rsid w:val="004733F6"/>
    <w:rsid w:val="00474753"/>
    <w:rsid w:val="00474E69"/>
    <w:rsid w:val="00477CFF"/>
    <w:rsid w:val="00477DD8"/>
    <w:rsid w:val="004829B9"/>
    <w:rsid w:val="00482C65"/>
    <w:rsid w:val="00485619"/>
    <w:rsid w:val="00485E73"/>
    <w:rsid w:val="004862B6"/>
    <w:rsid w:val="0049056D"/>
    <w:rsid w:val="0049115E"/>
    <w:rsid w:val="004949CA"/>
    <w:rsid w:val="00495B6E"/>
    <w:rsid w:val="0049621B"/>
    <w:rsid w:val="00497680"/>
    <w:rsid w:val="00497FB5"/>
    <w:rsid w:val="004A7498"/>
    <w:rsid w:val="004B638F"/>
    <w:rsid w:val="004B68FC"/>
    <w:rsid w:val="004C1113"/>
    <w:rsid w:val="004C1895"/>
    <w:rsid w:val="004C57EC"/>
    <w:rsid w:val="004C6D40"/>
    <w:rsid w:val="004C7185"/>
    <w:rsid w:val="004D135D"/>
    <w:rsid w:val="004D1586"/>
    <w:rsid w:val="004D4D5A"/>
    <w:rsid w:val="004D5EE7"/>
    <w:rsid w:val="004D665D"/>
    <w:rsid w:val="004D6D43"/>
    <w:rsid w:val="004E1A89"/>
    <w:rsid w:val="004E2155"/>
    <w:rsid w:val="004E377B"/>
    <w:rsid w:val="004E6F53"/>
    <w:rsid w:val="004F0C3C"/>
    <w:rsid w:val="004F4FCA"/>
    <w:rsid w:val="004F63FC"/>
    <w:rsid w:val="004F6903"/>
    <w:rsid w:val="00500D10"/>
    <w:rsid w:val="00505A92"/>
    <w:rsid w:val="00507D43"/>
    <w:rsid w:val="00510FCF"/>
    <w:rsid w:val="0051287F"/>
    <w:rsid w:val="0051647C"/>
    <w:rsid w:val="005201F8"/>
    <w:rsid w:val="005203F1"/>
    <w:rsid w:val="00521BC3"/>
    <w:rsid w:val="00522606"/>
    <w:rsid w:val="0052510F"/>
    <w:rsid w:val="00525CAC"/>
    <w:rsid w:val="00527B0C"/>
    <w:rsid w:val="00527BA1"/>
    <w:rsid w:val="00533632"/>
    <w:rsid w:val="00536E29"/>
    <w:rsid w:val="005378A0"/>
    <w:rsid w:val="0054251F"/>
    <w:rsid w:val="00542771"/>
    <w:rsid w:val="005454EF"/>
    <w:rsid w:val="00546790"/>
    <w:rsid w:val="005501C7"/>
    <w:rsid w:val="00550618"/>
    <w:rsid w:val="005520D8"/>
    <w:rsid w:val="00552C60"/>
    <w:rsid w:val="0055460F"/>
    <w:rsid w:val="00556A1B"/>
    <w:rsid w:val="00556CF1"/>
    <w:rsid w:val="0055770D"/>
    <w:rsid w:val="00561AEB"/>
    <w:rsid w:val="0056331F"/>
    <w:rsid w:val="005676B0"/>
    <w:rsid w:val="00574E89"/>
    <w:rsid w:val="00575C63"/>
    <w:rsid w:val="005762A7"/>
    <w:rsid w:val="00577BDE"/>
    <w:rsid w:val="00577DD3"/>
    <w:rsid w:val="0058073C"/>
    <w:rsid w:val="00582224"/>
    <w:rsid w:val="005825F0"/>
    <w:rsid w:val="00582ED4"/>
    <w:rsid w:val="005916AB"/>
    <w:rsid w:val="005916D7"/>
    <w:rsid w:val="005A30AB"/>
    <w:rsid w:val="005A4C6A"/>
    <w:rsid w:val="005A698C"/>
    <w:rsid w:val="005A6F2D"/>
    <w:rsid w:val="005B093B"/>
    <w:rsid w:val="005B0979"/>
    <w:rsid w:val="005B2080"/>
    <w:rsid w:val="005B5EB4"/>
    <w:rsid w:val="005C16BE"/>
    <w:rsid w:val="005C2FE4"/>
    <w:rsid w:val="005C4A86"/>
    <w:rsid w:val="005C4E91"/>
    <w:rsid w:val="005C7839"/>
    <w:rsid w:val="005D01B4"/>
    <w:rsid w:val="005D23AA"/>
    <w:rsid w:val="005D25AB"/>
    <w:rsid w:val="005D2FB0"/>
    <w:rsid w:val="005D77B4"/>
    <w:rsid w:val="005D7A40"/>
    <w:rsid w:val="005D7D25"/>
    <w:rsid w:val="005E0799"/>
    <w:rsid w:val="005E3825"/>
    <w:rsid w:val="005E48B2"/>
    <w:rsid w:val="005E4E00"/>
    <w:rsid w:val="005E6FF1"/>
    <w:rsid w:val="005F2C39"/>
    <w:rsid w:val="005F302D"/>
    <w:rsid w:val="005F5A80"/>
    <w:rsid w:val="005F6FE0"/>
    <w:rsid w:val="006030DD"/>
    <w:rsid w:val="00603FBB"/>
    <w:rsid w:val="006044FF"/>
    <w:rsid w:val="006072EE"/>
    <w:rsid w:val="00607CC5"/>
    <w:rsid w:val="006102AA"/>
    <w:rsid w:val="00610B5E"/>
    <w:rsid w:val="00611CFA"/>
    <w:rsid w:val="00612A93"/>
    <w:rsid w:val="0061398F"/>
    <w:rsid w:val="00613A0F"/>
    <w:rsid w:val="00615B9F"/>
    <w:rsid w:val="00616583"/>
    <w:rsid w:val="00620ACB"/>
    <w:rsid w:val="0062187C"/>
    <w:rsid w:val="00621F5F"/>
    <w:rsid w:val="006262B3"/>
    <w:rsid w:val="006263DA"/>
    <w:rsid w:val="006264BA"/>
    <w:rsid w:val="006266F0"/>
    <w:rsid w:val="00626952"/>
    <w:rsid w:val="00626D87"/>
    <w:rsid w:val="00627CBE"/>
    <w:rsid w:val="006318DA"/>
    <w:rsid w:val="00632DF8"/>
    <w:rsid w:val="00633014"/>
    <w:rsid w:val="0063437B"/>
    <w:rsid w:val="00642778"/>
    <w:rsid w:val="00646D6F"/>
    <w:rsid w:val="00647DE3"/>
    <w:rsid w:val="0065707D"/>
    <w:rsid w:val="00664589"/>
    <w:rsid w:val="00665C38"/>
    <w:rsid w:val="00666C53"/>
    <w:rsid w:val="006673CA"/>
    <w:rsid w:val="00667D6F"/>
    <w:rsid w:val="00673BE0"/>
    <w:rsid w:val="00673C26"/>
    <w:rsid w:val="00674ABE"/>
    <w:rsid w:val="00676177"/>
    <w:rsid w:val="006769D5"/>
    <w:rsid w:val="00677574"/>
    <w:rsid w:val="0067794E"/>
    <w:rsid w:val="006812AF"/>
    <w:rsid w:val="00681EA6"/>
    <w:rsid w:val="0068327D"/>
    <w:rsid w:val="0068790E"/>
    <w:rsid w:val="00690C38"/>
    <w:rsid w:val="00694AF0"/>
    <w:rsid w:val="00696CCE"/>
    <w:rsid w:val="006A0E22"/>
    <w:rsid w:val="006A1938"/>
    <w:rsid w:val="006A37E8"/>
    <w:rsid w:val="006A46FA"/>
    <w:rsid w:val="006B0E9E"/>
    <w:rsid w:val="006B5AE4"/>
    <w:rsid w:val="006B6187"/>
    <w:rsid w:val="006B6263"/>
    <w:rsid w:val="006B6B03"/>
    <w:rsid w:val="006B6D5F"/>
    <w:rsid w:val="006C645A"/>
    <w:rsid w:val="006D4054"/>
    <w:rsid w:val="006D5A05"/>
    <w:rsid w:val="006D5ABB"/>
    <w:rsid w:val="006D7F1E"/>
    <w:rsid w:val="006E02EC"/>
    <w:rsid w:val="006E4D66"/>
    <w:rsid w:val="006E56A0"/>
    <w:rsid w:val="006E5888"/>
    <w:rsid w:val="006E5F08"/>
    <w:rsid w:val="006E6053"/>
    <w:rsid w:val="006E6C7B"/>
    <w:rsid w:val="006F3F3D"/>
    <w:rsid w:val="006F5EF5"/>
    <w:rsid w:val="00700FC6"/>
    <w:rsid w:val="007039DD"/>
    <w:rsid w:val="00704521"/>
    <w:rsid w:val="00707935"/>
    <w:rsid w:val="00710A0B"/>
    <w:rsid w:val="00710C03"/>
    <w:rsid w:val="00713DD1"/>
    <w:rsid w:val="0071467D"/>
    <w:rsid w:val="0071658F"/>
    <w:rsid w:val="00717461"/>
    <w:rsid w:val="0071752E"/>
    <w:rsid w:val="00717B53"/>
    <w:rsid w:val="007204E8"/>
    <w:rsid w:val="007207E6"/>
    <w:rsid w:val="007211B1"/>
    <w:rsid w:val="00721509"/>
    <w:rsid w:val="0072216F"/>
    <w:rsid w:val="0072272D"/>
    <w:rsid w:val="007317DF"/>
    <w:rsid w:val="00731815"/>
    <w:rsid w:val="00734063"/>
    <w:rsid w:val="00734857"/>
    <w:rsid w:val="00734924"/>
    <w:rsid w:val="00734C04"/>
    <w:rsid w:val="00741554"/>
    <w:rsid w:val="007418AC"/>
    <w:rsid w:val="00746187"/>
    <w:rsid w:val="00746A9F"/>
    <w:rsid w:val="0075636C"/>
    <w:rsid w:val="007571FA"/>
    <w:rsid w:val="007573AD"/>
    <w:rsid w:val="00760FC2"/>
    <w:rsid w:val="0076254F"/>
    <w:rsid w:val="00763711"/>
    <w:rsid w:val="00766AF6"/>
    <w:rsid w:val="007702BD"/>
    <w:rsid w:val="00770725"/>
    <w:rsid w:val="0077078E"/>
    <w:rsid w:val="007715B1"/>
    <w:rsid w:val="00773996"/>
    <w:rsid w:val="00773B09"/>
    <w:rsid w:val="007801F5"/>
    <w:rsid w:val="00780316"/>
    <w:rsid w:val="00781595"/>
    <w:rsid w:val="00783CA4"/>
    <w:rsid w:val="007842FB"/>
    <w:rsid w:val="00786124"/>
    <w:rsid w:val="0079134B"/>
    <w:rsid w:val="0079437B"/>
    <w:rsid w:val="0079498A"/>
    <w:rsid w:val="0079514B"/>
    <w:rsid w:val="00797294"/>
    <w:rsid w:val="007A0D24"/>
    <w:rsid w:val="007A1014"/>
    <w:rsid w:val="007A2C85"/>
    <w:rsid w:val="007A2DC1"/>
    <w:rsid w:val="007A7D7B"/>
    <w:rsid w:val="007B0D5E"/>
    <w:rsid w:val="007B0E35"/>
    <w:rsid w:val="007B3C3F"/>
    <w:rsid w:val="007B3DB7"/>
    <w:rsid w:val="007B4E2B"/>
    <w:rsid w:val="007B4F73"/>
    <w:rsid w:val="007B5D10"/>
    <w:rsid w:val="007C2C9F"/>
    <w:rsid w:val="007C3CC8"/>
    <w:rsid w:val="007C6C81"/>
    <w:rsid w:val="007C792E"/>
    <w:rsid w:val="007D3319"/>
    <w:rsid w:val="007D335D"/>
    <w:rsid w:val="007D6458"/>
    <w:rsid w:val="007E1643"/>
    <w:rsid w:val="007E3314"/>
    <w:rsid w:val="007E4B03"/>
    <w:rsid w:val="007E58A2"/>
    <w:rsid w:val="007E7CE3"/>
    <w:rsid w:val="007E7D97"/>
    <w:rsid w:val="007F0C1A"/>
    <w:rsid w:val="007F13F1"/>
    <w:rsid w:val="007F1D43"/>
    <w:rsid w:val="007F1E2E"/>
    <w:rsid w:val="007F324B"/>
    <w:rsid w:val="007F4BEF"/>
    <w:rsid w:val="007F6B07"/>
    <w:rsid w:val="007F7483"/>
    <w:rsid w:val="0080133E"/>
    <w:rsid w:val="00802022"/>
    <w:rsid w:val="00804014"/>
    <w:rsid w:val="00804C08"/>
    <w:rsid w:val="0080553C"/>
    <w:rsid w:val="00805B46"/>
    <w:rsid w:val="00813014"/>
    <w:rsid w:val="00815E57"/>
    <w:rsid w:val="00820D18"/>
    <w:rsid w:val="00820FB9"/>
    <w:rsid w:val="008235EC"/>
    <w:rsid w:val="00825DC2"/>
    <w:rsid w:val="00834AD3"/>
    <w:rsid w:val="00836CD7"/>
    <w:rsid w:val="00837231"/>
    <w:rsid w:val="00841E19"/>
    <w:rsid w:val="008433EE"/>
    <w:rsid w:val="00843795"/>
    <w:rsid w:val="00843B16"/>
    <w:rsid w:val="00846DBD"/>
    <w:rsid w:val="00846E9E"/>
    <w:rsid w:val="00847F0F"/>
    <w:rsid w:val="008500B1"/>
    <w:rsid w:val="00852448"/>
    <w:rsid w:val="00853635"/>
    <w:rsid w:val="0085445D"/>
    <w:rsid w:val="00854717"/>
    <w:rsid w:val="00856FE3"/>
    <w:rsid w:val="00860F7B"/>
    <w:rsid w:val="00861C75"/>
    <w:rsid w:val="00863E09"/>
    <w:rsid w:val="008646DA"/>
    <w:rsid w:val="00866416"/>
    <w:rsid w:val="0087438B"/>
    <w:rsid w:val="0088258A"/>
    <w:rsid w:val="00882FBF"/>
    <w:rsid w:val="0088355D"/>
    <w:rsid w:val="008843BB"/>
    <w:rsid w:val="00885B26"/>
    <w:rsid w:val="00885F42"/>
    <w:rsid w:val="00886332"/>
    <w:rsid w:val="00887CDB"/>
    <w:rsid w:val="00887F70"/>
    <w:rsid w:val="00891CF0"/>
    <w:rsid w:val="00893B4E"/>
    <w:rsid w:val="008941E0"/>
    <w:rsid w:val="008948E4"/>
    <w:rsid w:val="00896EB9"/>
    <w:rsid w:val="008A1C80"/>
    <w:rsid w:val="008A26D9"/>
    <w:rsid w:val="008A58C2"/>
    <w:rsid w:val="008A6781"/>
    <w:rsid w:val="008A7B99"/>
    <w:rsid w:val="008B2394"/>
    <w:rsid w:val="008B388F"/>
    <w:rsid w:val="008B3CA0"/>
    <w:rsid w:val="008B64BD"/>
    <w:rsid w:val="008C0C29"/>
    <w:rsid w:val="008C0EBD"/>
    <w:rsid w:val="008C167A"/>
    <w:rsid w:val="008C48C6"/>
    <w:rsid w:val="008C4E2B"/>
    <w:rsid w:val="008D133F"/>
    <w:rsid w:val="008D2074"/>
    <w:rsid w:val="008D2290"/>
    <w:rsid w:val="008D3F85"/>
    <w:rsid w:val="008D5496"/>
    <w:rsid w:val="008D561B"/>
    <w:rsid w:val="008D6757"/>
    <w:rsid w:val="008E0933"/>
    <w:rsid w:val="008F1CC2"/>
    <w:rsid w:val="008F2D53"/>
    <w:rsid w:val="008F3638"/>
    <w:rsid w:val="008F5556"/>
    <w:rsid w:val="008F578D"/>
    <w:rsid w:val="008F6310"/>
    <w:rsid w:val="008F6F31"/>
    <w:rsid w:val="008F74DF"/>
    <w:rsid w:val="0090079C"/>
    <w:rsid w:val="00901350"/>
    <w:rsid w:val="00903A58"/>
    <w:rsid w:val="009046F6"/>
    <w:rsid w:val="00905A67"/>
    <w:rsid w:val="00906857"/>
    <w:rsid w:val="00907546"/>
    <w:rsid w:val="009118D4"/>
    <w:rsid w:val="009127BA"/>
    <w:rsid w:val="0091499D"/>
    <w:rsid w:val="00914AA5"/>
    <w:rsid w:val="00916639"/>
    <w:rsid w:val="009168D8"/>
    <w:rsid w:val="009222E9"/>
    <w:rsid w:val="009227A6"/>
    <w:rsid w:val="00926B44"/>
    <w:rsid w:val="0092750D"/>
    <w:rsid w:val="0092758B"/>
    <w:rsid w:val="00927755"/>
    <w:rsid w:val="009301B3"/>
    <w:rsid w:val="00931AE5"/>
    <w:rsid w:val="0093378A"/>
    <w:rsid w:val="00933EC1"/>
    <w:rsid w:val="00944262"/>
    <w:rsid w:val="009510F1"/>
    <w:rsid w:val="009530DB"/>
    <w:rsid w:val="00953676"/>
    <w:rsid w:val="00954347"/>
    <w:rsid w:val="00954AC7"/>
    <w:rsid w:val="00956313"/>
    <w:rsid w:val="009609A1"/>
    <w:rsid w:val="00960A1C"/>
    <w:rsid w:val="00960A9C"/>
    <w:rsid w:val="00960BE4"/>
    <w:rsid w:val="00964B1A"/>
    <w:rsid w:val="009651E5"/>
    <w:rsid w:val="009664CD"/>
    <w:rsid w:val="0096740A"/>
    <w:rsid w:val="00970194"/>
    <w:rsid w:val="009705EE"/>
    <w:rsid w:val="009729CD"/>
    <w:rsid w:val="00972B83"/>
    <w:rsid w:val="009742AF"/>
    <w:rsid w:val="00975A71"/>
    <w:rsid w:val="00977927"/>
    <w:rsid w:val="009807E9"/>
    <w:rsid w:val="00980EA5"/>
    <w:rsid w:val="0098135C"/>
    <w:rsid w:val="00981455"/>
    <w:rsid w:val="0098156A"/>
    <w:rsid w:val="009829F8"/>
    <w:rsid w:val="00983BE8"/>
    <w:rsid w:val="0098487F"/>
    <w:rsid w:val="009918AB"/>
    <w:rsid w:val="009919D3"/>
    <w:rsid w:val="00991BAC"/>
    <w:rsid w:val="0099211A"/>
    <w:rsid w:val="00992881"/>
    <w:rsid w:val="00996309"/>
    <w:rsid w:val="009A61DB"/>
    <w:rsid w:val="009A6EA0"/>
    <w:rsid w:val="009A7910"/>
    <w:rsid w:val="009B0217"/>
    <w:rsid w:val="009B0770"/>
    <w:rsid w:val="009B382F"/>
    <w:rsid w:val="009B5267"/>
    <w:rsid w:val="009B6361"/>
    <w:rsid w:val="009B7341"/>
    <w:rsid w:val="009B7D46"/>
    <w:rsid w:val="009C0CCF"/>
    <w:rsid w:val="009C1335"/>
    <w:rsid w:val="009C1AB2"/>
    <w:rsid w:val="009C7251"/>
    <w:rsid w:val="009D2F59"/>
    <w:rsid w:val="009D5DFA"/>
    <w:rsid w:val="009D785B"/>
    <w:rsid w:val="009E13F6"/>
    <w:rsid w:val="009E19F6"/>
    <w:rsid w:val="009E1F94"/>
    <w:rsid w:val="009E2E91"/>
    <w:rsid w:val="009E3371"/>
    <w:rsid w:val="009E6202"/>
    <w:rsid w:val="009F0127"/>
    <w:rsid w:val="009F16E7"/>
    <w:rsid w:val="009F1C77"/>
    <w:rsid w:val="009F1CDB"/>
    <w:rsid w:val="009F200F"/>
    <w:rsid w:val="009F686F"/>
    <w:rsid w:val="00A00250"/>
    <w:rsid w:val="00A00C56"/>
    <w:rsid w:val="00A01686"/>
    <w:rsid w:val="00A02ED8"/>
    <w:rsid w:val="00A035BA"/>
    <w:rsid w:val="00A05A3A"/>
    <w:rsid w:val="00A05EE7"/>
    <w:rsid w:val="00A11B23"/>
    <w:rsid w:val="00A12B93"/>
    <w:rsid w:val="00A139F5"/>
    <w:rsid w:val="00A14655"/>
    <w:rsid w:val="00A15B67"/>
    <w:rsid w:val="00A175D4"/>
    <w:rsid w:val="00A20421"/>
    <w:rsid w:val="00A21861"/>
    <w:rsid w:val="00A21E4A"/>
    <w:rsid w:val="00A25990"/>
    <w:rsid w:val="00A27763"/>
    <w:rsid w:val="00A309AB"/>
    <w:rsid w:val="00A31D21"/>
    <w:rsid w:val="00A31F52"/>
    <w:rsid w:val="00A33759"/>
    <w:rsid w:val="00A342B4"/>
    <w:rsid w:val="00A365F4"/>
    <w:rsid w:val="00A40D16"/>
    <w:rsid w:val="00A4219B"/>
    <w:rsid w:val="00A4223C"/>
    <w:rsid w:val="00A4333F"/>
    <w:rsid w:val="00A453D6"/>
    <w:rsid w:val="00A45EB1"/>
    <w:rsid w:val="00A47D80"/>
    <w:rsid w:val="00A51E03"/>
    <w:rsid w:val="00A521F6"/>
    <w:rsid w:val="00A53132"/>
    <w:rsid w:val="00A536D2"/>
    <w:rsid w:val="00A53E7E"/>
    <w:rsid w:val="00A563F2"/>
    <w:rsid w:val="00A566E8"/>
    <w:rsid w:val="00A569FC"/>
    <w:rsid w:val="00A63CAF"/>
    <w:rsid w:val="00A65560"/>
    <w:rsid w:val="00A66E7E"/>
    <w:rsid w:val="00A7208C"/>
    <w:rsid w:val="00A72CF4"/>
    <w:rsid w:val="00A741A0"/>
    <w:rsid w:val="00A810F9"/>
    <w:rsid w:val="00A846D6"/>
    <w:rsid w:val="00A84818"/>
    <w:rsid w:val="00A86ECC"/>
    <w:rsid w:val="00A86FCC"/>
    <w:rsid w:val="00A87439"/>
    <w:rsid w:val="00A87DC7"/>
    <w:rsid w:val="00A91D74"/>
    <w:rsid w:val="00A97495"/>
    <w:rsid w:val="00AA05AC"/>
    <w:rsid w:val="00AA087A"/>
    <w:rsid w:val="00AA22EE"/>
    <w:rsid w:val="00AA298E"/>
    <w:rsid w:val="00AA3EB6"/>
    <w:rsid w:val="00AA4B7C"/>
    <w:rsid w:val="00AA5069"/>
    <w:rsid w:val="00AA710D"/>
    <w:rsid w:val="00AB0212"/>
    <w:rsid w:val="00AB0FC8"/>
    <w:rsid w:val="00AB3F7C"/>
    <w:rsid w:val="00AB6D25"/>
    <w:rsid w:val="00AB788D"/>
    <w:rsid w:val="00AB7943"/>
    <w:rsid w:val="00AB7945"/>
    <w:rsid w:val="00AC3185"/>
    <w:rsid w:val="00AC37B3"/>
    <w:rsid w:val="00AC658C"/>
    <w:rsid w:val="00AC7ADB"/>
    <w:rsid w:val="00AD0A03"/>
    <w:rsid w:val="00AD1492"/>
    <w:rsid w:val="00AD2EA0"/>
    <w:rsid w:val="00AD30D2"/>
    <w:rsid w:val="00AD4A4E"/>
    <w:rsid w:val="00AD5C65"/>
    <w:rsid w:val="00AE19DE"/>
    <w:rsid w:val="00AE2B3C"/>
    <w:rsid w:val="00AE2D4B"/>
    <w:rsid w:val="00AE3772"/>
    <w:rsid w:val="00AE3FB3"/>
    <w:rsid w:val="00AE4F99"/>
    <w:rsid w:val="00AE726C"/>
    <w:rsid w:val="00AE7EE2"/>
    <w:rsid w:val="00AF0752"/>
    <w:rsid w:val="00AF19C9"/>
    <w:rsid w:val="00B01B1A"/>
    <w:rsid w:val="00B036BF"/>
    <w:rsid w:val="00B0456F"/>
    <w:rsid w:val="00B052B2"/>
    <w:rsid w:val="00B05C6B"/>
    <w:rsid w:val="00B106B0"/>
    <w:rsid w:val="00B11740"/>
    <w:rsid w:val="00B130CA"/>
    <w:rsid w:val="00B14629"/>
    <w:rsid w:val="00B14952"/>
    <w:rsid w:val="00B166F1"/>
    <w:rsid w:val="00B16CB2"/>
    <w:rsid w:val="00B1769B"/>
    <w:rsid w:val="00B21BA7"/>
    <w:rsid w:val="00B21C01"/>
    <w:rsid w:val="00B2646D"/>
    <w:rsid w:val="00B30CCF"/>
    <w:rsid w:val="00B30E2E"/>
    <w:rsid w:val="00B31E5A"/>
    <w:rsid w:val="00B34C4C"/>
    <w:rsid w:val="00B407D3"/>
    <w:rsid w:val="00B407E7"/>
    <w:rsid w:val="00B413C9"/>
    <w:rsid w:val="00B42455"/>
    <w:rsid w:val="00B44C5A"/>
    <w:rsid w:val="00B453D4"/>
    <w:rsid w:val="00B4601E"/>
    <w:rsid w:val="00B465A7"/>
    <w:rsid w:val="00B519FF"/>
    <w:rsid w:val="00B53935"/>
    <w:rsid w:val="00B55F47"/>
    <w:rsid w:val="00B56724"/>
    <w:rsid w:val="00B6240E"/>
    <w:rsid w:val="00B64363"/>
    <w:rsid w:val="00B6523B"/>
    <w:rsid w:val="00B653AB"/>
    <w:rsid w:val="00B65F9E"/>
    <w:rsid w:val="00B6647E"/>
    <w:rsid w:val="00B668FA"/>
    <w:rsid w:val="00B66B19"/>
    <w:rsid w:val="00B66C90"/>
    <w:rsid w:val="00B70D87"/>
    <w:rsid w:val="00B7342E"/>
    <w:rsid w:val="00B76621"/>
    <w:rsid w:val="00B77062"/>
    <w:rsid w:val="00B77EC9"/>
    <w:rsid w:val="00B80D90"/>
    <w:rsid w:val="00B82E2D"/>
    <w:rsid w:val="00B847C4"/>
    <w:rsid w:val="00B84896"/>
    <w:rsid w:val="00B86655"/>
    <w:rsid w:val="00B914E9"/>
    <w:rsid w:val="00B956EE"/>
    <w:rsid w:val="00B95FA8"/>
    <w:rsid w:val="00B96AD0"/>
    <w:rsid w:val="00BA14B6"/>
    <w:rsid w:val="00BA2BA1"/>
    <w:rsid w:val="00BA3AD3"/>
    <w:rsid w:val="00BA3D02"/>
    <w:rsid w:val="00BA44CD"/>
    <w:rsid w:val="00BA5050"/>
    <w:rsid w:val="00BA6291"/>
    <w:rsid w:val="00BA6BF5"/>
    <w:rsid w:val="00BB4208"/>
    <w:rsid w:val="00BB4F09"/>
    <w:rsid w:val="00BB632D"/>
    <w:rsid w:val="00BC4AAD"/>
    <w:rsid w:val="00BC514E"/>
    <w:rsid w:val="00BC70F1"/>
    <w:rsid w:val="00BD1222"/>
    <w:rsid w:val="00BD1D77"/>
    <w:rsid w:val="00BD2577"/>
    <w:rsid w:val="00BD40C0"/>
    <w:rsid w:val="00BD4E33"/>
    <w:rsid w:val="00BD5740"/>
    <w:rsid w:val="00BD5F7F"/>
    <w:rsid w:val="00BD601A"/>
    <w:rsid w:val="00BD6924"/>
    <w:rsid w:val="00BD7A45"/>
    <w:rsid w:val="00BE7969"/>
    <w:rsid w:val="00BF01CB"/>
    <w:rsid w:val="00BF0335"/>
    <w:rsid w:val="00BF36AA"/>
    <w:rsid w:val="00BF475A"/>
    <w:rsid w:val="00BF61F6"/>
    <w:rsid w:val="00C021FE"/>
    <w:rsid w:val="00C03049"/>
    <w:rsid w:val="00C030DE"/>
    <w:rsid w:val="00C0397D"/>
    <w:rsid w:val="00C05C8B"/>
    <w:rsid w:val="00C16ABB"/>
    <w:rsid w:val="00C175B6"/>
    <w:rsid w:val="00C202E0"/>
    <w:rsid w:val="00C2042B"/>
    <w:rsid w:val="00C20CA7"/>
    <w:rsid w:val="00C214E1"/>
    <w:rsid w:val="00C21FA8"/>
    <w:rsid w:val="00C22105"/>
    <w:rsid w:val="00C22EA2"/>
    <w:rsid w:val="00C230EE"/>
    <w:rsid w:val="00C244B6"/>
    <w:rsid w:val="00C31051"/>
    <w:rsid w:val="00C35DEE"/>
    <w:rsid w:val="00C3702F"/>
    <w:rsid w:val="00C40F4B"/>
    <w:rsid w:val="00C41764"/>
    <w:rsid w:val="00C45997"/>
    <w:rsid w:val="00C46DF3"/>
    <w:rsid w:val="00C47820"/>
    <w:rsid w:val="00C47CE4"/>
    <w:rsid w:val="00C52C74"/>
    <w:rsid w:val="00C5434F"/>
    <w:rsid w:val="00C57EF3"/>
    <w:rsid w:val="00C60835"/>
    <w:rsid w:val="00C625B8"/>
    <w:rsid w:val="00C6337B"/>
    <w:rsid w:val="00C64A37"/>
    <w:rsid w:val="00C7158E"/>
    <w:rsid w:val="00C7250B"/>
    <w:rsid w:val="00C733A3"/>
    <w:rsid w:val="00C7346B"/>
    <w:rsid w:val="00C74E74"/>
    <w:rsid w:val="00C769E6"/>
    <w:rsid w:val="00C77C0E"/>
    <w:rsid w:val="00C77D1B"/>
    <w:rsid w:val="00C77DB4"/>
    <w:rsid w:val="00C8094E"/>
    <w:rsid w:val="00C82362"/>
    <w:rsid w:val="00C84740"/>
    <w:rsid w:val="00C84D08"/>
    <w:rsid w:val="00C91687"/>
    <w:rsid w:val="00C924A8"/>
    <w:rsid w:val="00C942FC"/>
    <w:rsid w:val="00C945FE"/>
    <w:rsid w:val="00C94AC8"/>
    <w:rsid w:val="00C96F23"/>
    <w:rsid w:val="00C96FAA"/>
    <w:rsid w:val="00C97A04"/>
    <w:rsid w:val="00CA107B"/>
    <w:rsid w:val="00CA3423"/>
    <w:rsid w:val="00CA38D1"/>
    <w:rsid w:val="00CA484D"/>
    <w:rsid w:val="00CA7767"/>
    <w:rsid w:val="00CA7A9B"/>
    <w:rsid w:val="00CB09AF"/>
    <w:rsid w:val="00CB0BB2"/>
    <w:rsid w:val="00CB1634"/>
    <w:rsid w:val="00CB3F80"/>
    <w:rsid w:val="00CB45BA"/>
    <w:rsid w:val="00CB5FF0"/>
    <w:rsid w:val="00CB6084"/>
    <w:rsid w:val="00CB6E0A"/>
    <w:rsid w:val="00CC008F"/>
    <w:rsid w:val="00CC0A96"/>
    <w:rsid w:val="00CC1C7C"/>
    <w:rsid w:val="00CC4866"/>
    <w:rsid w:val="00CC739E"/>
    <w:rsid w:val="00CD07B6"/>
    <w:rsid w:val="00CD1C2A"/>
    <w:rsid w:val="00CD26C7"/>
    <w:rsid w:val="00CD44F1"/>
    <w:rsid w:val="00CD5580"/>
    <w:rsid w:val="00CD58B7"/>
    <w:rsid w:val="00CD7B5E"/>
    <w:rsid w:val="00CE0F21"/>
    <w:rsid w:val="00CE124B"/>
    <w:rsid w:val="00CE66F6"/>
    <w:rsid w:val="00CF0172"/>
    <w:rsid w:val="00CF140B"/>
    <w:rsid w:val="00CF2564"/>
    <w:rsid w:val="00CF36C5"/>
    <w:rsid w:val="00CF4099"/>
    <w:rsid w:val="00D00796"/>
    <w:rsid w:val="00D06341"/>
    <w:rsid w:val="00D10E44"/>
    <w:rsid w:val="00D110E3"/>
    <w:rsid w:val="00D14E83"/>
    <w:rsid w:val="00D21D71"/>
    <w:rsid w:val="00D242EC"/>
    <w:rsid w:val="00D261A2"/>
    <w:rsid w:val="00D30D5C"/>
    <w:rsid w:val="00D30EF4"/>
    <w:rsid w:val="00D45A80"/>
    <w:rsid w:val="00D45F1D"/>
    <w:rsid w:val="00D46532"/>
    <w:rsid w:val="00D47F69"/>
    <w:rsid w:val="00D504E4"/>
    <w:rsid w:val="00D536C0"/>
    <w:rsid w:val="00D54185"/>
    <w:rsid w:val="00D54994"/>
    <w:rsid w:val="00D569E3"/>
    <w:rsid w:val="00D616D2"/>
    <w:rsid w:val="00D631C8"/>
    <w:rsid w:val="00D63B5F"/>
    <w:rsid w:val="00D66289"/>
    <w:rsid w:val="00D667BC"/>
    <w:rsid w:val="00D67B34"/>
    <w:rsid w:val="00D70EF7"/>
    <w:rsid w:val="00D72B39"/>
    <w:rsid w:val="00D7366A"/>
    <w:rsid w:val="00D76E73"/>
    <w:rsid w:val="00D8018C"/>
    <w:rsid w:val="00D81B78"/>
    <w:rsid w:val="00D8211E"/>
    <w:rsid w:val="00D8397C"/>
    <w:rsid w:val="00D83D00"/>
    <w:rsid w:val="00D862D9"/>
    <w:rsid w:val="00D923F1"/>
    <w:rsid w:val="00D92898"/>
    <w:rsid w:val="00D934F6"/>
    <w:rsid w:val="00D94EED"/>
    <w:rsid w:val="00D96026"/>
    <w:rsid w:val="00DA26F5"/>
    <w:rsid w:val="00DA5A02"/>
    <w:rsid w:val="00DA7C1C"/>
    <w:rsid w:val="00DB147A"/>
    <w:rsid w:val="00DB1B7A"/>
    <w:rsid w:val="00DB562E"/>
    <w:rsid w:val="00DB65EA"/>
    <w:rsid w:val="00DC2850"/>
    <w:rsid w:val="00DC3774"/>
    <w:rsid w:val="00DC6708"/>
    <w:rsid w:val="00DD1D64"/>
    <w:rsid w:val="00DD20E2"/>
    <w:rsid w:val="00DD21A2"/>
    <w:rsid w:val="00DD2696"/>
    <w:rsid w:val="00DE4176"/>
    <w:rsid w:val="00DE6865"/>
    <w:rsid w:val="00DE7D23"/>
    <w:rsid w:val="00DE7DD4"/>
    <w:rsid w:val="00DF18C1"/>
    <w:rsid w:val="00DF447F"/>
    <w:rsid w:val="00DF450D"/>
    <w:rsid w:val="00DF68D7"/>
    <w:rsid w:val="00E00001"/>
    <w:rsid w:val="00E01436"/>
    <w:rsid w:val="00E04052"/>
    <w:rsid w:val="00E045BD"/>
    <w:rsid w:val="00E04805"/>
    <w:rsid w:val="00E04DF2"/>
    <w:rsid w:val="00E0607F"/>
    <w:rsid w:val="00E063B9"/>
    <w:rsid w:val="00E06CD6"/>
    <w:rsid w:val="00E15A67"/>
    <w:rsid w:val="00E16266"/>
    <w:rsid w:val="00E176B4"/>
    <w:rsid w:val="00E17B77"/>
    <w:rsid w:val="00E22D1D"/>
    <w:rsid w:val="00E23337"/>
    <w:rsid w:val="00E245E1"/>
    <w:rsid w:val="00E24F07"/>
    <w:rsid w:val="00E24FC4"/>
    <w:rsid w:val="00E259EA"/>
    <w:rsid w:val="00E26291"/>
    <w:rsid w:val="00E27154"/>
    <w:rsid w:val="00E31232"/>
    <w:rsid w:val="00E32061"/>
    <w:rsid w:val="00E322C8"/>
    <w:rsid w:val="00E34610"/>
    <w:rsid w:val="00E3705B"/>
    <w:rsid w:val="00E42FF9"/>
    <w:rsid w:val="00E43169"/>
    <w:rsid w:val="00E43CD7"/>
    <w:rsid w:val="00E457ED"/>
    <w:rsid w:val="00E4714C"/>
    <w:rsid w:val="00E51AEB"/>
    <w:rsid w:val="00E522A7"/>
    <w:rsid w:val="00E52633"/>
    <w:rsid w:val="00E52FBA"/>
    <w:rsid w:val="00E54452"/>
    <w:rsid w:val="00E55DC7"/>
    <w:rsid w:val="00E57D4D"/>
    <w:rsid w:val="00E641D0"/>
    <w:rsid w:val="00E661E4"/>
    <w:rsid w:val="00E664C5"/>
    <w:rsid w:val="00E671A2"/>
    <w:rsid w:val="00E67A9D"/>
    <w:rsid w:val="00E717AF"/>
    <w:rsid w:val="00E724BA"/>
    <w:rsid w:val="00E7580A"/>
    <w:rsid w:val="00E75F97"/>
    <w:rsid w:val="00E76D26"/>
    <w:rsid w:val="00E82DBC"/>
    <w:rsid w:val="00E839D0"/>
    <w:rsid w:val="00E873C8"/>
    <w:rsid w:val="00E87A8F"/>
    <w:rsid w:val="00E90AC0"/>
    <w:rsid w:val="00E91C42"/>
    <w:rsid w:val="00E928D6"/>
    <w:rsid w:val="00E94640"/>
    <w:rsid w:val="00E97E48"/>
    <w:rsid w:val="00EA20F6"/>
    <w:rsid w:val="00EA5D60"/>
    <w:rsid w:val="00EB1390"/>
    <w:rsid w:val="00EB1C36"/>
    <w:rsid w:val="00EB20CA"/>
    <w:rsid w:val="00EB2C71"/>
    <w:rsid w:val="00EB4340"/>
    <w:rsid w:val="00EB556D"/>
    <w:rsid w:val="00EB5A7D"/>
    <w:rsid w:val="00EB6230"/>
    <w:rsid w:val="00EB69AF"/>
    <w:rsid w:val="00EC38C8"/>
    <w:rsid w:val="00EC5BC4"/>
    <w:rsid w:val="00EC7E66"/>
    <w:rsid w:val="00ED04D0"/>
    <w:rsid w:val="00ED25CD"/>
    <w:rsid w:val="00ED55C0"/>
    <w:rsid w:val="00ED682B"/>
    <w:rsid w:val="00ED7983"/>
    <w:rsid w:val="00EE373E"/>
    <w:rsid w:val="00EE41D5"/>
    <w:rsid w:val="00EF3597"/>
    <w:rsid w:val="00EF6032"/>
    <w:rsid w:val="00EF69B8"/>
    <w:rsid w:val="00EF767E"/>
    <w:rsid w:val="00F037A4"/>
    <w:rsid w:val="00F06543"/>
    <w:rsid w:val="00F11509"/>
    <w:rsid w:val="00F11843"/>
    <w:rsid w:val="00F137F7"/>
    <w:rsid w:val="00F16590"/>
    <w:rsid w:val="00F17D27"/>
    <w:rsid w:val="00F245D9"/>
    <w:rsid w:val="00F25757"/>
    <w:rsid w:val="00F26991"/>
    <w:rsid w:val="00F272FB"/>
    <w:rsid w:val="00F27301"/>
    <w:rsid w:val="00F27C8F"/>
    <w:rsid w:val="00F300D6"/>
    <w:rsid w:val="00F32749"/>
    <w:rsid w:val="00F32F64"/>
    <w:rsid w:val="00F333CC"/>
    <w:rsid w:val="00F342E0"/>
    <w:rsid w:val="00F35AD5"/>
    <w:rsid w:val="00F37172"/>
    <w:rsid w:val="00F37480"/>
    <w:rsid w:val="00F374DC"/>
    <w:rsid w:val="00F37978"/>
    <w:rsid w:val="00F43757"/>
    <w:rsid w:val="00F4477E"/>
    <w:rsid w:val="00F46B76"/>
    <w:rsid w:val="00F52982"/>
    <w:rsid w:val="00F52D79"/>
    <w:rsid w:val="00F54505"/>
    <w:rsid w:val="00F55F41"/>
    <w:rsid w:val="00F56F73"/>
    <w:rsid w:val="00F57745"/>
    <w:rsid w:val="00F6158E"/>
    <w:rsid w:val="00F64AC1"/>
    <w:rsid w:val="00F67D8F"/>
    <w:rsid w:val="00F70272"/>
    <w:rsid w:val="00F74AF8"/>
    <w:rsid w:val="00F75655"/>
    <w:rsid w:val="00F802BE"/>
    <w:rsid w:val="00F81CDA"/>
    <w:rsid w:val="00F830BE"/>
    <w:rsid w:val="00F84A50"/>
    <w:rsid w:val="00F84FEA"/>
    <w:rsid w:val="00F86024"/>
    <w:rsid w:val="00F8611A"/>
    <w:rsid w:val="00F9379A"/>
    <w:rsid w:val="00F94574"/>
    <w:rsid w:val="00F95941"/>
    <w:rsid w:val="00F97730"/>
    <w:rsid w:val="00FA3953"/>
    <w:rsid w:val="00FA5128"/>
    <w:rsid w:val="00FA544B"/>
    <w:rsid w:val="00FA54FD"/>
    <w:rsid w:val="00FA6239"/>
    <w:rsid w:val="00FA68FD"/>
    <w:rsid w:val="00FB0592"/>
    <w:rsid w:val="00FB2C34"/>
    <w:rsid w:val="00FB4188"/>
    <w:rsid w:val="00FB42D4"/>
    <w:rsid w:val="00FB58A3"/>
    <w:rsid w:val="00FB5906"/>
    <w:rsid w:val="00FB762F"/>
    <w:rsid w:val="00FC2AED"/>
    <w:rsid w:val="00FC3AF5"/>
    <w:rsid w:val="00FC5B45"/>
    <w:rsid w:val="00FC77BB"/>
    <w:rsid w:val="00FD050C"/>
    <w:rsid w:val="00FD0C2F"/>
    <w:rsid w:val="00FD1099"/>
    <w:rsid w:val="00FD5EA7"/>
    <w:rsid w:val="00FE3A83"/>
    <w:rsid w:val="00FE6CB4"/>
    <w:rsid w:val="00FE705C"/>
    <w:rsid w:val="00FF37E0"/>
    <w:rsid w:val="00FF4E3F"/>
    <w:rsid w:val="00FF5E10"/>
    <w:rsid w:val="00FF61AB"/>
    <w:rsid w:val="00FF795E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DD45C31"/>
  <w15:docId w15:val="{39D4923E-8AF6-4819-8C81-0E3FC063C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154AC9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Tekstpodstawowywcity21">
    <w:name w:val="Tekst podstawowy wcięty 21"/>
    <w:basedOn w:val="Normalny"/>
    <w:rsid w:val="007B0E35"/>
    <w:pPr>
      <w:spacing w:before="0" w:after="0" w:line="240" w:lineRule="auto"/>
      <w:ind w:left="227" w:hanging="227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B6350"/>
    <w:rPr>
      <w:color w:val="954F72" w:themeColor="followedHyperlink"/>
      <w:u w:val="single"/>
    </w:rPr>
  </w:style>
  <w:style w:type="table" w:customStyle="1" w:styleId="Siatkatabelijasna2">
    <w:name w:val="Siatka tabeli — jasna2"/>
    <w:basedOn w:val="Standardowy"/>
    <w:uiPriority w:val="40"/>
    <w:rsid w:val="009A79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efault">
    <w:name w:val="Default"/>
    <w:rsid w:val="006D5ABB"/>
    <w:pPr>
      <w:autoSpaceDE w:val="0"/>
      <w:autoSpaceDN w:val="0"/>
      <w:adjustRightInd w:val="0"/>
      <w:spacing w:after="0" w:line="240" w:lineRule="auto"/>
    </w:pPr>
    <w:rPr>
      <w:rFonts w:ascii="Fira Sans" w:hAnsi="Fira Sans" w:cs="Fira Sans"/>
      <w:color w:val="000000"/>
      <w:sz w:val="24"/>
      <w:szCs w:val="24"/>
    </w:rPr>
  </w:style>
  <w:style w:type="table" w:customStyle="1" w:styleId="Siatkatabelijasna21">
    <w:name w:val="Siatka tabeli — jasna21"/>
    <w:basedOn w:val="Standardowy"/>
    <w:uiPriority w:val="40"/>
    <w:rsid w:val="00EC7E6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2">
    <w:name w:val="Siatka tabeli — jasna22"/>
    <w:basedOn w:val="Standardowy"/>
    <w:uiPriority w:val="40"/>
    <w:rsid w:val="00AB3F7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oprawka">
    <w:name w:val="Revision"/>
    <w:hidden/>
    <w:uiPriority w:val="99"/>
    <w:semiHidden/>
    <w:rsid w:val="00BD7A45"/>
    <w:pPr>
      <w:spacing w:after="0" w:line="240" w:lineRule="auto"/>
    </w:pPr>
    <w:rPr>
      <w:rFonts w:ascii="Fira Sans" w:hAnsi="Fira Sans"/>
      <w:sz w:val="19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848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489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84896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48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84896"/>
    <w:rPr>
      <w:rFonts w:ascii="Fira Sans" w:hAnsi="Fira Sans"/>
      <w:b/>
      <w:bCs/>
      <w:sz w:val="20"/>
      <w:szCs w:val="20"/>
    </w:rPr>
  </w:style>
  <w:style w:type="table" w:customStyle="1" w:styleId="Siatkatabelijasna25">
    <w:name w:val="Siatka tabeli — jasna25"/>
    <w:basedOn w:val="Standardowy"/>
    <w:uiPriority w:val="40"/>
    <w:rsid w:val="00B6436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7">
    <w:name w:val="Siatka tabeli — jasna27"/>
    <w:basedOn w:val="Standardowy"/>
    <w:uiPriority w:val="40"/>
    <w:rsid w:val="009742A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71">
    <w:name w:val="Siatka tabeli — jasna271"/>
    <w:basedOn w:val="Standardowy"/>
    <w:uiPriority w:val="40"/>
    <w:rsid w:val="009742A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image" Target="media/image5.png"/><Relationship Id="rId26" Type="http://schemas.openxmlformats.org/officeDocument/2006/relationships/hyperlink" Target="http://stat.gov.pl/en/metainformations/glossary/terms-used-in-official-statistics/945,term.html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stat.gov.pl/en/topics/other-studies/informations-on-socio-economic-situation/publikacja,1.html" TargetMode="External"/><Relationship Id="rId34" Type="http://schemas.openxmlformats.org/officeDocument/2006/relationships/hyperlink" Target="http://stat.gov.pl/en/metainformations/glossary/terms-used-in-official-statistics/945,term.html" TargetMode="External"/><Relationship Id="rId7" Type="http://schemas.openxmlformats.org/officeDocument/2006/relationships/webSettings" Target="webSettings.xml"/><Relationship Id="rId12" Type="http://schemas.openxmlformats.org/officeDocument/2006/relationships/chart" Target="charts/chart2.xml"/><Relationship Id="rId17" Type="http://schemas.openxmlformats.org/officeDocument/2006/relationships/hyperlink" Target="mailto:obslugaprasowa@stat.gov.pl" TargetMode="External"/><Relationship Id="rId25" Type="http://schemas.openxmlformats.org/officeDocument/2006/relationships/hyperlink" Target="https://stat.gov.pl/en/metainformations/glossary/terms-used-in-official-statistics/3763,term.html" TargetMode="External"/><Relationship Id="rId33" Type="http://schemas.openxmlformats.org/officeDocument/2006/relationships/hyperlink" Target="https://stat.gov.pl/en/metainformations/glossary/terms-used-in-official-statistics/3763,term.html" TargetMode="External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image" Target="media/image7.png"/><Relationship Id="rId29" Type="http://schemas.openxmlformats.org/officeDocument/2006/relationships/hyperlink" Target="https://stat.gov.pl/en/topics/other-studies/informations-on-socio-economic-situation/publikacja,1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hart" Target="charts/chart1.xml"/><Relationship Id="rId24" Type="http://schemas.openxmlformats.org/officeDocument/2006/relationships/hyperlink" Target="https://bdl.stat.gov.pl/BDL/start" TargetMode="External"/><Relationship Id="rId32" Type="http://schemas.openxmlformats.org/officeDocument/2006/relationships/hyperlink" Target="https://bdl.stat.gov.pl/BDL/start" TargetMode="External"/><Relationship Id="rId37" Type="http://schemas.openxmlformats.org/officeDocument/2006/relationships/header" Target="header3.xm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23" Type="http://schemas.openxmlformats.org/officeDocument/2006/relationships/hyperlink" Target="http://swaid.stat.gov.pl/EN/Budownictwo_dashboards/Raporty_predefiniowane/RAP_DBD_BUD_7.aspx" TargetMode="External"/><Relationship Id="rId28" Type="http://schemas.openxmlformats.org/officeDocument/2006/relationships/hyperlink" Target="http://stat.gov.pl/en/metainformations/glossary/terms-used-in-official-statistics/201,term.html" TargetMode="External"/><Relationship Id="rId36" Type="http://schemas.openxmlformats.org/officeDocument/2006/relationships/hyperlink" Target="http://stat.gov.pl/en/metainformations/glossary/terms-used-in-official-statistics/201,term.html" TargetMode="External"/><Relationship Id="rId10" Type="http://schemas.openxmlformats.org/officeDocument/2006/relationships/image" Target="media/image3.emf"/><Relationship Id="rId19" Type="http://schemas.openxmlformats.org/officeDocument/2006/relationships/image" Target="media/image6.png"/><Relationship Id="rId31" Type="http://schemas.openxmlformats.org/officeDocument/2006/relationships/hyperlink" Target="http://swaid.stat.gov.pl/EN/Budownictwo_dashboards/Raporty_predefiniowane/RAP_DBD_BUD_7.aspx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hyperlink" Target="https://stat.gov.pl/en/topics/industry-construction-fixed-assets/construction/publikacja,1.html" TargetMode="External"/><Relationship Id="rId27" Type="http://schemas.openxmlformats.org/officeDocument/2006/relationships/hyperlink" Target="http://stat.gov.pl/en/metainformations/glossary/terms-used-in-official-statistics/945,term.html" TargetMode="External"/><Relationship Id="rId30" Type="http://schemas.openxmlformats.org/officeDocument/2006/relationships/hyperlink" Target="https://stat.gov.pl/en/topics/industry-construction-fixed-assets/construction/publikacja,1.html" TargetMode="External"/><Relationship Id="rId35" Type="http://schemas.openxmlformats.org/officeDocument/2006/relationships/hyperlink" Target="http://stat.gov.pl/en/metainformations/glossary/terms-used-in-official-statistics/945,term.html" TargetMode="Externa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Arkusz_programu_Microsoft_Excel1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Arkusz_programu_Microsoft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7.9817432827518589E-2"/>
          <c:y val="8.2339644466224729E-2"/>
          <c:w val="0.8683723551868533"/>
          <c:h val="0.56129480871240967"/>
        </c:manualLayout>
      </c:layout>
      <c:lineChart>
        <c:grouping val="standard"/>
        <c:varyColors val="0"/>
        <c:ser>
          <c:idx val="0"/>
          <c:order val="0"/>
          <c:tx>
            <c:strRef>
              <c:f>Arkusz1!$A$4</c:f>
              <c:strCache>
                <c:ptCount val="1"/>
                <c:pt idx="0">
                  <c:v>dwellings completed</c:v>
                </c:pt>
              </c:strCache>
            </c:strRef>
          </c:tx>
          <c:spPr>
            <a:ln w="15875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chemeClr val="bg1"/>
              </a:solidFill>
              <a:ln w="9525">
                <a:solidFill>
                  <a:srgbClr val="001D77"/>
                </a:solidFill>
              </a:ln>
              <a:effectLst/>
            </c:spPr>
          </c:marker>
          <c:cat>
            <c:multiLvlStrRef>
              <c:f>Arkusz1!$B$2:$AZ$3</c:f>
              <c:multiLvlStrCache>
                <c:ptCount val="51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  <c:pt idx="44">
                    <c:v>IX</c:v>
                  </c:pt>
                  <c:pt idx="45">
                    <c:v>X</c:v>
                  </c:pt>
                  <c:pt idx="46">
                    <c:v>XI</c:v>
                  </c:pt>
                  <c:pt idx="47">
                    <c:v>XII</c:v>
                  </c:pt>
                  <c:pt idx="48">
                    <c:v>I</c:v>
                  </c:pt>
                  <c:pt idx="49">
                    <c:v>II</c:v>
                  </c:pt>
                  <c:pt idx="50">
                    <c:v>III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</c:lvl>
              </c:multiLvlStrCache>
            </c:multiLvlStrRef>
          </c:cat>
          <c:val>
            <c:numRef>
              <c:f>Arkusz1!$B$4:$AZ$4</c:f>
              <c:numCache>
                <c:formatCode>General</c:formatCode>
                <c:ptCount val="51"/>
                <c:pt idx="0">
                  <c:v>15330</c:v>
                </c:pt>
                <c:pt idx="1">
                  <c:v>11501</c:v>
                </c:pt>
                <c:pt idx="2">
                  <c:v>13672</c:v>
                </c:pt>
                <c:pt idx="3">
                  <c:v>11296</c:v>
                </c:pt>
                <c:pt idx="4">
                  <c:v>13641</c:v>
                </c:pt>
                <c:pt idx="5">
                  <c:v>12846</c:v>
                </c:pt>
                <c:pt idx="6">
                  <c:v>17334</c:v>
                </c:pt>
                <c:pt idx="7">
                  <c:v>14404</c:v>
                </c:pt>
                <c:pt idx="8">
                  <c:v>14210</c:v>
                </c:pt>
                <c:pt idx="9">
                  <c:v>17409</c:v>
                </c:pt>
                <c:pt idx="10">
                  <c:v>18129</c:v>
                </c:pt>
                <c:pt idx="11">
                  <c:v>18570</c:v>
                </c:pt>
                <c:pt idx="12">
                  <c:v>15005</c:v>
                </c:pt>
                <c:pt idx="13">
                  <c:v>14921</c:v>
                </c:pt>
                <c:pt idx="14">
                  <c:v>14708</c:v>
                </c:pt>
                <c:pt idx="15">
                  <c:v>13861</c:v>
                </c:pt>
                <c:pt idx="16">
                  <c:v>11972</c:v>
                </c:pt>
                <c:pt idx="17">
                  <c:v>12319</c:v>
                </c:pt>
                <c:pt idx="18" formatCode="#,##0">
                  <c:v>16637</c:v>
                </c:pt>
                <c:pt idx="19" formatCode="#,##0">
                  <c:v>16415</c:v>
                </c:pt>
                <c:pt idx="20" formatCode="#,##0">
                  <c:v>13914</c:v>
                </c:pt>
                <c:pt idx="21" formatCode="#,##0">
                  <c:v>18871</c:v>
                </c:pt>
                <c:pt idx="22" formatCode="#,##0">
                  <c:v>16470</c:v>
                </c:pt>
                <c:pt idx="23" formatCode="#,##0">
                  <c:v>19970</c:v>
                </c:pt>
                <c:pt idx="24" formatCode="#,##0">
                  <c:v>17405</c:v>
                </c:pt>
                <c:pt idx="25" formatCode="#,##0">
                  <c:v>15021</c:v>
                </c:pt>
                <c:pt idx="26">
                  <c:v>14991</c:v>
                </c:pt>
                <c:pt idx="27">
                  <c:v>17673</c:v>
                </c:pt>
                <c:pt idx="28">
                  <c:v>14974</c:v>
                </c:pt>
                <c:pt idx="29">
                  <c:v>14412</c:v>
                </c:pt>
                <c:pt idx="30">
                  <c:v>16908</c:v>
                </c:pt>
                <c:pt idx="31">
                  <c:v>17334</c:v>
                </c:pt>
                <c:pt idx="32">
                  <c:v>16998</c:v>
                </c:pt>
                <c:pt idx="33">
                  <c:v>20592</c:v>
                </c:pt>
                <c:pt idx="34">
                  <c:v>19042</c:v>
                </c:pt>
                <c:pt idx="35">
                  <c:v>22075</c:v>
                </c:pt>
                <c:pt idx="36">
                  <c:v>18517</c:v>
                </c:pt>
                <c:pt idx="37">
                  <c:v>15527</c:v>
                </c:pt>
                <c:pt idx="38">
                  <c:v>15580</c:v>
                </c:pt>
                <c:pt idx="39">
                  <c:v>14358</c:v>
                </c:pt>
                <c:pt idx="40">
                  <c:v>16357</c:v>
                </c:pt>
                <c:pt idx="41">
                  <c:v>17006</c:v>
                </c:pt>
                <c:pt idx="42">
                  <c:v>23806</c:v>
                </c:pt>
                <c:pt idx="43" formatCode="#,##0">
                  <c:v>16378</c:v>
                </c:pt>
                <c:pt idx="44">
                  <c:v>19425</c:v>
                </c:pt>
                <c:pt idx="45">
                  <c:v>21044</c:v>
                </c:pt>
                <c:pt idx="46">
                  <c:v>20560</c:v>
                </c:pt>
                <c:pt idx="47">
                  <c:v>22843</c:v>
                </c:pt>
                <c:pt idx="48" formatCode="#,##0">
                  <c:v>17131</c:v>
                </c:pt>
                <c:pt idx="49" formatCode="#,##0">
                  <c:v>16723</c:v>
                </c:pt>
                <c:pt idx="50">
                  <c:v>19448</c:v>
                </c:pt>
              </c:numCache>
            </c:numRef>
          </c:val>
          <c:smooth val="0"/>
        </c:ser>
        <c:ser>
          <c:idx val="4"/>
          <c:order val="1"/>
          <c:tx>
            <c:strRef>
              <c:f>Arkusz1!$A$16</c:f>
              <c:strCache>
                <c:ptCount val="1"/>
                <c:pt idx="0">
                  <c:v>dwellings for which permits have been granted or which have been registered with a construction project</c:v>
                </c:pt>
              </c:strCache>
            </c:strRef>
          </c:tx>
          <c:spPr>
            <a:ln w="15875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chemeClr val="bg1"/>
              </a:solidFill>
              <a:ln w="9525">
                <a:solidFill>
                  <a:srgbClr val="008542"/>
                </a:solidFill>
              </a:ln>
              <a:effectLst/>
            </c:spPr>
          </c:marker>
          <c:cat>
            <c:multiLvlStrRef>
              <c:f>Arkusz1!$B$2:$AZ$3</c:f>
              <c:multiLvlStrCache>
                <c:ptCount val="51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  <c:pt idx="44">
                    <c:v>IX</c:v>
                  </c:pt>
                  <c:pt idx="45">
                    <c:v>X</c:v>
                  </c:pt>
                  <c:pt idx="46">
                    <c:v>XI</c:v>
                  </c:pt>
                  <c:pt idx="47">
                    <c:v>XII</c:v>
                  </c:pt>
                  <c:pt idx="48">
                    <c:v>I</c:v>
                  </c:pt>
                  <c:pt idx="49">
                    <c:v>II</c:v>
                  </c:pt>
                  <c:pt idx="50">
                    <c:v>III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</c:lvl>
              </c:multiLvlStrCache>
            </c:multiLvlStrRef>
          </c:cat>
          <c:val>
            <c:numRef>
              <c:f>Arkusz1!$B$16:$AZ$16</c:f>
              <c:numCache>
                <c:formatCode>General</c:formatCode>
                <c:ptCount val="51"/>
                <c:pt idx="0">
                  <c:v>14984</c:v>
                </c:pt>
                <c:pt idx="1">
                  <c:v>22178</c:v>
                </c:pt>
                <c:pt idx="2">
                  <c:v>23072</c:v>
                </c:pt>
                <c:pt idx="3">
                  <c:v>23206</c:v>
                </c:pt>
                <c:pt idx="4">
                  <c:v>22938</c:v>
                </c:pt>
                <c:pt idx="5">
                  <c:v>24039</c:v>
                </c:pt>
                <c:pt idx="6">
                  <c:v>20649</c:v>
                </c:pt>
                <c:pt idx="7">
                  <c:v>18113</c:v>
                </c:pt>
                <c:pt idx="8">
                  <c:v>21350</c:v>
                </c:pt>
                <c:pt idx="9">
                  <c:v>22689</c:v>
                </c:pt>
                <c:pt idx="10">
                  <c:v>17775</c:v>
                </c:pt>
                <c:pt idx="11">
                  <c:v>19225</c:v>
                </c:pt>
                <c:pt idx="12">
                  <c:v>20783</c:v>
                </c:pt>
                <c:pt idx="13">
                  <c:v>20410</c:v>
                </c:pt>
                <c:pt idx="14">
                  <c:v>25239</c:v>
                </c:pt>
                <c:pt idx="15">
                  <c:v>20895</c:v>
                </c:pt>
                <c:pt idx="16">
                  <c:v>22003</c:v>
                </c:pt>
                <c:pt idx="17">
                  <c:v>22608</c:v>
                </c:pt>
                <c:pt idx="18">
                  <c:v>19658</c:v>
                </c:pt>
                <c:pt idx="19" formatCode="#,##0">
                  <c:v>22017</c:v>
                </c:pt>
                <c:pt idx="20">
                  <c:v>19613</c:v>
                </c:pt>
                <c:pt idx="21" formatCode="#,##0">
                  <c:v>24773</c:v>
                </c:pt>
                <c:pt idx="22" formatCode="#,##0">
                  <c:v>19748</c:v>
                </c:pt>
                <c:pt idx="23" formatCode="#,##0">
                  <c:v>19325</c:v>
                </c:pt>
                <c:pt idx="24" formatCode="#,##0">
                  <c:v>20630</c:v>
                </c:pt>
                <c:pt idx="25" formatCode="#,##0">
                  <c:v>16849</c:v>
                </c:pt>
                <c:pt idx="26">
                  <c:v>19732</c:v>
                </c:pt>
                <c:pt idx="27">
                  <c:v>22828</c:v>
                </c:pt>
                <c:pt idx="28">
                  <c:v>26965</c:v>
                </c:pt>
                <c:pt idx="29">
                  <c:v>22514</c:v>
                </c:pt>
                <c:pt idx="30">
                  <c:v>24407</c:v>
                </c:pt>
                <c:pt idx="31">
                  <c:v>22431</c:v>
                </c:pt>
                <c:pt idx="32">
                  <c:v>24754</c:v>
                </c:pt>
                <c:pt idx="33">
                  <c:v>27824</c:v>
                </c:pt>
                <c:pt idx="34">
                  <c:v>19448</c:v>
                </c:pt>
                <c:pt idx="35">
                  <c:v>20101</c:v>
                </c:pt>
                <c:pt idx="36">
                  <c:v>18370</c:v>
                </c:pt>
                <c:pt idx="37">
                  <c:v>18920</c:v>
                </c:pt>
                <c:pt idx="38">
                  <c:v>22122</c:v>
                </c:pt>
                <c:pt idx="39">
                  <c:v>16714</c:v>
                </c:pt>
                <c:pt idx="40">
                  <c:v>19338</c:v>
                </c:pt>
                <c:pt idx="41">
                  <c:v>26845</c:v>
                </c:pt>
                <c:pt idx="42">
                  <c:v>25237</c:v>
                </c:pt>
                <c:pt idx="43">
                  <c:v>20975</c:v>
                </c:pt>
                <c:pt idx="44">
                  <c:v>23885</c:v>
                </c:pt>
                <c:pt idx="45">
                  <c:v>26960</c:v>
                </c:pt>
                <c:pt idx="46">
                  <c:v>22183</c:v>
                </c:pt>
                <c:pt idx="47">
                  <c:v>34605</c:v>
                </c:pt>
                <c:pt idx="48">
                  <c:v>23290</c:v>
                </c:pt>
                <c:pt idx="49" formatCode="#,##0">
                  <c:v>27179</c:v>
                </c:pt>
                <c:pt idx="50">
                  <c:v>33869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Arkusz1!$A$10</c:f>
              <c:strCache>
                <c:ptCount val="1"/>
                <c:pt idx="0">
                  <c:v>dwellings in which construction has begun</c:v>
                </c:pt>
              </c:strCache>
            </c:strRef>
          </c:tx>
          <c:spPr>
            <a:ln w="15875" cap="rnd">
              <a:solidFill>
                <a:srgbClr val="99A5C9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chemeClr val="bg1"/>
              </a:solidFill>
              <a:ln w="9525">
                <a:solidFill>
                  <a:srgbClr val="99A5C9"/>
                </a:solidFill>
              </a:ln>
              <a:effectLst/>
            </c:spPr>
          </c:marker>
          <c:cat>
            <c:multiLvlStrRef>
              <c:f>Arkusz1!$B$2:$AZ$3</c:f>
              <c:multiLvlStrCache>
                <c:ptCount val="51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  <c:pt idx="44">
                    <c:v>IX</c:v>
                  </c:pt>
                  <c:pt idx="45">
                    <c:v>X</c:v>
                  </c:pt>
                  <c:pt idx="46">
                    <c:v>XI</c:v>
                  </c:pt>
                  <c:pt idx="47">
                    <c:v>XII</c:v>
                  </c:pt>
                  <c:pt idx="48">
                    <c:v>I</c:v>
                  </c:pt>
                  <c:pt idx="49">
                    <c:v>II</c:v>
                  </c:pt>
                  <c:pt idx="50">
                    <c:v>III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</c:lvl>
              </c:multiLvlStrCache>
            </c:multiLvlStrRef>
          </c:cat>
          <c:val>
            <c:numRef>
              <c:f>Arkusz1!$B$10:$AZ$10</c:f>
              <c:numCache>
                <c:formatCode>General</c:formatCode>
                <c:ptCount val="51"/>
                <c:pt idx="0">
                  <c:v>11208</c:v>
                </c:pt>
                <c:pt idx="1">
                  <c:v>11908</c:v>
                </c:pt>
                <c:pt idx="2">
                  <c:v>21090</c:v>
                </c:pt>
                <c:pt idx="3">
                  <c:v>17640</c:v>
                </c:pt>
                <c:pt idx="4">
                  <c:v>21826</c:v>
                </c:pt>
                <c:pt idx="5">
                  <c:v>22364</c:v>
                </c:pt>
                <c:pt idx="6">
                  <c:v>18283</c:v>
                </c:pt>
                <c:pt idx="7">
                  <c:v>19543</c:v>
                </c:pt>
                <c:pt idx="8">
                  <c:v>16988</c:v>
                </c:pt>
                <c:pt idx="9">
                  <c:v>16275</c:v>
                </c:pt>
                <c:pt idx="10">
                  <c:v>16672</c:v>
                </c:pt>
                <c:pt idx="11">
                  <c:v>12193</c:v>
                </c:pt>
                <c:pt idx="12">
                  <c:v>13949</c:v>
                </c:pt>
                <c:pt idx="13">
                  <c:v>13851</c:v>
                </c:pt>
                <c:pt idx="14">
                  <c:v>20178</c:v>
                </c:pt>
                <c:pt idx="15">
                  <c:v>22924</c:v>
                </c:pt>
                <c:pt idx="16">
                  <c:v>20536</c:v>
                </c:pt>
                <c:pt idx="17">
                  <c:v>22228</c:v>
                </c:pt>
                <c:pt idx="18">
                  <c:v>18900</c:v>
                </c:pt>
                <c:pt idx="19">
                  <c:v>21929</c:v>
                </c:pt>
                <c:pt idx="20">
                  <c:v>19466</c:v>
                </c:pt>
                <c:pt idx="21" formatCode="#,##0">
                  <c:v>20063</c:v>
                </c:pt>
                <c:pt idx="22" formatCode="#,##0">
                  <c:v>16792</c:v>
                </c:pt>
                <c:pt idx="23" formatCode="#,##0">
                  <c:v>11091</c:v>
                </c:pt>
                <c:pt idx="24" formatCode="#,##0">
                  <c:v>13444</c:v>
                </c:pt>
                <c:pt idx="25" formatCode="#,##0">
                  <c:v>16682</c:v>
                </c:pt>
                <c:pt idx="26">
                  <c:v>23752</c:v>
                </c:pt>
                <c:pt idx="27">
                  <c:v>21958</c:v>
                </c:pt>
                <c:pt idx="28">
                  <c:v>20600</c:v>
                </c:pt>
                <c:pt idx="29">
                  <c:v>18956</c:v>
                </c:pt>
                <c:pt idx="30">
                  <c:v>21958</c:v>
                </c:pt>
                <c:pt idx="31">
                  <c:v>19528</c:v>
                </c:pt>
                <c:pt idx="32">
                  <c:v>21566</c:v>
                </c:pt>
                <c:pt idx="33">
                  <c:v>24095</c:v>
                </c:pt>
                <c:pt idx="34">
                  <c:v>18884</c:v>
                </c:pt>
                <c:pt idx="35">
                  <c:v>15858</c:v>
                </c:pt>
                <c:pt idx="36">
                  <c:v>15891</c:v>
                </c:pt>
                <c:pt idx="37">
                  <c:v>17875</c:v>
                </c:pt>
                <c:pt idx="38">
                  <c:v>18777</c:v>
                </c:pt>
                <c:pt idx="39">
                  <c:v>13647</c:v>
                </c:pt>
                <c:pt idx="40">
                  <c:v>15012</c:v>
                </c:pt>
                <c:pt idx="41">
                  <c:v>18763</c:v>
                </c:pt>
                <c:pt idx="42">
                  <c:v>21690</c:v>
                </c:pt>
                <c:pt idx="43">
                  <c:v>19460</c:v>
                </c:pt>
                <c:pt idx="44">
                  <c:v>26232</c:v>
                </c:pt>
                <c:pt idx="45">
                  <c:v>19601</c:v>
                </c:pt>
                <c:pt idx="46">
                  <c:v>19785</c:v>
                </c:pt>
                <c:pt idx="47">
                  <c:v>17109</c:v>
                </c:pt>
                <c:pt idx="48">
                  <c:v>17419</c:v>
                </c:pt>
                <c:pt idx="49" formatCode="#,##0">
                  <c:v>16116</c:v>
                </c:pt>
                <c:pt idx="50">
                  <c:v>30143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602437136"/>
        <c:axId val="1602429520"/>
      </c:lineChart>
      <c:catAx>
        <c:axId val="16024371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6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602429520"/>
        <c:crosses val="autoZero"/>
        <c:auto val="1"/>
        <c:lblAlgn val="ctr"/>
        <c:lblOffset val="100"/>
        <c:tickLblSkip val="1"/>
        <c:tickMarkSkip val="1"/>
        <c:noMultiLvlLbl val="1"/>
      </c:catAx>
      <c:valAx>
        <c:axId val="1602429520"/>
        <c:scaling>
          <c:orientation val="minMax"/>
          <c:max val="3500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6024371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5.102522281405044E-2"/>
          <c:y val="0.80760478393809021"/>
          <c:w val="0.82467972462906636"/>
          <c:h val="0.1444006999125109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600" b="0" i="0" u="none" strike="noStrike" kern="1200" baseline="0">
              <a:solidFill>
                <a:schemeClr val="tx1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7672701673761587"/>
          <c:y val="5.2860938154308743E-2"/>
          <c:w val="0.78147912136044484"/>
          <c:h val="0.74852611056573459"/>
        </c:manualLayout>
      </c:layout>
      <c:barChart>
        <c:barDir val="bar"/>
        <c:grouping val="clustered"/>
        <c:varyColors val="0"/>
        <c:ser>
          <c:idx val="1"/>
          <c:order val="0"/>
          <c:tx>
            <c:strRef>
              <c:f>Arkusz2!$N$37</c:f>
              <c:strCache>
                <c:ptCount val="1"/>
                <c:pt idx="0">
                  <c:v>dwellings in which construction has begun </c:v>
                </c:pt>
              </c:strCache>
            </c:strRef>
          </c:tx>
          <c:spPr>
            <a:solidFill>
              <a:srgbClr val="99A5C9"/>
            </a:solidFill>
            <a:ln>
              <a:solidFill>
                <a:srgbClr val="99A5C9"/>
              </a:solidFill>
            </a:ln>
            <a:effectLst/>
          </c:spPr>
          <c:invertIfNegative val="0"/>
          <c:cat>
            <c:strRef>
              <c:f>Arkusz2!$G$33:$G$48</c:f>
              <c:strCache>
                <c:ptCount val="16"/>
                <c:pt idx="0">
                  <c:v>Opolskie</c:v>
                </c:pt>
                <c:pt idx="1">
                  <c:v>Lubuskie</c:v>
                </c:pt>
                <c:pt idx="2">
                  <c:v>Świętokrzyskie</c:v>
                </c:pt>
                <c:pt idx="3">
                  <c:v>Warmińsko-mazurskie</c:v>
                </c:pt>
                <c:pt idx="4">
                  <c:v>Podlaskie</c:v>
                </c:pt>
                <c:pt idx="5">
                  <c:v>Lubelskie</c:v>
                </c:pt>
                <c:pt idx="6">
                  <c:v>Kujawsko-pomorskie</c:v>
                </c:pt>
                <c:pt idx="7">
                  <c:v>Zachodniopomorskie</c:v>
                </c:pt>
                <c:pt idx="8">
                  <c:v>Podkarpackie</c:v>
                </c:pt>
                <c:pt idx="9">
                  <c:v>Łódzkie</c:v>
                </c:pt>
                <c:pt idx="10">
                  <c:v>Śląskie</c:v>
                </c:pt>
                <c:pt idx="11">
                  <c:v>Pomorskie</c:v>
                </c:pt>
                <c:pt idx="12">
                  <c:v>Małopolskie</c:v>
                </c:pt>
                <c:pt idx="13">
                  <c:v>Dolnośląskie</c:v>
                </c:pt>
                <c:pt idx="14">
                  <c:v>Wielkopolskie</c:v>
                </c:pt>
                <c:pt idx="15">
                  <c:v>Mazowieckie</c:v>
                </c:pt>
              </c:strCache>
            </c:strRef>
          </c:cat>
          <c:val>
            <c:numRef>
              <c:f>Arkusz2!$I$33:$I$48</c:f>
              <c:numCache>
                <c:formatCode>#,##0</c:formatCode>
                <c:ptCount val="16"/>
                <c:pt idx="0">
                  <c:v>712</c:v>
                </c:pt>
                <c:pt idx="1">
                  <c:v>1299</c:v>
                </c:pt>
                <c:pt idx="2">
                  <c:v>1256</c:v>
                </c:pt>
                <c:pt idx="3">
                  <c:v>1908</c:v>
                </c:pt>
                <c:pt idx="4">
                  <c:v>1311</c:v>
                </c:pt>
                <c:pt idx="5">
                  <c:v>3907</c:v>
                </c:pt>
                <c:pt idx="6">
                  <c:v>2598</c:v>
                </c:pt>
                <c:pt idx="7">
                  <c:v>3237</c:v>
                </c:pt>
                <c:pt idx="8">
                  <c:v>2679</c:v>
                </c:pt>
                <c:pt idx="9">
                  <c:v>3660</c:v>
                </c:pt>
                <c:pt idx="10">
                  <c:v>6104</c:v>
                </c:pt>
                <c:pt idx="11">
                  <c:v>6241</c:v>
                </c:pt>
                <c:pt idx="12">
                  <c:v>5597</c:v>
                </c:pt>
                <c:pt idx="13">
                  <c:v>5521</c:v>
                </c:pt>
                <c:pt idx="14">
                  <c:v>8441</c:v>
                </c:pt>
                <c:pt idx="15">
                  <c:v>9207</c:v>
                </c:pt>
              </c:numCache>
            </c:numRef>
          </c:val>
        </c:ser>
        <c:ser>
          <c:idx val="2"/>
          <c:order val="1"/>
          <c:tx>
            <c:strRef>
              <c:f>Arkusz2!$N$32</c:f>
              <c:strCache>
                <c:ptCount val="1"/>
                <c:pt idx="0">
                  <c:v>dwellings for which permits have been granted or which have been registered with a construction project</c:v>
                </c:pt>
              </c:strCache>
            </c:strRef>
          </c:tx>
          <c:spPr>
            <a:solidFill>
              <a:srgbClr val="008542"/>
            </a:solidFill>
            <a:ln>
              <a:noFill/>
            </a:ln>
            <a:effectLst/>
          </c:spPr>
          <c:invertIfNegative val="0"/>
          <c:cat>
            <c:strRef>
              <c:f>Arkusz2!$G$33:$G$48</c:f>
              <c:strCache>
                <c:ptCount val="16"/>
                <c:pt idx="0">
                  <c:v>Opolskie</c:v>
                </c:pt>
                <c:pt idx="1">
                  <c:v>Lubuskie</c:v>
                </c:pt>
                <c:pt idx="2">
                  <c:v>Świętokrzyskie</c:v>
                </c:pt>
                <c:pt idx="3">
                  <c:v>Warmińsko-mazurskie</c:v>
                </c:pt>
                <c:pt idx="4">
                  <c:v>Podlaskie</c:v>
                </c:pt>
                <c:pt idx="5">
                  <c:v>Lubelskie</c:v>
                </c:pt>
                <c:pt idx="6">
                  <c:v>Kujawsko-pomorskie</c:v>
                </c:pt>
                <c:pt idx="7">
                  <c:v>Zachodniopomorskie</c:v>
                </c:pt>
                <c:pt idx="8">
                  <c:v>Podkarpackie</c:v>
                </c:pt>
                <c:pt idx="9">
                  <c:v>Łódzkie</c:v>
                </c:pt>
                <c:pt idx="10">
                  <c:v>Śląskie</c:v>
                </c:pt>
                <c:pt idx="11">
                  <c:v>Pomorskie</c:v>
                </c:pt>
                <c:pt idx="12">
                  <c:v>Małopolskie</c:v>
                </c:pt>
                <c:pt idx="13">
                  <c:v>Dolnośląskie</c:v>
                </c:pt>
                <c:pt idx="14">
                  <c:v>Wielkopolskie</c:v>
                </c:pt>
                <c:pt idx="15">
                  <c:v>Mazowieckie</c:v>
                </c:pt>
              </c:strCache>
            </c:strRef>
          </c:cat>
          <c:val>
            <c:numRef>
              <c:f>Arkusz2!$H$33:$H$48</c:f>
              <c:numCache>
                <c:formatCode>#,##0</c:formatCode>
                <c:ptCount val="16"/>
                <c:pt idx="0">
                  <c:v>979</c:v>
                </c:pt>
                <c:pt idx="1">
                  <c:v>2383</c:v>
                </c:pt>
                <c:pt idx="2">
                  <c:v>1206</c:v>
                </c:pt>
                <c:pt idx="3">
                  <c:v>3230</c:v>
                </c:pt>
                <c:pt idx="4">
                  <c:v>2349</c:v>
                </c:pt>
                <c:pt idx="5">
                  <c:v>4361</c:v>
                </c:pt>
                <c:pt idx="6">
                  <c:v>4043</c:v>
                </c:pt>
                <c:pt idx="7">
                  <c:v>4374</c:v>
                </c:pt>
                <c:pt idx="8">
                  <c:v>3182</c:v>
                </c:pt>
                <c:pt idx="9">
                  <c:v>5892</c:v>
                </c:pt>
                <c:pt idx="10">
                  <c:v>6952</c:v>
                </c:pt>
                <c:pt idx="11">
                  <c:v>9053</c:v>
                </c:pt>
                <c:pt idx="12">
                  <c:v>6730</c:v>
                </c:pt>
                <c:pt idx="13">
                  <c:v>7154</c:v>
                </c:pt>
                <c:pt idx="14">
                  <c:v>9300</c:v>
                </c:pt>
                <c:pt idx="15">
                  <c:v>13150</c:v>
                </c:pt>
              </c:numCache>
            </c:numRef>
          </c:val>
        </c:ser>
        <c:ser>
          <c:idx val="0"/>
          <c:order val="2"/>
          <c:tx>
            <c:strRef>
              <c:f>Arkusz2!$N$35</c:f>
              <c:strCache>
                <c:ptCount val="1"/>
                <c:pt idx="0">
                  <c:v>dwellings completed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cat>
            <c:strRef>
              <c:f>Arkusz2!$G$33:$G$48</c:f>
              <c:strCache>
                <c:ptCount val="16"/>
                <c:pt idx="0">
                  <c:v>Opolskie</c:v>
                </c:pt>
                <c:pt idx="1">
                  <c:v>Lubuskie</c:v>
                </c:pt>
                <c:pt idx="2">
                  <c:v>Świętokrzyskie</c:v>
                </c:pt>
                <c:pt idx="3">
                  <c:v>Warmińsko-mazurskie</c:v>
                </c:pt>
                <c:pt idx="4">
                  <c:v>Podlaskie</c:v>
                </c:pt>
                <c:pt idx="5">
                  <c:v>Lubelskie</c:v>
                </c:pt>
                <c:pt idx="6">
                  <c:v>Kujawsko-pomorskie</c:v>
                </c:pt>
                <c:pt idx="7">
                  <c:v>Zachodniopomorskie</c:v>
                </c:pt>
                <c:pt idx="8">
                  <c:v>Podkarpackie</c:v>
                </c:pt>
                <c:pt idx="9">
                  <c:v>Łódzkie</c:v>
                </c:pt>
                <c:pt idx="10">
                  <c:v>Śląskie</c:v>
                </c:pt>
                <c:pt idx="11">
                  <c:v>Pomorskie</c:v>
                </c:pt>
                <c:pt idx="12">
                  <c:v>Małopolskie</c:v>
                </c:pt>
                <c:pt idx="13">
                  <c:v>Dolnośląskie</c:v>
                </c:pt>
                <c:pt idx="14">
                  <c:v>Wielkopolskie</c:v>
                </c:pt>
                <c:pt idx="15">
                  <c:v>Mazowieckie</c:v>
                </c:pt>
              </c:strCache>
            </c:strRef>
          </c:cat>
          <c:val>
            <c:numRef>
              <c:f>Arkusz2!$J$33:$J$48</c:f>
              <c:numCache>
                <c:formatCode>#,##0</c:formatCode>
                <c:ptCount val="16"/>
                <c:pt idx="0">
                  <c:v>850</c:v>
                </c:pt>
                <c:pt idx="1">
                  <c:v>1187</c:v>
                </c:pt>
                <c:pt idx="2">
                  <c:v>1268</c:v>
                </c:pt>
                <c:pt idx="3">
                  <c:v>1389</c:v>
                </c:pt>
                <c:pt idx="4">
                  <c:v>1552</c:v>
                </c:pt>
                <c:pt idx="5">
                  <c:v>2183</c:v>
                </c:pt>
                <c:pt idx="6">
                  <c:v>2199</c:v>
                </c:pt>
                <c:pt idx="7">
                  <c:v>2424</c:v>
                </c:pt>
                <c:pt idx="8">
                  <c:v>2528</c:v>
                </c:pt>
                <c:pt idx="9">
                  <c:v>3018</c:v>
                </c:pt>
                <c:pt idx="10">
                  <c:v>3759</c:v>
                </c:pt>
                <c:pt idx="11">
                  <c:v>4609</c:v>
                </c:pt>
                <c:pt idx="12">
                  <c:v>4694</c:v>
                </c:pt>
                <c:pt idx="13">
                  <c:v>5307</c:v>
                </c:pt>
                <c:pt idx="14">
                  <c:v>5740</c:v>
                </c:pt>
                <c:pt idx="15">
                  <c:v>10595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602431152"/>
        <c:axId val="1602427888"/>
      </c:barChart>
      <c:catAx>
        <c:axId val="1602431152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1602427888"/>
        <c:crosses val="autoZero"/>
        <c:auto val="1"/>
        <c:lblAlgn val="ctr"/>
        <c:lblOffset val="100"/>
        <c:noMultiLvlLbl val="0"/>
      </c:catAx>
      <c:valAx>
        <c:axId val="1602427888"/>
        <c:scaling>
          <c:orientation val="minMax"/>
          <c:max val="14000"/>
        </c:scaling>
        <c:delete val="0"/>
        <c:axPos val="b"/>
        <c:numFmt formatCode="#,##0" sourceLinked="0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602431152"/>
        <c:crosses val="autoZero"/>
        <c:crossBetween val="between"/>
        <c:majorUnit val="1000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2059689080330187"/>
          <c:y val="0.86741001860382094"/>
          <c:w val="0.83688211129506873"/>
          <c:h val="0.1221426659069534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600" b="0" i="0" u="none" strike="noStrike" kern="1200" spc="0" baseline="0">
              <a:solidFill>
                <a:sysClr val="windowText" lastClr="000000"/>
              </a:solidFill>
              <a:latin typeface="Fira Sans" panose="020B0503050000020004" pitchFamily="34" charset="0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  <Odbiorcy2 xmlns="8C029B3F-2CC4-4A59-AF0D-A90575FA3373" xsi:nil="true"/>
    <Osoba xmlns="8C029B3F-2CC4-4A59-AF0D-A90575FA3373">STAT\CZARNECKAK</Osoba>
    <NazwaPliku xmlns="8C029B3F-2CC4-4A59-AF0D-A90575FA3373">residential_construction__in_January-February_2021.docx.docx</NazwaPliku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F7B257-98A6-4D1A-9F5A-EF79A74F80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C029B3F-2CC4-4A59-AF0D-A90575FA3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C029B3F-2CC4-4A59-AF0D-A90575FA3373"/>
  </ds:schemaRefs>
</ds:datastoreItem>
</file>

<file path=customXml/itemProps3.xml><?xml version="1.0" encoding="utf-8"?>
<ds:datastoreItem xmlns:ds="http://schemas.openxmlformats.org/officeDocument/2006/customXml" ds:itemID="{6855B6B6-2ECE-4BC1-8794-64BC195B6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833</Words>
  <Characters>5003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Statistics Poland</Company>
  <LinksUpToDate>false</LinksUpToDate>
  <CharactersWithSpaces>5825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dwellings completed; dwellings under construction; dwellings started; building permit; useful floor area</cp:keywords>
  <cp:lastPrinted>2021-02-17T13:06:00Z</cp:lastPrinted>
  <dcterms:created xsi:type="dcterms:W3CDTF">2021-04-19T21:56:00Z</dcterms:created>
  <dcterms:modified xsi:type="dcterms:W3CDTF">2021-04-19T21:56:00Z</dcterms:modified>
  <cp:category>Construction;Residential construction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>LUB-OSB.6362.2.2021.5</vt:lpwstr>
  </property>
  <property fmtid="{D5CDD505-2E9C-101B-9397-08002B2CF9AE}" pid="4" name="UNPPisma">
    <vt:lpwstr>2021-69339</vt:lpwstr>
  </property>
  <property fmtid="{D5CDD505-2E9C-101B-9397-08002B2CF9AE}" pid="5" name="ZnakSprawy">
    <vt:lpwstr>LUB-OSB.6362.2.2021</vt:lpwstr>
  </property>
  <property fmtid="{D5CDD505-2E9C-101B-9397-08002B2CF9AE}" pid="6" name="ZnakSprawyPrzedPrzeniesieniem">
    <vt:lpwstr/>
  </property>
  <property fmtid="{D5CDD505-2E9C-101B-9397-08002B2CF9AE}" pid="7" name="Autor">
    <vt:lpwstr>Powęska Anna</vt:lpwstr>
  </property>
  <property fmtid="{D5CDD505-2E9C-101B-9397-08002B2CF9AE}" pid="8" name="AutorInicjaly">
    <vt:lpwstr>AP</vt:lpwstr>
  </property>
  <property fmtid="{D5CDD505-2E9C-101B-9397-08002B2CF9AE}" pid="9" name="AutorNrTelefonu">
    <vt:lpwstr>815332051 wew.153</vt:lpwstr>
  </property>
  <property fmtid="{D5CDD505-2E9C-101B-9397-08002B2CF9AE}" pid="10" name="Stanowisko">
    <vt:lpwstr>referendarz statystyk</vt:lpwstr>
  </property>
  <property fmtid="{D5CDD505-2E9C-101B-9397-08002B2CF9AE}" pid="11" name="OpisPisma">
    <vt:lpwstr>Notatka sygnalna "Budownictwo mieszkaniowe w okresie I-II 2021 r."</vt:lpwstr>
  </property>
  <property fmtid="{D5CDD505-2E9C-101B-9397-08002B2CF9AE}" pid="12" name="Komorka">
    <vt:lpwstr>Dyrektor US Lublin</vt:lpwstr>
  </property>
  <property fmtid="{D5CDD505-2E9C-101B-9397-08002B2CF9AE}" pid="13" name="KodKomorki">
    <vt:lpwstr>DYR-LUB</vt:lpwstr>
  </property>
  <property fmtid="{D5CDD505-2E9C-101B-9397-08002B2CF9AE}" pid="14" name="AktualnaData">
    <vt:lpwstr>2021-03-17</vt:lpwstr>
  </property>
  <property fmtid="{D5CDD505-2E9C-101B-9397-08002B2CF9AE}" pid="15" name="Wydzial">
    <vt:lpwstr>Ośrodek Statystyki Budownictwa</vt:lpwstr>
  </property>
  <property fmtid="{D5CDD505-2E9C-101B-9397-08002B2CF9AE}" pid="16" name="KodWydzialu">
    <vt:lpwstr>OSB</vt:lpwstr>
  </property>
  <property fmtid="{D5CDD505-2E9C-101B-9397-08002B2CF9AE}" pid="17" name="ZaakceptowanePrzez">
    <vt:lpwstr>n/d</vt:lpwstr>
  </property>
  <property fmtid="{D5CDD505-2E9C-101B-9397-08002B2CF9AE}" pid="18" name="PrzekazanieDo">
    <vt:lpwstr/>
  </property>
  <property fmtid="{D5CDD505-2E9C-101B-9397-08002B2CF9AE}" pid="19" name="PrzekazanieDoStanowisko">
    <vt:lpwstr/>
  </property>
  <property fmtid="{D5CDD505-2E9C-101B-9397-08002B2CF9AE}" pid="20" name="PrzekazanieDoKomorkaPracownika">
    <vt:lpwstr/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>GŁÓWNY URZĄD STATYSTYCZNY</vt:lpwstr>
  </property>
  <property fmtid="{D5CDD505-2E9C-101B-9397-08002B2CF9AE}" pid="25" name="adresOddzial">
    <vt:lpwstr/>
  </property>
  <property fmtid="{D5CDD505-2E9C-101B-9397-08002B2CF9AE}" pid="26" name="adresUlica">
    <vt:lpwstr>NIEPODLEGŁOŚCI AL.</vt:lpwstr>
  </property>
  <property fmtid="{D5CDD505-2E9C-101B-9397-08002B2CF9AE}" pid="27" name="adresTypUlicy">
    <vt:lpwstr>al.</vt:lpwstr>
  </property>
  <property fmtid="{D5CDD505-2E9C-101B-9397-08002B2CF9AE}" pid="28" name="adresNrDomu">
    <vt:lpwstr>208</vt:lpwstr>
  </property>
  <property fmtid="{D5CDD505-2E9C-101B-9397-08002B2CF9AE}" pid="29" name="adresNrLokalu">
    <vt:lpwstr/>
  </property>
  <property fmtid="{D5CDD505-2E9C-101B-9397-08002B2CF9AE}" pid="30" name="adresKodPocztowy">
    <vt:lpwstr>00-925</vt:lpwstr>
  </property>
  <property fmtid="{D5CDD505-2E9C-101B-9397-08002B2CF9AE}" pid="31" name="adresMiejscowosc">
    <vt:lpwstr>WARSZAWA (ŚRÓDMIEŚCIE)</vt:lpwstr>
  </property>
  <property fmtid="{D5CDD505-2E9C-101B-9397-08002B2CF9AE}" pid="32" name="adresPoczta">
    <vt:lpwstr/>
  </property>
  <property fmtid="{D5CDD505-2E9C-101B-9397-08002B2CF9AE}" pid="33" name="adresEMail">
    <vt:lpwstr>dane@stat.gov.pl</vt:lpwstr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