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3F95AB9E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>the period of I-II</w:t>
      </w:r>
      <w:r w:rsidRPr="003D4820" w:rsidR="003D4820">
        <w:rPr>
          <w:szCs w:val="32"/>
          <w:lang w:val="en-GB"/>
        </w:rPr>
        <w:t xml:space="preserve"> </w:t>
      </w:r>
      <w:r w:rsidR="003D4820">
        <w:rPr>
          <w:szCs w:val="32"/>
          <w:shd w:val="clear" w:color="auto" w:fill="FFFFFF"/>
          <w:lang w:val="en-GB"/>
        </w:rPr>
        <w:t>2021</w:t>
      </w:r>
    </w:p>
    <w:p w:rsidRPr="004829B9" w:rsidR="00393761" w:rsidP="00074DD8" w:rsidRDefault="005F302D" w14:paraId="138C7713" w14:textId="77777777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editId="3AA2B3BA" wp14:anchorId="5B252253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466B1" w:rsidR="003A7E95" w:rsidP="00074DD8" w:rsidRDefault="003A7E95" w14:paraId="47E9AF23" w14:textId="7777777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B252253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3A7E95" w:rsidP="00074DD8" w:rsidRDefault="003A7E95" w14:paraId="47E9AF23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Pr="004829B9" w:rsidR="00095A18" w:rsidP="00896EB9" w:rsidRDefault="005F302D" w14:paraId="0EC0BCF7" w14:textId="73B97C93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38DEB258" wp14:anchorId="0ED5BDC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2A93" w:rsidR="003A7E95" w:rsidP="00633014" w:rsidRDefault="003A7E95" w14:paraId="2CC185F8" w14:textId="7777777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Pr="00F64AC1" w:rsidR="003A7E95" w:rsidP="00074DD8" w:rsidRDefault="003A7E95" w14:paraId="173D3CF5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w14:anchorId="0ED5BDCA">
                <v:textbox>
                  <w:txbxContent>
                    <w:p w:rsidRPr="00612A93" w:rsidR="003A7E95" w:rsidP="00633014" w:rsidRDefault="003A7E95" w14:paraId="2CC185F8" w14:textId="7777777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Pr="00F64AC1" w:rsidR="003A7E95" w:rsidP="00074DD8" w:rsidRDefault="003A7E95" w14:paraId="173D3CF5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editId="2DC80E8E" wp14:anchorId="526CAA2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C751B" w:rsidR="003A7E95" w:rsidP="004466B1" w:rsidRDefault="00734C04" w14:paraId="0DFD5284" w14:textId="6098E5D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78313C70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913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99</w:t>
                            </w:r>
                            <w:r w:rsidR="00E526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="007913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4</w:t>
                            </w:r>
                          </w:p>
                          <w:p w:rsidRPr="002C751B" w:rsidR="003A7E95" w:rsidP="004466B1" w:rsidRDefault="003A7E95" w14:paraId="4A535B62" w14:textId="2AEDB9F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w14:anchorId="526CAA24">
                <v:textbox>
                  <w:txbxContent>
                    <w:p w:rsidRPr="002C751B" w:rsidR="003A7E95" w:rsidP="004466B1" w:rsidRDefault="00734C04" w14:paraId="0DFD5284" w14:textId="6098E5D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78313C70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913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99</w:t>
                      </w:r>
                      <w:r w:rsidR="00E526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.</w:t>
                      </w:r>
                      <w:r w:rsidR="007913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4</w:t>
                      </w:r>
                    </w:p>
                    <w:p w:rsidRPr="002C751B" w:rsidR="003A7E95" w:rsidP="004466B1" w:rsidRDefault="003A7E95" w14:paraId="4A535B62" w14:textId="2AEDB9F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 w:rsidR="00AD1492">
        <w:rPr>
          <w:lang w:val="en-GB"/>
        </w:rPr>
        <w:t xml:space="preserve">In </w:t>
      </w:r>
      <w:r w:rsidR="0079134B">
        <w:rPr>
          <w:lang w:val="en-GB"/>
        </w:rPr>
        <w:t>the period of two first months of</w:t>
      </w:r>
      <w:r w:rsidR="003D4820">
        <w:rPr>
          <w:lang w:val="en-GB"/>
        </w:rPr>
        <w:t xml:space="preserve"> 2021</w:t>
      </w:r>
      <w:r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3D4820">
        <w:rPr>
          <w:lang w:val="en-GB"/>
        </w:rPr>
        <w:t>less</w:t>
      </w:r>
      <w:r w:rsidRPr="004829B9" w:rsidR="00AD1492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Pr="00D14E83" w:rsidR="00D14E83">
        <w:rPr>
          <w:lang w:val="en-GB"/>
        </w:rPr>
        <w:t xml:space="preserve">number of dwellings in which construction has begun </w:t>
      </w:r>
      <w:r w:rsidR="00D14E83">
        <w:rPr>
          <w:lang w:val="en-GB"/>
        </w:rPr>
        <w:t>also decreased. Whereas t</w:t>
      </w:r>
      <w:r w:rsidRPr="004829B9" w:rsidR="00095A18">
        <w:rPr>
          <w:lang w:val="en-GB"/>
        </w:rPr>
        <w:t>he number of dwellings</w:t>
      </w:r>
      <w:r w:rsidRPr="004829B9" w:rsidR="00EF3597">
        <w:rPr>
          <w:lang w:val="en-GB"/>
        </w:rPr>
        <w:t xml:space="preserve"> for which permits have been granted or which have been </w:t>
      </w:r>
      <w:bookmarkStart w:name="_GoBack" w:id="0"/>
      <w:bookmarkEnd w:id="0"/>
      <w:r w:rsidRPr="004829B9" w:rsidR="00EF3597">
        <w:rPr>
          <w:lang w:val="en-GB"/>
        </w:rPr>
        <w:t>registered with a construction project</w:t>
      </w:r>
      <w:r w:rsidR="00372328">
        <w:rPr>
          <w:lang w:val="en-GB"/>
        </w:rPr>
        <w:t xml:space="preserve"> </w:t>
      </w:r>
      <w:r w:rsidR="003D4820">
        <w:rPr>
          <w:lang w:val="en-GB"/>
        </w:rPr>
        <w:t>in</w:t>
      </w:r>
      <w:r w:rsidR="002E1E0B">
        <w:rPr>
          <w:lang w:val="en-GB"/>
        </w:rPr>
        <w:t>creased.</w:t>
      </w:r>
    </w:p>
    <w:p w:rsidRPr="004829B9" w:rsidR="000D348A" w:rsidP="000D348A" w:rsidRDefault="00074DD8" w14:paraId="131E17E4" w14:textId="77777777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6FCA3159">
      <w:pPr>
        <w:pStyle w:val="LID"/>
        <w:jc w:val="both"/>
        <w:rPr>
          <w:shd w:val="clear" w:color="auto" w:fill="FFFFFF"/>
          <w:lang w:val="en-GB"/>
        </w:rPr>
      </w:pPr>
    </w:p>
    <w:p w:rsidRPr="004829B9" w:rsidR="00C733A3" w:rsidP="000D348A" w:rsidRDefault="00A87439" w14:paraId="52385C4F" w14:textId="3AD4051D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1188E4D7" wp14:anchorId="6EE33181">
                <wp:simplePos x="0" y="0"/>
                <wp:positionH relativeFrom="rightMargin">
                  <wp:posOffset>113665</wp:posOffset>
                </wp:positionH>
                <wp:positionV relativeFrom="paragraph">
                  <wp:posOffset>81915</wp:posOffset>
                </wp:positionV>
                <wp:extent cx="1715135" cy="990600"/>
                <wp:effectExtent l="0" t="0" r="0" b="0"/>
                <wp:wrapTight wrapText="bothSides">
                  <wp:wrapPolygon edited="0">
                    <wp:start x="720" y="0"/>
                    <wp:lineTo x="720" y="21185"/>
                    <wp:lineTo x="20632" y="21185"/>
                    <wp:lineTo x="20632" y="0"/>
                    <wp:lineTo x="720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3A7E95" w:rsidP="00AD1492" w:rsidRDefault="00696CCE" w14:paraId="55217834" w14:textId="71B0FA8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</w:t>
                            </w:r>
                            <w:r w:rsidR="00365663">
                              <w:rPr>
                                <w:lang w:val="en-US"/>
                              </w:rPr>
                              <w:t xml:space="preserve">and private investors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CD7B5E">
                              <w:rPr>
                                <w:lang w:val="en-US"/>
                              </w:rPr>
                              <w:t xml:space="preserve"> respectively 58.0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</w:t>
                            </w:r>
                            <w:r w:rsidR="00CD7B5E">
                              <w:rPr>
                                <w:lang w:val="en-US"/>
                              </w:rPr>
                              <w:t>and 40.5</w:t>
                            </w:r>
                            <w:r w:rsidR="00365663">
                              <w:rPr>
                                <w:lang w:val="en-US"/>
                              </w:rPr>
                              <w:t xml:space="preserve">%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65663">
                              <w:rPr>
                                <w:lang w:val="en-US"/>
                              </w:rPr>
                              <w:t>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8.95pt;margin-top:6.45pt;width:135.0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" w14:anchorId="6EE33181">
                <v:textbox>
                  <w:txbxContent>
                    <w:p w:rsidRPr="00AD1492" w:rsidR="003A7E95" w:rsidP="00AD1492" w:rsidRDefault="00696CCE" w14:paraId="55217834" w14:textId="71B0FA81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</w:t>
                      </w:r>
                      <w:r w:rsidR="00365663">
                        <w:rPr>
                          <w:lang w:val="en-US"/>
                        </w:rPr>
                        <w:t xml:space="preserve">and private investors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CD7B5E">
                        <w:rPr>
                          <w:lang w:val="en-US"/>
                        </w:rPr>
                        <w:t xml:space="preserve"> respectively 58.0</w:t>
                      </w:r>
                      <w:r w:rsidR="003A7E95">
                        <w:rPr>
                          <w:lang w:val="en-US"/>
                        </w:rPr>
                        <w:t xml:space="preserve">% </w:t>
                      </w:r>
                      <w:r w:rsidR="00CD7B5E">
                        <w:rPr>
                          <w:lang w:val="en-US"/>
                        </w:rPr>
                        <w:t>and 40.5</w:t>
                      </w:r>
                      <w:r w:rsidR="00365663">
                        <w:rPr>
                          <w:lang w:val="en-US"/>
                        </w:rPr>
                        <w:t xml:space="preserve">% </w:t>
                      </w:r>
                      <w:r w:rsidR="003A7E95">
                        <w:rPr>
                          <w:lang w:val="en-US"/>
                        </w:rPr>
                        <w:t xml:space="preserve">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65663">
                        <w:rPr>
                          <w:lang w:val="en-US"/>
                        </w:rPr>
                        <w:t>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829B9" w:rsidR="00C733A3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:rsidRPr="004829B9" w:rsidR="0042048D" w:rsidP="00896EB9" w:rsidRDefault="00AD1492" w14:paraId="573A2B99" w14:textId="4357888B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Pr="004829B9" w:rsidR="00C733A3">
        <w:rPr>
          <w:spacing w:val="-4"/>
          <w:shd w:val="clear" w:color="auto" w:fill="FFFFFF"/>
          <w:lang w:val="en-GB"/>
        </w:rPr>
        <w:t xml:space="preserve">to </w:t>
      </w:r>
      <w:r w:rsidRPr="004829B9" w:rsidR="00F54505">
        <w:rPr>
          <w:spacing w:val="-4"/>
          <w:shd w:val="clear" w:color="auto" w:fill="FFFFFF"/>
          <w:lang w:val="en-GB"/>
        </w:rPr>
        <w:t xml:space="preserve">the </w:t>
      </w:r>
      <w:r w:rsidRPr="004829B9" w:rsidR="00111FD5">
        <w:rPr>
          <w:spacing w:val="-4"/>
          <w:shd w:val="clear" w:color="auto" w:fill="FFFFFF"/>
          <w:lang w:val="en-GB"/>
        </w:rPr>
        <w:t xml:space="preserve">preliminary </w:t>
      </w:r>
      <w:r w:rsidRPr="004829B9" w:rsidR="00A72CF4">
        <w:rPr>
          <w:spacing w:val="-4"/>
          <w:shd w:val="clear" w:color="auto" w:fill="FFFFFF"/>
          <w:lang w:val="en-GB"/>
        </w:rPr>
        <w:t xml:space="preserve">data, </w:t>
      </w:r>
      <w:r w:rsidR="00D14E83">
        <w:rPr>
          <w:spacing w:val="-4"/>
          <w:shd w:val="clear" w:color="auto" w:fill="FFFFFF"/>
          <w:lang w:val="en-GB"/>
        </w:rPr>
        <w:t>33</w:t>
      </w:r>
      <w:r w:rsidR="00372328">
        <w:rPr>
          <w:spacing w:val="-4"/>
          <w:shd w:val="clear" w:color="auto" w:fill="FFFFFF"/>
          <w:lang w:val="en-GB"/>
        </w:rPr>
        <w:t>.</w:t>
      </w:r>
      <w:r w:rsidR="00D14E83">
        <w:rPr>
          <w:spacing w:val="-4"/>
          <w:shd w:val="clear" w:color="auto" w:fill="FFFFFF"/>
          <w:lang w:val="en-GB"/>
        </w:rPr>
        <w:t>9</w:t>
      </w:r>
      <w:r w:rsidRPr="00372328" w:rsidR="00372328">
        <w:rPr>
          <w:spacing w:val="-4"/>
          <w:shd w:val="clear" w:color="auto" w:fill="FFFFFF"/>
          <w:lang w:val="en-GB"/>
        </w:rPr>
        <w:t xml:space="preserve"> </w:t>
      </w:r>
      <w:r w:rsidRPr="004829B9" w:rsidR="00C733A3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Pr="004829B9" w:rsidR="00C733A3">
        <w:rPr>
          <w:spacing w:val="-4"/>
          <w:shd w:val="clear" w:color="auto" w:fill="FFFFFF"/>
          <w:lang w:val="en-GB"/>
        </w:rPr>
        <w:t xml:space="preserve"> dwellings were co</w:t>
      </w:r>
      <w:r w:rsidRPr="004829B9" w:rsidR="008B2394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 xml:space="preserve">in the </w:t>
      </w:r>
      <w:r w:rsidR="00D14E83">
        <w:rPr>
          <w:spacing w:val="-4"/>
          <w:shd w:val="clear" w:color="auto" w:fill="FFFFFF"/>
          <w:lang w:val="en-GB"/>
        </w:rPr>
        <w:t>period</w:t>
      </w:r>
      <w:r w:rsidRPr="004B638F" w:rsidR="004B638F">
        <w:rPr>
          <w:spacing w:val="-4"/>
          <w:shd w:val="clear" w:color="auto" w:fill="FFFFFF"/>
          <w:lang w:val="en-GB"/>
        </w:rPr>
        <w:t xml:space="preserve"> of</w:t>
      </w:r>
      <w:r w:rsidR="00D14E83">
        <w:rPr>
          <w:spacing w:val="-4"/>
          <w:shd w:val="clear" w:color="auto" w:fill="FFFFFF"/>
          <w:lang w:val="en-GB"/>
        </w:rPr>
        <w:t xml:space="preserve"> January-February</w:t>
      </w:r>
      <w:r w:rsidRPr="004B638F" w:rsidR="004B638F">
        <w:rPr>
          <w:spacing w:val="-4"/>
          <w:shd w:val="clear" w:color="auto" w:fill="FFFFFF"/>
          <w:lang w:val="en-GB"/>
        </w:rPr>
        <w:t xml:space="preserve"> 2021</w:t>
      </w:r>
      <w:r w:rsidRPr="004829B9" w:rsidR="009664CD">
        <w:rPr>
          <w:spacing w:val="-4"/>
          <w:shd w:val="clear" w:color="auto" w:fill="FFFFFF"/>
          <w:lang w:val="en-GB"/>
        </w:rPr>
        <w:t xml:space="preserve">, i.e. by </w:t>
      </w:r>
      <w:r w:rsidR="00CD7B5E">
        <w:rPr>
          <w:spacing w:val="-4"/>
          <w:shd w:val="clear" w:color="auto" w:fill="FFFFFF"/>
          <w:lang w:val="en-GB"/>
        </w:rPr>
        <w:t>0.6</w:t>
      </w:r>
      <w:r w:rsidRPr="004829B9" w:rsidR="00C733A3">
        <w:rPr>
          <w:spacing w:val="-4"/>
          <w:shd w:val="clear" w:color="auto" w:fill="FFFFFF"/>
          <w:lang w:val="en-GB"/>
        </w:rPr>
        <w:t xml:space="preserve">% </w:t>
      </w:r>
      <w:r w:rsidR="004B638F">
        <w:rPr>
          <w:spacing w:val="-4"/>
          <w:shd w:val="clear" w:color="auto" w:fill="FFFFFF"/>
          <w:lang w:val="en-GB"/>
        </w:rPr>
        <w:t>less</w:t>
      </w:r>
      <w:r w:rsidRPr="004829B9" w:rsidR="00C733A3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Pr="004829B9" w:rsidR="00C733A3">
        <w:rPr>
          <w:spacing w:val="-4"/>
          <w:shd w:val="clear" w:color="auto" w:fill="FFFFFF"/>
          <w:lang w:val="en-GB"/>
        </w:rPr>
        <w:t xml:space="preserve">. </w:t>
      </w:r>
      <w:r w:rsidRPr="004829B9" w:rsidR="00C733A3">
        <w:rPr>
          <w:b/>
          <w:spacing w:val="-4"/>
          <w:shd w:val="clear" w:color="auto" w:fill="FFFFFF"/>
          <w:lang w:val="en-GB"/>
        </w:rPr>
        <w:t>Developers</w:t>
      </w:r>
      <w:r w:rsidRPr="004829B9" w:rsidR="0058073C">
        <w:rPr>
          <w:spacing w:val="-4"/>
          <w:shd w:val="clear" w:color="auto" w:fill="FFFFFF"/>
          <w:lang w:val="en-GB"/>
        </w:rPr>
        <w:t xml:space="preserve"> </w:t>
      </w:r>
      <w:r w:rsidRPr="004829B9" w:rsidR="00C733A3">
        <w:rPr>
          <w:spacing w:val="-4"/>
          <w:shd w:val="clear" w:color="auto" w:fill="FFFFFF"/>
          <w:lang w:val="en-GB"/>
        </w:rPr>
        <w:t xml:space="preserve">completed </w:t>
      </w:r>
      <w:r w:rsidR="00CD7B5E">
        <w:rPr>
          <w:spacing w:val="-4"/>
          <w:shd w:val="clear" w:color="auto" w:fill="FFFFFF"/>
          <w:lang w:val="en-GB"/>
        </w:rPr>
        <w:t>19</w:t>
      </w:r>
      <w:r w:rsidR="00372328">
        <w:rPr>
          <w:spacing w:val="-4"/>
          <w:shd w:val="clear" w:color="auto" w:fill="FFFFFF"/>
          <w:lang w:val="en-GB"/>
        </w:rPr>
        <w:t>.</w:t>
      </w:r>
      <w:r w:rsidR="00CD7B5E">
        <w:rPr>
          <w:spacing w:val="-4"/>
          <w:shd w:val="clear" w:color="auto" w:fill="FFFFFF"/>
          <w:lang w:val="en-GB"/>
        </w:rPr>
        <w:t>6</w:t>
      </w:r>
      <w:r w:rsidRPr="00372328" w:rsidR="00372328">
        <w:rPr>
          <w:spacing w:val="-4"/>
          <w:shd w:val="clear" w:color="auto" w:fill="FFFFFF"/>
          <w:lang w:val="en-GB"/>
        </w:rPr>
        <w:t xml:space="preserve"> </w:t>
      </w:r>
      <w:r w:rsidRPr="004829B9" w:rsidR="00A72CF4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Pr="004829B9" w:rsidR="00A72CF4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Pr="00314007" w:rsidR="00016549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CD7B5E">
        <w:rPr>
          <w:spacing w:val="-4"/>
          <w:shd w:val="clear" w:color="auto" w:fill="FFFFFF"/>
          <w:lang w:val="en-GB"/>
        </w:rPr>
        <w:t>4.5</w:t>
      </w:r>
      <w:r w:rsidRPr="004829B9" w:rsidR="000E65E1">
        <w:rPr>
          <w:spacing w:val="-4"/>
          <w:shd w:val="clear" w:color="auto" w:fill="FFFFFF"/>
          <w:lang w:val="en-GB"/>
        </w:rPr>
        <w:t>% </w:t>
      </w:r>
      <w:r w:rsidR="004B638F">
        <w:rPr>
          <w:spacing w:val="-4"/>
          <w:shd w:val="clear" w:color="auto" w:fill="FFFFFF"/>
          <w:lang w:val="en-GB"/>
        </w:rPr>
        <w:t>less</w:t>
      </w:r>
      <w:r w:rsidRPr="004829B9" w:rsidR="00C733A3">
        <w:rPr>
          <w:spacing w:val="-4"/>
          <w:shd w:val="clear" w:color="auto" w:fill="FFFFFF"/>
          <w:lang w:val="en-GB"/>
        </w:rPr>
        <w:t xml:space="preserve"> than in the </w:t>
      </w:r>
      <w:r w:rsidRPr="004829B9" w:rsidR="009664CD">
        <w:rPr>
          <w:spacing w:val="-4"/>
          <w:shd w:val="clear" w:color="auto" w:fill="FFFFFF"/>
          <w:lang w:val="en-GB"/>
        </w:rPr>
        <w:t>corresponding</w:t>
      </w:r>
      <w:r w:rsidRPr="004829B9" w:rsidR="00C733A3">
        <w:rPr>
          <w:spacing w:val="-4"/>
          <w:shd w:val="clear" w:color="auto" w:fill="FFFFFF"/>
          <w:lang w:val="en-GB"/>
        </w:rPr>
        <w:t xml:space="preserve"> </w:t>
      </w:r>
      <w:r w:rsidR="00CD7B5E">
        <w:rPr>
          <w:spacing w:val="-4"/>
          <w:shd w:val="clear" w:color="auto" w:fill="FFFFFF"/>
          <w:lang w:val="en-GB"/>
        </w:rPr>
        <w:t>period</w:t>
      </w:r>
      <w:r w:rsidR="004B638F">
        <w:rPr>
          <w:spacing w:val="-4"/>
          <w:shd w:val="clear" w:color="auto" w:fill="FFFFFF"/>
          <w:lang w:val="en-GB"/>
        </w:rPr>
        <w:t xml:space="preserve"> of 2020</w:t>
      </w:r>
      <w:r w:rsidRPr="004829B9" w:rsidR="00C733A3">
        <w:rPr>
          <w:spacing w:val="-4"/>
          <w:shd w:val="clear" w:color="auto" w:fill="FFFFFF"/>
          <w:lang w:val="en-GB"/>
        </w:rPr>
        <w:t xml:space="preserve">, whereas </w:t>
      </w:r>
      <w:r w:rsidRPr="004829B9" w:rsidR="00C733A3">
        <w:rPr>
          <w:b/>
          <w:spacing w:val="-4"/>
          <w:shd w:val="clear" w:color="auto" w:fill="FFFFFF"/>
          <w:lang w:val="en-GB"/>
        </w:rPr>
        <w:t>private</w:t>
      </w:r>
      <w:r w:rsidRPr="004829B9" w:rsidR="00C733A3">
        <w:rPr>
          <w:spacing w:val="-4"/>
          <w:shd w:val="clear" w:color="auto" w:fill="FFFFFF"/>
          <w:lang w:val="en-GB"/>
        </w:rPr>
        <w:t xml:space="preserve"> </w:t>
      </w:r>
      <w:r w:rsidRPr="004829B9" w:rsidR="00C733A3">
        <w:rPr>
          <w:b/>
          <w:spacing w:val="-4"/>
          <w:shd w:val="clear" w:color="auto" w:fill="FFFFFF"/>
          <w:lang w:val="en-GB"/>
        </w:rPr>
        <w:t>investors</w:t>
      </w:r>
      <w:r w:rsidRPr="004829B9" w:rsidR="00837231">
        <w:rPr>
          <w:spacing w:val="-4"/>
          <w:shd w:val="clear" w:color="auto" w:fill="FFFFFF"/>
          <w:lang w:val="en-GB"/>
        </w:rPr>
        <w:t xml:space="preserve"> completed </w:t>
      </w:r>
      <w:r w:rsidR="00CD7B5E">
        <w:rPr>
          <w:spacing w:val="-4"/>
          <w:shd w:val="clear" w:color="auto" w:fill="FFFFFF"/>
          <w:lang w:val="en-GB"/>
        </w:rPr>
        <w:t>13</w:t>
      </w:r>
      <w:r w:rsidR="00372328">
        <w:rPr>
          <w:spacing w:val="-4"/>
          <w:shd w:val="clear" w:color="auto" w:fill="FFFFFF"/>
          <w:lang w:val="en-GB"/>
        </w:rPr>
        <w:t>.</w:t>
      </w:r>
      <w:r w:rsidR="004B638F">
        <w:rPr>
          <w:spacing w:val="-4"/>
          <w:shd w:val="clear" w:color="auto" w:fill="FFFFFF"/>
          <w:lang w:val="en-GB"/>
        </w:rPr>
        <w:t>7</w:t>
      </w:r>
      <w:r w:rsidR="00A7208C">
        <w:rPr>
          <w:spacing w:val="-4"/>
          <w:shd w:val="clear" w:color="auto" w:fill="FFFFFF"/>
          <w:lang w:val="en-GB"/>
        </w:rPr>
        <w:t> </w:t>
      </w:r>
      <w:r w:rsidRPr="004829B9" w:rsidR="00C733A3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Pr="004829B9" w:rsidR="00C733A3">
        <w:rPr>
          <w:spacing w:val="-4"/>
          <w:shd w:val="clear" w:color="auto" w:fill="FFFFFF"/>
          <w:lang w:val="en-GB"/>
        </w:rPr>
        <w:t xml:space="preserve"> dwellings, </w:t>
      </w:r>
      <w:r w:rsidRPr="004829B9" w:rsidR="009664CD">
        <w:rPr>
          <w:spacing w:val="-4"/>
          <w:shd w:val="clear" w:color="auto" w:fill="FFFFFF"/>
          <w:lang w:val="en-GB"/>
        </w:rPr>
        <w:t xml:space="preserve">i.e. by </w:t>
      </w:r>
      <w:r w:rsidR="00CD7B5E">
        <w:rPr>
          <w:spacing w:val="-4"/>
          <w:shd w:val="clear" w:color="auto" w:fill="FFFFFF"/>
          <w:lang w:val="en-GB"/>
        </w:rPr>
        <w:t>7</w:t>
      </w:r>
      <w:r w:rsidRPr="004829B9" w:rsidR="00837231">
        <w:rPr>
          <w:spacing w:val="-4"/>
          <w:shd w:val="clear" w:color="auto" w:fill="FFFFFF"/>
          <w:lang w:val="en-GB"/>
        </w:rPr>
        <w:t>.</w:t>
      </w:r>
      <w:r w:rsidR="00CD7B5E">
        <w:rPr>
          <w:spacing w:val="-4"/>
          <w:shd w:val="clear" w:color="auto" w:fill="FFFFFF"/>
          <w:lang w:val="en-GB"/>
        </w:rPr>
        <w:t>1</w:t>
      </w:r>
      <w:r w:rsidRPr="004829B9" w:rsidR="00C733A3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Pr="004829B9" w:rsidR="0071658F">
        <w:rPr>
          <w:spacing w:val="-4"/>
          <w:shd w:val="clear" w:color="auto" w:fill="FFFFFF"/>
          <w:lang w:val="en-GB"/>
        </w:rPr>
        <w:t xml:space="preserve">. Within these forms of </w:t>
      </w:r>
      <w:r w:rsidRPr="004829B9" w:rsidR="00435283">
        <w:rPr>
          <w:spacing w:val="-4"/>
          <w:shd w:val="clear" w:color="auto" w:fill="FFFFFF"/>
          <w:lang w:val="en-GB"/>
        </w:rPr>
        <w:t xml:space="preserve">construction, </w:t>
      </w:r>
      <w:r w:rsidRPr="004829B9" w:rsidR="00C94AC8">
        <w:rPr>
          <w:spacing w:val="-4"/>
          <w:shd w:val="clear" w:color="auto" w:fill="FFFFFF"/>
          <w:lang w:val="en-GB"/>
        </w:rPr>
        <w:t>98</w:t>
      </w:r>
      <w:r w:rsidRPr="004829B9" w:rsidR="00E724BA">
        <w:rPr>
          <w:spacing w:val="-4"/>
          <w:shd w:val="clear" w:color="auto" w:fill="FFFFFF"/>
          <w:lang w:val="en-GB"/>
        </w:rPr>
        <w:t>.</w:t>
      </w:r>
      <w:r w:rsidR="004B638F">
        <w:rPr>
          <w:spacing w:val="-4"/>
          <w:shd w:val="clear" w:color="auto" w:fill="FFFFFF"/>
          <w:lang w:val="en-GB"/>
        </w:rPr>
        <w:t>5</w:t>
      </w:r>
      <w:r w:rsidRPr="004829B9" w:rsidR="00C94AC8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Pr="004829B9" w:rsidR="00C94AC8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Pr="004829B9" w:rsidR="00C733A3">
        <w:rPr>
          <w:spacing w:val="-4"/>
          <w:shd w:val="clear" w:color="auto" w:fill="FFFFFF"/>
          <w:lang w:val="en-GB"/>
        </w:rPr>
        <w:t>comple</w:t>
      </w:r>
      <w:r w:rsidRPr="004829B9" w:rsidR="001C1808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Pr="004B638F" w:rsidR="004B638F">
        <w:rPr>
          <w:spacing w:val="-4"/>
          <w:shd w:val="clear" w:color="auto" w:fill="FFFFFF"/>
          <w:lang w:val="en-GB"/>
        </w:rPr>
        <w:t xml:space="preserve">ithin </w:t>
      </w:r>
      <w:r w:rsidRPr="00CD7B5E" w:rsidR="00CD7B5E">
        <w:rPr>
          <w:b/>
          <w:spacing w:val="-4"/>
          <w:shd w:val="clear" w:color="auto" w:fill="FFFFFF"/>
          <w:lang w:val="en-GB"/>
        </w:rPr>
        <w:t>other forms</w:t>
      </w:r>
      <w:r w:rsidRPr="00CD7B5E" w:rsid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Pr="00CD7B5E" w:rsid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Pr="004B638F" w:rsidR="004B638F">
        <w:rPr>
          <w:spacing w:val="-4"/>
          <w:shd w:val="clear" w:color="auto" w:fill="FFFFFF"/>
          <w:lang w:val="en-GB"/>
        </w:rPr>
        <w:t xml:space="preserve">construction </w:t>
      </w:r>
      <w:r w:rsidR="00CD7B5E">
        <w:rPr>
          <w:spacing w:val="-4"/>
          <w:shd w:val="clear" w:color="auto" w:fill="FFFFFF"/>
          <w:lang w:val="en-GB"/>
        </w:rPr>
        <w:t>506</w:t>
      </w:r>
      <w:r w:rsidR="00365663">
        <w:rPr>
          <w:spacing w:val="-4"/>
          <w:shd w:val="clear" w:color="auto" w:fill="FFFFFF"/>
          <w:lang w:val="en-GB"/>
        </w:rPr>
        <w:t xml:space="preserve"> </w:t>
      </w:r>
      <w:r w:rsidRPr="004829B9" w:rsidR="00C733A3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Pr="004829B9" w:rsidR="00C733A3">
        <w:rPr>
          <w:spacing w:val="-4"/>
          <w:shd w:val="clear" w:color="auto" w:fill="FFFFFF"/>
          <w:lang w:val="en-GB"/>
        </w:rPr>
        <w:t>(</w:t>
      </w:r>
      <w:r w:rsidR="00CD7B5E">
        <w:rPr>
          <w:spacing w:val="-4"/>
          <w:shd w:val="clear" w:color="auto" w:fill="FFFFFF"/>
          <w:lang w:val="en-GB"/>
        </w:rPr>
        <w:t>686</w:t>
      </w:r>
      <w:r w:rsidR="00372328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</w:p>
    <w:p w:rsidR="00054314" w:rsidP="00896EB9" w:rsidRDefault="000A7C88" w14:paraId="6DA771CF" w14:textId="5BB878F5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the period of</w:t>
      </w:r>
      <w:r w:rsidR="00365663">
        <w:rPr>
          <w:shd w:val="clear" w:color="auto" w:fill="FFFFFF"/>
          <w:lang w:val="en-GB"/>
        </w:rPr>
        <w:t xml:space="preserve"> January</w:t>
      </w:r>
      <w:r w:rsidR="00243A60">
        <w:rPr>
          <w:shd w:val="clear" w:color="auto" w:fill="FFFFFF"/>
          <w:lang w:val="en-GB"/>
        </w:rPr>
        <w:t>-</w:t>
      </w:r>
      <w:r w:rsidR="00CD7B5E">
        <w:rPr>
          <w:shd w:val="clear" w:color="auto" w:fill="FFFFFF"/>
          <w:lang w:val="en-GB"/>
        </w:rPr>
        <w:t>February</w:t>
      </w:r>
      <w:r w:rsidR="00365663">
        <w:rPr>
          <w:shd w:val="clear" w:color="auto" w:fill="FFFFFF"/>
          <w:lang w:val="en-GB"/>
        </w:rPr>
        <w:t xml:space="preserve"> 2021</w:t>
      </w:r>
      <w:r w:rsidRPr="004829B9" w:rsidR="007C6C81">
        <w:rPr>
          <w:shd w:val="clear" w:color="auto" w:fill="FFFFFF"/>
          <w:lang w:val="en-GB"/>
        </w:rPr>
        <w:t xml:space="preserve"> </w:t>
      </w:r>
      <w:r w:rsidRPr="004829B9" w:rsidR="006A0E22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CD7B5E">
        <w:rPr>
          <w:shd w:val="clear" w:color="auto" w:fill="FFFFFF"/>
          <w:lang w:val="en-GB"/>
        </w:rPr>
        <w:t>3</w:t>
      </w:r>
      <w:r w:rsidRPr="004829B9" w:rsidR="00837231">
        <w:rPr>
          <w:shd w:val="clear" w:color="auto" w:fill="FFFFFF"/>
          <w:lang w:val="en-GB"/>
        </w:rPr>
        <w:t>.</w:t>
      </w:r>
      <w:r w:rsidR="00CD7B5E">
        <w:rPr>
          <w:shd w:val="clear" w:color="auto" w:fill="FFFFFF"/>
          <w:lang w:val="en-GB"/>
        </w:rPr>
        <w:t>2</w:t>
      </w:r>
      <w:r w:rsidRPr="004829B9" w:rsidR="00837231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Pr="004829B9" w:rsidR="00837231">
        <w:rPr>
          <w:shd w:val="clear" w:color="auto" w:fill="FFFFFF"/>
          <w:lang w:val="en-GB"/>
        </w:rPr>
        <w:t>m</w:t>
      </w:r>
      <w:r w:rsidRPr="002C751B" w:rsidR="002C751B">
        <w:rPr>
          <w:shd w:val="clear" w:color="auto" w:fill="FFFFFF"/>
          <w:vertAlign w:val="superscript"/>
          <w:lang w:val="en-GB"/>
        </w:rPr>
        <w:t>2</w:t>
      </w:r>
      <w:r w:rsidRPr="004829B9" w:rsidR="00837231">
        <w:rPr>
          <w:shd w:val="clear" w:color="auto" w:fill="FFFFFF"/>
          <w:lang w:val="en-GB"/>
        </w:rPr>
        <w:t xml:space="preserve">, i.e. by </w:t>
      </w:r>
      <w:r w:rsidR="00B64363">
        <w:rPr>
          <w:shd w:val="clear" w:color="auto" w:fill="FFFFFF"/>
          <w:lang w:val="en-GB"/>
        </w:rPr>
        <w:t>2</w:t>
      </w:r>
      <w:r w:rsidRPr="004829B9" w:rsidR="00837231">
        <w:rPr>
          <w:shd w:val="clear" w:color="auto" w:fill="FFFFFF"/>
          <w:lang w:val="en-GB"/>
        </w:rPr>
        <w:t>.</w:t>
      </w:r>
      <w:r w:rsidR="00B64363">
        <w:rPr>
          <w:shd w:val="clear" w:color="auto" w:fill="FFFFFF"/>
          <w:lang w:val="en-GB"/>
        </w:rPr>
        <w:t>9</w:t>
      </w:r>
      <w:r w:rsidRPr="004829B9" w:rsidR="00EF767E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Pr="004829B9" w:rsidR="00EF767E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Pr="004829B9" w:rsidR="005E3825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Pr="004829B9" w:rsidR="00BF61F6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Pr="004829B9" w:rsidR="003460DF">
        <w:rPr>
          <w:shd w:val="clear" w:color="auto" w:fill="FFFFFF"/>
          <w:lang w:val="en-GB"/>
        </w:rPr>
        <w:t xml:space="preserve"> </w:t>
      </w:r>
      <w:r w:rsidR="00B64363">
        <w:rPr>
          <w:shd w:val="clear" w:color="auto" w:fill="FFFFFF"/>
          <w:lang w:val="en-GB"/>
        </w:rPr>
        <w:t>95</w:t>
      </w:r>
      <w:r w:rsidRPr="004829B9" w:rsidR="005D25AB">
        <w:rPr>
          <w:shd w:val="clear" w:color="auto" w:fill="FFFFFF"/>
          <w:lang w:val="en-GB"/>
        </w:rPr>
        <w:t>.</w:t>
      </w:r>
      <w:r w:rsidR="00B64363">
        <w:rPr>
          <w:shd w:val="clear" w:color="auto" w:fill="FFFFFF"/>
          <w:lang w:val="en-GB"/>
        </w:rPr>
        <w:t>3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Pr="002C751B" w:rsid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:rsidRPr="004829B9" w:rsidR="00B64363" w:rsidP="00896EB9" w:rsidRDefault="00B64363" w14:paraId="679F1787" w14:textId="77777777">
      <w:pPr>
        <w:rPr>
          <w:shd w:val="clear" w:color="auto" w:fill="FFFFFF"/>
          <w:lang w:val="en-GB"/>
        </w:rPr>
      </w:pPr>
    </w:p>
    <w:p w:rsidRPr="004829B9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hAnsi="Fira Sans SemiBold" w:eastAsia="Times New Roman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Pr="003C2145" w:rsidR="00B64363" w:rsidTr="00772123" w14:paraId="3D74A51D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3C2145" w:rsidR="00B64363" w:rsidP="00772123" w:rsidRDefault="009742AF" w14:paraId="6DA6E46E" w14:textId="0739132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Pr="003C2145" w:rsidR="00B64363" w:rsidP="00772123" w:rsidRDefault="00B64363" w14:paraId="36964227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Pr="003C2145" w:rsidR="00B64363" w:rsidTr="00772123" w14:paraId="0D3C2463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B64363" w:rsidP="00772123" w:rsidRDefault="00B64363" w14:paraId="3EEF264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color="212492" w:sz="12" w:space="0"/>
            </w:tcBorders>
            <w:vAlign w:val="center"/>
          </w:tcPr>
          <w:p w:rsidRPr="003C2145" w:rsidR="00B64363" w:rsidP="00772123" w:rsidRDefault="00B64363" w14:paraId="779D0680" w14:textId="77777777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Pr="003C2145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68" w:type="dxa"/>
            <w:gridSpan w:val="2"/>
            <w:tcBorders>
              <w:bottom w:val="single" w:color="212492" w:sz="12" w:space="0"/>
            </w:tcBorders>
          </w:tcPr>
          <w:p w:rsidRPr="003C2145" w:rsidR="00B64363" w:rsidP="00772123" w:rsidRDefault="00B64363" w14:paraId="5E0F54FC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3C2145">
              <w:rPr>
                <w:color w:val="000000" w:themeColor="text1"/>
                <w:sz w:val="16"/>
                <w:szCs w:val="16"/>
              </w:rPr>
              <w:t>II</w:t>
            </w:r>
          </w:p>
        </w:tc>
      </w:tr>
      <w:tr w:rsidRPr="003C2145" w:rsidR="00B64363" w:rsidTr="00772123" w14:paraId="451F7C87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B64363" w:rsidP="00772123" w:rsidRDefault="00B64363" w14:paraId="574C9F7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3C2145" w:rsidR="00B64363" w:rsidP="00772123" w:rsidRDefault="00B64363" w14:paraId="318E663B" w14:textId="5818BE0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3C2145" w:rsidR="00B64363" w:rsidP="00772123" w:rsidRDefault="00B64363" w14:paraId="3EF4C2A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II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color="212492" w:sz="12" w:space="0"/>
            </w:tcBorders>
            <w:vAlign w:val="center"/>
          </w:tcPr>
          <w:p w:rsidRPr="003C2145" w:rsidR="00B64363" w:rsidP="00772123" w:rsidRDefault="00B64363" w14:paraId="4EDC0C4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color="212492" w:sz="12" w:space="0"/>
            </w:tcBorders>
            <w:vAlign w:val="center"/>
          </w:tcPr>
          <w:p w:rsidRPr="003C2145" w:rsidR="00B64363" w:rsidP="00772123" w:rsidRDefault="00B64363" w14:paraId="6AD005EA" w14:textId="1EC2AB0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color="212492" w:sz="12" w:space="0"/>
            </w:tcBorders>
            <w:vAlign w:val="center"/>
          </w:tcPr>
          <w:p w:rsidRPr="003C2145" w:rsidR="00B64363" w:rsidP="00772123" w:rsidRDefault="00B64363" w14:paraId="497FC11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I-II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3C2145" w:rsidR="00B64363" w:rsidTr="00772123" w14:paraId="77C682AA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3C2145" w:rsidR="00B64363" w:rsidP="00B64363" w:rsidRDefault="00B64363" w14:paraId="63F91378" w14:textId="10364BB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3C2145" w:rsidR="00B64363" w:rsidP="00B64363" w:rsidRDefault="00B64363" w14:paraId="656CC6EC" w14:textId="7777777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b/>
                <w:color w:val="000000" w:themeColor="text1"/>
                <w:sz w:val="16"/>
                <w:szCs w:val="16"/>
              </w:rPr>
              <w:t>16 723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3C2145" w:rsidR="00B64363" w:rsidP="00B64363" w:rsidRDefault="00B64363" w14:paraId="19182DE5" w14:textId="6AA29C1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107.</w:t>
            </w:r>
            <w:r w:rsidRPr="003C2145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51" w:type="dxa"/>
            <w:tcBorders>
              <w:top w:val="single" w:color="212492" w:sz="12" w:space="0"/>
            </w:tcBorders>
            <w:vAlign w:val="center"/>
          </w:tcPr>
          <w:p w:rsidRPr="003C2145" w:rsidR="00B64363" w:rsidP="00B64363" w:rsidRDefault="00B64363" w14:paraId="4FA55BB8" w14:textId="4F0C5B7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b/>
                <w:color w:val="000000" w:themeColor="text1"/>
                <w:sz w:val="16"/>
                <w:szCs w:val="16"/>
              </w:rPr>
              <w:t>97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C2145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color="212492" w:sz="12" w:space="0"/>
            </w:tcBorders>
            <w:vAlign w:val="center"/>
          </w:tcPr>
          <w:p w:rsidRPr="003C2145" w:rsidR="00B64363" w:rsidP="00B64363" w:rsidRDefault="00B64363" w14:paraId="15BC7E29" w14:textId="7777777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b/>
                <w:color w:val="000000" w:themeColor="text1"/>
                <w:sz w:val="16"/>
                <w:szCs w:val="16"/>
              </w:rPr>
              <w:t>33 854</w:t>
            </w:r>
          </w:p>
        </w:tc>
        <w:tc>
          <w:tcPr>
            <w:tcW w:w="1207" w:type="dxa"/>
            <w:tcBorders>
              <w:top w:val="single" w:color="212492" w:sz="12" w:space="0"/>
            </w:tcBorders>
            <w:vAlign w:val="center"/>
          </w:tcPr>
          <w:p w:rsidRPr="003C2145" w:rsidR="00B64363" w:rsidP="00B64363" w:rsidRDefault="00B64363" w14:paraId="7B4095FA" w14:textId="73D2119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99.</w:t>
            </w:r>
            <w:r w:rsidRPr="004075A5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Pr="003C2145" w:rsidR="00B64363" w:rsidTr="00772123" w14:paraId="1D40C008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B64363" w:rsidP="00B64363" w:rsidRDefault="00B64363" w14:paraId="158FB4DD" w14:textId="085A529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451A3490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6 967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195F4D95" w14:textId="31B731C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</w:t>
            </w: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51" w:type="dxa"/>
            <w:vAlign w:val="center"/>
          </w:tcPr>
          <w:p w:rsidRPr="003C2145" w:rsidR="00B64363" w:rsidP="00B64363" w:rsidRDefault="00B64363" w14:paraId="78301BBA" w14:textId="47AA860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61" w:type="dxa"/>
            <w:vAlign w:val="center"/>
          </w:tcPr>
          <w:p w:rsidRPr="003C2145" w:rsidR="00B64363" w:rsidP="00B64363" w:rsidRDefault="00B64363" w14:paraId="68A49D2A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13 702</w:t>
            </w:r>
          </w:p>
        </w:tc>
        <w:tc>
          <w:tcPr>
            <w:tcW w:w="1207" w:type="dxa"/>
            <w:vAlign w:val="center"/>
          </w:tcPr>
          <w:p w:rsidRPr="003C2145" w:rsidR="00B64363" w:rsidP="00B64363" w:rsidRDefault="00B64363" w14:paraId="0E2E31FF" w14:textId="1097F9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3C2145" w:rsidR="00B64363" w:rsidTr="00772123" w14:paraId="508A87A2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B64363" w:rsidP="00B64363" w:rsidRDefault="00B64363" w14:paraId="5813B5D1" w14:textId="48E027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0732F4A3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9 501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48DFBF4C" w14:textId="3CF957B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51" w:type="dxa"/>
            <w:vAlign w:val="center"/>
          </w:tcPr>
          <w:p w:rsidRPr="003C2145" w:rsidR="00B64363" w:rsidP="00B64363" w:rsidRDefault="00B64363" w14:paraId="4ABA9549" w14:textId="78BA0D7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</w:t>
            </w: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61" w:type="dxa"/>
            <w:vAlign w:val="center"/>
          </w:tcPr>
          <w:p w:rsidRPr="003C2145" w:rsidR="00B64363" w:rsidP="00B64363" w:rsidRDefault="00B64363" w14:paraId="72FDE0B7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19 646</w:t>
            </w:r>
          </w:p>
        </w:tc>
        <w:tc>
          <w:tcPr>
            <w:tcW w:w="1207" w:type="dxa"/>
            <w:vAlign w:val="center"/>
          </w:tcPr>
          <w:p w:rsidRPr="003C2145" w:rsidR="00B64363" w:rsidP="00B64363" w:rsidRDefault="00B64363" w14:paraId="10A2CC76" w14:textId="5A709D0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3C2145" w:rsidR="00B64363" w:rsidTr="00772123" w14:paraId="58824C75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B64363" w:rsidP="00B64363" w:rsidRDefault="00B64363" w14:paraId="6D82379A" w14:textId="48F6CDE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379C0269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77154C89" w14:textId="5271BC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61.</w:t>
            </w: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1" w:type="dxa"/>
            <w:vAlign w:val="center"/>
          </w:tcPr>
          <w:p w:rsidRPr="003C2145" w:rsidR="00B64363" w:rsidP="00B64363" w:rsidRDefault="00B64363" w14:paraId="07260E2C" w14:textId="7006E40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54.</w:t>
            </w: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61" w:type="dxa"/>
            <w:vAlign w:val="center"/>
          </w:tcPr>
          <w:p w:rsidRPr="003C2145" w:rsidR="00B64363" w:rsidP="00B64363" w:rsidRDefault="00B64363" w14:paraId="59FA5EC3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207" w:type="dxa"/>
            <w:vAlign w:val="center"/>
          </w:tcPr>
          <w:p w:rsidRPr="003C2145" w:rsidR="00B64363" w:rsidP="00B64363" w:rsidRDefault="00B64363" w14:paraId="75124231" w14:textId="5C1B93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72.</w:t>
            </w: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3C2145" w:rsidR="00B64363" w:rsidTr="00772123" w14:paraId="2288CE1E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B64363" w:rsidP="00B64363" w:rsidRDefault="00B64363" w14:paraId="19BC0BAF" w14:textId="12E2EC4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5E18F09E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7DD3D881" w14:textId="01B1B7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35.</w:t>
            </w: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51" w:type="dxa"/>
            <w:vAlign w:val="center"/>
          </w:tcPr>
          <w:p w:rsidRPr="003C2145" w:rsidR="00B64363" w:rsidP="00B64363" w:rsidRDefault="00B64363" w14:paraId="4325B769" w14:textId="172B6A2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061" w:type="dxa"/>
            <w:vAlign w:val="center"/>
          </w:tcPr>
          <w:p w:rsidRPr="003C2145" w:rsidR="00B64363" w:rsidP="00B64363" w:rsidRDefault="00B64363" w14:paraId="18FA1C60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207" w:type="dxa"/>
            <w:vAlign w:val="center"/>
          </w:tcPr>
          <w:p w:rsidRPr="003C2145" w:rsidR="00B64363" w:rsidP="00B64363" w:rsidRDefault="00B64363" w14:paraId="4E1F5190" w14:textId="5384085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49.</w:t>
            </w: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3C2145" w:rsidR="00B64363" w:rsidTr="00772123" w14:paraId="3F448AE5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B64363" w:rsidP="00B64363" w:rsidRDefault="00B64363" w14:paraId="75580F57" w14:textId="38954F5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4E517085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25567828" w14:textId="24511F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137.</w:t>
            </w: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51" w:type="dxa"/>
            <w:vAlign w:val="center"/>
          </w:tcPr>
          <w:p w:rsidRPr="003C2145" w:rsidR="00B64363" w:rsidP="00B64363" w:rsidRDefault="00B64363" w14:paraId="014C6835" w14:textId="17E794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216.</w:t>
            </w:r>
            <w:r w:rsidRPr="004075A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61" w:type="dxa"/>
            <w:vAlign w:val="center"/>
          </w:tcPr>
          <w:p w:rsidRPr="003C2145" w:rsidR="00B64363" w:rsidP="00B64363" w:rsidRDefault="00B64363" w14:paraId="6B466C47" w14:textId="7777777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294</w:t>
            </w:r>
          </w:p>
        </w:tc>
        <w:tc>
          <w:tcPr>
            <w:tcW w:w="1207" w:type="dxa"/>
            <w:vAlign w:val="center"/>
          </w:tcPr>
          <w:p w:rsidRPr="003C2145" w:rsidR="00B64363" w:rsidP="00B64363" w:rsidRDefault="00B64363" w14:paraId="07B4D463" w14:textId="29A4FD6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183.</w:t>
            </w: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Pr="003C2145" w:rsidR="00B64363" w:rsidTr="00772123" w14:paraId="0BA0AF5E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B64363" w:rsidP="00B64363" w:rsidRDefault="00B64363" w14:paraId="43913E1F" w14:textId="45BC4A8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3608F751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11049FEB" w14:textId="36E3E8C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25.</w:t>
            </w: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1" w:type="dxa"/>
            <w:vAlign w:val="center"/>
          </w:tcPr>
          <w:p w:rsidRPr="003C2145" w:rsidR="00B64363" w:rsidP="00B64363" w:rsidRDefault="00B64363" w14:paraId="7977A467" w14:textId="05C7BD8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</w:t>
            </w:r>
            <w:r w:rsidRPr="004075A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61" w:type="dxa"/>
            <w:vAlign w:val="center"/>
          </w:tcPr>
          <w:p w:rsidRPr="003C2145" w:rsidR="00B64363" w:rsidP="00B64363" w:rsidRDefault="00B64363" w14:paraId="7DEAFFCC" w14:textId="7777777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07" w:type="dxa"/>
            <w:vAlign w:val="center"/>
          </w:tcPr>
          <w:p w:rsidRPr="003C2145" w:rsidR="00B64363" w:rsidP="00B64363" w:rsidRDefault="00B64363" w14:paraId="3B642308" w14:textId="70B4040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26.</w:t>
            </w: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3C2145" w:rsidR="00B64363" w:rsidTr="00772123" w14:paraId="0EA6F2E3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B64363" w:rsidP="00B64363" w:rsidRDefault="00B64363" w14:paraId="2E746B3D" w14:textId="6F124B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4342BE94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Pr="003C2145" w:rsidR="00B64363" w:rsidP="00B64363" w:rsidRDefault="00B64363" w14:paraId="72960F2D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:rsidRPr="003C2145" w:rsidR="00B64363" w:rsidP="00B64363" w:rsidRDefault="00B64363" w14:paraId="01D12245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:rsidRPr="003C2145" w:rsidR="00B64363" w:rsidP="00B64363" w:rsidRDefault="00B64363" w14:paraId="4F1C5A5A" w14:textId="7777777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Pr="003C2145" w:rsidR="00B64363" w:rsidP="00B64363" w:rsidRDefault="00B64363" w14:paraId="0DC30BC3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1"/>
    </w:tbl>
    <w:p w:rsidRPr="004829B9" w:rsidR="00054314" w:rsidP="00054314" w:rsidRDefault="00054314" w14:paraId="4C4EBE85" w14:textId="77777777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val="en-GB" w:eastAsia="pl-PL"/>
        </w:rPr>
      </w:pPr>
    </w:p>
    <w:p w:rsidRPr="004829B9" w:rsidR="00154AC9" w:rsidP="00896EB9" w:rsidRDefault="00154AC9" w14:paraId="03EFC1DF" w14:textId="77777777">
      <w:pPr>
        <w:rPr>
          <w:shd w:val="clear" w:color="auto" w:fill="FFFFFF"/>
          <w:lang w:val="en-GB"/>
        </w:rPr>
      </w:pPr>
    </w:p>
    <w:p w:rsidRPr="004829B9" w:rsidR="0058073C" w:rsidP="008F6310" w:rsidRDefault="0058073C" w14:paraId="1FED3B6A" w14:textId="77777777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:rsidRPr="004829B9" w:rsidR="009829F8" w:rsidP="008F6310" w:rsidRDefault="009829F8" w14:paraId="71002120" w14:textId="77777777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:rsidR="00A7208C" w:rsidP="008F6310" w:rsidRDefault="00A7208C" w14:paraId="10D3BA04" w14:textId="77777777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:rsidRPr="004829B9" w:rsidR="00896EB9" w:rsidP="008F6310" w:rsidRDefault="00896EB9" w14:paraId="2D03BCD7" w14:textId="4A2941C6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4829B9" w:rsidR="00C47CE4" w:rsidP="00896EB9" w:rsidRDefault="003557A1" w14:paraId="03705375" w14:textId="278FF772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69BF41E9" wp14:anchorId="51E55D6D">
                <wp:simplePos x="0" y="0"/>
                <wp:positionH relativeFrom="rightMargin">
                  <wp:posOffset>77470</wp:posOffset>
                </wp:positionH>
                <wp:positionV relativeFrom="paragraph">
                  <wp:posOffset>6350</wp:posOffset>
                </wp:positionV>
                <wp:extent cx="168846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AD1492" w:rsidR="003A7E95" w:rsidP="00C47CE4" w:rsidRDefault="000348CC" w14:paraId="35DCCB4E" w14:textId="05E3B2D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Pr="004C57EC" w:rsidR="003A7E95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 w:rsidR="003A7E95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DE7DD4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 w:rsidR="003A7E95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A11B23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B64363">
                              <w:rPr>
                                <w:lang w:val="en-US"/>
                              </w:rPr>
                              <w:t>the period of I-II</w:t>
                            </w:r>
                            <w:r w:rsidR="00C214E1">
                              <w:rPr>
                                <w:lang w:val="en-US"/>
                              </w:rPr>
                              <w:t xml:space="preserve"> 2021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D1492" w:rsidR="003A7E95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B64363">
                              <w:rPr>
                                <w:lang w:val="en-US"/>
                              </w:rPr>
                              <w:t>35</w:t>
                            </w:r>
                            <w:r w:rsidRPr="00AD1492" w:rsidR="003A7E95">
                              <w:rPr>
                                <w:lang w:val="en-US"/>
                              </w:rPr>
                              <w:t>.</w:t>
                            </w:r>
                            <w:r w:rsidR="00B64363">
                              <w:rPr>
                                <w:lang w:val="en-US"/>
                              </w:rPr>
                              <w:t>3</w:t>
                            </w:r>
                            <w:r w:rsidRPr="00AD1492" w:rsidR="003A7E95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style="position:absolute;margin-left:6.1pt;margin-top:.5pt;width:132.9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" w14:anchorId="51E55D6D">
                <v:textbox>
                  <w:txbxContent>
                    <w:p w:rsidRPr="00AD1492" w:rsidR="003A7E95" w:rsidP="00C47CE4" w:rsidRDefault="000348CC" w14:paraId="35DCCB4E" w14:textId="05E3B2D0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Pr="004C57EC" w:rsidR="003A7E95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 w:rsidR="003A7E95">
                        <w:rPr>
                          <w:lang w:val="en-US"/>
                        </w:rPr>
                        <w:t>with a construction project</w:t>
                      </w:r>
                      <w:r w:rsidR="00DE7DD4">
                        <w:rPr>
                          <w:lang w:val="en-US"/>
                        </w:rPr>
                        <w:t xml:space="preserve"> in</w:t>
                      </w:r>
                      <w:r w:rsidRPr="00AD1492" w:rsidR="003A7E95">
                        <w:rPr>
                          <w:lang w:val="en-US"/>
                        </w:rPr>
                        <w:t xml:space="preserve">creased </w:t>
                      </w:r>
                      <w:r w:rsidR="00A11B23">
                        <w:rPr>
                          <w:lang w:val="en-US"/>
                        </w:rPr>
                        <w:t xml:space="preserve">in </w:t>
                      </w:r>
                      <w:r w:rsidR="00B64363">
                        <w:rPr>
                          <w:lang w:val="en-US"/>
                        </w:rPr>
                        <w:t>the period of I-II</w:t>
                      </w:r>
                      <w:r w:rsidR="00C214E1">
                        <w:rPr>
                          <w:lang w:val="en-US"/>
                        </w:rPr>
                        <w:t xml:space="preserve"> 2021</w:t>
                      </w:r>
                      <w:r w:rsidR="00843B16">
                        <w:rPr>
                          <w:lang w:val="en-US"/>
                        </w:rPr>
                        <w:t xml:space="preserve"> </w:t>
                      </w:r>
                      <w:r w:rsidRPr="00AD1492" w:rsidR="003A7E95">
                        <w:rPr>
                          <w:lang w:val="en-US"/>
                        </w:rPr>
                        <w:t xml:space="preserve">by </w:t>
                      </w:r>
                      <w:r w:rsidR="00B64363">
                        <w:rPr>
                          <w:lang w:val="en-US"/>
                        </w:rPr>
                        <w:t>35</w:t>
                      </w:r>
                      <w:r w:rsidRPr="00AD1492" w:rsidR="003A7E95">
                        <w:rPr>
                          <w:lang w:val="en-US"/>
                        </w:rPr>
                        <w:t>.</w:t>
                      </w:r>
                      <w:r w:rsidR="00B64363">
                        <w:rPr>
                          <w:lang w:val="en-US"/>
                        </w:rPr>
                        <w:t>3</w:t>
                      </w:r>
                      <w:r w:rsidRPr="00AD1492" w:rsidR="003A7E95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29B9" w:rsidR="00BD1D77">
        <w:rPr>
          <w:szCs w:val="19"/>
          <w:shd w:val="clear" w:color="auto" w:fill="FFFFFF"/>
          <w:lang w:val="en-GB"/>
        </w:rPr>
        <w:t>In</w:t>
      </w:r>
      <w:r w:rsidR="00C214E1">
        <w:rPr>
          <w:szCs w:val="19"/>
          <w:shd w:val="clear" w:color="auto" w:fill="FFFFFF"/>
          <w:lang w:val="en-GB"/>
        </w:rPr>
        <w:t xml:space="preserve"> </w:t>
      </w:r>
      <w:r w:rsidR="00B64363">
        <w:rPr>
          <w:szCs w:val="19"/>
          <w:shd w:val="clear" w:color="auto" w:fill="FFFFFF"/>
          <w:lang w:val="en-GB"/>
        </w:rPr>
        <w:t>the first two months of</w:t>
      </w:r>
      <w:r w:rsidRPr="004829B9" w:rsidR="00BD1D77">
        <w:rPr>
          <w:szCs w:val="19"/>
          <w:shd w:val="clear" w:color="auto" w:fill="FFFFFF"/>
          <w:lang w:val="en-GB"/>
        </w:rPr>
        <w:t xml:space="preserve"> </w:t>
      </w:r>
      <w:r w:rsidR="00A7208C">
        <w:rPr>
          <w:szCs w:val="19"/>
          <w:shd w:val="clear" w:color="auto" w:fill="FFFFFF"/>
          <w:lang w:val="en-GB"/>
        </w:rPr>
        <w:t>2021</w:t>
      </w:r>
      <w:r w:rsidR="000348CC">
        <w:rPr>
          <w:szCs w:val="19"/>
          <w:shd w:val="clear" w:color="auto" w:fill="FFFFFF"/>
          <w:lang w:val="en-GB"/>
        </w:rPr>
        <w:t>,</w:t>
      </w:r>
      <w:r w:rsidRPr="004829B9" w:rsidR="00BD1D77">
        <w:rPr>
          <w:szCs w:val="19"/>
          <w:shd w:val="clear" w:color="auto" w:fill="FFFFFF"/>
          <w:lang w:val="en-GB"/>
        </w:rPr>
        <w:t xml:space="preserve"> </w:t>
      </w:r>
      <w:r w:rsidRPr="004829B9" w:rsidR="00C47CE4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Pr="004829B9" w:rsidR="00C47CE4">
        <w:rPr>
          <w:shd w:val="clear" w:color="auto" w:fill="FFFFFF"/>
          <w:lang w:val="en-GB"/>
        </w:rPr>
        <w:t xml:space="preserve">construction of </w:t>
      </w:r>
      <w:r w:rsidR="00B64363">
        <w:rPr>
          <w:shd w:val="clear" w:color="auto" w:fill="FFFFFF"/>
          <w:lang w:val="en-GB"/>
        </w:rPr>
        <w:t>50</w:t>
      </w:r>
      <w:r w:rsidR="00DE7DD4">
        <w:rPr>
          <w:shd w:val="clear" w:color="auto" w:fill="FFFFFF"/>
          <w:lang w:val="en-GB"/>
        </w:rPr>
        <w:t>.</w:t>
      </w:r>
      <w:r w:rsidR="00B64363">
        <w:rPr>
          <w:shd w:val="clear" w:color="auto" w:fill="FFFFFF"/>
          <w:lang w:val="en-GB"/>
        </w:rPr>
        <w:t>5</w:t>
      </w:r>
      <w:r w:rsidRPr="00DE7DD4" w:rsidR="00DE7DD4">
        <w:rPr>
          <w:shd w:val="clear" w:color="auto" w:fill="FFFFFF"/>
          <w:lang w:val="en-GB"/>
        </w:rPr>
        <w:t xml:space="preserve"> </w:t>
      </w:r>
      <w:r w:rsidRPr="004829B9" w:rsidR="00086F9F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Pr="004829B9" w:rsidR="00FD0C2F">
        <w:rPr>
          <w:shd w:val="clear" w:color="auto" w:fill="FFFFFF"/>
          <w:lang w:val="en-GB"/>
        </w:rPr>
        <w:t xml:space="preserve"> dwellings, </w:t>
      </w:r>
      <w:r w:rsidRPr="004829B9" w:rsidR="00C47CE4">
        <w:rPr>
          <w:shd w:val="clear" w:color="auto" w:fill="FFFFFF"/>
          <w:lang w:val="en-GB"/>
        </w:rPr>
        <w:t xml:space="preserve">i.e. by </w:t>
      </w:r>
      <w:r w:rsidR="00B64363">
        <w:rPr>
          <w:shd w:val="clear" w:color="auto" w:fill="FFFFFF"/>
          <w:lang w:val="en-GB"/>
        </w:rPr>
        <w:t>35</w:t>
      </w:r>
      <w:r w:rsidRPr="004829B9" w:rsidR="00E245E1">
        <w:rPr>
          <w:shd w:val="clear" w:color="auto" w:fill="FFFFFF"/>
          <w:lang w:val="en-GB"/>
        </w:rPr>
        <w:t>.</w:t>
      </w:r>
      <w:r w:rsidR="00B64363">
        <w:rPr>
          <w:shd w:val="clear" w:color="auto" w:fill="FFFFFF"/>
          <w:lang w:val="en-GB"/>
        </w:rPr>
        <w:t>3</w:t>
      </w:r>
      <w:r w:rsidRPr="004829B9" w:rsidR="00C47CE4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Pr="004829B9" w:rsidR="00C47CE4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Pr="004829B9" w:rsidR="00856FE3">
        <w:rPr>
          <w:shd w:val="clear" w:color="auto" w:fill="FFFFFF"/>
          <w:lang w:val="en-GB"/>
        </w:rPr>
        <w:t xml:space="preserve">. </w:t>
      </w:r>
      <w:r w:rsidRPr="004829B9" w:rsidR="00C47CE4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Pr="004829B9" w:rsidR="00435283">
        <w:rPr>
          <w:b/>
          <w:shd w:val="clear" w:color="auto" w:fill="FFFFFF"/>
          <w:lang w:val="en-GB"/>
        </w:rPr>
        <w:t xml:space="preserve">developers </w:t>
      </w:r>
      <w:r w:rsidRPr="004829B9" w:rsidR="00BD1D77">
        <w:rPr>
          <w:shd w:val="clear" w:color="auto" w:fill="FFFFFF"/>
          <w:lang w:val="en-GB"/>
        </w:rPr>
        <w:t>(</w:t>
      </w:r>
      <w:r w:rsidR="00B64363">
        <w:rPr>
          <w:shd w:val="clear" w:color="auto" w:fill="FFFFFF"/>
          <w:lang w:val="en-GB"/>
        </w:rPr>
        <w:t>33</w:t>
      </w:r>
      <w:r w:rsidR="00DE7DD4">
        <w:rPr>
          <w:shd w:val="clear" w:color="auto" w:fill="FFFFFF"/>
          <w:lang w:val="en-GB"/>
        </w:rPr>
        <w:t>.</w:t>
      </w:r>
      <w:r w:rsidR="00B64363">
        <w:rPr>
          <w:shd w:val="clear" w:color="auto" w:fill="FFFFFF"/>
          <w:lang w:val="en-GB"/>
        </w:rPr>
        <w:t>0</w:t>
      </w:r>
      <w:r w:rsidRPr="00DE7DD4" w:rsidR="00DE7DD4">
        <w:rPr>
          <w:shd w:val="clear" w:color="auto" w:fill="FFFFFF"/>
          <w:lang w:val="en-GB"/>
        </w:rPr>
        <w:t xml:space="preserve"> </w:t>
      </w:r>
      <w:r w:rsidRPr="004829B9" w:rsidR="00086F9F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B64363">
        <w:rPr>
          <w:shd w:val="clear" w:color="auto" w:fill="FFFFFF"/>
          <w:lang w:val="en-GB"/>
        </w:rPr>
        <w:t xml:space="preserve"> increase of 41.8</w:t>
      </w:r>
      <w:r w:rsidR="00FE3A83">
        <w:rPr>
          <w:shd w:val="clear" w:color="auto" w:fill="FFFFFF"/>
          <w:lang w:val="en-GB"/>
        </w:rPr>
        <w:t>% y/y</w:t>
      </w:r>
      <w:r w:rsidRPr="004829B9" w:rsidR="00BD1D77">
        <w:rPr>
          <w:shd w:val="clear" w:color="auto" w:fill="FFFFFF"/>
          <w:lang w:val="en-GB"/>
        </w:rPr>
        <w:t>)</w:t>
      </w:r>
      <w:r w:rsidRPr="004829B9" w:rsidR="00C47CE4">
        <w:rPr>
          <w:shd w:val="clear" w:color="auto" w:fill="FFFFFF"/>
          <w:lang w:val="en-GB"/>
        </w:rPr>
        <w:t xml:space="preserve"> and to </w:t>
      </w:r>
      <w:r w:rsidRPr="004829B9" w:rsidR="00C47CE4">
        <w:rPr>
          <w:b/>
          <w:shd w:val="clear" w:color="auto" w:fill="FFFFFF"/>
          <w:lang w:val="en-GB"/>
        </w:rPr>
        <w:t>private investors</w:t>
      </w:r>
      <w:r w:rsidRPr="004829B9" w:rsidR="00BD1D77">
        <w:rPr>
          <w:shd w:val="clear" w:color="auto" w:fill="FFFFFF"/>
          <w:lang w:val="en-GB"/>
        </w:rPr>
        <w:t xml:space="preserve"> (</w:t>
      </w:r>
      <w:r w:rsidR="00B64363">
        <w:rPr>
          <w:shd w:val="clear" w:color="auto" w:fill="FFFFFF"/>
          <w:lang w:val="en-GB"/>
        </w:rPr>
        <w:t>17</w:t>
      </w:r>
      <w:r w:rsidR="00DE7DD4">
        <w:rPr>
          <w:shd w:val="clear" w:color="auto" w:fill="FFFFFF"/>
          <w:lang w:val="en-GB"/>
        </w:rPr>
        <w:t>.</w:t>
      </w:r>
      <w:r w:rsidR="00B64363">
        <w:rPr>
          <w:shd w:val="clear" w:color="auto" w:fill="FFFFFF"/>
          <w:lang w:val="en-GB"/>
        </w:rPr>
        <w:t>0</w:t>
      </w:r>
      <w:r w:rsidRPr="00DE7DD4" w:rsidR="00DE7DD4">
        <w:rPr>
          <w:shd w:val="clear" w:color="auto" w:fill="FFFFFF"/>
          <w:lang w:val="en-GB"/>
        </w:rPr>
        <w:t xml:space="preserve"> </w:t>
      </w:r>
      <w:r w:rsidRPr="004829B9" w:rsidR="00086F9F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B64363">
        <w:rPr>
          <w:shd w:val="clear" w:color="auto" w:fill="FFFFFF"/>
          <w:lang w:val="en-GB"/>
        </w:rPr>
        <w:t>, an increase of 23.0</w:t>
      </w:r>
      <w:r w:rsidRPr="00B7342E" w:rsidR="00FE3A83">
        <w:rPr>
          <w:shd w:val="clear" w:color="auto" w:fill="FFFFFF"/>
          <w:lang w:val="en-GB"/>
        </w:rPr>
        <w:t>%</w:t>
      </w:r>
      <w:r w:rsidRPr="00B7342E" w:rsidR="00BD1D77">
        <w:rPr>
          <w:shd w:val="clear" w:color="auto" w:fill="FFFFFF"/>
          <w:lang w:val="en-GB"/>
        </w:rPr>
        <w:t>)</w:t>
      </w:r>
      <w:r w:rsidRPr="004829B9" w:rsidR="00CF36C5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Pr="004829B9" w:rsidR="00507D43">
        <w:rPr>
          <w:shd w:val="clear" w:color="auto" w:fill="FFFFFF"/>
          <w:lang w:val="en-GB"/>
        </w:rPr>
        <w:t xml:space="preserve"> </w:t>
      </w:r>
      <w:r w:rsidRPr="004829B9" w:rsidR="000A7C88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Pr="000A40DF" w:rsid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E7DD4">
        <w:rPr>
          <w:shd w:val="clear" w:color="auto" w:fill="FFFFFF"/>
          <w:lang w:val="en-GB"/>
        </w:rPr>
        <w:t xml:space="preserve"> 99</w:t>
      </w:r>
      <w:r w:rsidRPr="004829B9" w:rsidR="001A1F89">
        <w:rPr>
          <w:shd w:val="clear" w:color="auto" w:fill="FFFFFF"/>
          <w:lang w:val="en-GB"/>
        </w:rPr>
        <w:t>.</w:t>
      </w:r>
      <w:r w:rsidR="00B64363">
        <w:rPr>
          <w:shd w:val="clear" w:color="auto" w:fill="FFFFFF"/>
          <w:lang w:val="en-GB"/>
        </w:rPr>
        <w:t>2</w:t>
      </w:r>
      <w:r w:rsidRPr="004829B9" w:rsidR="000A7C88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Pr="004829B9" w:rsidR="00507D43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Pr="004B638F" w:rsidR="00C214E1">
        <w:rPr>
          <w:spacing w:val="-4"/>
          <w:shd w:val="clear" w:color="auto" w:fill="FFFFFF"/>
          <w:lang w:val="en-GB"/>
        </w:rPr>
        <w:t xml:space="preserve"> </w:t>
      </w:r>
      <w:r w:rsidRPr="00B64363" w:rsid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Pr="00B64363" w:rsidR="00B64363">
        <w:rPr>
          <w:spacing w:val="-4"/>
          <w:shd w:val="clear" w:color="auto" w:fill="FFFFFF"/>
          <w:lang w:val="en-GB"/>
        </w:rPr>
        <w:t xml:space="preserve">of construction </w:t>
      </w:r>
      <w:r w:rsidR="00B64363">
        <w:rPr>
          <w:spacing w:val="-4"/>
          <w:shd w:val="clear" w:color="auto" w:fill="FFFFFF"/>
          <w:lang w:val="en-GB"/>
        </w:rPr>
        <w:t>403</w:t>
      </w:r>
      <w:r w:rsidRPr="00B64363" w:rsidR="00B64363">
        <w:rPr>
          <w:spacing w:val="-4"/>
          <w:shd w:val="clear" w:color="auto" w:fill="FFFFFF"/>
          <w:lang w:val="en-GB"/>
        </w:rPr>
        <w:t xml:space="preserve"> 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Pr="004829B9" w:rsidR="00507D43">
        <w:rPr>
          <w:shd w:val="clear" w:color="auto" w:fill="FFFFFF"/>
          <w:lang w:val="en-GB"/>
        </w:rPr>
        <w:t xml:space="preserve">for which permits have been granted or which have been registered </w:t>
      </w:r>
      <w:r w:rsidRPr="004829B9" w:rsidR="000E65E1">
        <w:rPr>
          <w:shd w:val="clear" w:color="auto" w:fill="FFFFFF"/>
          <w:lang w:val="en-GB"/>
        </w:rPr>
        <w:t>with a </w:t>
      </w:r>
      <w:r w:rsidRPr="004829B9" w:rsidR="00507D43">
        <w:rPr>
          <w:shd w:val="clear" w:color="auto" w:fill="FFFFFF"/>
          <w:lang w:val="en-GB"/>
        </w:rPr>
        <w:t xml:space="preserve">construction project </w:t>
      </w:r>
      <w:r w:rsidRPr="004829B9" w:rsidR="00C47CE4">
        <w:rPr>
          <w:shd w:val="clear" w:color="auto" w:fill="FFFFFF"/>
          <w:lang w:val="en-GB"/>
        </w:rPr>
        <w:t xml:space="preserve">were </w:t>
      </w:r>
      <w:r w:rsidRPr="004829B9" w:rsidR="00CD44F1">
        <w:rPr>
          <w:shd w:val="clear" w:color="auto" w:fill="FFFFFF"/>
          <w:lang w:val="en-GB"/>
        </w:rPr>
        <w:t>not</w:t>
      </w:r>
      <w:r w:rsidRPr="004829B9" w:rsidR="00507D43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B64363">
        <w:rPr>
          <w:shd w:val="clear" w:color="auto" w:fill="FFFFFF"/>
          <w:lang w:val="en-GB"/>
        </w:rPr>
        <w:t>14</w:t>
      </w:r>
      <w:r w:rsidR="00C214E1">
        <w:rPr>
          <w:shd w:val="clear" w:color="auto" w:fill="FFFFFF"/>
          <w:lang w:val="en-GB"/>
        </w:rPr>
        <w:t>4 dwellings in the previous year</w:t>
      </w:r>
      <w:r w:rsidR="00B64363">
        <w:rPr>
          <w:shd w:val="clear" w:color="auto" w:fill="FFFFFF"/>
          <w:lang w:val="en-GB"/>
        </w:rPr>
        <w:t>).</w:t>
      </w:r>
    </w:p>
    <w:p w:rsidRPr="004829B9" w:rsidR="00896EB9" w:rsidP="00DE7DD4" w:rsidRDefault="00896EB9" w14:paraId="073E70B2" w14:textId="77777777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Pr="004075A5" w:rsidR="009742AF" w:rsidTr="00772123" w14:paraId="652EDD20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4075A5" w:rsidR="009742AF" w:rsidP="00772123" w:rsidRDefault="009742AF" w14:paraId="3AA568A9" w14:textId="2D9D8E34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3" w:id="2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Pr="004075A5" w:rsidR="009742AF" w:rsidP="00772123" w:rsidRDefault="009742AF" w14:paraId="76ACFB3A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9742AF" w:rsidTr="00772123" w14:paraId="407E8CA0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9742AF" w:rsidP="00772123" w:rsidRDefault="009742AF" w14:paraId="51E5F49B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9742AF" w:rsidP="00772123" w:rsidRDefault="009742AF" w14:paraId="7DE5D24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4075A5" w:rsidR="009742AF" w:rsidP="00772123" w:rsidRDefault="009742AF" w14:paraId="74C18E5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4075A5">
              <w:rPr>
                <w:color w:val="000000" w:themeColor="text1"/>
                <w:sz w:val="16"/>
                <w:szCs w:val="16"/>
              </w:rPr>
              <w:t>II</w:t>
            </w:r>
          </w:p>
        </w:tc>
      </w:tr>
      <w:tr w:rsidRPr="004075A5" w:rsidR="009742AF" w:rsidTr="00772123" w14:paraId="34D84E6E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9742AF" w:rsidP="00772123" w:rsidRDefault="009742AF" w14:paraId="51E5BB0D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4075A5" w:rsidR="009742AF" w:rsidP="00772123" w:rsidRDefault="009742AF" w14:paraId="7545D542" w14:textId="018F2B6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81" w:type="dxa"/>
            <w:tcBorders>
              <w:bottom w:val="single" w:color="212492" w:sz="12" w:space="0"/>
            </w:tcBorders>
            <w:vAlign w:val="center"/>
          </w:tcPr>
          <w:p w:rsidRPr="004075A5" w:rsidR="009742AF" w:rsidP="00772123" w:rsidRDefault="009742AF" w14:paraId="131348A1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II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9742AF" w:rsidP="00772123" w:rsidRDefault="009742AF" w14:paraId="65D60182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 2</w:t>
            </w:r>
            <w:r>
              <w:rPr>
                <w:color w:val="000000" w:themeColor="text1"/>
                <w:sz w:val="16"/>
                <w:szCs w:val="16"/>
              </w:rPr>
              <w:t>021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9742AF" w:rsidP="00772123" w:rsidRDefault="009742AF" w14:paraId="5E04BAD5" w14:textId="3C487BC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4075A5" w:rsidR="009742AF" w:rsidP="00772123" w:rsidRDefault="009742AF" w14:paraId="768058B7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I-II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4075A5" w:rsidR="009742AF" w:rsidTr="00772123" w14:paraId="363C5E69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4075A5" w:rsidR="009742AF" w:rsidP="009742AF" w:rsidRDefault="009742AF" w14:paraId="6945A5CE" w14:textId="0F3C191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4075A5" w:rsidR="009742AF" w:rsidP="009742AF" w:rsidRDefault="009742AF" w14:paraId="2FF6B37E" w14:textId="7777777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394560">
              <w:rPr>
                <w:rFonts w:cs="Arial"/>
                <w:b/>
                <w:sz w:val="16"/>
                <w:szCs w:val="16"/>
              </w:rPr>
              <w:t>27 179</w:t>
            </w:r>
          </w:p>
        </w:tc>
        <w:tc>
          <w:tcPr>
            <w:tcW w:w="1281" w:type="dxa"/>
            <w:tcBorders>
              <w:top w:val="single" w:color="212492" w:sz="12" w:space="0"/>
            </w:tcBorders>
            <w:vAlign w:val="center"/>
          </w:tcPr>
          <w:p w:rsidRPr="004075A5" w:rsidR="009742AF" w:rsidP="009742AF" w:rsidRDefault="009742AF" w14:paraId="2650B294" w14:textId="7AA0107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143.</w:t>
            </w:r>
            <w:r w:rsidRPr="00394560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9742AF" w:rsidP="009742AF" w:rsidRDefault="009742AF" w14:paraId="00DFAE63" w14:textId="7B98C82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116.</w:t>
            </w:r>
            <w:r w:rsidRPr="00394560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9742AF" w:rsidP="009742AF" w:rsidRDefault="009742AF" w14:paraId="2031BE8B" w14:textId="7777777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075A5">
              <w:rPr>
                <w:rFonts w:cs="Arial"/>
                <w:b/>
                <w:sz w:val="16"/>
                <w:szCs w:val="16"/>
              </w:rPr>
              <w:t>50 469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4075A5" w:rsidR="009742AF" w:rsidP="009742AF" w:rsidRDefault="009742AF" w14:paraId="2F67A547" w14:textId="176A8C4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135.</w:t>
            </w:r>
            <w:r w:rsidRPr="004075A5">
              <w:rPr>
                <w:rFonts w:cs="Arial"/>
                <w:b/>
                <w:sz w:val="16"/>
                <w:szCs w:val="16"/>
              </w:rPr>
              <w:t>3</w:t>
            </w:r>
          </w:p>
        </w:tc>
      </w:tr>
      <w:tr w:rsidRPr="004075A5" w:rsidR="009742AF" w:rsidTr="00772123" w14:paraId="5A60AF97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9742AF" w:rsidP="009742AF" w:rsidRDefault="009742AF" w14:paraId="44FEBA86" w14:textId="3CBD3A6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Pr="004075A5" w:rsidR="009742AF" w:rsidP="009742AF" w:rsidRDefault="009742AF" w14:paraId="7B4676B3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8 763</w:t>
            </w:r>
          </w:p>
        </w:tc>
        <w:tc>
          <w:tcPr>
            <w:tcW w:w="1281" w:type="dxa"/>
            <w:vAlign w:val="center"/>
          </w:tcPr>
          <w:p w:rsidRPr="004075A5" w:rsidR="009742AF" w:rsidP="009742AF" w:rsidRDefault="009742AF" w14:paraId="5944B0EE" w14:textId="5CBE999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</w:t>
            </w:r>
            <w:r w:rsidRPr="0039456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Pr="004075A5" w:rsidR="009742AF" w:rsidP="009742AF" w:rsidRDefault="009742AF" w14:paraId="3B4476B3" w14:textId="5614B5E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</w:t>
            </w:r>
            <w:r w:rsidRPr="0039456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Pr="004075A5" w:rsidR="009742AF" w:rsidP="009742AF" w:rsidRDefault="009742AF" w14:paraId="4C8A7B81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sz w:val="16"/>
                <w:szCs w:val="16"/>
              </w:rPr>
              <w:t>17 022</w:t>
            </w:r>
          </w:p>
        </w:tc>
        <w:tc>
          <w:tcPr>
            <w:tcW w:w="1276" w:type="dxa"/>
            <w:vAlign w:val="center"/>
          </w:tcPr>
          <w:p w:rsidRPr="004075A5" w:rsidR="009742AF" w:rsidP="009742AF" w:rsidRDefault="009742AF" w14:paraId="77B0F2D4" w14:textId="039AE30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</w:t>
            </w:r>
            <w:r w:rsidRPr="004075A5">
              <w:rPr>
                <w:rFonts w:cs="Arial"/>
                <w:sz w:val="16"/>
                <w:szCs w:val="16"/>
              </w:rPr>
              <w:t>0</w:t>
            </w:r>
          </w:p>
        </w:tc>
      </w:tr>
      <w:tr w:rsidRPr="004075A5" w:rsidR="009742AF" w:rsidTr="00772123" w14:paraId="253F359E" w14:textId="77777777">
        <w:trPr>
          <w:trHeight w:val="381"/>
        </w:trPr>
        <w:tc>
          <w:tcPr>
            <w:tcW w:w="2049" w:type="dxa"/>
            <w:vAlign w:val="center"/>
          </w:tcPr>
          <w:p w:rsidRPr="004075A5" w:rsidR="009742AF" w:rsidP="009742AF" w:rsidRDefault="009742AF" w14:paraId="4A3D285E" w14:textId="713098B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Pr="004075A5" w:rsidR="009742AF" w:rsidP="009742AF" w:rsidRDefault="009742AF" w14:paraId="2742894C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18 133</w:t>
            </w:r>
          </w:p>
        </w:tc>
        <w:tc>
          <w:tcPr>
            <w:tcW w:w="1281" w:type="dxa"/>
            <w:vAlign w:val="center"/>
          </w:tcPr>
          <w:p w:rsidRPr="004075A5" w:rsidR="009742AF" w:rsidP="009742AF" w:rsidRDefault="009742AF" w14:paraId="3E99F8B5" w14:textId="08413D9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153.</w:t>
            </w:r>
            <w:r w:rsidRPr="0039456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Pr="004075A5" w:rsidR="009742AF" w:rsidP="009742AF" w:rsidRDefault="009742AF" w14:paraId="33E71843" w14:textId="23FE324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</w:t>
            </w:r>
            <w:r w:rsidRPr="0039456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Pr="004075A5" w:rsidR="009742AF" w:rsidP="009742AF" w:rsidRDefault="009742AF" w14:paraId="439A9A61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sz w:val="16"/>
                <w:szCs w:val="16"/>
              </w:rPr>
              <w:t>33 044</w:t>
            </w:r>
          </w:p>
        </w:tc>
        <w:tc>
          <w:tcPr>
            <w:tcW w:w="1276" w:type="dxa"/>
            <w:vAlign w:val="center"/>
          </w:tcPr>
          <w:p w:rsidRPr="004075A5" w:rsidR="009742AF" w:rsidP="009742AF" w:rsidRDefault="009742AF" w14:paraId="1D21657D" w14:textId="34166B4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</w:t>
            </w:r>
            <w:r w:rsidRPr="004075A5">
              <w:rPr>
                <w:rFonts w:cs="Arial"/>
                <w:sz w:val="16"/>
                <w:szCs w:val="16"/>
              </w:rPr>
              <w:t>8</w:t>
            </w:r>
          </w:p>
        </w:tc>
      </w:tr>
      <w:tr w:rsidRPr="004075A5" w:rsidR="00497FB5" w:rsidTr="00772123" w14:paraId="49CCABB5" w14:textId="77777777">
        <w:trPr>
          <w:trHeight w:val="254"/>
        </w:trPr>
        <w:tc>
          <w:tcPr>
            <w:tcW w:w="2049" w:type="dxa"/>
            <w:vAlign w:val="center"/>
          </w:tcPr>
          <w:p w:rsidRPr="004075A5" w:rsidR="00497FB5" w:rsidP="00497FB5" w:rsidRDefault="00497FB5" w14:paraId="04F8B3A3" w14:textId="40A4038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Pr="004075A5" w:rsidR="00497FB5" w:rsidP="00497FB5" w:rsidRDefault="00497FB5" w14:paraId="54102165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1281" w:type="dxa"/>
            <w:vAlign w:val="center"/>
          </w:tcPr>
          <w:p w:rsidRPr="004075A5" w:rsidR="00497FB5" w:rsidP="00497FB5" w:rsidRDefault="00497FB5" w14:paraId="09DE0DD7" w14:textId="6DB49EB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530.</w:t>
            </w:r>
            <w:r w:rsidRPr="0039456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Pr="004075A5" w:rsidR="00497FB5" w:rsidP="00497FB5" w:rsidRDefault="00497FB5" w14:paraId="26C5A508" w14:textId="229C810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162.</w:t>
            </w:r>
            <w:r w:rsidRPr="0039456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Pr="004075A5" w:rsidR="00497FB5" w:rsidP="00497FB5" w:rsidRDefault="00497FB5" w14:paraId="0758F90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sz w:val="16"/>
                <w:szCs w:val="16"/>
              </w:rPr>
              <w:t>197</w:t>
            </w:r>
          </w:p>
        </w:tc>
        <w:tc>
          <w:tcPr>
            <w:tcW w:w="1276" w:type="dxa"/>
            <w:vAlign w:val="center"/>
          </w:tcPr>
          <w:p w:rsidR="00497FB5" w:rsidP="00497FB5" w:rsidRDefault="00497FB5" w14:paraId="7B564234" w14:textId="7CC4442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</w:t>
            </w:r>
            <w:r>
              <w:rPr>
                <w:rFonts w:cs="Arial"/>
                <w:sz w:val="16"/>
                <w:szCs w:val="16"/>
              </w:rPr>
              <w:t xml:space="preserve"> 7-</w:t>
            </w:r>
          </w:p>
          <w:p w:rsidRPr="004075A5" w:rsidR="00497FB5" w:rsidP="00497FB5" w:rsidRDefault="00497FB5" w14:paraId="3736BBBA" w14:textId="110C3DD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more</w:t>
            </w:r>
          </w:p>
        </w:tc>
      </w:tr>
      <w:tr w:rsidRPr="004075A5" w:rsidR="00497FB5" w:rsidTr="00772123" w14:paraId="6AE47FCE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97FB5" w:rsidP="00497FB5" w:rsidRDefault="00497FB5" w14:paraId="4BE41020" w14:textId="0370534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Pr="004075A5" w:rsidR="00497FB5" w:rsidP="00497FB5" w:rsidRDefault="00497FB5" w14:paraId="074B7F82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1281" w:type="dxa"/>
            <w:vAlign w:val="center"/>
          </w:tcPr>
          <w:p w:rsidRPr="00394560" w:rsidR="00497FB5" w:rsidP="00497FB5" w:rsidRDefault="00497FB5" w14:paraId="76675692" w14:textId="4074AE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</w:t>
            </w:r>
            <w:r w:rsidRPr="00394560">
              <w:rPr>
                <w:rFonts w:cs="Arial"/>
                <w:sz w:val="16"/>
                <w:szCs w:val="16"/>
              </w:rPr>
              <w:t xml:space="preserve"> 7-</w:t>
            </w:r>
          </w:p>
          <w:p w:rsidRPr="004075A5" w:rsidR="00497FB5" w:rsidP="00497FB5" w:rsidRDefault="00497FB5" w14:paraId="75710FA7" w14:textId="6AE3A4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</w:t>
            </w:r>
            <w:r w:rsidRPr="0039456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more</w:t>
            </w:r>
          </w:p>
        </w:tc>
        <w:tc>
          <w:tcPr>
            <w:tcW w:w="1134" w:type="dxa"/>
            <w:vAlign w:val="center"/>
          </w:tcPr>
          <w:p w:rsidRPr="004075A5" w:rsidR="00497FB5" w:rsidP="00497FB5" w:rsidRDefault="00497FB5" w14:paraId="0D727A2C" w14:textId="746D8F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378.</w:t>
            </w:r>
            <w:r w:rsidRPr="0039456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Pr="004075A5" w:rsidR="00497FB5" w:rsidP="00497FB5" w:rsidRDefault="00497FB5" w14:paraId="7BC5B13D" w14:textId="7777777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4075A5">
              <w:rPr>
                <w:sz w:val="16"/>
                <w:szCs w:val="16"/>
              </w:rPr>
              <w:t>134</w:t>
            </w:r>
          </w:p>
        </w:tc>
        <w:tc>
          <w:tcPr>
            <w:tcW w:w="1276" w:type="dxa"/>
            <w:vAlign w:val="center"/>
          </w:tcPr>
          <w:p w:rsidRPr="004075A5" w:rsidR="00497FB5" w:rsidP="00497FB5" w:rsidRDefault="00497FB5" w14:paraId="6A2D6765" w14:textId="0F260D9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</w:t>
            </w:r>
            <w:r w:rsidRPr="004075A5">
              <w:rPr>
                <w:rFonts w:cs="Arial"/>
                <w:sz w:val="16"/>
                <w:szCs w:val="16"/>
              </w:rPr>
              <w:t>5</w:t>
            </w:r>
          </w:p>
        </w:tc>
      </w:tr>
      <w:tr w:rsidRPr="004075A5" w:rsidR="00497FB5" w:rsidTr="00772123" w14:paraId="37430476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97FB5" w:rsidP="00497FB5" w:rsidRDefault="00497FB5" w14:paraId="5B07F42D" w14:textId="55C2ED0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Pr="004075A5" w:rsidR="00497FB5" w:rsidP="00497FB5" w:rsidRDefault="00497FB5" w14:paraId="5B2F4361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281" w:type="dxa"/>
            <w:vAlign w:val="center"/>
          </w:tcPr>
          <w:p w:rsidRPr="004075A5" w:rsidR="00497FB5" w:rsidP="00497FB5" w:rsidRDefault="00497FB5" w14:paraId="3F38C2B2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497FB5" w:rsidP="00497FB5" w:rsidRDefault="00497FB5" w14:paraId="7F91F410" w14:textId="461E28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366.</w:t>
            </w:r>
            <w:r w:rsidRPr="0039456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Pr="004075A5" w:rsidR="00497FB5" w:rsidP="00497FB5" w:rsidRDefault="00497FB5" w14:paraId="1D4CFC01" w14:textId="7777777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4075A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:rsidRPr="004075A5" w:rsidR="00497FB5" w:rsidP="00497FB5" w:rsidRDefault="00497FB5" w14:paraId="2D6C854F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Pr="004075A5" w:rsidR="00497FB5" w:rsidTr="00772123" w14:paraId="600577D6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97FB5" w:rsidP="00497FB5" w:rsidRDefault="00497FB5" w14:paraId="210EF7C3" w14:textId="0E998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Pr="004075A5" w:rsidR="00497FB5" w:rsidP="00497FB5" w:rsidRDefault="00497FB5" w14:paraId="5643C5F6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81" w:type="dxa"/>
            <w:vAlign w:val="center"/>
          </w:tcPr>
          <w:p w:rsidRPr="004075A5" w:rsidR="00497FB5" w:rsidP="00497FB5" w:rsidRDefault="00497FB5" w14:paraId="010E4B35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497FB5" w:rsidP="00497FB5" w:rsidRDefault="00497FB5" w14:paraId="1C67E5C1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497FB5" w:rsidP="00497FB5" w:rsidRDefault="00497FB5" w14:paraId="58E5EB1D" w14:textId="7777777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4075A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Pr="004075A5" w:rsidR="00497FB5" w:rsidP="00497FB5" w:rsidRDefault="00497FB5" w14:paraId="0779A040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bookmarkEnd w:id="2"/>
    </w:tbl>
    <w:p w:rsidRPr="004829B9" w:rsidR="00896EB9" w:rsidP="00095A18" w:rsidRDefault="00896EB9" w14:paraId="2230FC6A" w14:textId="77777777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4829B9" w:rsidR="00896EB9" w:rsidP="00E55DC7" w:rsidRDefault="00896EB9" w14:paraId="3A8AA2D4" w14:textId="7777777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4829B9" w:rsidR="00095A18" w:rsidP="00CF36C5" w:rsidRDefault="00896EB9" w14:paraId="739580B8" w14:textId="720B1F1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 xml:space="preserve">the period of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January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-February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Pr="004829B9" w:rsidR="00BD1D77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Pr="004829B9"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33,5</w:t>
      </w:r>
      <w:r w:rsidRPr="00954347" w:rsid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0.7</w:t>
      </w:r>
      <w:r w:rsidRPr="004829B9"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Pr="004829B9"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less</w:t>
      </w:r>
      <w:r w:rsidRPr="004829B9" w:rsidR="00D76E73">
        <w:rPr>
          <w:lang w:val="en-GB"/>
        </w:rPr>
        <w:t xml:space="preserve"> </w:t>
      </w:r>
      <w:r w:rsidRPr="004829B9" w:rsidR="00D76E73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Pr="004829B9"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Pr="004829B9" w:rsidR="00B2646D">
        <w:rPr>
          <w:sz w:val="19"/>
          <w:szCs w:val="19"/>
          <w:shd w:val="clear" w:color="auto" w:fill="FFFFFF"/>
          <w:lang w:val="en-GB"/>
        </w:rPr>
        <w:t>D</w:t>
      </w:r>
      <w:r w:rsidRPr="004829B9" w:rsidR="00095A18">
        <w:rPr>
          <w:sz w:val="19"/>
          <w:szCs w:val="19"/>
          <w:shd w:val="clear" w:color="auto" w:fill="FFFFFF"/>
          <w:lang w:val="en-GB"/>
        </w:rPr>
        <w:t xml:space="preserve">evelopers 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2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2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3</w:t>
      </w:r>
      <w:r w:rsidRPr="00954347" w:rsid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46238A">
        <w:rPr>
          <w:b w:val="0"/>
          <w:sz w:val="19"/>
          <w:szCs w:val="19"/>
          <w:shd w:val="clear" w:color="auto" w:fill="FFFFFF"/>
          <w:lang w:val="en-GB"/>
        </w:rPr>
        <w:t>d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Pr="004829B9" w:rsidR="00EB69AF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8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1</w:t>
      </w:r>
      <w:r w:rsidRPr="004829B9" w:rsidR="00EB69AF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Pr="004829B9" w:rsidR="00EB69AF">
        <w:rPr>
          <w:b w:val="0"/>
          <w:sz w:val="19"/>
          <w:szCs w:val="19"/>
          <w:shd w:val="clear" w:color="auto" w:fill="FFFFFF"/>
          <w:lang w:val="en-GB"/>
        </w:rPr>
        <w:t>)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Pr="004829B9"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Pr="004829B9" w:rsidR="00095A18">
        <w:rPr>
          <w:sz w:val="19"/>
          <w:szCs w:val="19"/>
          <w:shd w:val="clear" w:color="auto" w:fill="FFFFFF"/>
          <w:lang w:val="en-GB"/>
        </w:rPr>
        <w:t xml:space="preserve">private 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Pr="004829B9" w:rsidR="00F342E0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10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2</w:t>
      </w:r>
      <w:r w:rsidRPr="00954347" w:rsid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(by 17.1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% less). A</w:t>
      </w:r>
      <w:r w:rsidRPr="004829B9" w:rsidR="0046238A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314007" w:rsidR="003029E3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Pr="00314007" w:rsidR="0046238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314007" w:rsidR="003029E3">
        <w:rPr>
          <w:b w:val="0"/>
          <w:sz w:val="19"/>
          <w:szCs w:val="19"/>
          <w:shd w:val="clear" w:color="auto" w:fill="FFFFFF"/>
          <w:lang w:val="en-GB"/>
        </w:rPr>
        <w:t>was</w:t>
      </w:r>
      <w:r w:rsidRPr="00314007" w:rsidR="00133F2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96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9</w:t>
      </w:r>
      <w:r w:rsidRPr="00314007"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Pr="00314007" w:rsidR="001C180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1C1808">
        <w:rPr>
          <w:b w:val="0"/>
          <w:sz w:val="19"/>
          <w:szCs w:val="19"/>
          <w:shd w:val="clear" w:color="auto" w:fill="FFFFFF"/>
          <w:lang w:val="en-GB"/>
        </w:rPr>
        <w:t>of</w:t>
      </w:r>
      <w:r w:rsidRPr="004829B9" w:rsidR="00CD44F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Pr="004829B9" w:rsidR="00C03049">
        <w:rPr>
          <w:b w:val="0"/>
          <w:sz w:val="19"/>
          <w:szCs w:val="19"/>
          <w:shd w:val="clear" w:color="auto" w:fill="FFFFFF"/>
          <w:lang w:val="en-GB"/>
        </w:rPr>
        <w:t> </w:t>
      </w:r>
      <w:r w:rsidRPr="004829B9" w:rsidR="001C1808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Pr="004829B9"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Pr="004829B9" w:rsidR="00B77062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Pr="00497FB5" w:rsid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Pr="00497FB5" w:rsid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Pr="004829B9" w:rsidR="00B77062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Pr="00B77062" w:rsid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1053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856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 xml:space="preserve"> in the previous year</w:t>
      </w:r>
      <w:r w:rsidRPr="004829B9" w:rsidR="00677574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Pr="009742AF" w:rsidR="00E26291" w:rsidP="007207E6" w:rsidRDefault="00B4601E" w14:paraId="398571FB" w14:textId="35569DC3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53"/>
        <w:gridCol w:w="1134"/>
        <w:gridCol w:w="1276"/>
        <w:gridCol w:w="1134"/>
        <w:gridCol w:w="1134"/>
      </w:tblGrid>
      <w:tr w:rsidRPr="009742AF" w:rsidR="009742AF" w:rsidTr="00772123" w14:paraId="42B31331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9742AF" w:rsidR="009742AF" w:rsidP="009742AF" w:rsidRDefault="009742AF" w14:paraId="7AD684F9" w14:textId="5A20F73E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Pr="009742AF" w:rsidR="009742AF" w:rsidP="009742AF" w:rsidRDefault="009742AF" w14:paraId="12B8481C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9742AF" w:rsidR="009742AF" w:rsidTr="009742AF" w14:paraId="21415E66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6AF4216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32B26E1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68" w:type="dxa"/>
            <w:gridSpan w:val="2"/>
            <w:tcBorders>
              <w:bottom w:val="single" w:color="212492" w:sz="12" w:space="0"/>
            </w:tcBorders>
          </w:tcPr>
          <w:p w:rsidRPr="009742AF" w:rsidR="009742AF" w:rsidP="009742AF" w:rsidRDefault="009742AF" w14:paraId="02375EED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Pr="009742AF" w:rsidR="009742AF" w:rsidTr="009742AF" w14:paraId="20FBE1E6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63CF40A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20F03018" w14:textId="40DE832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3971D200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II 2020=100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5E921633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 2021=100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256A9851" w14:textId="1E7E7DE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05622396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I-II 2020=100</w:t>
            </w:r>
          </w:p>
        </w:tc>
      </w:tr>
      <w:tr w:rsidRPr="009742AF" w:rsidR="009742AF" w:rsidTr="009742AF" w14:paraId="78BFCBE6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9742AF" w:rsidR="009742AF" w:rsidP="009742AF" w:rsidRDefault="009742AF" w14:paraId="7A15F511" w14:textId="7E144C8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53" w:type="dxa"/>
            <w:tcBorders>
              <w:top w:val="single" w:color="212492" w:sz="12" w:space="0"/>
            </w:tcBorders>
            <w:vAlign w:val="center"/>
          </w:tcPr>
          <w:p w:rsidRPr="009742AF" w:rsidR="009742AF" w:rsidP="009742AF" w:rsidRDefault="009742AF" w14:paraId="37677614" w14:textId="7777777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9742AF">
              <w:rPr>
                <w:rFonts w:cs="Arial"/>
                <w:b/>
                <w:sz w:val="16"/>
                <w:szCs w:val="16"/>
              </w:rPr>
              <w:t>16 116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9742AF" w:rsidR="009742AF" w:rsidP="009742AF" w:rsidRDefault="009742AF" w14:paraId="17299C22" w14:textId="4468848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90.</w:t>
            </w:r>
            <w:r w:rsidRPr="009742A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9742AF" w:rsidR="009742AF" w:rsidP="009742AF" w:rsidRDefault="009742AF" w14:paraId="3257870A" w14:textId="2405B2E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92.</w:t>
            </w:r>
            <w:r w:rsidRPr="009742A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9742AF" w:rsidR="009742AF" w:rsidP="009742AF" w:rsidRDefault="009742AF" w14:paraId="62E4576F" w14:textId="7777777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9742AF">
              <w:rPr>
                <w:rFonts w:cs="Arial"/>
                <w:b/>
                <w:sz w:val="16"/>
                <w:szCs w:val="16"/>
              </w:rPr>
              <w:t>33 535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9742AF" w:rsidR="009742AF" w:rsidP="009742AF" w:rsidRDefault="009742AF" w14:paraId="6CFB1E21" w14:textId="7BE3BAB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99.</w:t>
            </w:r>
            <w:r w:rsidRPr="009742AF">
              <w:rPr>
                <w:rFonts w:cs="Arial"/>
                <w:b/>
                <w:sz w:val="16"/>
                <w:szCs w:val="16"/>
              </w:rPr>
              <w:t>3</w:t>
            </w:r>
          </w:p>
        </w:tc>
      </w:tr>
      <w:tr w:rsidRPr="009742AF" w:rsidR="009742AF" w:rsidTr="009742AF" w14:paraId="1AF51B79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9742AF" w:rsidP="009742AF" w:rsidRDefault="009742AF" w14:paraId="70FE36C1" w14:textId="11A32CE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53" w:type="dxa"/>
            <w:vAlign w:val="center"/>
          </w:tcPr>
          <w:p w:rsidRPr="009742AF" w:rsidR="009742AF" w:rsidP="009742AF" w:rsidRDefault="009742AF" w14:paraId="63878239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742AF">
              <w:rPr>
                <w:rFonts w:cs="Arial"/>
                <w:sz w:val="16"/>
                <w:szCs w:val="16"/>
              </w:rPr>
              <w:t>5 436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609BA523" w14:textId="35EBCE9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79.</w:t>
            </w:r>
            <w:r w:rsidRPr="009742A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Pr="009742AF" w:rsidR="009742AF" w:rsidP="009742AF" w:rsidRDefault="009742AF" w14:paraId="4E1B2726" w14:textId="30EC1D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</w:t>
            </w:r>
            <w:r w:rsidRPr="009742A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02B9CB2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sz w:val="16"/>
                <w:szCs w:val="16"/>
              </w:rPr>
              <w:t>10 173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2CB4462E" w14:textId="2B55682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</w:t>
            </w:r>
            <w:r w:rsidRPr="009742AF">
              <w:rPr>
                <w:rFonts w:cs="Arial"/>
                <w:sz w:val="16"/>
                <w:szCs w:val="16"/>
              </w:rPr>
              <w:t>9</w:t>
            </w:r>
          </w:p>
        </w:tc>
      </w:tr>
      <w:tr w:rsidRPr="009742AF" w:rsidR="009742AF" w:rsidTr="009742AF" w14:paraId="5438C4EC" w14:textId="77777777">
        <w:trPr>
          <w:trHeight w:val="381"/>
        </w:trPr>
        <w:tc>
          <w:tcPr>
            <w:tcW w:w="2049" w:type="dxa"/>
            <w:vAlign w:val="center"/>
          </w:tcPr>
          <w:p w:rsidRPr="009742AF" w:rsidR="009742AF" w:rsidP="009742AF" w:rsidRDefault="009742AF" w14:paraId="482BA362" w14:textId="1F4BF9A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53" w:type="dxa"/>
            <w:vAlign w:val="center"/>
          </w:tcPr>
          <w:p w:rsidRPr="009742AF" w:rsidR="009742AF" w:rsidP="009742AF" w:rsidRDefault="009742AF" w14:paraId="4D27C9CE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742AF">
              <w:rPr>
                <w:rFonts w:cs="Arial"/>
                <w:sz w:val="16"/>
                <w:szCs w:val="16"/>
              </w:rPr>
              <w:t>9 879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0A75D08F" w14:textId="7479E1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</w:t>
            </w:r>
            <w:r w:rsidRPr="009742A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Pr="009742AF" w:rsidR="009742AF" w:rsidP="009742AF" w:rsidRDefault="009742AF" w14:paraId="64CEC6ED" w14:textId="4CD2BF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79.</w:t>
            </w:r>
            <w:r w:rsidRPr="009742A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6BB26F2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sz w:val="16"/>
                <w:szCs w:val="16"/>
              </w:rPr>
              <w:t>22 309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375F0B14" w14:textId="074AEF9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</w:t>
            </w:r>
            <w:r w:rsidRPr="009742AF">
              <w:rPr>
                <w:rFonts w:cs="Arial"/>
                <w:sz w:val="16"/>
                <w:szCs w:val="16"/>
              </w:rPr>
              <w:t>1</w:t>
            </w:r>
          </w:p>
        </w:tc>
      </w:tr>
      <w:tr w:rsidRPr="009742AF" w:rsidR="009742AF" w:rsidTr="009742AF" w14:paraId="0C63BA5A" w14:textId="77777777">
        <w:trPr>
          <w:trHeight w:val="265"/>
        </w:trPr>
        <w:tc>
          <w:tcPr>
            <w:tcW w:w="2049" w:type="dxa"/>
            <w:vAlign w:val="center"/>
          </w:tcPr>
          <w:p w:rsidRPr="009742AF" w:rsidR="009742AF" w:rsidP="009742AF" w:rsidRDefault="009742AF" w14:paraId="20E77697" w14:textId="1AF9CEF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53" w:type="dxa"/>
            <w:vAlign w:val="center"/>
          </w:tcPr>
          <w:p w:rsidRPr="009742AF" w:rsidR="009742AF" w:rsidP="009742AF" w:rsidRDefault="009742AF" w14:paraId="6ABD4510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742A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7A0F5837" w14:textId="249CF66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</w:t>
            </w:r>
            <w:r w:rsidRPr="009742A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Pr="009742AF" w:rsidR="009742AF" w:rsidP="009742AF" w:rsidRDefault="009742AF" w14:paraId="39B83B47" w14:textId="241B869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</w:t>
            </w:r>
            <w:r w:rsidRPr="009742A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6BC6F206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sz w:val="16"/>
                <w:szCs w:val="16"/>
              </w:rPr>
              <w:t>43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4A3FCB36" w14:textId="0B99EB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</w:t>
            </w:r>
            <w:r w:rsidRPr="009742AF">
              <w:rPr>
                <w:rFonts w:cs="Arial"/>
                <w:sz w:val="16"/>
                <w:szCs w:val="16"/>
              </w:rPr>
              <w:t>5</w:t>
            </w:r>
          </w:p>
        </w:tc>
      </w:tr>
      <w:tr w:rsidRPr="009742AF" w:rsidR="009742AF" w:rsidTr="009742AF" w14:paraId="4D26EBDA" w14:textId="77777777">
        <w:trPr>
          <w:trHeight w:val="254"/>
        </w:trPr>
        <w:tc>
          <w:tcPr>
            <w:tcW w:w="2049" w:type="dxa"/>
            <w:vAlign w:val="center"/>
          </w:tcPr>
          <w:p w:rsidRPr="009742AF" w:rsidR="009742AF" w:rsidP="009742AF" w:rsidRDefault="009742AF" w14:paraId="68F0B91A" w14:textId="0C9794B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53" w:type="dxa"/>
            <w:vAlign w:val="center"/>
          </w:tcPr>
          <w:p w:rsidRPr="009742AF" w:rsidR="009742AF" w:rsidP="009742AF" w:rsidRDefault="009742AF" w14:paraId="75FA134D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742AF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15C370A7" w14:textId="3250454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</w:t>
            </w:r>
            <w:r w:rsidRPr="009742A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Pr="009742AF" w:rsidR="009742AF" w:rsidP="009742AF" w:rsidRDefault="009742AF" w14:paraId="05C57DEE" w14:textId="6E022CF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51.</w:t>
            </w:r>
            <w:r w:rsidRPr="009742A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047CBCF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sz w:val="16"/>
                <w:szCs w:val="16"/>
              </w:rPr>
              <w:t>176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406A680F" w14:textId="4F0BB85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37.</w:t>
            </w:r>
            <w:r w:rsidRPr="009742AF">
              <w:rPr>
                <w:rFonts w:cs="Arial"/>
                <w:sz w:val="16"/>
                <w:szCs w:val="16"/>
              </w:rPr>
              <w:t>4</w:t>
            </w:r>
          </w:p>
        </w:tc>
      </w:tr>
      <w:tr w:rsidRPr="009742AF" w:rsidR="009742AF" w:rsidTr="009742AF" w14:paraId="75797574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9742AF" w:rsidP="009742AF" w:rsidRDefault="009742AF" w14:paraId="6932F351" w14:textId="210E29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53" w:type="dxa"/>
            <w:vAlign w:val="center"/>
          </w:tcPr>
          <w:p w:rsidRPr="009742AF" w:rsidR="009742AF" w:rsidP="009742AF" w:rsidRDefault="009742AF" w14:paraId="62AD648F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742A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30F79EA3" w14:textId="0E325F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353.</w:t>
            </w:r>
            <w:r w:rsidRPr="009742A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Pr="009742AF" w:rsidR="009742AF" w:rsidP="009742AF" w:rsidRDefault="009742AF" w14:paraId="268DA124" w14:textId="73AD7D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almost</w:t>
            </w:r>
            <w:r w:rsidRPr="009742AF">
              <w:rPr>
                <w:rFonts w:cs="Arial"/>
                <w:sz w:val="16"/>
                <w:szCs w:val="16"/>
              </w:rPr>
              <w:t xml:space="preserve"> 20-</w:t>
            </w:r>
          </w:p>
          <w:p w:rsidRPr="009742AF" w:rsidR="009742AF" w:rsidP="009742AF" w:rsidRDefault="009742AF" w14:paraId="226BB853" w14:textId="1EBD851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</w:t>
            </w:r>
            <w:r w:rsidRPr="009742A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more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198AFE41" w14:textId="7777777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9742AF">
              <w:rPr>
                <w:sz w:val="16"/>
                <w:szCs w:val="16"/>
              </w:rPr>
              <w:t>104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0448BCA3" w14:textId="2537E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138.</w:t>
            </w:r>
            <w:r w:rsidRPr="009742AF">
              <w:rPr>
                <w:rFonts w:cs="Arial"/>
                <w:sz w:val="16"/>
                <w:szCs w:val="16"/>
              </w:rPr>
              <w:t>7</w:t>
            </w:r>
          </w:p>
        </w:tc>
      </w:tr>
      <w:tr w:rsidRPr="009742AF" w:rsidR="009742AF" w:rsidTr="009742AF" w14:paraId="19303E3E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9742AF" w:rsidP="009742AF" w:rsidRDefault="009742AF" w14:paraId="4F9BE4D7" w14:textId="2EC3D68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53" w:type="dxa"/>
            <w:vAlign w:val="center"/>
          </w:tcPr>
          <w:p w:rsidRPr="009742AF" w:rsidR="009742AF" w:rsidP="009742AF" w:rsidRDefault="009742AF" w14:paraId="2AA6F621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742AF">
              <w:rPr>
                <w:rFonts w:cs="Arial"/>
                <w:sz w:val="16"/>
                <w:szCs w:val="16"/>
              </w:rPr>
              <w:t>642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623D2AA6" w14:textId="4AD27CD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</w:t>
            </w:r>
            <w:r w:rsidRPr="009742AF">
              <w:rPr>
                <w:rFonts w:cs="Arial"/>
                <w:sz w:val="16"/>
                <w:szCs w:val="16"/>
              </w:rPr>
              <w:t xml:space="preserve"> 20-</w:t>
            </w:r>
          </w:p>
          <w:p w:rsidRPr="009742AF" w:rsidR="009742AF" w:rsidP="009742AF" w:rsidRDefault="009742AF" w14:paraId="5F9A1A43" w14:textId="584C6E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</w:t>
            </w:r>
            <w:r w:rsidRPr="009742A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more</w:t>
            </w:r>
          </w:p>
        </w:tc>
        <w:tc>
          <w:tcPr>
            <w:tcW w:w="1276" w:type="dxa"/>
            <w:vAlign w:val="center"/>
          </w:tcPr>
          <w:p w:rsidRPr="009742AF" w:rsidR="009742AF" w:rsidP="009742AF" w:rsidRDefault="009742AF" w14:paraId="35EE7520" w14:textId="235DA7A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490.</w:t>
            </w:r>
            <w:r w:rsidRPr="009742A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18101EF9" w14:textId="7777777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9742AF">
              <w:rPr>
                <w:sz w:val="16"/>
                <w:szCs w:val="16"/>
              </w:rPr>
              <w:t>773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3D8101D6" w14:textId="258167E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302.</w:t>
            </w:r>
            <w:r w:rsidRPr="009742AF">
              <w:rPr>
                <w:rFonts w:cs="Arial"/>
                <w:sz w:val="16"/>
                <w:szCs w:val="16"/>
              </w:rPr>
              <w:t>0</w:t>
            </w:r>
          </w:p>
        </w:tc>
      </w:tr>
      <w:tr w:rsidRPr="009742AF" w:rsidR="009742AF" w:rsidTr="009742AF" w14:paraId="08F9BC9D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9742AF" w:rsidP="009742AF" w:rsidRDefault="009742AF" w14:paraId="6AD09FA5" w14:textId="2DB948C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53" w:type="dxa"/>
            <w:vAlign w:val="center"/>
          </w:tcPr>
          <w:p w:rsidRPr="009742AF" w:rsidR="009742AF" w:rsidP="009742AF" w:rsidRDefault="009742AF" w14:paraId="608975F3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742AF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147ED29B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742AF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Pr="009742AF" w:rsidR="009742AF" w:rsidP="009742AF" w:rsidRDefault="009742AF" w14:paraId="60624A4A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742AF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35C8EBC0" w14:textId="7777777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9742A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Pr="009742AF" w:rsidR="009742AF" w:rsidP="009742AF" w:rsidRDefault="009742AF" w14:paraId="7808E9AE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742AF"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Pr="004829B9" w:rsidR="00154AC9" w:rsidP="007207E6" w:rsidRDefault="005D23AA" w14:paraId="34D75009" w14:textId="6A0708A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Pr="004829B9" w:rsidR="008B6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February</w:t>
      </w:r>
      <w:r w:rsidRPr="004829B9" w:rsidR="00B4601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16126E">
        <w:rPr>
          <w:b w:val="0"/>
          <w:sz w:val="19"/>
          <w:szCs w:val="19"/>
          <w:shd w:val="clear" w:color="auto" w:fill="FFFFFF"/>
          <w:lang w:val="en-GB"/>
        </w:rPr>
        <w:t xml:space="preserve"> there were 827</w:t>
      </w:r>
      <w:r w:rsidRPr="004829B9"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7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0.3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Pr="004829B9" w:rsidR="000013A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Pr="004829B9" w:rsidR="00AA22EE"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Pr="004829B9" w:rsidR="005D23AA" w:rsidP="007207E6" w:rsidRDefault="005D23AA" w14:paraId="4326474E" w14:textId="42DA78DE">
      <w:pPr>
        <w:pStyle w:val="tytuwykresu"/>
        <w:rPr>
          <w:lang w:val="en-GB"/>
        </w:rPr>
      </w:pPr>
    </w:p>
    <w:p w:rsidRPr="004829B9" w:rsidR="007207E6" w:rsidP="007207E6" w:rsidRDefault="00AD1492" w14:paraId="2E8A539A" w14:textId="72F79BE7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Pr="004829B9" w:rsidR="00256AD9">
        <w:rPr>
          <w:lang w:val="en-GB"/>
        </w:rPr>
        <w:t>residential construction</w:t>
      </w:r>
      <w:r w:rsidRPr="004829B9" w:rsidR="005D23AA">
        <w:rPr>
          <w:lang w:val="en-GB"/>
        </w:rPr>
        <w:t xml:space="preserve"> in Poland</w:t>
      </w:r>
    </w:p>
    <w:p w:rsidRPr="00A12B93" w:rsidR="009222E9" w:rsidP="00A12B93" w:rsidRDefault="00497FB5" w14:paraId="17CD510D" w14:textId="2024D479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4995F139" wp14:anchorId="50036E1A">
                <wp:simplePos x="0" y="0"/>
                <wp:positionH relativeFrom="page">
                  <wp:posOffset>5708650</wp:posOffset>
                </wp:positionH>
                <wp:positionV relativeFrom="paragraph">
                  <wp:posOffset>139700</wp:posOffset>
                </wp:positionV>
                <wp:extent cx="1778000" cy="217805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17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3A7E95" w:rsidP="00903A58" w:rsidRDefault="003A7E95" w14:paraId="58FBF1C9" w14:textId="67A876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Pr="009742AF" w:rsid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February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Pr="009742AF" w:rsid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January </w:t>
                            </w:r>
                            <w:r w:rsid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</w:t>
                            </w:r>
                            <w:r w:rsidR="00D862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 </w:t>
                            </w:r>
                            <w:r w:rsid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2.4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815E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140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5825F0" w:rsid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700FC6" w:rsid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 7.5%), whereas the number of dwellings</w:t>
                            </w:r>
                            <w:r w:rsidRPr="0016126E" w:rsidR="0016126E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16126E"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 construction project </w:t>
                            </w:r>
                            <w:r w:rsidR="00497FB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 (by 16.7%)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49.5pt;margin-top:11pt;width:140pt;height:17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" w14:anchorId="50036E1A">
                <v:textbox>
                  <w:txbxContent>
                    <w:p w:rsidRPr="00AC3185" w:rsidR="003A7E95" w:rsidP="00903A58" w:rsidRDefault="003A7E95" w14:paraId="58FBF1C9" w14:textId="67A876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Pr="009742AF" w:rsid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February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Pr="009742AF" w:rsid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January </w:t>
                      </w:r>
                      <w:r w:rsid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</w:t>
                      </w:r>
                      <w:r w:rsidR="00D862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 </w:t>
                      </w:r>
                      <w:r w:rsid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2.4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815E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140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5825F0" w:rsid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700FC6" w:rsid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 7.5%), whereas the number of dwellings</w:t>
                      </w:r>
                      <w:r w:rsidRPr="0016126E" w:rsidR="0016126E">
                        <w:rPr>
                          <w:lang w:val="en-GB"/>
                        </w:rPr>
                        <w:t xml:space="preserve"> </w:t>
                      </w:r>
                      <w:r w:rsidRPr="0016126E"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 construction project </w:t>
                      </w:r>
                      <w:r w:rsidR="00497FB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 (by 16.7%)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00FC6">
        <w:rPr>
          <w:noProof/>
        </w:rPr>
        <w:drawing>
          <wp:inline distT="0" distB="0" distL="0" distR="0" wp14:anchorId="7602435E" wp14:editId="7AD97352">
            <wp:extent cx="5122545" cy="23241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06BFF" w:rsidR="00700FC6">
        <w:rPr>
          <w:b/>
          <w:noProof/>
          <w:spacing w:val="-4"/>
          <w:shd w:val="clear" w:color="auto" w:fill="FFFFFF"/>
          <w:lang w:val="en-GB"/>
        </w:rPr>
        <w:t xml:space="preserve"> </w:t>
      </w:r>
    </w:p>
    <w:p w:rsidR="00F37978" w:rsidP="00CB6084" w:rsidRDefault="00F37978" w14:paraId="07DDCEC0" w14:textId="6986E40A">
      <w:pPr>
        <w:rPr>
          <w:szCs w:val="19"/>
          <w:shd w:val="clear" w:color="auto" w:fill="FFFFFF"/>
          <w:lang w:val="en-GB"/>
        </w:rPr>
      </w:pPr>
    </w:p>
    <w:p w:rsidRPr="004829B9" w:rsidR="00CB6084" w:rsidP="00CB6084" w:rsidRDefault="00E26291" w14:paraId="6B2C5EA1" w14:textId="78E2ABE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 xml:space="preserve">In </w:t>
      </w:r>
      <w:r w:rsidR="00700FC6">
        <w:rPr>
          <w:szCs w:val="19"/>
          <w:shd w:val="clear" w:color="auto" w:fill="FFFFFF"/>
          <w:lang w:val="en-GB"/>
        </w:rPr>
        <w:t>the period of I-II</w:t>
      </w:r>
      <w:r w:rsidR="00D862D9">
        <w:rPr>
          <w:szCs w:val="19"/>
          <w:shd w:val="clear" w:color="auto" w:fill="FFFFFF"/>
          <w:lang w:val="en-GB"/>
        </w:rPr>
        <w:t xml:space="preserve"> 2021</w:t>
      </w:r>
      <w:r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 xml:space="preserve">high values of </w:t>
      </w:r>
      <w:r w:rsidRPr="004829B9" w:rsidR="00CB6084">
        <w:rPr>
          <w:szCs w:val="19"/>
          <w:shd w:val="clear" w:color="auto" w:fill="FFFFFF"/>
          <w:lang w:val="en-GB"/>
        </w:rPr>
        <w:t>dwellings</w:t>
      </w:r>
      <w:r w:rsidRPr="00E43CD7" w:rsid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Pr="0016126E" w:rsidR="0016126E">
        <w:rPr>
          <w:szCs w:val="19"/>
          <w:shd w:val="clear" w:color="auto" w:fill="FFFFFF"/>
          <w:lang w:val="en-GB"/>
        </w:rPr>
        <w:t xml:space="preserve">dwellings </w:t>
      </w:r>
      <w:r w:rsidRPr="00700FC6" w:rsid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Pr="0016126E" w:rsid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Pr="00EF6032" w:rsid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700FC6">
        <w:rPr>
          <w:szCs w:val="19"/>
          <w:shd w:val="clear" w:color="auto" w:fill="FFFFFF"/>
          <w:lang w:val="en-GB"/>
        </w:rPr>
        <w:t>7.7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700FC6">
        <w:rPr>
          <w:szCs w:val="19"/>
          <w:shd w:val="clear" w:color="auto" w:fill="FFFFFF"/>
          <w:lang w:val="en-GB"/>
        </w:rPr>
        <w:t>, 5.0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Pr="003563AE" w:rsidR="003563AE">
        <w:rPr>
          <w:szCs w:val="19"/>
          <w:shd w:val="clear" w:color="auto" w:fill="FFFFFF"/>
          <w:lang w:val="en-GB"/>
        </w:rPr>
        <w:t>thousand</w:t>
      </w:r>
      <w:r w:rsidR="00700FC6">
        <w:rPr>
          <w:szCs w:val="19"/>
          <w:shd w:val="clear" w:color="auto" w:fill="FFFFFF"/>
          <w:lang w:val="en-GB"/>
        </w:rPr>
        <w:t xml:space="preserve"> and 8</w:t>
      </w:r>
      <w:r w:rsidR="002A29A6">
        <w:rPr>
          <w:szCs w:val="19"/>
          <w:shd w:val="clear" w:color="auto" w:fill="FFFFFF"/>
          <w:lang w:val="en-GB"/>
        </w:rPr>
        <w:t>.2</w:t>
      </w:r>
      <w:r w:rsidR="00CC4866">
        <w:rPr>
          <w:szCs w:val="19"/>
          <w:shd w:val="clear" w:color="auto" w:fill="FFFFFF"/>
          <w:lang w:val="en-GB"/>
        </w:rPr>
        <w:t> </w:t>
      </w:r>
      <w:r w:rsidRPr="00CF2564" w:rsidR="00CF2564">
        <w:rPr>
          <w:szCs w:val="19"/>
          <w:shd w:val="clear" w:color="auto" w:fill="FFFFFF"/>
          <w:lang w:val="en-GB"/>
        </w:rPr>
        <w:t>thousand</w:t>
      </w:r>
      <w:r w:rsidR="00700FC6">
        <w:rPr>
          <w:szCs w:val="19"/>
          <w:shd w:val="clear" w:color="auto" w:fill="FFFFFF"/>
          <w:lang w:val="en-GB"/>
        </w:rPr>
        <w:t>), Wielkopolskie (3</w:t>
      </w:r>
      <w:r w:rsidR="002A29A6">
        <w:rPr>
          <w:szCs w:val="19"/>
          <w:shd w:val="clear" w:color="auto" w:fill="FFFFFF"/>
          <w:lang w:val="en-GB"/>
        </w:rPr>
        <w:t>.6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700FC6">
        <w:rPr>
          <w:szCs w:val="19"/>
          <w:shd w:val="clear" w:color="auto" w:fill="FFFFFF"/>
          <w:lang w:val="en-GB"/>
        </w:rPr>
        <w:t>thousand, 5.6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Pr="003563AE" w:rsidR="003563AE">
        <w:rPr>
          <w:szCs w:val="19"/>
          <w:shd w:val="clear" w:color="auto" w:fill="FFFFFF"/>
          <w:lang w:val="en-GB"/>
        </w:rPr>
        <w:t>and</w:t>
      </w:r>
      <w:r w:rsidR="00700FC6">
        <w:rPr>
          <w:szCs w:val="19"/>
          <w:shd w:val="clear" w:color="auto" w:fill="FFFFFF"/>
          <w:lang w:val="en-GB"/>
        </w:rPr>
        <w:t xml:space="preserve"> 6.5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Pr="003563AE" w:rsidR="003563AE">
        <w:rPr>
          <w:szCs w:val="19"/>
          <w:shd w:val="clear" w:color="auto" w:fill="FFFFFF"/>
          <w:lang w:val="en-GB"/>
        </w:rPr>
        <w:t>thousand</w:t>
      </w:r>
      <w:r w:rsidR="002A29A6">
        <w:rPr>
          <w:szCs w:val="19"/>
          <w:shd w:val="clear" w:color="auto" w:fill="FFFFFF"/>
          <w:lang w:val="en-GB"/>
        </w:rPr>
        <w:t xml:space="preserve">) and in </w:t>
      </w:r>
      <w:r w:rsidR="00497FB5">
        <w:rPr>
          <w:szCs w:val="19"/>
          <w:shd w:val="clear" w:color="auto" w:fill="FFFFFF"/>
          <w:lang w:val="en-GB"/>
        </w:rPr>
        <w:t>Dolnośląskie</w:t>
      </w:r>
      <w:r w:rsidR="00700FC6">
        <w:rPr>
          <w:szCs w:val="19"/>
          <w:shd w:val="clear" w:color="auto" w:fill="FFFFFF"/>
          <w:lang w:val="en-GB"/>
        </w:rPr>
        <w:t xml:space="preserve"> (3.3</w:t>
      </w:r>
      <w:r w:rsidR="002A29A6">
        <w:rPr>
          <w:szCs w:val="19"/>
          <w:shd w:val="clear" w:color="auto" w:fill="FFFFFF"/>
          <w:lang w:val="en-GB"/>
        </w:rPr>
        <w:t xml:space="preserve"> </w:t>
      </w:r>
      <w:r w:rsidRPr="002A29A6" w:rsidR="002A29A6">
        <w:rPr>
          <w:szCs w:val="19"/>
          <w:shd w:val="clear" w:color="auto" w:fill="FFFFFF"/>
          <w:lang w:val="en-GB"/>
        </w:rPr>
        <w:t>thousand</w:t>
      </w:r>
      <w:r w:rsidR="00700FC6">
        <w:rPr>
          <w:szCs w:val="19"/>
          <w:shd w:val="clear" w:color="auto" w:fill="FFFFFF"/>
          <w:lang w:val="en-GB"/>
        </w:rPr>
        <w:t>, 4.1</w:t>
      </w:r>
      <w:r w:rsidR="002A29A6">
        <w:rPr>
          <w:szCs w:val="19"/>
          <w:shd w:val="clear" w:color="auto" w:fill="FFFFFF"/>
          <w:lang w:val="en-GB"/>
        </w:rPr>
        <w:t xml:space="preserve"> </w:t>
      </w:r>
      <w:r w:rsidRPr="002A29A6" w:rsidR="002A29A6">
        <w:rPr>
          <w:szCs w:val="19"/>
          <w:shd w:val="clear" w:color="auto" w:fill="FFFFFF"/>
          <w:lang w:val="en-GB"/>
        </w:rPr>
        <w:t>thousand</w:t>
      </w:r>
      <w:r w:rsidR="00700FC6">
        <w:rPr>
          <w:szCs w:val="19"/>
          <w:shd w:val="clear" w:color="auto" w:fill="FFFFFF"/>
          <w:lang w:val="en-GB"/>
        </w:rPr>
        <w:t xml:space="preserve"> and 4.2</w:t>
      </w:r>
      <w:r w:rsidR="00497FB5">
        <w:rPr>
          <w:szCs w:val="19"/>
          <w:shd w:val="clear" w:color="auto" w:fill="FFFFFF"/>
          <w:lang w:val="en-GB"/>
        </w:rPr>
        <w:t> </w:t>
      </w:r>
      <w:r w:rsidRPr="002A29A6" w:rsidR="002A29A6">
        <w:rPr>
          <w:szCs w:val="19"/>
          <w:shd w:val="clear" w:color="auto" w:fill="FFFFFF"/>
          <w:lang w:val="en-GB"/>
        </w:rPr>
        <w:t>thousand</w:t>
      </w:r>
      <w:r w:rsidR="002A29A6">
        <w:rPr>
          <w:szCs w:val="19"/>
          <w:shd w:val="clear" w:color="auto" w:fill="FFFFFF"/>
          <w:lang w:val="en-GB"/>
        </w:rPr>
        <w:t>).</w:t>
      </w:r>
    </w:p>
    <w:p w:rsidR="00903A58" w:rsidP="00903A58" w:rsidRDefault="001C1808" w14:paraId="73CBA65A" w14:textId="43A33B91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Pr="004829B9" w:rsidR="00256AD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Pr="004829B9" w:rsidR="00384D8B">
        <w:rPr>
          <w:color w:val="auto"/>
          <w:sz w:val="18"/>
          <w:szCs w:val="18"/>
          <w:lang w:val="en-GB"/>
        </w:rPr>
        <w:t xml:space="preserve">               </w:t>
      </w:r>
      <w:r w:rsidRPr="004829B9" w:rsidR="000401D6">
        <w:rPr>
          <w:color w:val="auto"/>
          <w:sz w:val="18"/>
          <w:szCs w:val="18"/>
          <w:lang w:val="en-GB"/>
        </w:rPr>
        <w:t>(January</w:t>
      </w:r>
      <w:r w:rsidR="00700FC6">
        <w:rPr>
          <w:color w:val="auto"/>
          <w:sz w:val="18"/>
          <w:szCs w:val="18"/>
          <w:lang w:val="en-GB"/>
        </w:rPr>
        <w:t xml:space="preserve"> - February</w:t>
      </w:r>
      <w:r w:rsidRPr="004829B9" w:rsidR="00E873C8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:rsidR="003A358E" w:rsidP="00A12B93" w:rsidRDefault="00406BFF" w14:paraId="66C5A628" w14:textId="64369FA0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1E969638" wp14:editId="2840385A">
            <wp:extent cx="5122545" cy="29781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12B93" w:rsidP="00A12B93" w:rsidRDefault="00A12B93" w14:paraId="4F8A40B4" w14:textId="77777777">
      <w:pPr>
        <w:rPr>
          <w:lang w:val="en-GB" w:eastAsia="pl-PL"/>
        </w:rPr>
      </w:pPr>
    </w:p>
    <w:p w:rsidRPr="00A12B93" w:rsidR="005825F0" w:rsidP="00A12B93" w:rsidRDefault="005825F0" w14:paraId="7B845408" w14:textId="77777777">
      <w:pPr>
        <w:rPr>
          <w:lang w:val="en-GB" w:eastAsia="pl-PL"/>
        </w:rPr>
      </w:pPr>
    </w:p>
    <w:p w:rsidRPr="00257306" w:rsidR="00694AF0" w:rsidP="0046503D" w:rsidRDefault="00257306" w14:paraId="47844B4F" w14:textId="6E2D5CE7">
      <w:pPr>
        <w:rPr>
          <w:szCs w:val="19"/>
          <w:shd w:val="clear" w:color="auto" w:fill="FFFFFF"/>
          <w:lang w:val="en-GB"/>
        </w:rPr>
        <w:sectPr w:rsidRPr="00257306" w:rsidR="00694AF0" w:rsidSect="00A05A3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:rsidRPr="004829B9" w:rsidR="000470AA" w:rsidP="0046503D" w:rsidRDefault="000470AA" w14:paraId="3949FC6D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1"/>
        <w:gridCol w:w="3836"/>
      </w:tblGrid>
      <w:tr w:rsidRPr="004829B9" w:rsidR="00B34C4C" w:rsidTr="00E873C8" w14:paraId="40C6557F" w14:textId="77777777">
        <w:trPr>
          <w:trHeight w:val="1912"/>
        </w:trPr>
        <w:tc>
          <w:tcPr>
            <w:tcW w:w="4379" w:type="dxa"/>
          </w:tcPr>
          <w:p w:rsidRPr="004829B9" w:rsidR="00B34C4C" w:rsidP="00E873C8" w:rsidRDefault="00B34C4C" w14:paraId="6665BC8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Pr="004829B9" w:rsidR="00B34C4C" w:rsidP="00E873C8" w:rsidRDefault="00B34C4C" w14:paraId="67FFA76B" w14:textId="77777777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Pr="004829B9" w:rsidR="00B34C4C" w:rsidP="00E873C8" w:rsidRDefault="00105BED" w14:paraId="55C69C2C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:rsidRPr="004829B9" w:rsidR="00B34C4C" w:rsidP="00E873C8" w:rsidRDefault="00D46532" w14:paraId="3F6217D4" w14:textId="6E53501C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Pr="004829B9" w:rsidR="00105BED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Pr="004829B9" w:rsidR="002F2E8D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Pr="004829B9" w:rsidR="00B34C4C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Pr="004829B9" w:rsidR="00105BED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Pr="004829B9" w:rsidR="008C48C6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Pr="004829B9" w:rsidR="00105BED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:rsidRPr="004829B9" w:rsidR="00B34C4C" w:rsidP="00E873C8" w:rsidRDefault="00B34C4C" w14:paraId="313903AC" w14:textId="77777777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Pr="004829B9" w:rsidR="00B34C4C" w:rsidP="00E873C8" w:rsidRDefault="00B34C4C" w14:paraId="734EA749" w14:textId="002C959A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:rsidRPr="004829B9" w:rsidR="00B34C4C" w:rsidP="00E873C8" w:rsidRDefault="00B34C4C" w14:paraId="2B749880" w14:textId="4973DE7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:rsidRPr="004829B9" w:rsidR="00B34C4C" w:rsidP="00E873C8" w:rsidRDefault="007F1E2E" w14:paraId="330B3F71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Karolina </w:t>
            </w:r>
            <w:proofErr w:type="spellStart"/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Banaszek</w:t>
            </w:r>
            <w:proofErr w:type="spellEnd"/>
          </w:p>
          <w:p w:rsidRPr="004829B9" w:rsidR="00B34C4C" w:rsidP="00E873C8" w:rsidRDefault="00D46532" w14:paraId="518D9CD4" w14:textId="4C42191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Pr="004829B9" w:rsidR="00105B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79134B" w:rsidR="00B34C4C" w:rsidTr="00E873C8" w14:paraId="494BDD91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4829B9" w:rsidR="00B34C4C" w:rsidP="00E873C8" w:rsidRDefault="00B34C4C" w14:paraId="13CAB2DF" w14:textId="77777777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:rsidRPr="004829B9" w:rsidR="00B34C4C" w:rsidP="00E873C8" w:rsidRDefault="00D46532" w14:paraId="623CBE4C" w14:textId="4BBC772D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Pr="004829B9" w:rsidR="00BA5050">
              <w:rPr>
                <w:sz w:val="20"/>
                <w:lang w:val="en-GB"/>
              </w:rPr>
              <w:t>(</w:t>
            </w:r>
            <w:r w:rsidRPr="004829B9" w:rsidR="00B34C4C">
              <w:rPr>
                <w:sz w:val="20"/>
                <w:lang w:val="en-GB"/>
              </w:rPr>
              <w:t>+ 48</w:t>
            </w:r>
            <w:r w:rsidRPr="004829B9" w:rsidR="00B34C4C">
              <w:rPr>
                <w:b/>
                <w:sz w:val="20"/>
                <w:lang w:val="en-GB"/>
              </w:rPr>
              <w:t xml:space="preserve"> </w:t>
            </w:r>
            <w:r w:rsidRPr="004829B9" w:rsidR="008235EC">
              <w:rPr>
                <w:sz w:val="20"/>
                <w:lang w:val="en-GB"/>
              </w:rPr>
              <w:t>22</w:t>
            </w:r>
            <w:r w:rsidRPr="004829B9" w:rsidR="00BA5050">
              <w:rPr>
                <w:sz w:val="20"/>
                <w:lang w:val="en-GB"/>
              </w:rPr>
              <w:t>)</w:t>
            </w:r>
            <w:r w:rsidRPr="004829B9" w:rsidR="008235EC">
              <w:rPr>
                <w:sz w:val="20"/>
                <w:lang w:val="en-GB"/>
              </w:rPr>
              <w:t xml:space="preserve"> 608 34</w:t>
            </w:r>
            <w:r w:rsidRPr="004829B9" w:rsidR="008C48C6">
              <w:rPr>
                <w:sz w:val="20"/>
                <w:lang w:val="en-GB"/>
              </w:rPr>
              <w:t xml:space="preserve"> </w:t>
            </w:r>
            <w:r w:rsidRPr="004829B9" w:rsidR="00BA5050">
              <w:rPr>
                <w:sz w:val="20"/>
                <w:lang w:val="en-GB"/>
              </w:rPr>
              <w:t xml:space="preserve">91, </w:t>
            </w:r>
            <w:r w:rsidRPr="004829B9" w:rsidR="008235EC">
              <w:rPr>
                <w:sz w:val="20"/>
                <w:lang w:val="en-GB"/>
              </w:rPr>
              <w:t>608 38</w:t>
            </w:r>
            <w:r w:rsidRPr="004829B9" w:rsidR="008C48C6">
              <w:rPr>
                <w:sz w:val="20"/>
                <w:lang w:val="en-GB"/>
              </w:rPr>
              <w:t xml:space="preserve"> </w:t>
            </w:r>
            <w:r w:rsidRPr="004829B9" w:rsidR="00B34C4C">
              <w:rPr>
                <w:sz w:val="20"/>
                <w:lang w:val="en-GB"/>
              </w:rPr>
              <w:t xml:space="preserve">04 </w:t>
            </w:r>
          </w:p>
          <w:p w:rsidRPr="004829B9" w:rsidR="00B34C4C" w:rsidP="00E873C8" w:rsidRDefault="00B34C4C" w14:paraId="4F5D46AB" w14:textId="77777777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w:history="1" r:id="rId17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4829B9" w:rsidR="00B34C4C" w:rsidP="00E873C8" w:rsidRDefault="00B34C4C" w14:paraId="486CFEE3" w14:textId="77777777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editId="7B735092" wp14:anchorId="1F32D07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Pr="004829B9" w:rsidR="00B34C4C" w:rsidP="00E873C8" w:rsidRDefault="00B34C4C" w14:paraId="187B3278" w14:textId="77777777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Pr="004829B9" w:rsidR="008235EC">
              <w:rPr>
                <w:sz w:val="20"/>
                <w:lang w:val="en-GB"/>
              </w:rPr>
              <w:t>/en/</w:t>
            </w:r>
          </w:p>
        </w:tc>
      </w:tr>
      <w:tr w:rsidRPr="004829B9" w:rsidR="00B34C4C" w:rsidTr="00E873C8" w14:paraId="648C1E67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B34C4C" w:rsidP="00E873C8" w:rsidRDefault="00B34C4C" w14:paraId="7E7FD173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B34C4C" w:rsidP="00E873C8" w:rsidRDefault="00B34C4C" w14:paraId="08931773" w14:textId="77777777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editId="6199C219" wp14:anchorId="11E6E2D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Pr="004829B9" w:rsidR="00B34C4C" w:rsidP="00E873C8" w:rsidRDefault="008235EC" w14:paraId="0DF75532" w14:textId="77777777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Pr="004829B9" w:rsidR="00B34C4C" w:rsidTr="00E873C8" w14:paraId="29595757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B34C4C" w:rsidP="00E873C8" w:rsidRDefault="00B34C4C" w14:paraId="6E773A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B34C4C" w:rsidP="00E873C8" w:rsidRDefault="00B34C4C" w14:paraId="6F1D3479" w14:textId="77777777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editId="4F4CA4C5" wp14:anchorId="62B8316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Pr="004829B9" w:rsidR="00B34C4C" w:rsidP="00E873C8" w:rsidRDefault="00B34C4C" w14:paraId="4E72E8C9" w14:textId="77777777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Pr="004829B9" w:rsidR="00B34C4C" w:rsidP="0046503D" w:rsidRDefault="00B34C4C" w14:paraId="637862CB" w14:textId="77777777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79657CBB" wp14:anchorId="4A59FDAC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E95" w:rsidP="00AB6D25" w:rsidRDefault="003A7E95" w14:paraId="0A17866C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3A7E95" w:rsidP="00000009" w:rsidRDefault="003A7E95" w14:paraId="438C998D" w14:textId="7777777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Pr="004E377B" w:rsidR="003A7E95" w:rsidP="00000009" w:rsidRDefault="003A7E95" w14:paraId="03EB9888" w14:textId="77777777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Pr="008235EC" w:rsidR="003A7E95" w:rsidP="00F11843" w:rsidRDefault="003A7E95" w14:paraId="004758E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w:history="1" r:id="rId2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Pr="005C7839" w:rsidR="003A7E95" w:rsidP="00000009" w:rsidRDefault="004A7498" w14:paraId="4C293715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2">
                              <w:r w:rsidRPr="005C7839"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Pr="00F11843" w:rsidR="003A7E95" w:rsidP="00000009" w:rsidRDefault="003A7E95" w14:paraId="6432F2D3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Pr="00734C04" w:rsidR="003A7E95" w:rsidP="00000009" w:rsidRDefault="003A7E95" w14:paraId="119A7AD9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Pr="0026083F" w:rsidR="003A7E95" w:rsidP="00000009" w:rsidRDefault="004A7498" w14:paraId="6E678369" w14:textId="0F34292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3">
                              <w:r w:rsidRPr="00F11843"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3A7E95" w:rsidP="00000009" w:rsidRDefault="004A7498" w14:paraId="14295646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4">
                              <w:r w:rsidRPr="00F11843"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Pr="00F11843" w:rsidR="003A7E95" w:rsidP="00000009" w:rsidRDefault="003A7E95" w14:paraId="10DF6A1D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3A7E95" w:rsidP="00000009" w:rsidRDefault="003A7E95" w14:paraId="65F6943A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Pr="008235EC" w:rsidR="003A7E95" w:rsidP="00000009" w:rsidRDefault="004A7498" w14:paraId="3FA17007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w:history="1" r:id="rId25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:rsidRPr="00F11843" w:rsidR="003A7E95" w:rsidP="00000009" w:rsidRDefault="004A7498" w14:paraId="2F539928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6">
                              <w:r w:rsidRPr="00F11843"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w:history="1" r:id="rId27"/>
                          </w:p>
                          <w:p w:rsidRPr="00F11843" w:rsidR="003A7E95" w:rsidP="00000009" w:rsidRDefault="004A7498" w14:paraId="35275A7D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8">
                              <w:r w:rsidRPr="00F11843"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3A7E95" w:rsidP="00000009" w:rsidRDefault="003A7E95" w14:paraId="41C747C6" w14:textId="7777777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Pr="003B6350" w:rsidR="003A7E95" w:rsidP="00AB6D25" w:rsidRDefault="003A7E95" w14:paraId="1519530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w14:anchorId="4A59FDAC">
                <v:textbox>
                  <w:txbxContent>
                    <w:p w:rsidR="003A7E95" w:rsidP="00AB6D25" w:rsidRDefault="003A7E95" w14:paraId="0A17866C" w14:textId="77777777">
                      <w:pPr>
                        <w:rPr>
                          <w:b/>
                        </w:rPr>
                      </w:pPr>
                    </w:p>
                    <w:p w:rsidR="003A7E95" w:rsidP="00000009" w:rsidRDefault="003A7E95" w14:paraId="438C998D" w14:textId="77777777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Pr="004E377B" w:rsidR="003A7E95" w:rsidP="00000009" w:rsidRDefault="003A7E95" w14:paraId="03EB9888" w14:textId="77777777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8235EC" w:rsidR="003A7E95" w:rsidP="00F11843" w:rsidRDefault="003A7E95" w14:paraId="004758E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w:history="1" r:id="rId29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Pr="005C7839" w:rsidR="003A7E95" w:rsidP="00000009" w:rsidRDefault="004A7498" w14:paraId="4C293715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0">
                        <w:r w:rsidRPr="005C7839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F11843" w:rsidR="003A7E95" w:rsidP="00000009" w:rsidRDefault="003A7E95" w14:paraId="6432F2D3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Pr="00734C04" w:rsidR="003A7E95" w:rsidP="00000009" w:rsidRDefault="003A7E95" w14:paraId="119A7AD9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Pr="0026083F" w:rsidR="003A7E95" w:rsidP="00000009" w:rsidRDefault="004A7498" w14:paraId="6E678369" w14:textId="0F34292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1">
                        <w:r w:rsidRPr="00F11843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3A7E95" w:rsidP="00000009" w:rsidRDefault="004A7498" w14:paraId="14295646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2">
                        <w:r w:rsidRPr="00F11843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Pr="00F11843" w:rsidR="003A7E95" w:rsidP="00000009" w:rsidRDefault="003A7E95" w14:paraId="10DF6A1D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3A7E95" w:rsidP="00000009" w:rsidRDefault="003A7E95" w14:paraId="65F6943A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Pr="008235EC" w:rsidR="003A7E95" w:rsidP="00000009" w:rsidRDefault="004A7498" w14:paraId="3FA17007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w:history="1" r:id="rId33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:rsidRPr="00F11843" w:rsidR="003A7E95" w:rsidP="00000009" w:rsidRDefault="004A7498" w14:paraId="2F539928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4">
                        <w:r w:rsidRPr="00F11843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w:history="1" r:id="rId35"/>
                    </w:p>
                    <w:p w:rsidRPr="00F11843" w:rsidR="003A7E95" w:rsidP="00000009" w:rsidRDefault="004A7498" w14:paraId="35275A7D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6">
                        <w:r w:rsidRPr="00F11843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3A7E95" w:rsidP="00000009" w:rsidRDefault="003A7E95" w14:paraId="41C747C6" w14:textId="77777777">
                      <w:pPr>
                        <w:rPr>
                          <w:lang w:val="en-GB"/>
                        </w:rPr>
                      </w:pPr>
                    </w:p>
                    <w:p w:rsidRPr="003B6350" w:rsidR="003A7E95" w:rsidP="00AB6D25" w:rsidRDefault="003A7E95" w14:paraId="1519530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4829B9" w:rsidR="000470AA" w:rsidP="0046503D" w:rsidRDefault="000470AA" w14:paraId="1C72FCCF" w14:textId="77777777">
      <w:pPr>
        <w:rPr>
          <w:sz w:val="20"/>
          <w:lang w:val="en-GB"/>
        </w:rPr>
      </w:pPr>
    </w:p>
    <w:p w:rsidR="00B80D90" w:rsidP="00B80D90" w:rsidRDefault="00B80D90" w14:paraId="6DD284D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4829B9" w:rsidR="000470AA" w:rsidTr="000470AA" w14:paraId="6D1780AE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4829B9" w:rsidR="000470AA" w:rsidP="00000009" w:rsidRDefault="000470AA" w14:paraId="39472902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0470AA" w:rsidP="0046503D" w:rsidRDefault="000470AA" w14:paraId="79FCF89C" w14:textId="77777777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:rsidRPr="004829B9" w:rsidR="000470AA" w:rsidP="0046503D" w:rsidRDefault="000470AA" w14:paraId="78DA6311" w14:textId="77777777">
            <w:pPr>
              <w:rPr>
                <w:sz w:val="18"/>
                <w:lang w:val="en-GB"/>
              </w:rPr>
            </w:pPr>
          </w:p>
        </w:tc>
      </w:tr>
      <w:tr w:rsidRPr="004829B9" w:rsidR="000470AA" w:rsidTr="000470AA" w14:paraId="5DF708B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0470AA" w:rsidP="0046503D" w:rsidRDefault="000470AA" w14:paraId="39B076A4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0470AA" w:rsidP="0046503D" w:rsidRDefault="000470AA" w14:paraId="41C44CEA" w14:textId="77777777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:rsidRPr="004829B9" w:rsidR="000470AA" w:rsidP="0046503D" w:rsidRDefault="000470AA" w14:paraId="22C796F5" w14:textId="77777777">
            <w:pPr>
              <w:rPr>
                <w:sz w:val="18"/>
                <w:lang w:val="en-GB"/>
              </w:rPr>
            </w:pPr>
          </w:p>
        </w:tc>
      </w:tr>
      <w:tr w:rsidRPr="004829B9" w:rsidR="000470AA" w:rsidTr="000470AA" w14:paraId="257B58F0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0470AA" w:rsidP="0046503D" w:rsidRDefault="000470AA" w14:paraId="691590BE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0470AA" w:rsidP="0046503D" w:rsidRDefault="000470AA" w14:paraId="7B5EC16E" w14:textId="77777777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:rsidRPr="004829B9" w:rsidR="000470AA" w:rsidP="0046503D" w:rsidRDefault="000470AA" w14:paraId="7D2F9530" w14:textId="77777777">
            <w:pPr>
              <w:rPr>
                <w:sz w:val="20"/>
                <w:lang w:val="en-GB"/>
              </w:rPr>
            </w:pPr>
          </w:p>
        </w:tc>
      </w:tr>
    </w:tbl>
    <w:p w:rsidRPr="004829B9" w:rsidR="00D261A2" w:rsidP="0046503D" w:rsidRDefault="00D261A2" w14:paraId="080FA477" w14:textId="77777777">
      <w:pPr>
        <w:rPr>
          <w:sz w:val="18"/>
          <w:lang w:val="en-GB"/>
        </w:rPr>
      </w:pPr>
    </w:p>
    <w:sectPr w:rsidRPr="004829B9" w:rsidR="00D261A2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6F57A" w14:textId="77777777" w:rsidR="004A7498" w:rsidRDefault="004A7498" w:rsidP="000662E2">
      <w:pPr>
        <w:spacing w:after="0" w:line="240" w:lineRule="auto"/>
      </w:pPr>
      <w:r>
        <w:separator/>
      </w:r>
    </w:p>
  </w:endnote>
  <w:endnote w:type="continuationSeparator" w:id="0">
    <w:p w14:paraId="5117C484" w14:textId="77777777" w:rsidR="004A7498" w:rsidRDefault="004A749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A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A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38A6E" w14:textId="77777777" w:rsidR="004A7498" w:rsidRDefault="004A7498" w:rsidP="000662E2">
      <w:pPr>
        <w:spacing w:after="0" w:line="240" w:lineRule="auto"/>
      </w:pPr>
      <w:r>
        <w:separator/>
      </w:r>
    </w:p>
  </w:footnote>
  <w:footnote w:type="continuationSeparator" w:id="0">
    <w:p w14:paraId="6995C83F" w14:textId="77777777" w:rsidR="004A7498" w:rsidRDefault="004A7498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3A28F588" w:rsidR="003A7E95" w:rsidRPr="00C97596" w:rsidRDefault="0079134B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19.03</w:t>
                          </w:r>
                          <w:r w:rsidR="00372328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3A28F588" w:rsidR="003A7E95" w:rsidRPr="00C97596" w:rsidRDefault="0079134B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19.03</w:t>
                    </w:r>
                    <w:r w:rsidR="00372328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24pt;height:125pt;visibility:visible;mso-wrap-style:square" o:bullet="t">
        <v:imagedata r:id="rId1" o:title=""/>
      </v:shape>
    </w:pict>
  </w:numPicBullet>
  <w:numPicBullet w:numPicBulletId="1">
    <w:pict>
      <v:shape id="_x0000_i1120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126E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30BE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7498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77DD3"/>
    <w:rsid w:val="0058073C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96CCE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134B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18D4"/>
    <w:rsid w:val="009127BA"/>
    <w:rsid w:val="0091499D"/>
    <w:rsid w:val="00914AA5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194"/>
    <w:rsid w:val="009705EE"/>
    <w:rsid w:val="009729CD"/>
    <w:rsid w:val="00972B83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D5DFA"/>
    <w:rsid w:val="009D785B"/>
    <w:rsid w:val="009E13F6"/>
    <w:rsid w:val="009E19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250"/>
    <w:rsid w:val="00A00C56"/>
    <w:rsid w:val="00A01686"/>
    <w:rsid w:val="00A02ED8"/>
    <w:rsid w:val="00A035BA"/>
    <w:rsid w:val="00A05A3A"/>
    <w:rsid w:val="00A05EE7"/>
    <w:rsid w:val="00A11B23"/>
    <w:rsid w:val="00A12B9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66F6"/>
    <w:rsid w:val="00CF0172"/>
    <w:rsid w:val="00CF140B"/>
    <w:rsid w:val="00CF2564"/>
    <w:rsid w:val="00CF36C5"/>
    <w:rsid w:val="00CF4099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2B39"/>
    <w:rsid w:val="00D76E73"/>
    <w:rsid w:val="00D8018C"/>
    <w:rsid w:val="00D81B78"/>
    <w:rsid w:val="00D8211E"/>
    <w:rsid w:val="00D8397C"/>
    <w:rsid w:val="00D83D00"/>
    <w:rsid w:val="00D862D9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D2696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5EA7"/>
    <w:rsid w:val="00FE3A83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en/metainformations/glossary/terms-used-in-official-statistics/945,term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en/topics/other-studies/informations-on-socio-economic-situation/publikacja,1.html" TargetMode="External"/><Relationship Id="rId34" Type="http://schemas.openxmlformats.org/officeDocument/2006/relationships/hyperlink" Target="http://stat.gov.pl/en/metainformations/glossary/terms-used-in-official-statistics/945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s/glossary/terms-used-in-official-statistics/3763,term.html" TargetMode="External"/><Relationship Id="rId33" Type="http://schemas.openxmlformats.org/officeDocument/2006/relationships/hyperlink" Target="https://stat.gov.pl/en/metainformations/glossary/terms-used-in-official-statistics/3763,term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topics/other-studies/informations-on-socio-economic-situation/publikacja,1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EN/Budownictwo_dashboards/Raporty_predefiniowane/RAP_DBD_BUD_7.aspx" TargetMode="External"/><Relationship Id="rId28" Type="http://schemas.openxmlformats.org/officeDocument/2006/relationships/hyperlink" Target="http://stat.gov.pl/en/metainformations/glossary/terms-used-in-official-statistics/201,term.html" TargetMode="External"/><Relationship Id="rId36" Type="http://schemas.openxmlformats.org/officeDocument/2006/relationships/hyperlink" Target="http://stat.gov.pl/en/metainformations/glossary/terms-used-in-official-statistics/201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EN/Budownictwo_dashboards/Raporty_predefiniowane/RAP_DBD_BUD_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topics/industry-construction-fixed-assets/construc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industry-construction-fixed-assets/construc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1\informacje%20sygnalne\stycze&#324;\Informacja%20sygnalna%20Budownictwo%20mieszkaniowe_wykres_012021_englis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893293875178354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18517</c:v>
                </c:pt>
                <c:pt idx="37">
                  <c:v>15527</c:v>
                </c:pt>
                <c:pt idx="38">
                  <c:v>15580</c:v>
                </c:pt>
                <c:pt idx="39">
                  <c:v>14358</c:v>
                </c:pt>
                <c:pt idx="40">
                  <c:v>16357</c:v>
                </c:pt>
                <c:pt idx="41">
                  <c:v>17006</c:v>
                </c:pt>
                <c:pt idx="42">
                  <c:v>23806</c:v>
                </c:pt>
                <c:pt idx="43" formatCode="#,##0">
                  <c:v>16378</c:v>
                </c:pt>
                <c:pt idx="44">
                  <c:v>19425</c:v>
                </c:pt>
                <c:pt idx="45">
                  <c:v>21044</c:v>
                </c:pt>
                <c:pt idx="46">
                  <c:v>20560</c:v>
                </c:pt>
                <c:pt idx="47">
                  <c:v>22843</c:v>
                </c:pt>
                <c:pt idx="48" formatCode="#,##0">
                  <c:v>17131</c:v>
                </c:pt>
                <c:pt idx="49" formatCode="#,##0">
                  <c:v>16723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23290</c:v>
                </c:pt>
                <c:pt idx="49" formatCode="#,##0">
                  <c:v>27179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6934000"/>
        <c:axId val="476928016"/>
      </c:lineChart>
      <c:catAx>
        <c:axId val="47693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692801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476928016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693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504459209240719E-2"/>
          <c:y val="0.85726431737016473"/>
          <c:w val="0.81476277904830507"/>
          <c:h val="0.127955771880901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3.6371908735288686E-2"/>
          <c:w val="0.78147912136044484"/>
          <c:h val="0.7641616439736077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Kujawsko-pomorskie</c:v>
                </c:pt>
                <c:pt idx="6">
                  <c:v>Zachodniopomorskie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Małopolskie</c:v>
                </c:pt>
                <c:pt idx="12">
                  <c:v>Pomorskie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456</c:v>
                </c:pt>
                <c:pt idx="1">
                  <c:v>836</c:v>
                </c:pt>
                <c:pt idx="2">
                  <c:v>788</c:v>
                </c:pt>
                <c:pt idx="3">
                  <c:v>969</c:v>
                </c:pt>
                <c:pt idx="4">
                  <c:v>313</c:v>
                </c:pt>
                <c:pt idx="5">
                  <c:v>1534</c:v>
                </c:pt>
                <c:pt idx="6">
                  <c:v>1059</c:v>
                </c:pt>
                <c:pt idx="7">
                  <c:v>1821</c:v>
                </c:pt>
                <c:pt idx="8">
                  <c:v>1753</c:v>
                </c:pt>
                <c:pt idx="9">
                  <c:v>1399</c:v>
                </c:pt>
                <c:pt idx="10">
                  <c:v>2422</c:v>
                </c:pt>
                <c:pt idx="11">
                  <c:v>2898</c:v>
                </c:pt>
                <c:pt idx="12">
                  <c:v>2560</c:v>
                </c:pt>
                <c:pt idx="13">
                  <c:v>4126</c:v>
                </c:pt>
                <c:pt idx="14">
                  <c:v>5568</c:v>
                </c:pt>
                <c:pt idx="15">
                  <c:v>5033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Kujawsko-pomorskie</c:v>
                </c:pt>
                <c:pt idx="6">
                  <c:v>Zachodniopomorskie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Małopolskie</c:v>
                </c:pt>
                <c:pt idx="12">
                  <c:v>Pomorskie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605</c:v>
                </c:pt>
                <c:pt idx="1">
                  <c:v>703</c:v>
                </c:pt>
                <c:pt idx="2">
                  <c:v>1575</c:v>
                </c:pt>
                <c:pt idx="3">
                  <c:v>1604</c:v>
                </c:pt>
                <c:pt idx="4">
                  <c:v>862</c:v>
                </c:pt>
                <c:pt idx="5">
                  <c:v>2116</c:v>
                </c:pt>
                <c:pt idx="6">
                  <c:v>3053</c:v>
                </c:pt>
                <c:pt idx="7">
                  <c:v>1836</c:v>
                </c:pt>
                <c:pt idx="8">
                  <c:v>2144</c:v>
                </c:pt>
                <c:pt idx="9">
                  <c:v>3354</c:v>
                </c:pt>
                <c:pt idx="10">
                  <c:v>4237</c:v>
                </c:pt>
                <c:pt idx="11">
                  <c:v>3751</c:v>
                </c:pt>
                <c:pt idx="12">
                  <c:v>5727</c:v>
                </c:pt>
                <c:pt idx="13">
                  <c:v>4242</c:v>
                </c:pt>
                <c:pt idx="14">
                  <c:v>6496</c:v>
                </c:pt>
                <c:pt idx="15">
                  <c:v>8164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Kujawsko-pomorskie</c:v>
                </c:pt>
                <c:pt idx="6">
                  <c:v>Zachodniopomorskie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Małopolskie</c:v>
                </c:pt>
                <c:pt idx="12">
                  <c:v>Pomorskie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467</c:v>
                </c:pt>
                <c:pt idx="1">
                  <c:v>579</c:v>
                </c:pt>
                <c:pt idx="2">
                  <c:v>704</c:v>
                </c:pt>
                <c:pt idx="3">
                  <c:v>889</c:v>
                </c:pt>
                <c:pt idx="4">
                  <c:v>1143</c:v>
                </c:pt>
                <c:pt idx="5">
                  <c:v>1295</c:v>
                </c:pt>
                <c:pt idx="6">
                  <c:v>1301</c:v>
                </c:pt>
                <c:pt idx="7">
                  <c:v>1476</c:v>
                </c:pt>
                <c:pt idx="8">
                  <c:v>1759</c:v>
                </c:pt>
                <c:pt idx="9">
                  <c:v>1942</c:v>
                </c:pt>
                <c:pt idx="10">
                  <c:v>2211</c:v>
                </c:pt>
                <c:pt idx="11">
                  <c:v>2668</c:v>
                </c:pt>
                <c:pt idx="12">
                  <c:v>2789</c:v>
                </c:pt>
                <c:pt idx="13">
                  <c:v>3316</c:v>
                </c:pt>
                <c:pt idx="14">
                  <c:v>3592</c:v>
                </c:pt>
                <c:pt idx="15">
                  <c:v>7723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6928560"/>
        <c:axId val="476929648"/>
      </c:barChart>
      <c:catAx>
        <c:axId val="4769285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76929648"/>
        <c:crosses val="autoZero"/>
        <c:auto val="1"/>
        <c:lblAlgn val="ctr"/>
        <c:lblOffset val="100"/>
        <c:noMultiLvlLbl val="0"/>
      </c:catAx>
      <c:valAx>
        <c:axId val="476929648"/>
        <c:scaling>
          <c:orientation val="minMax"/>
          <c:max val="85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6928560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7038429897755321"/>
          <c:w val="0.83688211129506873"/>
          <c:h val="0.118731427228312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STAT\CZARNECKAK</Osoba>
    <NazwaPliku xmlns="8C029B3F-2CC4-4A59-AF0D-A90575FA3373">residential_construction__in_January-February_2021.docx.docx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BF7B257-98A6-4D1A-9F5A-EF79A74F8051}"/>
</file>

<file path=customXml/itemProps3.xml><?xml version="1.0" encoding="utf-8"?>
<ds:datastoreItem xmlns:ds="http://schemas.openxmlformats.org/officeDocument/2006/customXml" ds:itemID="{0BAD8B3F-CF99-4963-BF20-08283C224B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dwellings completed; dwellings under construction; dwellings started; building permit; useful floor area</cp:keywords>
  <cp:lastPrinted>2021-02-17T13:06:00Z</cp:lastPrinted>
  <dcterms:created xsi:type="dcterms:W3CDTF">2021-03-17T08:52:00Z</dcterms:created>
  <dcterms:modified xsi:type="dcterms:W3CDTF">2021-03-17T09:03:00Z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LUB-OSB.6362.2.2021.5</vt:lpwstr>
  </property>
  <property fmtid="{D5CDD505-2E9C-101B-9397-08002B2CF9AE}" pid="4" name="UNPPisma">
    <vt:lpwstr>2021-69339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I-II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2021-03-17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