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64D40D25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bookmarkEnd w:id="0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3D4820" w:rsidRPr="003D4820">
        <w:rPr>
          <w:szCs w:val="32"/>
          <w:lang w:val="en-GB"/>
        </w:rPr>
        <w:t xml:space="preserve">January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2B3A5F37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321DDBD4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78313C7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48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92</w:t>
                            </w:r>
                            <w:r w:rsidR="00E526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3D48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321DDBD4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78313C7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48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92</w:t>
                      </w:r>
                      <w:r w:rsidR="00E526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3D48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5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3D4820">
        <w:rPr>
          <w:lang w:val="en-GB"/>
        </w:rPr>
        <w:t>January 2021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3D4820">
        <w:rPr>
          <w:lang w:val="en-GB"/>
        </w:rPr>
        <w:t>less</w:t>
      </w:r>
      <w:r w:rsidR="00AD1492" w:rsidRPr="004829B9">
        <w:rPr>
          <w:lang w:val="en-GB"/>
        </w:rPr>
        <w:t xml:space="preserve"> dwellings completed than the year before. </w:t>
      </w:r>
      <w:r w:rsidR="003D4820">
        <w:rPr>
          <w:lang w:val="en-GB"/>
        </w:rPr>
        <w:t>Whereas t</w:t>
      </w:r>
      <w:r w:rsidR="00095A18" w:rsidRPr="004829B9">
        <w:rPr>
          <w:lang w:val="en-GB"/>
        </w:rPr>
        <w:t>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</w:t>
      </w:r>
      <w:r w:rsidR="00372328">
        <w:rPr>
          <w:lang w:val="en-GB"/>
        </w:rPr>
        <w:t xml:space="preserve"> </w:t>
      </w:r>
      <w:r w:rsidR="003D4820">
        <w:rPr>
          <w:lang w:val="en-GB"/>
        </w:rPr>
        <w:t xml:space="preserve">and </w:t>
      </w:r>
      <w:r w:rsidR="003C0487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</w:t>
      </w:r>
      <w:r w:rsidR="003D4820">
        <w:rPr>
          <w:lang w:val="en-GB"/>
        </w:rPr>
        <w:t xml:space="preserve"> which construction has begun in</w:t>
      </w:r>
      <w:r w:rsidR="002E1E0B">
        <w:rPr>
          <w:lang w:val="en-GB"/>
        </w:rPr>
        <w:t>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188E4D7">
                <wp:simplePos x="0" y="0"/>
                <wp:positionH relativeFrom="rightMargin">
                  <wp:posOffset>113665</wp:posOffset>
                </wp:positionH>
                <wp:positionV relativeFrom="paragraph">
                  <wp:posOffset>81915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25F54242" w:rsidR="003A7E95" w:rsidRPr="00AD1492" w:rsidRDefault="00696CCE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</w:t>
                            </w:r>
                            <w:r w:rsidR="00365663">
                              <w:rPr>
                                <w:lang w:val="en-US"/>
                              </w:rPr>
                              <w:t xml:space="preserve">and private investors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365663">
                              <w:rPr>
                                <w:lang w:val="en-US"/>
                              </w:rPr>
                              <w:t xml:space="preserve"> respectively 59.2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365663">
                              <w:rPr>
                                <w:lang w:val="en-US"/>
                              </w:rPr>
                              <w:t xml:space="preserve">and 39.3%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65663">
                              <w:rPr>
                                <w:lang w:val="en-US"/>
                              </w:rPr>
                              <w:t>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8.95pt;margin-top:6.45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" filled="f" stroked="f">
                <v:textbox>
                  <w:txbxContent>
                    <w:p w14:paraId="55217834" w14:textId="25F54242" w:rsidR="003A7E95" w:rsidRPr="00AD1492" w:rsidRDefault="00696CCE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</w:t>
                      </w:r>
                      <w:r w:rsidR="00365663">
                        <w:rPr>
                          <w:lang w:val="en-US"/>
                        </w:rPr>
                        <w:t xml:space="preserve">and private investors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365663">
                        <w:rPr>
                          <w:lang w:val="en-US"/>
                        </w:rPr>
                        <w:t xml:space="preserve"> respectively 59.2</w:t>
                      </w:r>
                      <w:r w:rsidR="003A7E95">
                        <w:rPr>
                          <w:lang w:val="en-US"/>
                        </w:rPr>
                        <w:t xml:space="preserve">% </w:t>
                      </w:r>
                      <w:r w:rsidR="00365663">
                        <w:rPr>
                          <w:lang w:val="en-US"/>
                        </w:rPr>
                        <w:t xml:space="preserve">and 39.3% </w:t>
                      </w:r>
                      <w:r w:rsidR="003A7E95">
                        <w:rPr>
                          <w:lang w:val="en-US"/>
                        </w:rPr>
                        <w:t xml:space="preserve">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65663">
                        <w:rPr>
                          <w:lang w:val="en-US"/>
                        </w:rPr>
                        <w:t>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13C995D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4B638F">
        <w:rPr>
          <w:spacing w:val="-4"/>
          <w:shd w:val="clear" w:color="auto" w:fill="FFFFFF"/>
          <w:lang w:val="en-GB"/>
        </w:rPr>
        <w:t>17</w:t>
      </w:r>
      <w:r w:rsidR="00372328">
        <w:rPr>
          <w:spacing w:val="-4"/>
          <w:shd w:val="clear" w:color="auto" w:fill="FFFFFF"/>
          <w:lang w:val="en-GB"/>
        </w:rPr>
        <w:t>.</w:t>
      </w:r>
      <w:r w:rsidR="00A7208C">
        <w:rPr>
          <w:spacing w:val="-4"/>
          <w:shd w:val="clear" w:color="auto" w:fill="FFFFFF"/>
          <w:lang w:val="en-GB"/>
        </w:rPr>
        <w:t>1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>in the beginni</w:t>
      </w:r>
      <w:r w:rsidR="004B638F" w:rsidRPr="004B638F">
        <w:rPr>
          <w:spacing w:val="-4"/>
          <w:shd w:val="clear" w:color="auto" w:fill="FFFFFF"/>
          <w:lang w:val="en-GB"/>
        </w:rPr>
        <w:t>ng of 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372328">
        <w:rPr>
          <w:spacing w:val="-4"/>
          <w:shd w:val="clear" w:color="auto" w:fill="FFFFFF"/>
          <w:lang w:val="en-GB"/>
        </w:rPr>
        <w:t>7</w:t>
      </w:r>
      <w:r w:rsidR="004B638F">
        <w:rPr>
          <w:spacing w:val="-4"/>
          <w:shd w:val="clear" w:color="auto" w:fill="FFFFFF"/>
          <w:lang w:val="en-GB"/>
        </w:rPr>
        <w:t>.5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4B638F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4B638F">
        <w:rPr>
          <w:spacing w:val="-4"/>
          <w:shd w:val="clear" w:color="auto" w:fill="FFFFFF"/>
          <w:lang w:val="en-GB"/>
        </w:rPr>
        <w:t>in January 2020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4B638F">
        <w:rPr>
          <w:spacing w:val="-4"/>
          <w:shd w:val="clear" w:color="auto" w:fill="FFFFFF"/>
          <w:lang w:val="en-GB"/>
        </w:rPr>
        <w:t>10</w:t>
      </w:r>
      <w:r w:rsidR="00372328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1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A7208C">
        <w:rPr>
          <w:spacing w:val="-4"/>
          <w:shd w:val="clear" w:color="auto" w:fill="FFFFFF"/>
          <w:lang w:val="en-GB"/>
        </w:rPr>
        <w:t>-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4B638F">
        <w:rPr>
          <w:spacing w:val="-4"/>
          <w:shd w:val="clear" w:color="auto" w:fill="FFFFFF"/>
          <w:lang w:val="en-GB"/>
        </w:rPr>
        <w:t>12.6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4B638F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4B638F">
        <w:rPr>
          <w:spacing w:val="-4"/>
          <w:shd w:val="clear" w:color="auto" w:fill="FFFFFF"/>
          <w:lang w:val="en-GB"/>
        </w:rPr>
        <w:t>month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4B638F">
        <w:rPr>
          <w:spacing w:val="-4"/>
          <w:shd w:val="clear" w:color="auto" w:fill="FFFFFF"/>
          <w:lang w:val="en-GB"/>
        </w:rPr>
        <w:t>6</w:t>
      </w:r>
      <w:r w:rsidR="00372328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7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4B638F">
        <w:rPr>
          <w:spacing w:val="-4"/>
          <w:shd w:val="clear" w:color="auto" w:fill="FFFFFF"/>
          <w:lang w:val="en-GB"/>
        </w:rPr>
        <w:t>2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8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5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cooperative construction </w:t>
      </w:r>
      <w:r w:rsidR="00365663">
        <w:rPr>
          <w:spacing w:val="-4"/>
          <w:shd w:val="clear" w:color="auto" w:fill="FFFFFF"/>
          <w:lang w:val="en-GB"/>
        </w:rPr>
        <w:t xml:space="preserve">134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365663">
        <w:rPr>
          <w:spacing w:val="-4"/>
          <w:shd w:val="clear" w:color="auto" w:fill="FFFFFF"/>
          <w:lang w:val="en-GB"/>
        </w:rPr>
        <w:t>248</w:t>
      </w:r>
      <w:r w:rsidR="00372328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3557A1">
        <w:rPr>
          <w:spacing w:val="-4"/>
          <w:shd w:val="clear" w:color="auto" w:fill="FFFFFF"/>
          <w:lang w:val="en-GB"/>
        </w:rPr>
        <w:t>)</w:t>
      </w:r>
      <w:r w:rsidR="00365663">
        <w:rPr>
          <w:spacing w:val="-4"/>
          <w:shd w:val="clear" w:color="auto" w:fill="FFFFFF"/>
          <w:lang w:val="en-GB"/>
        </w:rPr>
        <w:t>,</w:t>
      </w:r>
      <w:r w:rsidR="003557A1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whereas</w:t>
      </w:r>
      <w:r w:rsidR="003557A1">
        <w:rPr>
          <w:spacing w:val="-4"/>
          <w:shd w:val="clear" w:color="auto" w:fill="FFFFFF"/>
          <w:lang w:val="en-GB"/>
        </w:rPr>
        <w:t xml:space="preserve"> altogether in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3557A1">
        <w:rPr>
          <w:spacing w:val="-4"/>
          <w:shd w:val="clear" w:color="auto" w:fill="FFFFFF"/>
          <w:lang w:val="en-GB"/>
        </w:rPr>
        <w:t xml:space="preserve">construction, i.e. </w:t>
      </w:r>
      <w:r w:rsidR="00C733A3" w:rsidRPr="004829B9">
        <w:rPr>
          <w:spacing w:val="-4"/>
          <w:shd w:val="clear" w:color="auto" w:fill="FFFFFF"/>
          <w:lang w:val="en-GB"/>
        </w:rPr>
        <w:t>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3557A1">
        <w:rPr>
          <w:spacing w:val="-4"/>
          <w:shd w:val="clear" w:color="auto" w:fill="FFFFFF"/>
          <w:lang w:val="en-GB"/>
        </w:rPr>
        <w:t>and company construction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 xml:space="preserve">117 </w:t>
      </w:r>
      <w:r w:rsidR="003557A1">
        <w:rPr>
          <w:spacing w:val="-4"/>
          <w:shd w:val="clear" w:color="auto" w:fill="FFFFFF"/>
          <w:lang w:val="en-GB"/>
        </w:rPr>
        <w:t>(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94AC8" w:rsidRPr="004829B9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104</w:t>
      </w:r>
      <w:r w:rsidR="00C94AC8" w:rsidRPr="004829B9">
        <w:rPr>
          <w:spacing w:val="-4"/>
          <w:shd w:val="clear" w:color="auto" w:fill="FFFFFF"/>
          <w:lang w:val="en-GB"/>
        </w:rPr>
        <w:t>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777F2681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365663">
        <w:rPr>
          <w:shd w:val="clear" w:color="auto" w:fill="FFFFFF"/>
          <w:lang w:val="en-GB"/>
        </w:rPr>
        <w:t xml:space="preserve"> January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365663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DE7DD4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365663">
        <w:rPr>
          <w:shd w:val="clear" w:color="auto" w:fill="FFFFFF"/>
          <w:lang w:val="en-GB"/>
        </w:rPr>
        <w:t>3</w:t>
      </w:r>
      <w:r w:rsidR="00837231" w:rsidRPr="004829B9">
        <w:rPr>
          <w:shd w:val="clear" w:color="auto" w:fill="FFFFFF"/>
          <w:lang w:val="en-GB"/>
        </w:rPr>
        <w:t>.</w:t>
      </w:r>
      <w:r w:rsidR="00365663">
        <w:rPr>
          <w:shd w:val="clear" w:color="auto" w:fill="FFFFFF"/>
          <w:lang w:val="en-GB"/>
        </w:rPr>
        <w:t>2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365663">
        <w:rPr>
          <w:shd w:val="clear" w:color="auto" w:fill="FFFFFF"/>
          <w:lang w:val="en-GB"/>
        </w:rPr>
        <w:t>less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365663">
        <w:rPr>
          <w:shd w:val="clear" w:color="auto" w:fill="FFFFFF"/>
          <w:lang w:val="en-GB"/>
        </w:rPr>
        <w:t>94</w:t>
      </w:r>
      <w:r w:rsidR="005D25AB" w:rsidRPr="004829B9">
        <w:rPr>
          <w:shd w:val="clear" w:color="auto" w:fill="FFFFFF"/>
          <w:lang w:val="en-GB"/>
        </w:rPr>
        <w:t>.</w:t>
      </w:r>
      <w:r w:rsidR="00365663">
        <w:rPr>
          <w:shd w:val="clear" w:color="auto" w:fill="FFFFFF"/>
          <w:lang w:val="en-GB"/>
        </w:rPr>
        <w:t>1 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7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18"/>
        <w:gridCol w:w="1860"/>
        <w:gridCol w:w="1458"/>
        <w:gridCol w:w="1858"/>
      </w:tblGrid>
      <w:tr w:rsidR="00C214E1" w:rsidRPr="00C214E1" w14:paraId="67FD99CF" w14:textId="77777777" w:rsidTr="00DA66B8">
        <w:trPr>
          <w:trHeight w:val="20"/>
        </w:trPr>
        <w:tc>
          <w:tcPr>
            <w:tcW w:w="2818" w:type="dxa"/>
            <w:vMerge w:val="restart"/>
            <w:tcBorders>
              <w:bottom w:val="single" w:sz="12" w:space="0" w:color="212492"/>
            </w:tcBorders>
            <w:vAlign w:val="center"/>
          </w:tcPr>
          <w:p w14:paraId="028A74AB" w14:textId="6DE49510" w:rsidR="00C214E1" w:rsidRPr="00C214E1" w:rsidRDefault="00C214E1" w:rsidP="00C214E1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176" w:type="dxa"/>
            <w:gridSpan w:val="3"/>
            <w:tcBorders>
              <w:bottom w:val="single" w:sz="12" w:space="0" w:color="212492"/>
            </w:tcBorders>
            <w:vAlign w:val="center"/>
          </w:tcPr>
          <w:p w14:paraId="14AA6551" w14:textId="77777777" w:rsidR="00C214E1" w:rsidRPr="00C214E1" w:rsidRDefault="00C214E1" w:rsidP="00C214E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C214E1" w:rsidRPr="00C214E1" w14:paraId="633D26C7" w14:textId="77777777" w:rsidTr="00C214E1">
        <w:trPr>
          <w:trHeight w:val="20"/>
        </w:trPr>
        <w:tc>
          <w:tcPr>
            <w:tcW w:w="2818" w:type="dxa"/>
            <w:vMerge/>
            <w:tcBorders>
              <w:bottom w:val="single" w:sz="12" w:space="0" w:color="212492"/>
            </w:tcBorders>
            <w:vAlign w:val="center"/>
          </w:tcPr>
          <w:p w14:paraId="070292B0" w14:textId="77777777" w:rsidR="00C214E1" w:rsidRPr="00C214E1" w:rsidRDefault="00C214E1" w:rsidP="00C214E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212492"/>
            </w:tcBorders>
            <w:vAlign w:val="center"/>
          </w:tcPr>
          <w:p w14:paraId="08C2206A" w14:textId="41B19377" w:rsidR="00C214E1" w:rsidRPr="00C214E1" w:rsidRDefault="00C214E1" w:rsidP="00C214E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458" w:type="dxa"/>
            <w:tcBorders>
              <w:bottom w:val="single" w:sz="12" w:space="0" w:color="212492"/>
            </w:tcBorders>
            <w:vAlign w:val="center"/>
          </w:tcPr>
          <w:p w14:paraId="1A623802" w14:textId="77777777" w:rsidR="00C214E1" w:rsidRPr="00C214E1" w:rsidRDefault="00C214E1" w:rsidP="00C214E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1858" w:type="dxa"/>
            <w:tcBorders>
              <w:bottom w:val="single" w:sz="12" w:space="0" w:color="212492"/>
            </w:tcBorders>
            <w:vAlign w:val="center"/>
          </w:tcPr>
          <w:p w14:paraId="450B72BA" w14:textId="77777777" w:rsidR="00C214E1" w:rsidRPr="00C214E1" w:rsidRDefault="00C214E1" w:rsidP="00C214E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XII 2020=100</w:t>
            </w:r>
          </w:p>
        </w:tc>
      </w:tr>
      <w:tr w:rsidR="00C214E1" w:rsidRPr="00C214E1" w14:paraId="174E9C01" w14:textId="77777777" w:rsidTr="00C214E1">
        <w:trPr>
          <w:trHeight w:val="57"/>
        </w:trPr>
        <w:tc>
          <w:tcPr>
            <w:tcW w:w="2818" w:type="dxa"/>
            <w:tcBorders>
              <w:top w:val="single" w:sz="12" w:space="0" w:color="212492"/>
            </w:tcBorders>
            <w:vAlign w:val="center"/>
          </w:tcPr>
          <w:p w14:paraId="3C059EFF" w14:textId="729940D0" w:rsidR="00C214E1" w:rsidRPr="00C214E1" w:rsidRDefault="00C214E1" w:rsidP="00C214E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860" w:type="dxa"/>
            <w:tcBorders>
              <w:top w:val="single" w:sz="12" w:space="0" w:color="212492"/>
            </w:tcBorders>
            <w:vAlign w:val="center"/>
          </w:tcPr>
          <w:p w14:paraId="3EB17C65" w14:textId="2DAE3925" w:rsidR="00C214E1" w:rsidRPr="00C214E1" w:rsidRDefault="00C214E1" w:rsidP="00C214E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17 131</w:t>
            </w:r>
          </w:p>
        </w:tc>
        <w:tc>
          <w:tcPr>
            <w:tcW w:w="1458" w:type="dxa"/>
            <w:tcBorders>
              <w:top w:val="single" w:sz="12" w:space="0" w:color="212492"/>
            </w:tcBorders>
            <w:vAlign w:val="center"/>
          </w:tcPr>
          <w:p w14:paraId="39FE0DC7" w14:textId="4E9CCB00" w:rsidR="00C214E1" w:rsidRPr="00C214E1" w:rsidRDefault="00C214E1" w:rsidP="00C214E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92.5</w:t>
            </w:r>
          </w:p>
        </w:tc>
        <w:tc>
          <w:tcPr>
            <w:tcW w:w="1858" w:type="dxa"/>
            <w:tcBorders>
              <w:top w:val="single" w:sz="12" w:space="0" w:color="212492"/>
            </w:tcBorders>
            <w:vAlign w:val="center"/>
          </w:tcPr>
          <w:p w14:paraId="62635206" w14:textId="78A5B403" w:rsidR="00C214E1" w:rsidRPr="00C214E1" w:rsidRDefault="00C214E1" w:rsidP="00C214E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67.1</w:t>
            </w:r>
          </w:p>
        </w:tc>
      </w:tr>
      <w:tr w:rsidR="00C214E1" w:rsidRPr="00C214E1" w14:paraId="12B2212F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3DC39473" w14:textId="64E66A12" w:rsidR="00C214E1" w:rsidRPr="00C214E1" w:rsidRDefault="00C214E1" w:rsidP="00C214E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860" w:type="dxa"/>
            <w:vAlign w:val="center"/>
          </w:tcPr>
          <w:p w14:paraId="1322E190" w14:textId="5029701D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6 735</w:t>
            </w:r>
          </w:p>
        </w:tc>
        <w:tc>
          <w:tcPr>
            <w:tcW w:w="1458" w:type="dxa"/>
            <w:vAlign w:val="center"/>
          </w:tcPr>
          <w:p w14:paraId="3C34065D" w14:textId="4A219E15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102.8</w:t>
            </w:r>
          </w:p>
        </w:tc>
        <w:tc>
          <w:tcPr>
            <w:tcW w:w="1858" w:type="dxa"/>
            <w:vAlign w:val="center"/>
          </w:tcPr>
          <w:p w14:paraId="32E4E857" w14:textId="4BA9175F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80.6</w:t>
            </w:r>
          </w:p>
        </w:tc>
      </w:tr>
      <w:tr w:rsidR="00C214E1" w:rsidRPr="00C214E1" w14:paraId="3EF8175D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56AFB7CD" w14:textId="2EB6773B" w:rsidR="00C214E1" w:rsidRPr="00C214E1" w:rsidRDefault="00C214E1" w:rsidP="00C214E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860" w:type="dxa"/>
            <w:vAlign w:val="center"/>
          </w:tcPr>
          <w:p w14:paraId="2E2B285D" w14:textId="3970C16D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10 145</w:t>
            </w:r>
          </w:p>
        </w:tc>
        <w:tc>
          <w:tcPr>
            <w:tcW w:w="1458" w:type="dxa"/>
            <w:vAlign w:val="center"/>
          </w:tcPr>
          <w:p w14:paraId="48B8390C" w14:textId="39CD6781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87.4</w:t>
            </w:r>
          </w:p>
        </w:tc>
        <w:tc>
          <w:tcPr>
            <w:tcW w:w="1858" w:type="dxa"/>
            <w:vAlign w:val="center"/>
          </w:tcPr>
          <w:p w14:paraId="5E716337" w14:textId="5E3B8F27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61.6</w:t>
            </w:r>
          </w:p>
        </w:tc>
      </w:tr>
      <w:tr w:rsidR="00C214E1" w:rsidRPr="00C214E1" w14:paraId="7629B0C0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4EA51138" w14:textId="3783F58C" w:rsidR="00C214E1" w:rsidRPr="00C214E1" w:rsidRDefault="00A7208C" w:rsidP="00A7208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="00C214E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860" w:type="dxa"/>
            <w:vAlign w:val="center"/>
          </w:tcPr>
          <w:p w14:paraId="2D92614B" w14:textId="6E36A71C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1458" w:type="dxa"/>
            <w:vAlign w:val="center"/>
          </w:tcPr>
          <w:p w14:paraId="63AB4CD1" w14:textId="1D761AA2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79.8</w:t>
            </w:r>
          </w:p>
        </w:tc>
        <w:tc>
          <w:tcPr>
            <w:tcW w:w="1858" w:type="dxa"/>
            <w:vAlign w:val="center"/>
          </w:tcPr>
          <w:p w14:paraId="3DAECE36" w14:textId="6009D355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121.2</w:t>
            </w:r>
          </w:p>
        </w:tc>
      </w:tr>
      <w:tr w:rsidR="00C214E1" w:rsidRPr="00C214E1" w14:paraId="094CA7E0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386EAC5D" w14:textId="5AEE0190" w:rsidR="00C214E1" w:rsidRPr="00C214E1" w:rsidRDefault="00C214E1" w:rsidP="00C214E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860" w:type="dxa"/>
            <w:vAlign w:val="center"/>
          </w:tcPr>
          <w:p w14:paraId="08D733F2" w14:textId="2E84DED6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58" w:type="dxa"/>
            <w:vAlign w:val="center"/>
          </w:tcPr>
          <w:p w14:paraId="42F07B51" w14:textId="304E04A2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1858" w:type="dxa"/>
            <w:vAlign w:val="center"/>
          </w:tcPr>
          <w:p w14:paraId="1EB7B94E" w14:textId="591B00A3" w:rsidR="00C214E1" w:rsidRPr="00C214E1" w:rsidRDefault="00C214E1" w:rsidP="00C214E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54.7</w:t>
            </w:r>
          </w:p>
        </w:tc>
      </w:tr>
      <w:tr w:rsidR="00C214E1" w:rsidRPr="00C214E1" w14:paraId="17D1D39B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5CD0FB3D" w14:textId="6FD76E11" w:rsidR="00C214E1" w:rsidRPr="00C214E1" w:rsidRDefault="00C214E1" w:rsidP="00C214E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860" w:type="dxa"/>
            <w:vAlign w:val="center"/>
          </w:tcPr>
          <w:p w14:paraId="58433C35" w14:textId="71005987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458" w:type="dxa"/>
            <w:vAlign w:val="center"/>
          </w:tcPr>
          <w:p w14:paraId="45B20065" w14:textId="5E6D6C76" w:rsidR="00C214E1" w:rsidRPr="00D5133B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r w:rsidRPr="00D5133B">
              <w:rPr>
                <w:rFonts w:cs="Arial"/>
                <w:color w:val="000000" w:themeColor="text1"/>
                <w:sz w:val="16"/>
                <w:szCs w:val="16"/>
              </w:rPr>
              <w:t xml:space="preserve"> 6- </w:t>
            </w:r>
          </w:p>
          <w:p w14:paraId="3FA1D9AE" w14:textId="09BA3255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D5133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858" w:type="dxa"/>
            <w:vAlign w:val="center"/>
          </w:tcPr>
          <w:p w14:paraId="3F28B5C3" w14:textId="6972C66C" w:rsidR="00C214E1" w:rsidRPr="00C214E1" w:rsidRDefault="00C214E1" w:rsidP="00C214E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33.9</w:t>
            </w:r>
          </w:p>
        </w:tc>
      </w:tr>
      <w:tr w:rsidR="00C214E1" w:rsidRPr="00C214E1" w14:paraId="47EE722F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67AFAC03" w14:textId="2B7A6548" w:rsidR="00C214E1" w:rsidRPr="00C214E1" w:rsidRDefault="00C214E1" w:rsidP="00C214E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860" w:type="dxa"/>
            <w:vAlign w:val="center"/>
          </w:tcPr>
          <w:p w14:paraId="5966CC99" w14:textId="3CC1FDDF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58" w:type="dxa"/>
            <w:vAlign w:val="center"/>
          </w:tcPr>
          <w:p w14:paraId="57C3FDCB" w14:textId="7B516AB6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26.7</w:t>
            </w:r>
          </w:p>
        </w:tc>
        <w:tc>
          <w:tcPr>
            <w:tcW w:w="1858" w:type="dxa"/>
            <w:vAlign w:val="center"/>
          </w:tcPr>
          <w:p w14:paraId="14EC4A63" w14:textId="091A3917" w:rsidR="00C214E1" w:rsidRPr="00C214E1" w:rsidRDefault="00C214E1" w:rsidP="00C214E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12.6</w:t>
            </w:r>
          </w:p>
        </w:tc>
      </w:tr>
      <w:tr w:rsidR="00C214E1" w:rsidRPr="00C214E1" w14:paraId="37C3ADF1" w14:textId="77777777" w:rsidTr="00C214E1">
        <w:trPr>
          <w:trHeight w:val="57"/>
        </w:trPr>
        <w:tc>
          <w:tcPr>
            <w:tcW w:w="2818" w:type="dxa"/>
            <w:vAlign w:val="center"/>
          </w:tcPr>
          <w:p w14:paraId="219F5416" w14:textId="4DF37FD6" w:rsidR="00C214E1" w:rsidRPr="00C214E1" w:rsidRDefault="00C214E1" w:rsidP="00C214E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860" w:type="dxa"/>
            <w:vAlign w:val="center"/>
          </w:tcPr>
          <w:p w14:paraId="78698FC1" w14:textId="473CFD5A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58" w:type="dxa"/>
            <w:vAlign w:val="center"/>
          </w:tcPr>
          <w:p w14:paraId="04BCCF0F" w14:textId="1783A107" w:rsidR="00C214E1" w:rsidRPr="00C214E1" w:rsidRDefault="00C214E1" w:rsidP="00C214E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58" w:type="dxa"/>
            <w:vAlign w:val="center"/>
          </w:tcPr>
          <w:p w14:paraId="5A60344F" w14:textId="3DFEEC43" w:rsidR="00C214E1" w:rsidRPr="00C214E1" w:rsidRDefault="00C214E1" w:rsidP="00C214E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1"/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4E90F47A" w14:textId="77777777" w:rsidR="00666C53" w:rsidRDefault="00666C5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D4635A8" w14:textId="77777777" w:rsidR="00E26291" w:rsidRDefault="00E26291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0D3BA04" w14:textId="77777777" w:rsidR="00A7208C" w:rsidRDefault="00A7208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50FA48E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9BF41E9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3C543E43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DE7DD4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C214E1">
                              <w:rPr>
                                <w:lang w:val="en-US"/>
                              </w:rPr>
                              <w:t>January 2021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620ACB">
                              <w:rPr>
                                <w:lang w:val="en-US"/>
                              </w:rPr>
                              <w:t>2</w:t>
                            </w:r>
                            <w:r w:rsidR="00C214E1">
                              <w:rPr>
                                <w:lang w:val="en-US"/>
                              </w:rPr>
                              <w:t>6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620ACB">
                              <w:rPr>
                                <w:lang w:val="en-US"/>
                              </w:rPr>
                              <w:t>8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5D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filled="f" stroked="f" strokeweight=".5pt">
                <v:textbox>
                  <w:txbxContent>
                    <w:p w14:paraId="35DCCB4E" w14:textId="3C543E43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DE7DD4">
                        <w:rPr>
                          <w:lang w:val="en-US"/>
                        </w:rPr>
                        <w:t xml:space="preserve"> in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 xml:space="preserve">in </w:t>
                      </w:r>
                      <w:r w:rsidR="00C214E1">
                        <w:rPr>
                          <w:lang w:val="en-US"/>
                        </w:rPr>
                        <w:t>January 2021</w:t>
                      </w:r>
                      <w:r w:rsidR="00843B16">
                        <w:rPr>
                          <w:lang w:val="en-US"/>
                        </w:rPr>
                        <w:t xml:space="preserve">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620ACB">
                        <w:rPr>
                          <w:lang w:val="en-US"/>
                        </w:rPr>
                        <w:t>2</w:t>
                      </w:r>
                      <w:r w:rsidR="00C214E1">
                        <w:rPr>
                          <w:lang w:val="en-US"/>
                        </w:rPr>
                        <w:t>6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620ACB">
                        <w:rPr>
                          <w:lang w:val="en-US"/>
                        </w:rPr>
                        <w:t>8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D77" w:rsidRPr="004829B9">
        <w:rPr>
          <w:szCs w:val="19"/>
          <w:shd w:val="clear" w:color="auto" w:fill="FFFFFF"/>
          <w:lang w:val="en-GB"/>
        </w:rPr>
        <w:t>In</w:t>
      </w:r>
      <w:r w:rsidR="00C214E1">
        <w:rPr>
          <w:szCs w:val="19"/>
          <w:shd w:val="clear" w:color="auto" w:fill="FFFFFF"/>
          <w:lang w:val="en-GB"/>
        </w:rPr>
        <w:t xml:space="preserve"> January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A7208C">
        <w:rPr>
          <w:szCs w:val="19"/>
          <w:shd w:val="clear" w:color="auto" w:fill="FFFFFF"/>
          <w:lang w:val="en-GB"/>
        </w:rPr>
        <w:t>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C214E1">
        <w:rPr>
          <w:shd w:val="clear" w:color="auto" w:fill="FFFFFF"/>
          <w:lang w:val="en-GB"/>
        </w:rPr>
        <w:t>23</w:t>
      </w:r>
      <w:r w:rsidR="00DE7DD4">
        <w:rPr>
          <w:shd w:val="clear" w:color="auto" w:fill="FFFFFF"/>
          <w:lang w:val="en-GB"/>
        </w:rPr>
        <w:t>.</w:t>
      </w:r>
      <w:r w:rsidR="00C214E1">
        <w:rPr>
          <w:shd w:val="clear" w:color="auto" w:fill="FFFFFF"/>
          <w:lang w:val="en-GB"/>
        </w:rPr>
        <w:t>3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696CCE">
        <w:rPr>
          <w:shd w:val="clear" w:color="auto" w:fill="FFFFFF"/>
          <w:lang w:val="en-GB"/>
        </w:rPr>
        <w:t>2</w:t>
      </w:r>
      <w:r w:rsidR="00C214E1">
        <w:rPr>
          <w:shd w:val="clear" w:color="auto" w:fill="FFFFFF"/>
          <w:lang w:val="en-GB"/>
        </w:rPr>
        <w:t>6</w:t>
      </w:r>
      <w:r w:rsidR="00E245E1" w:rsidRPr="004829B9">
        <w:rPr>
          <w:shd w:val="clear" w:color="auto" w:fill="FFFFFF"/>
          <w:lang w:val="en-GB"/>
        </w:rPr>
        <w:t>.</w:t>
      </w:r>
      <w:r w:rsidR="00696CCE">
        <w:rPr>
          <w:shd w:val="clear" w:color="auto" w:fill="FFFFFF"/>
          <w:lang w:val="en-GB"/>
        </w:rPr>
        <w:t>8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C214E1">
        <w:rPr>
          <w:shd w:val="clear" w:color="auto" w:fill="FFFFFF"/>
          <w:lang w:val="en-GB"/>
        </w:rPr>
        <w:t>14</w:t>
      </w:r>
      <w:r w:rsidR="00DE7DD4">
        <w:rPr>
          <w:shd w:val="clear" w:color="auto" w:fill="FFFFFF"/>
          <w:lang w:val="en-GB"/>
        </w:rPr>
        <w:t>.</w:t>
      </w:r>
      <w:r w:rsidR="00C214E1">
        <w:rPr>
          <w:shd w:val="clear" w:color="auto" w:fill="FFFFFF"/>
          <w:lang w:val="en-GB"/>
        </w:rPr>
        <w:t>9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C214E1">
        <w:rPr>
          <w:shd w:val="clear" w:color="auto" w:fill="FFFFFF"/>
          <w:lang w:val="en-GB"/>
        </w:rPr>
        <w:t xml:space="preserve"> increase of 30.2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C214E1">
        <w:rPr>
          <w:shd w:val="clear" w:color="auto" w:fill="FFFFFF"/>
          <w:lang w:val="en-GB"/>
        </w:rPr>
        <w:t>8</w:t>
      </w:r>
      <w:r w:rsidR="00DE7DD4">
        <w:rPr>
          <w:shd w:val="clear" w:color="auto" w:fill="FFFFFF"/>
          <w:lang w:val="en-GB"/>
        </w:rPr>
        <w:t>.</w:t>
      </w:r>
      <w:r w:rsidR="00C214E1">
        <w:rPr>
          <w:shd w:val="clear" w:color="auto" w:fill="FFFFFF"/>
          <w:lang w:val="en-GB"/>
        </w:rPr>
        <w:t>3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C214E1">
        <w:rPr>
          <w:shd w:val="clear" w:color="auto" w:fill="FFFFFF"/>
          <w:lang w:val="en-GB"/>
        </w:rPr>
        <w:t>, an increase of 21.2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E7DD4">
        <w:rPr>
          <w:shd w:val="clear" w:color="auto" w:fill="FFFFFF"/>
          <w:lang w:val="en-GB"/>
        </w:rPr>
        <w:t xml:space="preserve"> 99</w:t>
      </w:r>
      <w:r w:rsidR="001A1F89" w:rsidRPr="004829B9">
        <w:rPr>
          <w:shd w:val="clear" w:color="auto" w:fill="FFFFFF"/>
          <w:lang w:val="en-GB"/>
        </w:rPr>
        <w:t>.</w:t>
      </w:r>
      <w:r w:rsidR="00C214E1">
        <w:rPr>
          <w:shd w:val="clear" w:color="auto" w:fill="FFFFFF"/>
          <w:lang w:val="en-GB"/>
        </w:rPr>
        <w:t>5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C214E1" w:rsidRPr="00C214E1">
        <w:rPr>
          <w:b/>
          <w:spacing w:val="-4"/>
          <w:shd w:val="clear" w:color="auto" w:fill="FFFFFF"/>
          <w:lang w:val="en-GB"/>
        </w:rPr>
        <w:t>cooperative</w:t>
      </w:r>
      <w:r w:rsidR="00C214E1" w:rsidRPr="004B638F">
        <w:rPr>
          <w:spacing w:val="-4"/>
          <w:shd w:val="clear" w:color="auto" w:fill="FFFFFF"/>
          <w:lang w:val="en-GB"/>
        </w:rPr>
        <w:t xml:space="preserve"> construction </w:t>
      </w:r>
      <w:r w:rsidR="00C214E1">
        <w:rPr>
          <w:spacing w:val="-4"/>
          <w:shd w:val="clear" w:color="auto" w:fill="FFFFFF"/>
          <w:lang w:val="en-GB"/>
        </w:rPr>
        <w:t xml:space="preserve">75 </w:t>
      </w:r>
      <w:r w:rsidR="00507D43" w:rsidRPr="004829B9">
        <w:rPr>
          <w:shd w:val="clear" w:color="auto" w:fill="FFFFFF"/>
          <w:lang w:val="en-GB"/>
        </w:rPr>
        <w:t>dwellings</w:t>
      </w:r>
      <w:r w:rsidR="00507D43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(4 dwellings in the previous year)</w:t>
      </w:r>
      <w:r w:rsidR="00D72B39">
        <w:rPr>
          <w:shd w:val="clear" w:color="auto" w:fill="FFFFFF"/>
          <w:lang w:val="en-GB"/>
        </w:rPr>
        <w:t>,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 xml:space="preserve">whereas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C214E1">
        <w:rPr>
          <w:shd w:val="clear" w:color="auto" w:fill="FFFFFF"/>
          <w:lang w:val="en-GB"/>
        </w:rPr>
        <w:t xml:space="preserve">45 dwellings </w:t>
      </w:r>
      <w:r w:rsidR="00616583" w:rsidRPr="004829B9">
        <w:rPr>
          <w:shd w:val="clear" w:color="auto" w:fill="FFFFFF"/>
          <w:lang w:val="en-GB"/>
        </w:rPr>
        <w:t>(</w:t>
      </w:r>
      <w:r w:rsidR="00C214E1">
        <w:rPr>
          <w:shd w:val="clear" w:color="auto" w:fill="FFFFFF"/>
          <w:lang w:val="en-GB"/>
        </w:rPr>
        <w:t>103 in January 2020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7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18"/>
        <w:gridCol w:w="1860"/>
        <w:gridCol w:w="1458"/>
        <w:gridCol w:w="1858"/>
      </w:tblGrid>
      <w:tr w:rsidR="009118D4" w:rsidRPr="00C214E1" w14:paraId="2AE24585" w14:textId="77777777" w:rsidTr="00DA66B8">
        <w:trPr>
          <w:trHeight w:val="20"/>
        </w:trPr>
        <w:tc>
          <w:tcPr>
            <w:tcW w:w="2818" w:type="dxa"/>
            <w:vMerge w:val="restart"/>
            <w:tcBorders>
              <w:bottom w:val="single" w:sz="12" w:space="0" w:color="212492"/>
            </w:tcBorders>
            <w:vAlign w:val="center"/>
          </w:tcPr>
          <w:p w14:paraId="61AFF8FD" w14:textId="77777777" w:rsidR="009118D4" w:rsidRPr="00C214E1" w:rsidRDefault="009118D4" w:rsidP="00DA66B8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176" w:type="dxa"/>
            <w:gridSpan w:val="3"/>
            <w:tcBorders>
              <w:bottom w:val="single" w:sz="12" w:space="0" w:color="212492"/>
            </w:tcBorders>
            <w:vAlign w:val="center"/>
          </w:tcPr>
          <w:p w14:paraId="36EFDC46" w14:textId="77777777" w:rsidR="009118D4" w:rsidRPr="00C214E1" w:rsidRDefault="009118D4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9118D4" w:rsidRPr="00C214E1" w14:paraId="741CD612" w14:textId="77777777" w:rsidTr="00DA66B8">
        <w:trPr>
          <w:trHeight w:val="20"/>
        </w:trPr>
        <w:tc>
          <w:tcPr>
            <w:tcW w:w="2818" w:type="dxa"/>
            <w:vMerge/>
            <w:tcBorders>
              <w:bottom w:val="single" w:sz="12" w:space="0" w:color="212492"/>
            </w:tcBorders>
            <w:vAlign w:val="center"/>
          </w:tcPr>
          <w:p w14:paraId="4591BBDC" w14:textId="77777777" w:rsidR="009118D4" w:rsidRPr="00C214E1" w:rsidRDefault="009118D4" w:rsidP="00DA66B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212492"/>
            </w:tcBorders>
            <w:vAlign w:val="center"/>
          </w:tcPr>
          <w:p w14:paraId="02E0B7C6" w14:textId="77777777" w:rsidR="009118D4" w:rsidRPr="00C214E1" w:rsidRDefault="009118D4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458" w:type="dxa"/>
            <w:tcBorders>
              <w:bottom w:val="single" w:sz="12" w:space="0" w:color="212492"/>
            </w:tcBorders>
            <w:vAlign w:val="center"/>
          </w:tcPr>
          <w:p w14:paraId="01F6DA09" w14:textId="77777777" w:rsidR="009118D4" w:rsidRPr="00C214E1" w:rsidRDefault="009118D4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1858" w:type="dxa"/>
            <w:tcBorders>
              <w:bottom w:val="single" w:sz="12" w:space="0" w:color="212492"/>
            </w:tcBorders>
            <w:vAlign w:val="center"/>
          </w:tcPr>
          <w:p w14:paraId="76173A19" w14:textId="77777777" w:rsidR="009118D4" w:rsidRPr="00C214E1" w:rsidRDefault="009118D4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XII 2020=100</w:t>
            </w:r>
          </w:p>
        </w:tc>
      </w:tr>
      <w:tr w:rsidR="009118D4" w:rsidRPr="00C214E1" w14:paraId="0C12A69C" w14:textId="77777777" w:rsidTr="00DA66B8">
        <w:trPr>
          <w:trHeight w:val="57"/>
        </w:trPr>
        <w:tc>
          <w:tcPr>
            <w:tcW w:w="2818" w:type="dxa"/>
            <w:tcBorders>
              <w:top w:val="single" w:sz="12" w:space="0" w:color="212492"/>
            </w:tcBorders>
            <w:vAlign w:val="center"/>
          </w:tcPr>
          <w:p w14:paraId="114D78FD" w14:textId="77777777" w:rsidR="009118D4" w:rsidRPr="00C214E1" w:rsidRDefault="009118D4" w:rsidP="009118D4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860" w:type="dxa"/>
            <w:tcBorders>
              <w:top w:val="single" w:sz="12" w:space="0" w:color="212492"/>
            </w:tcBorders>
            <w:vAlign w:val="center"/>
          </w:tcPr>
          <w:p w14:paraId="64272C8B" w14:textId="17B5547B" w:rsidR="009118D4" w:rsidRPr="00C214E1" w:rsidRDefault="009118D4" w:rsidP="009118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23 290</w:t>
            </w:r>
          </w:p>
        </w:tc>
        <w:tc>
          <w:tcPr>
            <w:tcW w:w="1458" w:type="dxa"/>
            <w:tcBorders>
              <w:top w:val="single" w:sz="12" w:space="0" w:color="212492"/>
            </w:tcBorders>
            <w:vAlign w:val="center"/>
          </w:tcPr>
          <w:p w14:paraId="4DE4B7E6" w14:textId="0C55F738" w:rsidR="009118D4" w:rsidRPr="00C214E1" w:rsidRDefault="009118D4" w:rsidP="009118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126.8</w:t>
            </w:r>
          </w:p>
        </w:tc>
        <w:tc>
          <w:tcPr>
            <w:tcW w:w="1858" w:type="dxa"/>
            <w:tcBorders>
              <w:top w:val="single" w:sz="12" w:space="0" w:color="212492"/>
            </w:tcBorders>
            <w:vAlign w:val="center"/>
          </w:tcPr>
          <w:p w14:paraId="5A6FBF81" w14:textId="3CC7503A" w:rsidR="009118D4" w:rsidRPr="00C214E1" w:rsidRDefault="009118D4" w:rsidP="009118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67.3</w:t>
            </w:r>
          </w:p>
        </w:tc>
      </w:tr>
      <w:tr w:rsidR="009118D4" w:rsidRPr="00C214E1" w14:paraId="515AD36A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428E73FB" w14:textId="77777777" w:rsidR="009118D4" w:rsidRPr="00C214E1" w:rsidRDefault="009118D4" w:rsidP="009118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860" w:type="dxa"/>
            <w:vAlign w:val="center"/>
          </w:tcPr>
          <w:p w14:paraId="6E043EB2" w14:textId="54481561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8 259</w:t>
            </w:r>
          </w:p>
        </w:tc>
        <w:tc>
          <w:tcPr>
            <w:tcW w:w="1458" w:type="dxa"/>
            <w:vAlign w:val="center"/>
          </w:tcPr>
          <w:p w14:paraId="33E61CB0" w14:textId="052A7C2B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1858" w:type="dxa"/>
            <w:vAlign w:val="center"/>
          </w:tcPr>
          <w:p w14:paraId="1DE766AE" w14:textId="30608D19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89.6</w:t>
            </w:r>
          </w:p>
        </w:tc>
      </w:tr>
      <w:tr w:rsidR="009118D4" w:rsidRPr="00C214E1" w14:paraId="5379AA88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246D57CF" w14:textId="77777777" w:rsidR="009118D4" w:rsidRPr="00C214E1" w:rsidRDefault="009118D4" w:rsidP="009118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860" w:type="dxa"/>
            <w:vAlign w:val="center"/>
          </w:tcPr>
          <w:p w14:paraId="11CE72EC" w14:textId="16CA9589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14 911</w:t>
            </w:r>
          </w:p>
        </w:tc>
        <w:tc>
          <w:tcPr>
            <w:tcW w:w="1458" w:type="dxa"/>
            <w:vAlign w:val="center"/>
          </w:tcPr>
          <w:p w14:paraId="381B8F97" w14:textId="39B20F03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130.2</w:t>
            </w:r>
          </w:p>
        </w:tc>
        <w:tc>
          <w:tcPr>
            <w:tcW w:w="1858" w:type="dxa"/>
            <w:vAlign w:val="center"/>
          </w:tcPr>
          <w:p w14:paraId="1460751E" w14:textId="5B1FB9E4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59.0</w:t>
            </w:r>
          </w:p>
        </w:tc>
      </w:tr>
      <w:tr w:rsidR="009118D4" w:rsidRPr="00C214E1" w14:paraId="7936A368" w14:textId="77777777" w:rsidTr="007B5B37">
        <w:trPr>
          <w:trHeight w:val="57"/>
        </w:trPr>
        <w:tc>
          <w:tcPr>
            <w:tcW w:w="2818" w:type="dxa"/>
            <w:vAlign w:val="center"/>
          </w:tcPr>
          <w:p w14:paraId="2D0F4A99" w14:textId="77777777" w:rsidR="009118D4" w:rsidRPr="00C214E1" w:rsidRDefault="009118D4" w:rsidP="009118D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860" w:type="dxa"/>
            <w:vAlign w:val="center"/>
          </w:tcPr>
          <w:p w14:paraId="3EADA6B9" w14:textId="041FDC9A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E3B3AB7" w14:textId="66AD37AC" w:rsidR="009118D4" w:rsidRPr="00781B49" w:rsidRDefault="009118D4" w:rsidP="009118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  <w:r w:rsidRPr="00781B49">
              <w:rPr>
                <w:rFonts w:cs="Arial"/>
                <w:sz w:val="16"/>
                <w:szCs w:val="16"/>
              </w:rPr>
              <w:t xml:space="preserve"> 18-</w:t>
            </w:r>
          </w:p>
          <w:p w14:paraId="26E1EA90" w14:textId="6CD28322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</w:t>
            </w:r>
            <w:r w:rsidRPr="00781B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858" w:type="dxa"/>
            <w:vAlign w:val="center"/>
          </w:tcPr>
          <w:p w14:paraId="43F06A9B" w14:textId="546B0D82" w:rsidR="009118D4" w:rsidRPr="00C214E1" w:rsidRDefault="009118D4" w:rsidP="009118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9118D4" w:rsidRPr="00C214E1" w14:paraId="45DE44AA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4027CA96" w14:textId="77777777" w:rsidR="009118D4" w:rsidRPr="00C214E1" w:rsidRDefault="009118D4" w:rsidP="009118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860" w:type="dxa"/>
            <w:vAlign w:val="center"/>
          </w:tcPr>
          <w:p w14:paraId="5193B56E" w14:textId="453ADD8C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458" w:type="dxa"/>
            <w:vAlign w:val="center"/>
          </w:tcPr>
          <w:p w14:paraId="77897FEC" w14:textId="59B27034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1858" w:type="dxa"/>
            <w:vAlign w:val="center"/>
          </w:tcPr>
          <w:p w14:paraId="70FD70D3" w14:textId="77135DFB" w:rsidR="009118D4" w:rsidRPr="00C214E1" w:rsidRDefault="009118D4" w:rsidP="009118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</w:tr>
      <w:tr w:rsidR="009118D4" w:rsidRPr="00C214E1" w14:paraId="6EC7E99F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7AFD0AE4" w14:textId="77777777" w:rsidR="009118D4" w:rsidRPr="00C214E1" w:rsidRDefault="009118D4" w:rsidP="009118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860" w:type="dxa"/>
            <w:vAlign w:val="center"/>
          </w:tcPr>
          <w:p w14:paraId="5897C490" w14:textId="44573AC5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458" w:type="dxa"/>
            <w:vAlign w:val="center"/>
          </w:tcPr>
          <w:p w14:paraId="515CAC57" w14:textId="1925A63B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858" w:type="dxa"/>
            <w:vAlign w:val="center"/>
          </w:tcPr>
          <w:p w14:paraId="6B4C7240" w14:textId="28CCE234" w:rsidR="009118D4" w:rsidRPr="00C214E1" w:rsidRDefault="009118D4" w:rsidP="009118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17.4</w:t>
            </w:r>
          </w:p>
        </w:tc>
      </w:tr>
      <w:tr w:rsidR="009118D4" w:rsidRPr="00C214E1" w14:paraId="595488B8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065A7A04" w14:textId="77777777" w:rsidR="009118D4" w:rsidRPr="00C214E1" w:rsidRDefault="009118D4" w:rsidP="009118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860" w:type="dxa"/>
            <w:vAlign w:val="center"/>
          </w:tcPr>
          <w:p w14:paraId="5807ABAA" w14:textId="2BEC11FF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58" w:type="dxa"/>
            <w:vAlign w:val="center"/>
          </w:tcPr>
          <w:p w14:paraId="39518C26" w14:textId="0262E07C" w:rsidR="009118D4" w:rsidRPr="00C214E1" w:rsidRDefault="009118D4" w:rsidP="009118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858" w:type="dxa"/>
            <w:vAlign w:val="center"/>
          </w:tcPr>
          <w:p w14:paraId="087A5D28" w14:textId="163350C2" w:rsidR="009118D4" w:rsidRPr="00C214E1" w:rsidRDefault="009118D4" w:rsidP="009118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53442763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January 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17,4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9.6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12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4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23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9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(by 12.6% less).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98.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6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the </w:t>
      </w:r>
      <w:r w:rsidR="00B7706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116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157 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F74F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136 dwellings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285 a year ago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7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18"/>
        <w:gridCol w:w="1860"/>
        <w:gridCol w:w="1458"/>
        <w:gridCol w:w="1858"/>
      </w:tblGrid>
      <w:tr w:rsidR="00B77062" w:rsidRPr="00C214E1" w14:paraId="281513E3" w14:textId="77777777" w:rsidTr="00DA66B8">
        <w:trPr>
          <w:trHeight w:val="20"/>
        </w:trPr>
        <w:tc>
          <w:tcPr>
            <w:tcW w:w="2818" w:type="dxa"/>
            <w:vMerge w:val="restart"/>
            <w:tcBorders>
              <w:bottom w:val="single" w:sz="12" w:space="0" w:color="212492"/>
            </w:tcBorders>
            <w:vAlign w:val="center"/>
          </w:tcPr>
          <w:p w14:paraId="7C1A95CB" w14:textId="77777777" w:rsidR="00B77062" w:rsidRPr="00C214E1" w:rsidRDefault="00B77062" w:rsidP="00DA66B8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176" w:type="dxa"/>
            <w:gridSpan w:val="3"/>
            <w:tcBorders>
              <w:bottom w:val="single" w:sz="12" w:space="0" w:color="212492"/>
            </w:tcBorders>
            <w:vAlign w:val="center"/>
          </w:tcPr>
          <w:p w14:paraId="22F18F59" w14:textId="77777777" w:rsidR="00B77062" w:rsidRPr="00C214E1" w:rsidRDefault="00B77062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B77062" w:rsidRPr="00C214E1" w14:paraId="612C83D3" w14:textId="77777777" w:rsidTr="00DA66B8">
        <w:trPr>
          <w:trHeight w:val="20"/>
        </w:trPr>
        <w:tc>
          <w:tcPr>
            <w:tcW w:w="2818" w:type="dxa"/>
            <w:vMerge/>
            <w:tcBorders>
              <w:bottom w:val="single" w:sz="12" w:space="0" w:color="212492"/>
            </w:tcBorders>
            <w:vAlign w:val="center"/>
          </w:tcPr>
          <w:p w14:paraId="4BA8BB0A" w14:textId="77777777" w:rsidR="00B77062" w:rsidRPr="00C214E1" w:rsidRDefault="00B77062" w:rsidP="00DA66B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212492"/>
            </w:tcBorders>
            <w:vAlign w:val="center"/>
          </w:tcPr>
          <w:p w14:paraId="231C44BA" w14:textId="77777777" w:rsidR="00B77062" w:rsidRPr="00C214E1" w:rsidRDefault="00B77062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458" w:type="dxa"/>
            <w:tcBorders>
              <w:bottom w:val="single" w:sz="12" w:space="0" w:color="212492"/>
            </w:tcBorders>
            <w:vAlign w:val="center"/>
          </w:tcPr>
          <w:p w14:paraId="0E856219" w14:textId="77777777" w:rsidR="00B77062" w:rsidRPr="00C214E1" w:rsidRDefault="00B77062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1858" w:type="dxa"/>
            <w:tcBorders>
              <w:bottom w:val="single" w:sz="12" w:space="0" w:color="212492"/>
            </w:tcBorders>
            <w:vAlign w:val="center"/>
          </w:tcPr>
          <w:p w14:paraId="2E111A59" w14:textId="77777777" w:rsidR="00B77062" w:rsidRPr="00C214E1" w:rsidRDefault="00B77062" w:rsidP="00DA66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214E1">
              <w:rPr>
                <w:color w:val="000000" w:themeColor="text1"/>
                <w:sz w:val="16"/>
                <w:szCs w:val="16"/>
              </w:rPr>
              <w:t>XII 2020=100</w:t>
            </w:r>
          </w:p>
        </w:tc>
      </w:tr>
      <w:tr w:rsidR="00B77062" w:rsidRPr="00C214E1" w14:paraId="76E96E80" w14:textId="77777777" w:rsidTr="00DA66B8">
        <w:trPr>
          <w:trHeight w:val="57"/>
        </w:trPr>
        <w:tc>
          <w:tcPr>
            <w:tcW w:w="2818" w:type="dxa"/>
            <w:tcBorders>
              <w:top w:val="single" w:sz="12" w:space="0" w:color="212492"/>
            </w:tcBorders>
            <w:vAlign w:val="center"/>
          </w:tcPr>
          <w:p w14:paraId="03CA180A" w14:textId="77777777" w:rsidR="00B77062" w:rsidRPr="00C214E1" w:rsidRDefault="00B77062" w:rsidP="00B77062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860" w:type="dxa"/>
            <w:tcBorders>
              <w:top w:val="single" w:sz="12" w:space="0" w:color="212492"/>
            </w:tcBorders>
            <w:vAlign w:val="center"/>
          </w:tcPr>
          <w:p w14:paraId="7B08D7B3" w14:textId="3CA0A11C" w:rsidR="00B77062" w:rsidRPr="00C214E1" w:rsidRDefault="00B77062" w:rsidP="00B7706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17 419</w:t>
            </w:r>
          </w:p>
        </w:tc>
        <w:tc>
          <w:tcPr>
            <w:tcW w:w="1458" w:type="dxa"/>
            <w:tcBorders>
              <w:top w:val="single" w:sz="12" w:space="0" w:color="212492"/>
            </w:tcBorders>
            <w:vAlign w:val="center"/>
          </w:tcPr>
          <w:p w14:paraId="1D47E457" w14:textId="43D34947" w:rsidR="00B77062" w:rsidRPr="00C214E1" w:rsidRDefault="00B77062" w:rsidP="00B7706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109.6</w:t>
            </w:r>
          </w:p>
        </w:tc>
        <w:tc>
          <w:tcPr>
            <w:tcW w:w="1858" w:type="dxa"/>
            <w:tcBorders>
              <w:top w:val="single" w:sz="12" w:space="0" w:color="212492"/>
            </w:tcBorders>
            <w:vAlign w:val="center"/>
          </w:tcPr>
          <w:p w14:paraId="6A0FB040" w14:textId="31C419E8" w:rsidR="00B77062" w:rsidRPr="00C214E1" w:rsidRDefault="00B77062" w:rsidP="00B7706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101.8</w:t>
            </w:r>
          </w:p>
        </w:tc>
      </w:tr>
      <w:tr w:rsidR="00B77062" w:rsidRPr="00C214E1" w14:paraId="3C701D84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744109E0" w14:textId="77777777" w:rsidR="00B77062" w:rsidRPr="00C214E1" w:rsidRDefault="00B77062" w:rsidP="00B7706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860" w:type="dxa"/>
            <w:vAlign w:val="center"/>
          </w:tcPr>
          <w:p w14:paraId="7E24CD6F" w14:textId="7C608268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4 737</w:t>
            </w:r>
          </w:p>
        </w:tc>
        <w:tc>
          <w:tcPr>
            <w:tcW w:w="1458" w:type="dxa"/>
            <w:vAlign w:val="center"/>
          </w:tcPr>
          <w:p w14:paraId="64EA0D4A" w14:textId="268E754C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87.4</w:t>
            </w:r>
          </w:p>
        </w:tc>
        <w:tc>
          <w:tcPr>
            <w:tcW w:w="1858" w:type="dxa"/>
            <w:vAlign w:val="center"/>
          </w:tcPr>
          <w:p w14:paraId="020CB45E" w14:textId="0DEDD60C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92.3</w:t>
            </w:r>
          </w:p>
        </w:tc>
      </w:tr>
      <w:tr w:rsidR="00B77062" w:rsidRPr="00C214E1" w14:paraId="7C19AF7E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3429209B" w14:textId="77777777" w:rsidR="00B77062" w:rsidRPr="00C214E1" w:rsidRDefault="00B77062" w:rsidP="00B7706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860" w:type="dxa"/>
            <w:vAlign w:val="center"/>
          </w:tcPr>
          <w:p w14:paraId="28D4A803" w14:textId="44E80887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12 430</w:t>
            </w:r>
          </w:p>
        </w:tc>
        <w:tc>
          <w:tcPr>
            <w:tcW w:w="1458" w:type="dxa"/>
            <w:vAlign w:val="center"/>
          </w:tcPr>
          <w:p w14:paraId="013E3C6E" w14:textId="478BA697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123.9</w:t>
            </w:r>
          </w:p>
        </w:tc>
        <w:tc>
          <w:tcPr>
            <w:tcW w:w="1858" w:type="dxa"/>
            <w:vAlign w:val="center"/>
          </w:tcPr>
          <w:p w14:paraId="4BA10A6C" w14:textId="49870F93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105.2</w:t>
            </w:r>
          </w:p>
        </w:tc>
      </w:tr>
      <w:tr w:rsidR="00B77062" w:rsidRPr="00C214E1" w14:paraId="62AF491F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006E6D6A" w14:textId="48747A48" w:rsidR="00B77062" w:rsidRPr="00C214E1" w:rsidRDefault="00A7208C" w:rsidP="00A7208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="00B7706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860" w:type="dxa"/>
            <w:vAlign w:val="center"/>
          </w:tcPr>
          <w:p w14:paraId="276819B5" w14:textId="7F9D30A7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458" w:type="dxa"/>
            <w:vAlign w:val="center"/>
          </w:tcPr>
          <w:p w14:paraId="5FAEEFF2" w14:textId="5AB36DD6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19.4</w:t>
            </w:r>
          </w:p>
        </w:tc>
        <w:tc>
          <w:tcPr>
            <w:tcW w:w="1858" w:type="dxa"/>
            <w:vAlign w:val="center"/>
          </w:tcPr>
          <w:p w14:paraId="55380F49" w14:textId="46795DDE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14.3</w:t>
            </w:r>
          </w:p>
        </w:tc>
      </w:tr>
      <w:tr w:rsidR="00B77062" w:rsidRPr="00C214E1" w14:paraId="3E732F45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79950FC9" w14:textId="77777777" w:rsidR="00B77062" w:rsidRPr="00C214E1" w:rsidRDefault="00B77062" w:rsidP="00B7706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860" w:type="dxa"/>
            <w:vAlign w:val="center"/>
          </w:tcPr>
          <w:p w14:paraId="668B96F1" w14:textId="1CF0E83C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458" w:type="dxa"/>
            <w:vAlign w:val="center"/>
          </w:tcPr>
          <w:p w14:paraId="142A7E62" w14:textId="27F20B51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73.9</w:t>
            </w:r>
          </w:p>
        </w:tc>
        <w:tc>
          <w:tcPr>
            <w:tcW w:w="1858" w:type="dxa"/>
            <w:vAlign w:val="center"/>
          </w:tcPr>
          <w:p w14:paraId="3D3F3F7B" w14:textId="2597F476" w:rsidR="00B77062" w:rsidRPr="00C214E1" w:rsidRDefault="00B77062" w:rsidP="00B7706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73.4</w:t>
            </w:r>
          </w:p>
        </w:tc>
      </w:tr>
      <w:tr w:rsidR="00B77062" w:rsidRPr="00C214E1" w14:paraId="471AB00E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63E93EE2" w14:textId="77777777" w:rsidR="00B77062" w:rsidRPr="00C214E1" w:rsidRDefault="00B77062" w:rsidP="00B7706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860" w:type="dxa"/>
            <w:vAlign w:val="center"/>
          </w:tcPr>
          <w:p w14:paraId="061E559F" w14:textId="53CBDCD2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58" w:type="dxa"/>
            <w:vAlign w:val="center"/>
          </w:tcPr>
          <w:p w14:paraId="0207D18D" w14:textId="6CA35138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10.6</w:t>
            </w:r>
          </w:p>
        </w:tc>
        <w:tc>
          <w:tcPr>
            <w:tcW w:w="1858" w:type="dxa"/>
            <w:vAlign w:val="center"/>
          </w:tcPr>
          <w:p w14:paraId="00FEB963" w14:textId="3373BA49" w:rsidR="00B77062" w:rsidRPr="00C214E1" w:rsidRDefault="00B77062" w:rsidP="00B7706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B77062" w:rsidRPr="00C214E1" w14:paraId="3B532358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65E0F68C" w14:textId="77777777" w:rsidR="00B77062" w:rsidRPr="00C214E1" w:rsidRDefault="00B77062" w:rsidP="00B7706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860" w:type="dxa"/>
            <w:vAlign w:val="center"/>
          </w:tcPr>
          <w:p w14:paraId="025F546C" w14:textId="13A13CED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458" w:type="dxa"/>
            <w:vAlign w:val="center"/>
          </w:tcPr>
          <w:p w14:paraId="1E365481" w14:textId="690C648A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58.5</w:t>
            </w:r>
          </w:p>
        </w:tc>
        <w:tc>
          <w:tcPr>
            <w:tcW w:w="1858" w:type="dxa"/>
            <w:vAlign w:val="center"/>
          </w:tcPr>
          <w:p w14:paraId="2554A538" w14:textId="09C1BC26" w:rsidR="00B77062" w:rsidRPr="00C214E1" w:rsidRDefault="00B77062" w:rsidP="00B7706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B77062" w:rsidRPr="00C214E1" w14:paraId="20204631" w14:textId="77777777" w:rsidTr="00DA66B8">
        <w:trPr>
          <w:trHeight w:val="57"/>
        </w:trPr>
        <w:tc>
          <w:tcPr>
            <w:tcW w:w="2818" w:type="dxa"/>
            <w:vAlign w:val="center"/>
          </w:tcPr>
          <w:p w14:paraId="7F7FC42D" w14:textId="77777777" w:rsidR="00B77062" w:rsidRPr="00C214E1" w:rsidRDefault="00B77062" w:rsidP="00B7706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860" w:type="dxa"/>
            <w:vAlign w:val="center"/>
          </w:tcPr>
          <w:p w14:paraId="6395F10D" w14:textId="1FD83267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58" w:type="dxa"/>
            <w:vAlign w:val="center"/>
          </w:tcPr>
          <w:p w14:paraId="0A4D5F8F" w14:textId="0CC0C301" w:rsidR="00B77062" w:rsidRPr="00C214E1" w:rsidRDefault="00B77062" w:rsidP="00B770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58" w:type="dxa"/>
            <w:vAlign w:val="center"/>
          </w:tcPr>
          <w:p w14:paraId="5557B0A3" w14:textId="29D09D96" w:rsidR="00B77062" w:rsidRPr="00C214E1" w:rsidRDefault="00B77062" w:rsidP="00B7706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398571FB" w14:textId="77777777" w:rsidR="00E26291" w:rsidRDefault="00E26291" w:rsidP="007207E6">
      <w:pPr>
        <w:pStyle w:val="tytuwykresu"/>
        <w:rPr>
          <w:b w:val="0"/>
          <w:sz w:val="19"/>
          <w:szCs w:val="19"/>
          <w:shd w:val="clear" w:color="auto" w:fill="FFFFFF"/>
        </w:rPr>
      </w:pPr>
    </w:p>
    <w:p w14:paraId="518A2BF5" w14:textId="77777777" w:rsidR="00B77062" w:rsidRDefault="00B77062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883CA4C" w14:textId="77777777" w:rsidR="00A7208C" w:rsidRDefault="00A7208C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F46BF9" w14:textId="77777777" w:rsidR="00A7208C" w:rsidRDefault="00A7208C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5DF094C" w14:textId="77777777" w:rsidR="00A7208C" w:rsidRDefault="00A7208C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0CCC764F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January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 xml:space="preserve"> there were 827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0.6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4B262C4D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17CD510D" w14:textId="340B0CE8" w:rsidR="009222E9" w:rsidRPr="00A12B93" w:rsidRDefault="00D862D9" w:rsidP="00A12B93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041DF8AA">
                <wp:simplePos x="0" y="0"/>
                <wp:positionH relativeFrom="page">
                  <wp:posOffset>5715000</wp:posOffset>
                </wp:positionH>
                <wp:positionV relativeFrom="paragraph">
                  <wp:posOffset>120650</wp:posOffset>
                </wp:positionV>
                <wp:extent cx="1675130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2B1820B4" w:rsidR="003A7E95" w:rsidRPr="00AC3185" w:rsidRDefault="003A7E95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January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 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32.9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815E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5825F0"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6126E" w:rsidRPr="0016126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6126E" w:rsidRP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32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whereas</w:t>
                            </w:r>
                            <w:r w:rsidR="000A40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6126E" w:rsidRP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construction has begun 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1.8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50pt;margin-top:9.5pt;width:131.9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" filled="f" stroked="f">
                <v:textbox>
                  <w:txbxContent>
                    <w:p w14:paraId="58FBF1C9" w14:textId="2B1820B4" w:rsidR="003A7E95" w:rsidRPr="00AC3185" w:rsidRDefault="003A7E95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January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 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32.9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815E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5825F0"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6126E" w:rsidRPr="0016126E">
                        <w:rPr>
                          <w:lang w:val="en-GB"/>
                        </w:rPr>
                        <w:t xml:space="preserve"> </w:t>
                      </w:r>
                      <w:r w:rsidR="0016126E" w:rsidRP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32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whereas</w:t>
                      </w:r>
                      <w:r w:rsidR="000A40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6126E" w:rsidRP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construction has begun 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1.8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63AE" w:rsidRPr="003563AE">
        <w:rPr>
          <w:b/>
          <w:noProof/>
          <w:spacing w:val="-4"/>
          <w:shd w:val="clear" w:color="auto" w:fill="FFFFFF"/>
          <w:lang w:val="en-GB"/>
        </w:rPr>
        <w:t xml:space="preserve"> </w:t>
      </w:r>
      <w:r>
        <w:rPr>
          <w:noProof/>
        </w:rPr>
        <w:drawing>
          <wp:inline distT="0" distB="0" distL="0" distR="0" wp14:anchorId="26FAE298" wp14:editId="215231EF">
            <wp:extent cx="5122545" cy="22542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DDCEC0" w14:textId="6986E40A" w:rsidR="00F37978" w:rsidRDefault="00F37978" w:rsidP="00CB6084">
      <w:pPr>
        <w:rPr>
          <w:szCs w:val="19"/>
          <w:shd w:val="clear" w:color="auto" w:fill="FFFFFF"/>
          <w:lang w:val="en-GB"/>
        </w:rPr>
      </w:pPr>
    </w:p>
    <w:p w14:paraId="6B2C5EA1" w14:textId="3704FA96" w:rsidR="00CB6084" w:rsidRPr="004829B9" w:rsidRDefault="00E26291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 xml:space="preserve">In </w:t>
      </w:r>
      <w:r w:rsidR="00D862D9">
        <w:rPr>
          <w:szCs w:val="19"/>
          <w:shd w:val="clear" w:color="auto" w:fill="FFFFFF"/>
          <w:lang w:val="en-GB"/>
        </w:rPr>
        <w:t>January 2021</w:t>
      </w:r>
      <w:r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 xml:space="preserve">high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a construction project </w:t>
      </w:r>
      <w:r w:rsidR="00E43CD7">
        <w:rPr>
          <w:szCs w:val="19"/>
          <w:shd w:val="clear" w:color="auto" w:fill="FFFFFF"/>
          <w:lang w:val="en-GB"/>
        </w:rPr>
        <w:t>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3563AE">
        <w:rPr>
          <w:szCs w:val="19"/>
          <w:shd w:val="clear" w:color="auto" w:fill="FFFFFF"/>
          <w:lang w:val="en-GB"/>
        </w:rPr>
        <w:t>4</w:t>
      </w:r>
      <w:r w:rsidR="002A29A6">
        <w:rPr>
          <w:szCs w:val="19"/>
          <w:shd w:val="clear" w:color="auto" w:fill="FFFFFF"/>
          <w:lang w:val="en-GB"/>
        </w:rPr>
        <w:t>.2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2A29A6">
        <w:rPr>
          <w:szCs w:val="19"/>
          <w:shd w:val="clear" w:color="auto" w:fill="FFFFFF"/>
          <w:lang w:val="en-GB"/>
        </w:rPr>
        <w:t>, 2.7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 xml:space="preserve"> and 4.2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>), Wielkopolskie (1.6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2A29A6">
        <w:rPr>
          <w:szCs w:val="19"/>
          <w:shd w:val="clear" w:color="auto" w:fill="FFFFFF"/>
          <w:lang w:val="en-GB"/>
        </w:rPr>
        <w:t>thousand, 2</w:t>
      </w:r>
      <w:r w:rsidR="003563AE">
        <w:rPr>
          <w:szCs w:val="19"/>
          <w:shd w:val="clear" w:color="auto" w:fill="FFFFFF"/>
          <w:lang w:val="en-GB"/>
        </w:rPr>
        <w:t>.9</w:t>
      </w:r>
      <w:r w:rsidR="00F333CC">
        <w:rPr>
          <w:szCs w:val="19"/>
          <w:shd w:val="clear" w:color="auto" w:fill="FFFFFF"/>
          <w:lang w:val="en-GB"/>
        </w:rPr>
        <w:t xml:space="preserve"> 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2A29A6">
        <w:rPr>
          <w:szCs w:val="19"/>
          <w:shd w:val="clear" w:color="auto" w:fill="FFFFFF"/>
          <w:lang w:val="en-GB"/>
        </w:rPr>
        <w:t xml:space="preserve"> 3.1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 xml:space="preserve">) and in Pomorskie (1.5 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 xml:space="preserve">, 1.6 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 xml:space="preserve"> and 3.6 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>).</w:t>
      </w:r>
    </w:p>
    <w:p w14:paraId="73CBA65A" w14:textId="0A377607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2B473015" w:rsidR="003A358E" w:rsidRDefault="00D862D9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650C5504" wp14:editId="1AB10D74">
            <wp:extent cx="5122545" cy="30035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A7208C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341A4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341A4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341A4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341A4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341A4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341A4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C2042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C2042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C2042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C2042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C2042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C2042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7CA88" w14:textId="77777777" w:rsidR="00341A4D" w:rsidRDefault="00341A4D" w:rsidP="000662E2">
      <w:pPr>
        <w:spacing w:after="0" w:line="240" w:lineRule="auto"/>
      </w:pPr>
      <w:r>
        <w:separator/>
      </w:r>
    </w:p>
  </w:endnote>
  <w:endnote w:type="continuationSeparator" w:id="0">
    <w:p w14:paraId="31A6AEFF" w14:textId="77777777" w:rsidR="00341A4D" w:rsidRDefault="00341A4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F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F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777B2" w14:textId="77777777" w:rsidR="00341A4D" w:rsidRDefault="00341A4D" w:rsidP="000662E2">
      <w:pPr>
        <w:spacing w:after="0" w:line="240" w:lineRule="auto"/>
      </w:pPr>
      <w:r>
        <w:separator/>
      </w:r>
    </w:p>
  </w:footnote>
  <w:footnote w:type="continuationSeparator" w:id="0">
    <w:p w14:paraId="42684272" w14:textId="77777777" w:rsidR="00341A4D" w:rsidRDefault="00341A4D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186775A" w:rsidR="003A7E95" w:rsidRPr="00C97596" w:rsidRDefault="003D482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19.02</w:t>
                          </w:r>
                          <w:r w:rsidR="00372328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7186775A" w:rsidR="003A7E95" w:rsidRPr="00C97596" w:rsidRDefault="003D482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19.02</w:t>
                    </w:r>
                    <w:r w:rsidR="00372328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77DD3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D5DFA"/>
    <w:rsid w:val="009D785B"/>
    <w:rsid w:val="009E13F6"/>
    <w:rsid w:val="009E19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6E73"/>
    <w:rsid w:val="00D8018C"/>
    <w:rsid w:val="00D81B78"/>
    <w:rsid w:val="00D8211E"/>
    <w:rsid w:val="00D8397C"/>
    <w:rsid w:val="00D83D00"/>
    <w:rsid w:val="00D862D9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39729675805845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Arkusz1!$B$4:$AX$4</c:f>
              <c:numCache>
                <c:formatCode>General</c:formatCode>
                <c:ptCount val="49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19901</c:v>
                </c:pt>
                <c:pt idx="46">
                  <c:v>19586</c:v>
                </c:pt>
                <c:pt idx="47">
                  <c:v>25537</c:v>
                </c:pt>
                <c:pt idx="48" formatCode="#,##0">
                  <c:v>17131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Arkusz1!$B$16:$AX$16</c:f>
              <c:numCache>
                <c:formatCode>General</c:formatCode>
                <c:ptCount val="49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26780</c:v>
                </c:pt>
                <c:pt idx="46">
                  <c:v>22163</c:v>
                </c:pt>
                <c:pt idx="47">
                  <c:v>34589</c:v>
                </c:pt>
                <c:pt idx="48">
                  <c:v>23290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Arkusz1!$B$10:$AX$10</c:f>
              <c:numCache>
                <c:formatCode>General</c:formatCode>
                <c:ptCount val="49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02929680"/>
        <c:axId val="-2002931856"/>
      </c:lineChart>
      <c:catAx>
        <c:axId val="-200292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029318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002931856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0292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504459209240719E-2"/>
          <c:y val="0.83257801929688369"/>
          <c:w val="0.81972125183868561"/>
          <c:h val="0.156154375069313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928928882030322"/>
          <c:y val="9.197782623895058E-2"/>
          <c:w val="0.79883378281693973"/>
          <c:h val="0.69720797056816097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Podkarpackie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229</c:v>
                </c:pt>
                <c:pt idx="1">
                  <c:v>507</c:v>
                </c:pt>
                <c:pt idx="2">
                  <c:v>416</c:v>
                </c:pt>
                <c:pt idx="3">
                  <c:v>435</c:v>
                </c:pt>
                <c:pt idx="4">
                  <c:v>141</c:v>
                </c:pt>
                <c:pt idx="5">
                  <c:v>372</c:v>
                </c:pt>
                <c:pt idx="6">
                  <c:v>898</c:v>
                </c:pt>
                <c:pt idx="7">
                  <c:v>699</c:v>
                </c:pt>
                <c:pt idx="8">
                  <c:v>437</c:v>
                </c:pt>
                <c:pt idx="9">
                  <c:v>1281</c:v>
                </c:pt>
                <c:pt idx="10">
                  <c:v>1145</c:v>
                </c:pt>
                <c:pt idx="11">
                  <c:v>2357</c:v>
                </c:pt>
                <c:pt idx="12">
                  <c:v>1360</c:v>
                </c:pt>
                <c:pt idx="13">
                  <c:v>1589</c:v>
                </c:pt>
                <c:pt idx="14">
                  <c:v>2878</c:v>
                </c:pt>
                <c:pt idx="15">
                  <c:v>2675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Podkarpackie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226</c:v>
                </c:pt>
                <c:pt idx="1">
                  <c:v>302</c:v>
                </c:pt>
                <c:pt idx="2">
                  <c:v>631</c:v>
                </c:pt>
                <c:pt idx="3">
                  <c:v>756</c:v>
                </c:pt>
                <c:pt idx="4">
                  <c:v>388</c:v>
                </c:pt>
                <c:pt idx="5">
                  <c:v>892</c:v>
                </c:pt>
                <c:pt idx="6">
                  <c:v>964</c:v>
                </c:pt>
                <c:pt idx="7">
                  <c:v>968</c:v>
                </c:pt>
                <c:pt idx="8">
                  <c:v>680</c:v>
                </c:pt>
                <c:pt idx="9">
                  <c:v>700</c:v>
                </c:pt>
                <c:pt idx="10">
                  <c:v>2195</c:v>
                </c:pt>
                <c:pt idx="11">
                  <c:v>2241</c:v>
                </c:pt>
                <c:pt idx="12">
                  <c:v>1412</c:v>
                </c:pt>
                <c:pt idx="13">
                  <c:v>3626</c:v>
                </c:pt>
                <c:pt idx="14">
                  <c:v>3130</c:v>
                </c:pt>
                <c:pt idx="15">
                  <c:v>4179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Podkarpackie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157</c:v>
                </c:pt>
                <c:pt idx="1">
                  <c:v>260</c:v>
                </c:pt>
                <c:pt idx="2">
                  <c:v>316</c:v>
                </c:pt>
                <c:pt idx="3">
                  <c:v>433</c:v>
                </c:pt>
                <c:pt idx="4">
                  <c:v>489</c:v>
                </c:pt>
                <c:pt idx="5">
                  <c:v>631</c:v>
                </c:pt>
                <c:pt idx="6">
                  <c:v>656</c:v>
                </c:pt>
                <c:pt idx="7">
                  <c:v>888</c:v>
                </c:pt>
                <c:pt idx="8">
                  <c:v>967</c:v>
                </c:pt>
                <c:pt idx="9">
                  <c:v>1141</c:v>
                </c:pt>
                <c:pt idx="10">
                  <c:v>1185</c:v>
                </c:pt>
                <c:pt idx="11">
                  <c:v>1327</c:v>
                </c:pt>
                <c:pt idx="12">
                  <c:v>1398</c:v>
                </c:pt>
                <c:pt idx="13">
                  <c:v>1490</c:v>
                </c:pt>
                <c:pt idx="14">
                  <c:v>1568</c:v>
                </c:pt>
                <c:pt idx="15">
                  <c:v>4225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002931312"/>
        <c:axId val="-2002232192"/>
      </c:barChart>
      <c:catAx>
        <c:axId val="-2002931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02232192"/>
        <c:crosses val="autoZero"/>
        <c:auto val="1"/>
        <c:lblAlgn val="ctr"/>
        <c:lblOffset val="100"/>
        <c:noMultiLvlLbl val="0"/>
      </c:catAx>
      <c:valAx>
        <c:axId val="-2002232192"/>
        <c:scaling>
          <c:orientation val="minMax"/>
          <c:max val="45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00293131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5367814752542825"/>
          <c:w val="0.83688211129506873"/>
          <c:h val="0.14023372342727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residential_construction_in_january-october_2020.docx.docx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CD4C1C8C-1BC6-4AA9-A662-D83B1A29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dwellings completed; dwellings under construction; dwellings started; building permit; useful floor area</cp:keywords>
  <cp:lastPrinted>2021-02-17T13:06:00Z</cp:lastPrinted>
  <dcterms:created xsi:type="dcterms:W3CDTF">2021-02-17T13:06:00Z</dcterms:created>
  <dcterms:modified xsi:type="dcterms:W3CDTF">2021-02-17T13:06:00Z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