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61" w:rsidRPr="0062060F" w:rsidRDefault="00DD7A1F" w:rsidP="00074DD8">
      <w:pPr>
        <w:pStyle w:val="tytuinformacji"/>
        <w:rPr>
          <w:shd w:val="clear" w:color="auto" w:fill="FFFFFF"/>
          <w:lang w:val="en-GB"/>
        </w:rPr>
      </w:pPr>
      <w:bookmarkStart w:id="0" w:name="_GoBack"/>
      <w:bookmarkEnd w:id="0"/>
      <w:r w:rsidRPr="0062060F">
        <w:rPr>
          <w:shd w:val="clear" w:color="auto" w:fill="FFFFFF"/>
          <w:lang w:val="en-GB"/>
        </w:rPr>
        <w:t>Average paid employment</w:t>
      </w:r>
      <w:r w:rsidR="004B7246" w:rsidRPr="0062060F">
        <w:rPr>
          <w:rStyle w:val="Odwoanieprzypisudolnego"/>
          <w:shd w:val="clear" w:color="auto" w:fill="FFFFFF"/>
          <w:lang w:val="en-GB"/>
        </w:rPr>
        <w:footnoteReference w:id="1"/>
      </w:r>
      <w:r w:rsidRPr="0062060F">
        <w:rPr>
          <w:shd w:val="clear" w:color="auto" w:fill="FFFFFF"/>
          <w:lang w:val="en-GB"/>
        </w:rPr>
        <w:t xml:space="preserve"> and average gross wages and salaries in enterprise sector in </w:t>
      </w:r>
      <w:r w:rsidR="00CF07B9">
        <w:rPr>
          <w:shd w:val="clear" w:color="auto" w:fill="FFFFFF"/>
          <w:lang w:val="en-GB"/>
        </w:rPr>
        <w:t>November</w:t>
      </w:r>
      <w:r w:rsidR="00446D71" w:rsidRPr="0062060F">
        <w:rPr>
          <w:shd w:val="clear" w:color="auto" w:fill="FFFFFF"/>
          <w:lang w:val="en-GB"/>
        </w:rPr>
        <w:t xml:space="preserve"> 202</w:t>
      </w:r>
      <w:r w:rsidR="00C2128A" w:rsidRPr="0062060F">
        <w:rPr>
          <w:shd w:val="clear" w:color="auto" w:fill="FFFFFF"/>
          <w:lang w:val="en-GB"/>
        </w:rPr>
        <w:t>1</w:t>
      </w:r>
    </w:p>
    <w:p w:rsidR="00DD7A1F" w:rsidRPr="0062060F" w:rsidRDefault="00DD7A1F" w:rsidP="00074DD8">
      <w:pPr>
        <w:pStyle w:val="tytuinformacji"/>
        <w:rPr>
          <w:sz w:val="19"/>
          <w:szCs w:val="19"/>
          <w:lang w:val="en-GB"/>
        </w:rPr>
      </w:pPr>
    </w:p>
    <w:p w:rsidR="00DD7A1F" w:rsidRPr="0062060F" w:rsidRDefault="00B81217" w:rsidP="00DD7A1F">
      <w:pPr>
        <w:pStyle w:val="LID"/>
        <w:rPr>
          <w:b w:val="0"/>
          <w:color w:val="212492"/>
          <w:spacing w:val="-2"/>
          <w:lang w:val="en-GB"/>
        </w:rPr>
      </w:pPr>
      <w:r>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CD7713">
                    <w:rPr>
                      <w:rFonts w:ascii="Fira Sans SemiBold" w:hAnsi="Fira Sans SemiBold"/>
                      <w:color w:val="FFFFFF"/>
                      <w:sz w:val="72"/>
                      <w:lang w:val="en-US"/>
                    </w:rPr>
                    <w:t>0</w:t>
                  </w:r>
                  <w:r w:rsidR="00446D71" w:rsidRPr="00446D71">
                    <w:rPr>
                      <w:rFonts w:ascii="Fira Sans SemiBold" w:hAnsi="Fira Sans SemiBold"/>
                      <w:color w:val="FFFFFF"/>
                      <w:sz w:val="72"/>
                      <w:lang w:val="en-US"/>
                    </w:rPr>
                    <w:t>.</w:t>
                  </w:r>
                  <w:r w:rsidR="00CF07B9">
                    <w:rPr>
                      <w:rFonts w:ascii="Fira Sans SemiBold" w:hAnsi="Fira Sans SemiBold"/>
                      <w:color w:val="FFFFFF"/>
                      <w:sz w:val="72"/>
                      <w:lang w:val="en-US"/>
                    </w:rPr>
                    <w:t>7</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62060F">
        <w:rPr>
          <w:lang w:val="en-GB"/>
        </w:rPr>
        <w:t xml:space="preserve">In </w:t>
      </w:r>
      <w:r w:rsidR="00CF07B9">
        <w:rPr>
          <w:lang w:val="en-GB"/>
        </w:rPr>
        <w:t>November</w:t>
      </w:r>
      <w:r w:rsidR="00DD7A1F" w:rsidRPr="0062060F">
        <w:rPr>
          <w:lang w:val="en-GB"/>
        </w:rPr>
        <w:t xml:space="preserve"> 20</w:t>
      </w:r>
      <w:r w:rsidR="00446D71" w:rsidRPr="0062060F">
        <w:rPr>
          <w:lang w:val="en-GB"/>
        </w:rPr>
        <w:t>2</w:t>
      </w:r>
      <w:r w:rsidR="00AD74D4" w:rsidRPr="0062060F">
        <w:rPr>
          <w:lang w:val="en-GB"/>
        </w:rPr>
        <w:t>1</w:t>
      </w:r>
      <w:r w:rsidR="00F3480F" w:rsidRPr="0062060F">
        <w:rPr>
          <w:lang w:val="en-GB"/>
        </w:rPr>
        <w:t>,</w:t>
      </w:r>
      <w:r w:rsidR="00DD7A1F" w:rsidRPr="0062060F">
        <w:rPr>
          <w:lang w:val="en-GB"/>
        </w:rPr>
        <w:t xml:space="preserve"> average </w:t>
      </w:r>
      <w:r w:rsidR="009714FF" w:rsidRPr="0062060F">
        <w:rPr>
          <w:lang w:val="en-GB"/>
        </w:rPr>
        <w:t xml:space="preserve">paid </w:t>
      </w:r>
      <w:r w:rsidR="00DD7A1F" w:rsidRPr="0062060F">
        <w:rPr>
          <w:lang w:val="en-GB"/>
        </w:rPr>
        <w:t xml:space="preserve">employment in enterprise sector was </w:t>
      </w:r>
      <w:r w:rsidR="000F0757" w:rsidRPr="0062060F">
        <w:rPr>
          <w:lang w:val="en-GB"/>
        </w:rPr>
        <w:t>higher</w:t>
      </w:r>
      <w:r w:rsidR="00DD7A1F" w:rsidRPr="0062060F">
        <w:rPr>
          <w:lang w:val="en-GB"/>
        </w:rPr>
        <w:t xml:space="preserve"> by </w:t>
      </w:r>
      <w:r w:rsidR="00CD7713" w:rsidRPr="0062060F">
        <w:rPr>
          <w:lang w:val="en-GB"/>
        </w:rPr>
        <w:t>0</w:t>
      </w:r>
      <w:r w:rsidR="000F0757" w:rsidRPr="0062060F">
        <w:rPr>
          <w:lang w:val="en-GB"/>
        </w:rPr>
        <w:t>.</w:t>
      </w:r>
      <w:r w:rsidR="00CF07B9">
        <w:rPr>
          <w:lang w:val="en-GB"/>
        </w:rPr>
        <w:t>7</w:t>
      </w:r>
      <w:r w:rsidR="00DD7A1F" w:rsidRPr="0062060F">
        <w:rPr>
          <w:lang w:val="en-GB"/>
        </w:rPr>
        <w:t xml:space="preserve">% y/y and amounted to </w:t>
      </w:r>
      <w:r w:rsidR="008A57D3" w:rsidRPr="0062060F">
        <w:rPr>
          <w:lang w:val="en-GB"/>
        </w:rPr>
        <w:t>6</w:t>
      </w:r>
      <w:r w:rsidR="00AB47D0" w:rsidRPr="0062060F">
        <w:rPr>
          <w:lang w:val="en-GB"/>
        </w:rPr>
        <w:t>3</w:t>
      </w:r>
      <w:r w:rsidR="00CF07B9">
        <w:rPr>
          <w:lang w:val="en-GB"/>
        </w:rPr>
        <w:t>63.7</w:t>
      </w:r>
      <w:r w:rsidR="00DD7A1F" w:rsidRPr="0062060F">
        <w:rPr>
          <w:lang w:val="en-GB"/>
        </w:rPr>
        <w:t xml:space="preserve"> t</w:t>
      </w:r>
      <w:r w:rsidR="00DB0F1C" w:rsidRPr="0062060F">
        <w:rPr>
          <w:lang w:val="en-GB"/>
        </w:rPr>
        <w:t>h</w:t>
      </w:r>
      <w:r w:rsidR="00DD7A1F" w:rsidRPr="0062060F">
        <w:rPr>
          <w:lang w:val="en-GB"/>
        </w:rPr>
        <w:t xml:space="preserve">ousand, </w:t>
      </w:r>
      <w:r w:rsidR="008A57D3" w:rsidRPr="0062060F">
        <w:rPr>
          <w:lang w:val="en-GB"/>
        </w:rPr>
        <w:t>while</w:t>
      </w:r>
      <w:r w:rsidR="00DD7A1F" w:rsidRPr="0062060F">
        <w:rPr>
          <w:lang w:val="en-GB"/>
        </w:rPr>
        <w:t xml:space="preserve"> average wages and salaries </w:t>
      </w:r>
      <w:r w:rsidR="00F3480F" w:rsidRPr="0062060F">
        <w:rPr>
          <w:lang w:val="en-GB"/>
        </w:rPr>
        <w:t>were</w:t>
      </w:r>
      <w:r w:rsidR="00DD7A1F" w:rsidRPr="0062060F">
        <w:rPr>
          <w:lang w:val="en-GB"/>
        </w:rPr>
        <w:t xml:space="preserve"> hi</w:t>
      </w:r>
      <w:r w:rsidR="00B0731B" w:rsidRPr="0062060F">
        <w:rPr>
          <w:lang w:val="en-GB"/>
        </w:rPr>
        <w:t>g</w:t>
      </w:r>
      <w:r w:rsidR="00C2128A" w:rsidRPr="0062060F">
        <w:rPr>
          <w:lang w:val="en-GB"/>
        </w:rPr>
        <w:t xml:space="preserve">her by </w:t>
      </w:r>
      <w:r w:rsidR="00CF07B9">
        <w:rPr>
          <w:lang w:val="en-GB"/>
        </w:rPr>
        <w:t>9.8</w:t>
      </w:r>
      <w:r w:rsidR="003517A8" w:rsidRPr="0062060F">
        <w:rPr>
          <w:lang w:val="en-GB"/>
        </w:rPr>
        <w:t xml:space="preserve">% </w:t>
      </w:r>
      <w:r w:rsidR="00DD7A1F" w:rsidRPr="0062060F">
        <w:rPr>
          <w:lang w:val="en-GB"/>
        </w:rPr>
        <w:t>y/y and amounted to</w:t>
      </w:r>
      <w:r w:rsidR="00F3480F" w:rsidRPr="0062060F">
        <w:rPr>
          <w:lang w:val="en-GB"/>
        </w:rPr>
        <w:t xml:space="preserve"> </w:t>
      </w:r>
      <w:r w:rsidR="00CF07B9">
        <w:rPr>
          <w:lang w:val="en-GB"/>
        </w:rPr>
        <w:t>6022.49</w:t>
      </w:r>
      <w:r w:rsidR="00DD7A1F" w:rsidRPr="0062060F">
        <w:rPr>
          <w:lang w:val="en-GB"/>
        </w:rPr>
        <w:t xml:space="preserve"> </w:t>
      </w:r>
      <w:r w:rsidR="00DB3EBD" w:rsidRPr="0062060F">
        <w:rPr>
          <w:lang w:val="en-GB"/>
        </w:rPr>
        <w:t>PLN</w:t>
      </w:r>
      <w:r w:rsidR="00C2128A" w:rsidRPr="0062060F">
        <w:rPr>
          <w:lang w:val="en-GB"/>
        </w:rPr>
        <w:t xml:space="preserve"> (gross)</w:t>
      </w:r>
      <w:r w:rsidR="00DD7A1F" w:rsidRPr="0062060F">
        <w:rPr>
          <w:lang w:val="en-GB"/>
        </w:rPr>
        <w:t>.</w:t>
      </w:r>
    </w:p>
    <w:p w:rsidR="00003437" w:rsidRPr="0062060F" w:rsidRDefault="00003437" w:rsidP="00E76D26">
      <w:pPr>
        <w:pStyle w:val="Nagwek1"/>
        <w:spacing w:before="0"/>
        <w:rPr>
          <w:rFonts w:ascii="Fira Sans" w:hAnsi="Fira Sans"/>
          <w:b/>
          <w:color w:val="212492"/>
          <w:spacing w:val="-2"/>
          <w:szCs w:val="19"/>
          <w:lang w:val="en-GB"/>
        </w:rPr>
      </w:pPr>
    </w:p>
    <w:p w:rsidR="003C5417" w:rsidRPr="003C5417" w:rsidRDefault="00074DD8" w:rsidP="003C5417">
      <w:pPr>
        <w:pStyle w:val="Nagwek1"/>
        <w:rPr>
          <w:rFonts w:ascii="Fira Sans" w:hAnsi="Fira Sans"/>
          <w:sz w:val="10"/>
          <w:szCs w:val="10"/>
          <w:shd w:val="clear" w:color="auto" w:fill="FFFFFF"/>
          <w:lang w:val="en-GB"/>
        </w:rPr>
      </w:pPr>
      <w:r w:rsidRPr="0062060F">
        <w:rPr>
          <w:rFonts w:ascii="Fira Sans" w:hAnsi="Fira Sans"/>
          <w:shd w:val="clear" w:color="auto" w:fill="FFFFFF"/>
          <w:lang w:val="en-GB"/>
        </w:rPr>
        <w:t xml:space="preserve"> </w:t>
      </w:r>
    </w:p>
    <w:p w:rsidR="001F63A4" w:rsidRDefault="00B81217" w:rsidP="003C5417">
      <w:pPr>
        <w:autoSpaceDE w:val="0"/>
        <w:autoSpaceDN w:val="0"/>
        <w:adjustRightInd w:val="0"/>
        <w:spacing w:before="360" w:line="240" w:lineRule="auto"/>
        <w:rPr>
          <w:rFonts w:eastAsia="Calibri"/>
          <w:shd w:val="clear" w:color="auto" w:fill="FFFFFF"/>
          <w:lang w:val="en-GB"/>
        </w:rPr>
      </w:pPr>
      <w:r>
        <w:rPr>
          <w:noProof/>
          <w:szCs w:val="24"/>
          <w:lang w:val="en-GB" w:eastAsia="en-GB"/>
        </w:rPr>
        <w:pict>
          <v:shape id="_x0000_s1027" type="#_x0000_t202" style="position:absolute;margin-left:415.35pt;margin-top:3.35pt;width:136.1pt;height:106.35pt;z-index:-25165414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" filled="f" stroked="f">
            <v:textbox>
              <w:txbxContent>
                <w:p w:rsidR="00CD7713" w:rsidRPr="00475D61" w:rsidRDefault="00CD7713" w:rsidP="00CD7713">
                  <w:pPr>
                    <w:pStyle w:val="NormalnyWeb"/>
                    <w:spacing w:before="120" w:beforeAutospacing="0" w:after="0" w:afterAutospacing="0" w:line="240" w:lineRule="exact"/>
                    <w:rPr>
                      <w:rFonts w:ascii="Fira Sans" w:eastAsia="Times New Roman" w:hAnsi="Fira Sans"/>
                      <w:bCs/>
                      <w:color w:val="001D77"/>
                      <w:sz w:val="18"/>
                      <w:szCs w:val="18"/>
                      <w:lang w:val="en-US"/>
                    </w:rPr>
                  </w:pPr>
                  <w:r w:rsidRPr="00C129E0">
                    <w:rPr>
                      <w:rFonts w:ascii="Fira Sans" w:eastAsia="Times New Roman" w:hAnsi="Fira Sans"/>
                      <w:b/>
                      <w:bCs/>
                      <w:color w:val="001D77"/>
                      <w:sz w:val="18"/>
                      <w:szCs w:val="18"/>
                      <w:lang w:val="en-US"/>
                    </w:rPr>
                    <w:t>The enterprise sector</w:t>
                  </w:r>
                  <w:r w:rsidRPr="00CD7713">
                    <w:rPr>
                      <w:rFonts w:ascii="Fira Sans" w:eastAsia="Times New Roman" w:hAnsi="Fira Sans"/>
                      <w:bCs/>
                      <w:color w:val="001D77"/>
                      <w:sz w:val="18"/>
                      <w:szCs w:val="18"/>
                      <w:lang w:val="en-US"/>
                    </w:rPr>
                    <w:t xml:space="preserve"> is part of the national e</w:t>
                  </w:r>
                  <w:r w:rsidR="003318D9">
                    <w:rPr>
                      <w:rFonts w:ascii="Fira Sans" w:eastAsia="Times New Roman" w:hAnsi="Fira Sans"/>
                      <w:bCs/>
                      <w:color w:val="001D77"/>
                      <w:sz w:val="18"/>
                      <w:szCs w:val="18"/>
                      <w:lang w:val="en-US"/>
                    </w:rPr>
                    <w:t>conomy</w:t>
                  </w:r>
                  <w:r w:rsidRPr="00CD7713">
                    <w:rPr>
                      <w:rFonts w:ascii="Fira Sans" w:eastAsia="Times New Roman" w:hAnsi="Fira Sans"/>
                      <w:bCs/>
                      <w:color w:val="001D77"/>
                      <w:sz w:val="18"/>
                      <w:szCs w:val="18"/>
                      <w:lang w:val="en-US"/>
                    </w:rPr>
                    <w:t xml:space="preserve">,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economic activity</w:t>
                  </w:r>
                  <w:r>
                    <w:rPr>
                      <w:rFonts w:ascii="Fira Sans" w:eastAsia="Times New Roman" w:hAnsi="Fira Sans"/>
                      <w:bCs/>
                      <w:color w:val="001D77"/>
                      <w:sz w:val="18"/>
                      <w:szCs w:val="18"/>
                      <w:lang w:val="en-US"/>
                    </w:rPr>
                    <w:t xml:space="preserve"> </w:t>
                  </w:r>
                </w:p>
              </w:txbxContent>
            </v:textbox>
            <w10:wrap type="tight"/>
          </v:shape>
        </w:pict>
      </w:r>
      <w:r w:rsidR="001639A6" w:rsidRPr="0062060F">
        <w:rPr>
          <w:rFonts w:eastAsia="Calibri"/>
          <w:shd w:val="clear" w:color="auto" w:fill="FFFFFF"/>
          <w:lang w:val="en-GB"/>
        </w:rPr>
        <w:t>Data r</w:t>
      </w:r>
      <w:r w:rsidR="005C6032" w:rsidRPr="0062060F">
        <w:rPr>
          <w:rFonts w:eastAsia="Calibri"/>
          <w:shd w:val="clear" w:color="auto" w:fill="FFFFFF"/>
          <w:lang w:val="en-GB"/>
        </w:rPr>
        <w:t xml:space="preserve">egarding the enterprise sector </w:t>
      </w:r>
      <w:r w:rsidR="001639A6" w:rsidRPr="0062060F">
        <w:rPr>
          <w:rFonts w:eastAsia="Calibri"/>
          <w:shd w:val="clear" w:color="auto" w:fill="FFFFFF"/>
          <w:lang w:val="en-GB"/>
        </w:rPr>
        <w:t>concerns units</w:t>
      </w:r>
      <w:r w:rsidR="005C6032" w:rsidRPr="0062060F">
        <w:rPr>
          <w:rFonts w:eastAsia="Calibri"/>
          <w:shd w:val="clear" w:color="auto" w:fill="FFFFFF"/>
          <w:lang w:val="en-GB"/>
        </w:rPr>
        <w:t xml:space="preserve"> conducting </w:t>
      </w:r>
      <w:r w:rsidR="005C6032" w:rsidRPr="001F63A4">
        <w:rPr>
          <w:rFonts w:eastAsia="Calibri"/>
          <w:b/>
          <w:shd w:val="clear" w:color="auto" w:fill="FFFFFF"/>
          <w:lang w:val="en-GB"/>
        </w:rPr>
        <w:t>economic activity classified into selected</w:t>
      </w:r>
      <w:r w:rsidR="005C6032" w:rsidRPr="001F63A4">
        <w:rPr>
          <w:rStyle w:val="Odwoanieprzypisudolnego"/>
          <w:rFonts w:eastAsia="Calibri"/>
          <w:b/>
          <w:shd w:val="clear" w:color="auto" w:fill="FFFFFF"/>
          <w:lang w:val="en-GB"/>
        </w:rPr>
        <w:footnoteReference w:id="2"/>
      </w:r>
      <w:r w:rsidR="005C6032" w:rsidRPr="001F63A4">
        <w:rPr>
          <w:rFonts w:eastAsia="Calibri"/>
          <w:b/>
          <w:shd w:val="clear" w:color="auto" w:fill="FFFFFF"/>
          <w:lang w:val="en-GB"/>
        </w:rPr>
        <w:t xml:space="preserve"> kinds of activity by NACE Rev.2 and</w:t>
      </w:r>
      <w:r w:rsidR="001639A6" w:rsidRPr="001F63A4">
        <w:rPr>
          <w:rFonts w:eastAsia="Calibri"/>
          <w:b/>
          <w:shd w:val="clear" w:color="auto" w:fill="FFFFFF"/>
          <w:lang w:val="en-GB"/>
        </w:rPr>
        <w:t xml:space="preserve"> employing more than 9 persons</w:t>
      </w:r>
      <w:r w:rsidR="001639A6" w:rsidRPr="0062060F">
        <w:rPr>
          <w:rFonts w:eastAsia="Calibri"/>
          <w:shd w:val="clear" w:color="auto" w:fill="FFFFFF"/>
          <w:lang w:val="en-GB"/>
        </w:rPr>
        <w:t xml:space="preserve">. </w:t>
      </w:r>
      <w:r w:rsidR="0011367C" w:rsidRPr="0011367C">
        <w:rPr>
          <w:rStyle w:val="jlqj4b"/>
          <w:lang w:val="en-US"/>
        </w:rPr>
        <w:t>Therefore, the survey does not include, inter alia,</w:t>
      </w:r>
      <w:r w:rsidR="0011367C" w:rsidRPr="0011367C">
        <w:rPr>
          <w:rStyle w:val="viiyi"/>
          <w:lang w:val="en-US"/>
        </w:rPr>
        <w:t xml:space="preserve"> public administration, education, human health and social work activities.</w:t>
      </w:r>
    </w:p>
    <w:p w:rsidR="00C2128A" w:rsidRDefault="00BC73A8" w:rsidP="001639A6">
      <w:pPr>
        <w:autoSpaceDE w:val="0"/>
        <w:autoSpaceDN w:val="0"/>
        <w:adjustRightInd w:val="0"/>
        <w:spacing w:before="0" w:after="0" w:line="240" w:lineRule="auto"/>
        <w:rPr>
          <w:rFonts w:cs="FiraSans-Regular"/>
          <w:szCs w:val="19"/>
          <w:lang w:val="en-GB" w:eastAsia="pl-PL"/>
        </w:rPr>
      </w:pPr>
      <w:r w:rsidRPr="0062060F">
        <w:rPr>
          <w:rFonts w:eastAsia="Calibri"/>
          <w:shd w:val="clear" w:color="auto" w:fill="FFFFFF"/>
          <w:lang w:val="en-GB"/>
        </w:rPr>
        <w:t xml:space="preserve">Data source is “Report on economic activity” (DG-1). </w:t>
      </w:r>
      <w:r w:rsidR="001639A6" w:rsidRPr="0062060F">
        <w:rPr>
          <w:rFonts w:eastAsia="Calibri"/>
          <w:shd w:val="clear" w:color="auto" w:fill="FFFFFF"/>
          <w:lang w:val="en-GB"/>
        </w:rPr>
        <w:t xml:space="preserve">Within the scope of this survey, </w:t>
      </w:r>
      <w:r w:rsidR="005C6032" w:rsidRPr="0062060F">
        <w:rPr>
          <w:rFonts w:eastAsia="Calibri"/>
          <w:shd w:val="clear" w:color="auto" w:fill="FFFFFF"/>
          <w:lang w:val="en-GB"/>
        </w:rPr>
        <w:t xml:space="preserve">for </w:t>
      </w:r>
      <w:r w:rsidR="001639A6" w:rsidRPr="0062060F">
        <w:rPr>
          <w:rFonts w:eastAsia="Calibri"/>
          <w:shd w:val="clear" w:color="auto" w:fill="FFFFFF"/>
          <w:lang w:val="en-GB"/>
        </w:rPr>
        <w:t xml:space="preserve">the entities with 50 and more persons employed </w:t>
      </w:r>
      <w:r w:rsidR="00874511" w:rsidRPr="0062060F">
        <w:rPr>
          <w:rFonts w:eastAsia="Calibri"/>
          <w:shd w:val="clear" w:color="auto" w:fill="FFFFFF"/>
          <w:lang w:val="en-GB"/>
        </w:rPr>
        <w:t>it</w:t>
      </w:r>
      <w:r w:rsidR="00B834D9">
        <w:rPr>
          <w:rFonts w:eastAsia="Calibri"/>
          <w:shd w:val="clear" w:color="auto" w:fill="FFFFFF"/>
          <w:lang w:val="en-GB"/>
        </w:rPr>
        <w:t xml:space="preserve"> is </w:t>
      </w:r>
      <w:r w:rsidR="00B834D9" w:rsidRPr="00B834D9">
        <w:rPr>
          <w:lang w:val="en-US"/>
        </w:rPr>
        <w:t>a</w:t>
      </w:r>
      <w:r w:rsidR="00B834D9">
        <w:rPr>
          <w:lang w:val="en-US"/>
        </w:rPr>
        <w:t xml:space="preserve"> </w:t>
      </w:r>
      <w:r w:rsidR="001639A6" w:rsidRPr="00B834D9">
        <w:rPr>
          <w:lang w:val="en-US"/>
        </w:rPr>
        <w:t>census</w:t>
      </w:r>
      <w:r w:rsidR="001639A6" w:rsidRPr="0062060F">
        <w:rPr>
          <w:rFonts w:eastAsia="Calibri"/>
          <w:shd w:val="clear" w:color="auto" w:fill="FFFFFF"/>
          <w:lang w:val="en-GB"/>
        </w:rPr>
        <w:t xml:space="preserve"> survey, while for the entities employing from 10 to 49 persons</w:t>
      </w:r>
      <w:r w:rsidR="00874511" w:rsidRPr="0062060F">
        <w:rPr>
          <w:rFonts w:eastAsia="Calibri"/>
          <w:shd w:val="clear" w:color="auto" w:fill="FFFFFF"/>
          <w:lang w:val="en-GB"/>
        </w:rPr>
        <w:t xml:space="preserve"> it is a sample one</w:t>
      </w:r>
      <w:r w:rsidR="005C6032" w:rsidRPr="0062060F">
        <w:rPr>
          <w:rStyle w:val="Odwoanieprzypisudolnego"/>
          <w:rFonts w:cs="FiraSans-Regular"/>
          <w:szCs w:val="19"/>
          <w:lang w:val="en-GB" w:eastAsia="pl-PL"/>
        </w:rPr>
        <w:footnoteReference w:id="3"/>
      </w:r>
      <w:r w:rsidR="001639A6" w:rsidRPr="0062060F">
        <w:rPr>
          <w:rFonts w:cs="FiraSans-Regular"/>
          <w:szCs w:val="19"/>
          <w:lang w:val="en-GB" w:eastAsia="pl-PL"/>
        </w:rPr>
        <w:t>.</w:t>
      </w:r>
    </w:p>
    <w:p w:rsidR="003C5417" w:rsidRPr="0062060F" w:rsidRDefault="003C5417" w:rsidP="001639A6">
      <w:pPr>
        <w:autoSpaceDE w:val="0"/>
        <w:autoSpaceDN w:val="0"/>
        <w:adjustRightInd w:val="0"/>
        <w:spacing w:before="0" w:after="0" w:line="240" w:lineRule="auto"/>
        <w:rPr>
          <w:rFonts w:cs="FiraSans-Regular"/>
          <w:szCs w:val="19"/>
          <w:lang w:val="en-GB" w:eastAsia="pl-PL"/>
        </w:rPr>
      </w:pPr>
    </w:p>
    <w:p w:rsidR="00766496" w:rsidRPr="0062060F" w:rsidRDefault="00B81217" w:rsidP="00165CD9">
      <w:pPr>
        <w:tabs>
          <w:tab w:val="left" w:pos="567"/>
        </w:tabs>
        <w:rPr>
          <w:b/>
          <w:spacing w:val="-2"/>
          <w:sz w:val="18"/>
          <w:shd w:val="clear" w:color="auto" w:fill="FFFFFF"/>
          <w:lang w:val="en-GB"/>
        </w:rPr>
      </w:pPr>
      <w:r>
        <w:rPr>
          <w:b/>
          <w:noProof/>
          <w:color w:val="212492"/>
          <w:spacing w:val="-2"/>
          <w:szCs w:val="19"/>
          <w:lang w:val="en-GB" w:eastAsia="en-GB"/>
        </w:rPr>
        <w:pict>
          <v:shape id="_x0000_s1028"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3C5417">
                    <w:rPr>
                      <w:rFonts w:ascii="Fira Sans" w:eastAsia="Times New Roman" w:hAnsi="Fira Sans"/>
                      <w:bCs/>
                      <w:color w:val="001D77"/>
                      <w:sz w:val="18"/>
                      <w:szCs w:val="18"/>
                      <w:lang w:val="en-US"/>
                    </w:rPr>
                    <w:t>November</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3D0943">
                    <w:rPr>
                      <w:rFonts w:ascii="Fira Sans" w:eastAsia="Times New Roman" w:hAnsi="Fira Sans"/>
                      <w:bCs/>
                      <w:color w:val="001D77"/>
                      <w:sz w:val="18"/>
                      <w:szCs w:val="18"/>
                      <w:lang w:val="en-US"/>
                    </w:rPr>
                    <w:t>compared to the previous month a minimal increase by 0.</w:t>
                  </w:r>
                  <w:r w:rsidR="003C5417">
                    <w:rPr>
                      <w:rFonts w:ascii="Fira Sans" w:eastAsia="Times New Roman" w:hAnsi="Fira Sans"/>
                      <w:bCs/>
                      <w:color w:val="001D77"/>
                      <w:sz w:val="18"/>
                      <w:szCs w:val="18"/>
                      <w:lang w:val="en-US"/>
                    </w:rPr>
                    <w:t>2</w:t>
                  </w:r>
                  <w:r w:rsidR="003D0943">
                    <w:rPr>
                      <w:rFonts w:ascii="Fira Sans" w:eastAsia="Times New Roman" w:hAnsi="Fira Sans"/>
                      <w:bCs/>
                      <w:color w:val="001D77"/>
                      <w:sz w:val="18"/>
                      <w:szCs w:val="18"/>
                      <w:lang w:val="en-US"/>
                    </w:rPr>
                    <w:t>% in average paid employment was observed, while average gross wages and salaries increased by 1.</w:t>
                  </w:r>
                  <w:r w:rsidR="003C5417">
                    <w:rPr>
                      <w:rFonts w:ascii="Fira Sans" w:eastAsia="Times New Roman" w:hAnsi="Fira Sans"/>
                      <w:bCs/>
                      <w:color w:val="001D77"/>
                      <w:sz w:val="18"/>
                      <w:szCs w:val="18"/>
                      <w:lang w:val="en-US"/>
                    </w:rPr>
                    <w:t>8</w:t>
                  </w:r>
                  <w:r w:rsidR="003D0943">
                    <w:rPr>
                      <w:rFonts w:ascii="Fira Sans" w:eastAsia="Times New Roman" w:hAnsi="Fira Sans"/>
                      <w:bCs/>
                      <w:color w:val="001D77"/>
                      <w:sz w:val="18"/>
                      <w:szCs w:val="18"/>
                      <w:lang w:val="en-US"/>
                    </w:rPr>
                    <w:t>%</w:t>
                  </w:r>
                  <w:r w:rsidR="009F021D">
                    <w:rPr>
                      <w:rFonts w:ascii="Fira Sans" w:eastAsia="Times New Roman" w:hAnsi="Fira Sans"/>
                      <w:bCs/>
                      <w:color w:val="001D77"/>
                      <w:sz w:val="18"/>
                      <w:szCs w:val="18"/>
                      <w:lang w:val="en-US"/>
                    </w:rPr>
                    <w:t xml:space="preserve"> </w:t>
                  </w:r>
                </w:p>
              </w:txbxContent>
            </v:textbox>
            <w10:wrap type="tight"/>
          </v:shape>
        </w:pict>
      </w:r>
      <w:r w:rsidR="00766496" w:rsidRPr="0062060F">
        <w:rPr>
          <w:b/>
          <w:spacing w:val="-2"/>
          <w:sz w:val="18"/>
          <w:shd w:val="clear" w:color="auto" w:fill="FFFFFF"/>
          <w:lang w:val="en-GB"/>
        </w:rPr>
        <w:t xml:space="preserve">Table 1. </w:t>
      </w:r>
      <w:r w:rsidR="001639A6" w:rsidRPr="0062060F">
        <w:rPr>
          <w:b/>
          <w:spacing w:val="-2"/>
          <w:sz w:val="18"/>
          <w:shd w:val="clear" w:color="auto" w:fill="FFFFFF"/>
          <w:lang w:val="en-GB"/>
        </w:rPr>
        <w:t>Average pai</w:t>
      </w:r>
      <w:r w:rsidR="008740C8" w:rsidRPr="0062060F">
        <w:rPr>
          <w:b/>
          <w:spacing w:val="-2"/>
          <w:sz w:val="18"/>
          <w:shd w:val="clear" w:color="auto" w:fill="FFFFFF"/>
          <w:lang w:val="en-GB"/>
        </w:rPr>
        <w:t>d</w:t>
      </w:r>
      <w:r w:rsidR="00766496" w:rsidRPr="0062060F">
        <w:rPr>
          <w:b/>
          <w:spacing w:val="-2"/>
          <w:sz w:val="18"/>
          <w:shd w:val="clear" w:color="auto" w:fill="FFFFFF"/>
          <w:lang w:val="en-GB"/>
        </w:rPr>
        <w:t xml:space="preserve"> employment and average gross wages and salaries in enterprise sector</w:t>
      </w:r>
      <w:r w:rsidR="00165CD9" w:rsidRPr="0062060F">
        <w:rPr>
          <w:b/>
          <w:spacing w:val="-2"/>
          <w:sz w:val="18"/>
          <w:shd w:val="clear" w:color="auto" w:fill="FFFFFF"/>
          <w:lang w:val="en-GB"/>
        </w:rPr>
        <w:br/>
        <w:t xml:space="preserve">               in </w:t>
      </w:r>
      <w:r w:rsidR="001F63A4">
        <w:rPr>
          <w:b/>
          <w:spacing w:val="-2"/>
          <w:sz w:val="18"/>
          <w:shd w:val="clear" w:color="auto" w:fill="FFFFFF"/>
          <w:lang w:val="en-GB"/>
        </w:rPr>
        <w:t>November</w:t>
      </w:r>
      <w:r w:rsidR="00766496" w:rsidRPr="0062060F">
        <w:rPr>
          <w:b/>
          <w:spacing w:val="-2"/>
          <w:sz w:val="18"/>
          <w:shd w:val="clear" w:color="auto" w:fill="FFFFFF"/>
          <w:lang w:val="en-GB"/>
        </w:rPr>
        <w:t xml:space="preserve"> 202</w:t>
      </w:r>
      <w:r w:rsidR="00C2128A" w:rsidRPr="0062060F">
        <w:rPr>
          <w:b/>
          <w:spacing w:val="-2"/>
          <w:sz w:val="18"/>
          <w:shd w:val="clear" w:color="auto" w:fill="FFFFFF"/>
          <w:lang w:val="en-GB"/>
        </w:rPr>
        <w:t>1</w:t>
      </w:r>
      <w:r w:rsidR="00766496" w:rsidRPr="0062060F">
        <w:rPr>
          <w:b/>
          <w:spacing w:val="-2"/>
          <w:sz w:val="18"/>
          <w:shd w:val="clear" w:color="auto" w:fill="FFFFFF"/>
          <w:lang w:val="en-GB"/>
        </w:rPr>
        <w:t xml:space="preserve"> </w:t>
      </w:r>
    </w:p>
    <w:tbl>
      <w:tblPr>
        <w:tblW w:w="8222" w:type="dxa"/>
        <w:jc w:val="center"/>
        <w:tblBorders>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276"/>
        <w:gridCol w:w="1134"/>
      </w:tblGrid>
      <w:tr w:rsidR="002A71A0" w:rsidRPr="0062060F" w:rsidTr="0062060F">
        <w:trPr>
          <w:trHeight w:val="558"/>
          <w:jc w:val="center"/>
        </w:trPr>
        <w:tc>
          <w:tcPr>
            <w:tcW w:w="2268" w:type="dxa"/>
            <w:vMerge w:val="restart"/>
            <w:tcBorders>
              <w:top w:val="single" w:sz="4" w:space="0" w:color="FFFFFF"/>
              <w:right w:val="single" w:sz="4"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62060F" w:rsidRDefault="009F24D1" w:rsidP="009F24D1">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X</w:t>
            </w:r>
            <w:r w:rsidR="00B834D9">
              <w:rPr>
                <w:rFonts w:ascii="Fira Sans" w:hAnsi="Fira Sans" w:cs="Arial"/>
                <w:color w:val="000000"/>
                <w:sz w:val="16"/>
                <w:szCs w:val="16"/>
                <w:lang w:val="en-GB"/>
              </w:rPr>
              <w:t>I</w:t>
            </w:r>
            <w:r w:rsidR="002A71A0" w:rsidRPr="0062060F">
              <w:rPr>
                <w:rFonts w:ascii="Fira Sans" w:hAnsi="Fira Sans" w:cs="Arial"/>
                <w:color w:val="000000"/>
                <w:sz w:val="16"/>
                <w:szCs w:val="16"/>
                <w:lang w:val="en-GB"/>
              </w:rPr>
              <w:t xml:space="preserve"> 2021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62060F" w:rsidRDefault="002A71A0" w:rsidP="009F24D1">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w:t>
            </w:r>
            <w:r w:rsidR="009F24D1" w:rsidRPr="0062060F">
              <w:rPr>
                <w:rFonts w:ascii="Fira Sans" w:hAnsi="Fira Sans" w:cs="Arial"/>
                <w:color w:val="000000"/>
                <w:sz w:val="16"/>
                <w:szCs w:val="16"/>
                <w:lang w:val="en-GB"/>
              </w:rPr>
              <w:t>X</w:t>
            </w:r>
            <w:r w:rsidR="00B834D9">
              <w:rPr>
                <w:rFonts w:ascii="Fira Sans" w:hAnsi="Fira Sans" w:cs="Arial"/>
                <w:color w:val="000000"/>
                <w:sz w:val="16"/>
                <w:szCs w:val="16"/>
                <w:lang w:val="en-GB"/>
              </w:rPr>
              <w:t>I</w:t>
            </w:r>
            <w:r w:rsidRPr="0062060F">
              <w:rPr>
                <w:rFonts w:ascii="Fira Sans" w:hAnsi="Fira Sans" w:cs="Arial"/>
                <w:color w:val="000000"/>
                <w:sz w:val="16"/>
                <w:szCs w:val="16"/>
                <w:lang w:val="en-GB"/>
              </w:rPr>
              <w:t xml:space="preserve"> 2021</w:t>
            </w:r>
          </w:p>
        </w:tc>
      </w:tr>
      <w:tr w:rsidR="002A71A0" w:rsidRPr="0062060F" w:rsidTr="0062060F">
        <w:trPr>
          <w:trHeight w:val="791"/>
          <w:jc w:val="center"/>
        </w:trPr>
        <w:tc>
          <w:tcPr>
            <w:tcW w:w="2268" w:type="dxa"/>
            <w:vMerge/>
            <w:tcBorders>
              <w:bottom w:val="single" w:sz="12"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w:t>
            </w:r>
            <w:r w:rsidRPr="0062060F">
              <w:rPr>
                <w:rFonts w:ascii="Fira Sans" w:hAnsi="Fira Sans" w:cs="Arial"/>
                <w:color w:val="000000"/>
                <w:sz w:val="16"/>
                <w:szCs w:val="16"/>
                <w:lang w:val="en-GB"/>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AC3A1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X</w:t>
            </w:r>
            <w:r w:rsidR="002A71A0" w:rsidRPr="0062060F">
              <w:rPr>
                <w:rFonts w:ascii="Fira Sans" w:hAnsi="Fira Sans" w:cs="Arial"/>
                <w:color w:val="000000"/>
                <w:sz w:val="16"/>
                <w:szCs w:val="16"/>
                <w:lang w:val="en-GB"/>
              </w:rPr>
              <w:br/>
              <w:t>2021=100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9F24D1" w:rsidP="000F0757">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X</w:t>
            </w:r>
            <w:r w:rsidR="00B834D9">
              <w:rPr>
                <w:rFonts w:ascii="Fira Sans" w:hAnsi="Fira Sans" w:cs="Arial"/>
                <w:color w:val="000000"/>
                <w:sz w:val="16"/>
                <w:szCs w:val="16"/>
                <w:lang w:val="en-GB"/>
              </w:rPr>
              <w:t>I</w:t>
            </w:r>
            <w:r w:rsidR="002A71A0" w:rsidRPr="0062060F">
              <w:rPr>
                <w:rFonts w:ascii="Fira Sans" w:hAnsi="Fira Sans" w:cs="Arial"/>
                <w:color w:val="000000"/>
                <w:sz w:val="16"/>
                <w:szCs w:val="16"/>
                <w:lang w:val="en-GB"/>
              </w:rPr>
              <w:br/>
              <w:t>2020=100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 numbers</w:t>
            </w:r>
          </w:p>
        </w:tc>
        <w:tc>
          <w:tcPr>
            <w:tcW w:w="1134" w:type="dxa"/>
            <w:tcBorders>
              <w:top w:val="single" w:sz="4" w:space="0" w:color="001D77"/>
              <w:left w:val="single" w:sz="4" w:space="0" w:color="001D77"/>
              <w:bottom w:val="single" w:sz="12" w:space="0" w:color="001D77"/>
            </w:tcBorders>
          </w:tcPr>
          <w:p w:rsidR="002A71A0" w:rsidRPr="0062060F" w:rsidRDefault="002A71A0" w:rsidP="009F24D1">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w:t>
            </w:r>
            <w:r w:rsidR="009F24D1" w:rsidRPr="0062060F">
              <w:rPr>
                <w:rFonts w:ascii="Fira Sans" w:hAnsi="Fira Sans" w:cs="Arial"/>
                <w:color w:val="000000"/>
                <w:sz w:val="16"/>
                <w:szCs w:val="16"/>
                <w:lang w:val="en-GB"/>
              </w:rPr>
              <w:t>X</w:t>
            </w:r>
            <w:r w:rsidR="00B834D9">
              <w:rPr>
                <w:rFonts w:ascii="Fira Sans" w:hAnsi="Fira Sans" w:cs="Arial"/>
                <w:color w:val="000000"/>
                <w:sz w:val="16"/>
                <w:szCs w:val="16"/>
                <w:lang w:val="en-GB"/>
              </w:rPr>
              <w:t>I</w:t>
            </w:r>
            <w:r w:rsidRPr="0062060F">
              <w:rPr>
                <w:rFonts w:ascii="Fira Sans" w:hAnsi="Fira Sans" w:cs="Arial"/>
                <w:color w:val="000000"/>
                <w:sz w:val="16"/>
                <w:szCs w:val="16"/>
                <w:lang w:val="en-GB"/>
              </w:rPr>
              <w:br/>
              <w:t>2020=100</w:t>
            </w:r>
          </w:p>
        </w:tc>
      </w:tr>
      <w:tr w:rsidR="002A71A0" w:rsidRPr="0062060F" w:rsidTr="0062060F">
        <w:trPr>
          <w:trHeight w:val="574"/>
          <w:jc w:val="center"/>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62060F"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 xml:space="preserve">Average paid employment </w:t>
            </w:r>
            <w:r w:rsidRPr="0062060F">
              <w:rPr>
                <w:rFonts w:ascii="Fira Sans" w:hAnsi="Fira Sans"/>
                <w:color w:val="000000"/>
                <w:sz w:val="16"/>
                <w:szCs w:val="16"/>
                <w:lang w:val="en-GB"/>
              </w:rPr>
              <w:br/>
              <w:t xml:space="preserve">in thousands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6</w:t>
            </w:r>
            <w:r w:rsidR="00A5215E" w:rsidRPr="0062060F">
              <w:rPr>
                <w:rFonts w:ascii="Fira Sans" w:hAnsi="Fira Sans" w:cs="Arial"/>
                <w:color w:val="000000"/>
                <w:sz w:val="16"/>
                <w:szCs w:val="16"/>
                <w:lang w:val="en-GB"/>
              </w:rPr>
              <w:t>3</w:t>
            </w:r>
            <w:r w:rsidR="00B834D9">
              <w:rPr>
                <w:rFonts w:ascii="Fira Sans" w:hAnsi="Fira Sans" w:cs="Arial"/>
                <w:color w:val="000000"/>
                <w:sz w:val="16"/>
                <w:szCs w:val="16"/>
                <w:lang w:val="en-GB"/>
              </w:rPr>
              <w:t>63.7</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AC3A1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B834D9">
              <w:rPr>
                <w:rFonts w:ascii="Fira Sans" w:hAnsi="Fira Sans" w:cs="Arial"/>
                <w:color w:val="000000"/>
                <w:sz w:val="16"/>
                <w:szCs w:val="16"/>
                <w:lang w:val="en-GB"/>
              </w:rPr>
              <w:t>2</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A5215E"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B834D9">
              <w:rPr>
                <w:rFonts w:ascii="Fira Sans" w:hAnsi="Fira Sans" w:cs="Arial"/>
                <w:color w:val="000000"/>
                <w:sz w:val="16"/>
                <w:szCs w:val="16"/>
                <w:lang w:val="en-GB"/>
              </w:rPr>
              <w:t>7</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62060F" w:rsidRDefault="002A71A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6</w:t>
            </w:r>
            <w:r w:rsidR="00A5215E" w:rsidRPr="0062060F">
              <w:rPr>
                <w:rFonts w:ascii="Fira Sans" w:hAnsi="Fira Sans" w:cs="Arial"/>
                <w:color w:val="000000"/>
                <w:sz w:val="16"/>
                <w:szCs w:val="16"/>
                <w:lang w:val="en-GB"/>
              </w:rPr>
              <w:t>3</w:t>
            </w:r>
            <w:r w:rsidR="00B834D9">
              <w:rPr>
                <w:rFonts w:ascii="Fira Sans" w:hAnsi="Fira Sans" w:cs="Arial"/>
                <w:color w:val="000000"/>
                <w:sz w:val="16"/>
                <w:szCs w:val="16"/>
                <w:lang w:val="en-GB"/>
              </w:rPr>
              <w:t>37.3</w:t>
            </w:r>
          </w:p>
        </w:tc>
        <w:tc>
          <w:tcPr>
            <w:tcW w:w="1134" w:type="dxa"/>
            <w:tcBorders>
              <w:top w:val="single" w:sz="12" w:space="0" w:color="001D77"/>
              <w:left w:val="single" w:sz="4" w:space="0" w:color="001D77"/>
              <w:bottom w:val="single" w:sz="4" w:space="0" w:color="001D77"/>
            </w:tcBorders>
            <w:vAlign w:val="center"/>
          </w:tcPr>
          <w:p w:rsidR="002A71A0" w:rsidRPr="0062060F" w:rsidRDefault="00A313E9"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AC3A10" w:rsidRPr="0062060F">
              <w:rPr>
                <w:rFonts w:ascii="Fira Sans" w:hAnsi="Fira Sans" w:cs="Arial"/>
                <w:color w:val="000000"/>
                <w:sz w:val="16"/>
                <w:szCs w:val="16"/>
                <w:lang w:val="en-GB"/>
              </w:rPr>
              <w:t>3</w:t>
            </w:r>
          </w:p>
        </w:tc>
      </w:tr>
      <w:tr w:rsidR="002A71A0" w:rsidRPr="0062060F" w:rsidTr="0062060F">
        <w:trPr>
          <w:trHeight w:val="651"/>
          <w:jc w:val="center"/>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Average</w:t>
            </w:r>
            <w:r w:rsidRPr="0062060F">
              <w:rPr>
                <w:rFonts w:ascii="Fira Sans" w:hAnsi="Fira Sans" w:cs="Arial"/>
                <w:color w:val="000000"/>
                <w:sz w:val="16"/>
                <w:szCs w:val="16"/>
                <w:lang w:val="en-GB"/>
              </w:rPr>
              <w:t xml:space="preserve"> gross wages and salaries total in 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B834D9" w:rsidP="00B834D9">
            <w:pPr>
              <w:pStyle w:val="Nagwek1"/>
              <w:tabs>
                <w:tab w:val="right" w:leader="dot" w:pos="4139"/>
              </w:tabs>
              <w:spacing w:before="0" w:after="0" w:line="240" w:lineRule="exact"/>
              <w:jc w:val="right"/>
              <w:rPr>
                <w:rFonts w:ascii="Fira Sans" w:hAnsi="Fira Sans" w:cs="Arial"/>
                <w:color w:val="000000"/>
                <w:sz w:val="16"/>
                <w:szCs w:val="16"/>
                <w:lang w:val="en-GB"/>
              </w:rPr>
            </w:pPr>
            <w:r>
              <w:rPr>
                <w:rFonts w:ascii="Fira Sans" w:hAnsi="Fira Sans" w:cs="Arial"/>
                <w:color w:val="000000"/>
                <w:sz w:val="16"/>
                <w:szCs w:val="16"/>
                <w:lang w:val="en-GB"/>
              </w:rPr>
              <w:t>6022.49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8330D3"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C3A10" w:rsidRPr="0062060F">
              <w:rPr>
                <w:rFonts w:ascii="Fira Sans" w:hAnsi="Fira Sans" w:cs="Arial"/>
                <w:color w:val="000000"/>
                <w:sz w:val="16"/>
                <w:szCs w:val="16"/>
                <w:lang w:val="en-GB"/>
              </w:rPr>
              <w:t>1.</w:t>
            </w:r>
            <w:r w:rsidR="00B834D9">
              <w:rPr>
                <w:rFonts w:ascii="Fira Sans" w:hAnsi="Fira Sans" w:cs="Arial"/>
                <w:color w:val="000000"/>
                <w:sz w:val="16"/>
                <w:szCs w:val="16"/>
                <w:lang w:val="en-GB"/>
              </w:rPr>
              <w:t>8</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w:t>
            </w:r>
            <w:r w:rsidR="00B872F7" w:rsidRPr="0062060F">
              <w:rPr>
                <w:rFonts w:ascii="Fira Sans" w:hAnsi="Fira Sans" w:cs="Arial"/>
                <w:color w:val="000000"/>
                <w:sz w:val="16"/>
                <w:szCs w:val="16"/>
                <w:lang w:val="en-GB"/>
              </w:rPr>
              <w:t>0</w:t>
            </w:r>
            <w:r w:rsidR="00B834D9">
              <w:rPr>
                <w:rFonts w:ascii="Fira Sans" w:hAnsi="Fira Sans" w:cs="Arial"/>
                <w:color w:val="000000"/>
                <w:sz w:val="16"/>
                <w:szCs w:val="16"/>
                <w:lang w:val="en-GB"/>
              </w:rPr>
              <w:t>9.8</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62060F" w:rsidRDefault="002A71A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B834D9">
              <w:rPr>
                <w:rFonts w:ascii="Fira Sans" w:hAnsi="Fira Sans" w:cs="Arial"/>
                <w:color w:val="000000"/>
                <w:sz w:val="16"/>
                <w:szCs w:val="16"/>
                <w:lang w:val="en-GB"/>
              </w:rPr>
              <w:t>816.41</w:t>
            </w:r>
          </w:p>
        </w:tc>
        <w:tc>
          <w:tcPr>
            <w:tcW w:w="1134" w:type="dxa"/>
            <w:tcBorders>
              <w:top w:val="single" w:sz="4" w:space="0" w:color="001D77"/>
              <w:left w:val="single" w:sz="4" w:space="0" w:color="001D77"/>
              <w:bottom w:val="single" w:sz="4" w:space="0" w:color="001D77"/>
            </w:tcBorders>
            <w:vAlign w:val="center"/>
          </w:tcPr>
          <w:p w:rsidR="002A71A0" w:rsidRPr="0062060F" w:rsidRDefault="002A71A0" w:rsidP="006875F3">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8533CB" w:rsidRPr="0062060F">
              <w:rPr>
                <w:rFonts w:ascii="Fira Sans" w:hAnsi="Fira Sans" w:cs="Arial"/>
                <w:color w:val="000000"/>
                <w:sz w:val="16"/>
                <w:szCs w:val="16"/>
                <w:lang w:val="en-GB"/>
              </w:rPr>
              <w:t>8.</w:t>
            </w:r>
            <w:r w:rsidR="00B834D9">
              <w:rPr>
                <w:rFonts w:ascii="Fira Sans" w:hAnsi="Fira Sans" w:cs="Arial"/>
                <w:color w:val="000000"/>
                <w:sz w:val="16"/>
                <w:szCs w:val="16"/>
                <w:lang w:val="en-GB"/>
              </w:rPr>
              <w:t>5</w:t>
            </w:r>
          </w:p>
        </w:tc>
      </w:tr>
      <w:tr w:rsidR="002A71A0" w:rsidRPr="0062060F" w:rsidTr="0062060F">
        <w:trPr>
          <w:trHeight w:val="760"/>
          <w:jc w:val="center"/>
        </w:trPr>
        <w:tc>
          <w:tcPr>
            <w:tcW w:w="2268" w:type="dxa"/>
            <w:tcBorders>
              <w:top w:val="single" w:sz="4"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GB"/>
              </w:rPr>
            </w:pPr>
            <w:r w:rsidRPr="0062060F">
              <w:rPr>
                <w:rFonts w:ascii="Fira Sans" w:hAnsi="Fira Sans" w:cs="Arial"/>
                <w:color w:val="000000"/>
                <w:sz w:val="16"/>
                <w:szCs w:val="16"/>
                <w:lang w:val="en-GB"/>
              </w:rPr>
              <w:t xml:space="preserve">of which excluding payments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62060F" w:rsidRDefault="00B834D9" w:rsidP="00B834D9">
            <w:pPr>
              <w:pStyle w:val="Nagwek1"/>
              <w:tabs>
                <w:tab w:val="right" w:leader="dot" w:pos="4139"/>
              </w:tabs>
              <w:spacing w:before="0" w:after="0" w:line="240" w:lineRule="exact"/>
              <w:jc w:val="right"/>
              <w:rPr>
                <w:rFonts w:ascii="Fira Sans" w:hAnsi="Fira Sans" w:cs="Arial"/>
                <w:color w:val="000000"/>
                <w:sz w:val="16"/>
                <w:szCs w:val="16"/>
                <w:lang w:val="en-GB"/>
              </w:rPr>
            </w:pPr>
            <w:r>
              <w:rPr>
                <w:rFonts w:ascii="Fira Sans" w:hAnsi="Fira Sans" w:cs="Arial"/>
                <w:color w:val="000000"/>
                <w:sz w:val="16"/>
                <w:szCs w:val="16"/>
                <w:lang w:val="en-GB"/>
              </w:rPr>
              <w:t>6022.24</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62060F" w:rsidRDefault="008330D3"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C3A10" w:rsidRPr="0062060F">
              <w:rPr>
                <w:rFonts w:ascii="Fira Sans" w:hAnsi="Fira Sans" w:cs="Arial"/>
                <w:color w:val="000000"/>
                <w:sz w:val="16"/>
                <w:szCs w:val="16"/>
                <w:lang w:val="en-GB"/>
              </w:rPr>
              <w:t>1.</w:t>
            </w:r>
            <w:r w:rsidR="00B834D9">
              <w:rPr>
                <w:rFonts w:ascii="Fira Sans" w:hAnsi="Fira Sans" w:cs="Arial"/>
                <w:color w:val="000000"/>
                <w:sz w:val="16"/>
                <w:szCs w:val="16"/>
                <w:lang w:val="en-GB"/>
              </w:rPr>
              <w:t>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62060F" w:rsidRDefault="008533CB"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B834D9">
              <w:rPr>
                <w:rFonts w:ascii="Fira Sans" w:hAnsi="Fira Sans" w:cs="Arial"/>
                <w:color w:val="000000"/>
                <w:sz w:val="16"/>
                <w:szCs w:val="16"/>
                <w:lang w:val="en-GB"/>
              </w:rPr>
              <w:t>9.8</w:t>
            </w:r>
          </w:p>
        </w:tc>
        <w:tc>
          <w:tcPr>
            <w:tcW w:w="1276" w:type="dxa"/>
            <w:tcBorders>
              <w:top w:val="single" w:sz="4" w:space="0" w:color="001D77"/>
              <w:left w:val="single" w:sz="4" w:space="0" w:color="001D77"/>
            </w:tcBorders>
            <w:shd w:val="clear" w:color="auto" w:fill="auto"/>
            <w:vAlign w:val="center"/>
          </w:tcPr>
          <w:p w:rsidR="002A71A0" w:rsidRPr="0062060F" w:rsidRDefault="002A71A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B834D9">
              <w:rPr>
                <w:rFonts w:ascii="Fira Sans" w:hAnsi="Fira Sans" w:cs="Arial"/>
                <w:color w:val="000000"/>
                <w:sz w:val="16"/>
                <w:szCs w:val="16"/>
                <w:lang w:val="en-GB"/>
              </w:rPr>
              <w:t>815.28</w:t>
            </w:r>
          </w:p>
        </w:tc>
        <w:tc>
          <w:tcPr>
            <w:tcW w:w="1134" w:type="dxa"/>
            <w:tcBorders>
              <w:top w:val="single" w:sz="4" w:space="0" w:color="001D77"/>
              <w:left w:val="single" w:sz="4" w:space="0" w:color="001D77"/>
            </w:tcBorders>
            <w:vAlign w:val="center"/>
          </w:tcPr>
          <w:p w:rsidR="002A71A0" w:rsidRPr="0062060F" w:rsidRDefault="002A71A0" w:rsidP="00B834D9">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313E9" w:rsidRPr="0062060F">
              <w:rPr>
                <w:rFonts w:ascii="Fira Sans" w:hAnsi="Fira Sans" w:cs="Arial"/>
                <w:color w:val="000000"/>
                <w:sz w:val="16"/>
                <w:szCs w:val="16"/>
                <w:lang w:val="en-GB"/>
              </w:rPr>
              <w:t>8.</w:t>
            </w:r>
            <w:r w:rsidR="00B834D9">
              <w:rPr>
                <w:rFonts w:ascii="Fira Sans" w:hAnsi="Fira Sans" w:cs="Arial"/>
                <w:color w:val="000000"/>
                <w:sz w:val="16"/>
                <w:szCs w:val="16"/>
                <w:lang w:val="en-GB"/>
              </w:rPr>
              <w:t>5</w:t>
            </w:r>
          </w:p>
        </w:tc>
      </w:tr>
    </w:tbl>
    <w:p w:rsidR="003C5417" w:rsidRDefault="003C5417" w:rsidP="003C5417">
      <w:pPr>
        <w:autoSpaceDE w:val="0"/>
        <w:autoSpaceDN w:val="0"/>
        <w:adjustRightInd w:val="0"/>
        <w:spacing w:before="0" w:after="0" w:line="240" w:lineRule="auto"/>
        <w:rPr>
          <w:rFonts w:eastAsia="Calibri"/>
          <w:shd w:val="clear" w:color="auto" w:fill="FFFFFF"/>
          <w:lang w:val="en-GB"/>
        </w:rPr>
      </w:pPr>
    </w:p>
    <w:p w:rsidR="003C5417" w:rsidRDefault="00150BDC" w:rsidP="003C5417">
      <w:pPr>
        <w:autoSpaceDE w:val="0"/>
        <w:autoSpaceDN w:val="0"/>
        <w:adjustRightInd w:val="0"/>
        <w:spacing w:before="240" w:after="0" w:line="240" w:lineRule="auto"/>
        <w:rPr>
          <w:rFonts w:eastAsia="Calibri"/>
          <w:shd w:val="clear" w:color="auto" w:fill="FFFFFF"/>
          <w:lang w:val="en-GB"/>
        </w:rPr>
      </w:pPr>
      <w:r w:rsidRPr="0062060F">
        <w:rPr>
          <w:rFonts w:eastAsia="Calibri"/>
          <w:shd w:val="clear" w:color="auto" w:fill="FFFFFF"/>
          <w:lang w:val="en-GB"/>
        </w:rPr>
        <w:t xml:space="preserve">In </w:t>
      </w:r>
      <w:r w:rsidR="00B62AE9">
        <w:rPr>
          <w:rFonts w:eastAsia="Calibri"/>
          <w:shd w:val="clear" w:color="auto" w:fill="FFFFFF"/>
          <w:lang w:val="en-GB"/>
        </w:rPr>
        <w:t>November</w:t>
      </w:r>
      <w:r w:rsidR="00CB544E" w:rsidRPr="0062060F">
        <w:rPr>
          <w:rFonts w:eastAsia="Calibri"/>
          <w:shd w:val="clear" w:color="auto" w:fill="FFFFFF"/>
          <w:lang w:val="en-GB"/>
        </w:rPr>
        <w:t xml:space="preserve"> 202</w:t>
      </w:r>
      <w:r w:rsidR="005E45F1" w:rsidRPr="0062060F">
        <w:rPr>
          <w:rFonts w:eastAsia="Calibri"/>
          <w:shd w:val="clear" w:color="auto" w:fill="FFFFFF"/>
          <w:lang w:val="en-GB"/>
        </w:rPr>
        <w:t>1</w:t>
      </w:r>
      <w:r w:rsidR="00CB544E" w:rsidRPr="0062060F">
        <w:rPr>
          <w:rFonts w:eastAsia="Calibri"/>
          <w:shd w:val="clear" w:color="auto" w:fill="FFFFFF"/>
          <w:lang w:val="en-GB"/>
        </w:rPr>
        <w:t xml:space="preserve"> </w:t>
      </w:r>
      <w:r w:rsidR="00D24F64" w:rsidRPr="0062060F">
        <w:rPr>
          <w:rFonts w:eastAsia="Calibri"/>
          <w:b/>
          <w:shd w:val="clear" w:color="auto" w:fill="FFFFFF"/>
          <w:lang w:val="en-GB"/>
        </w:rPr>
        <w:t xml:space="preserve">average paid employment </w:t>
      </w:r>
      <w:r w:rsidR="00C377DC" w:rsidRPr="0062060F">
        <w:rPr>
          <w:rFonts w:eastAsia="Calibri"/>
          <w:b/>
          <w:shd w:val="clear" w:color="auto" w:fill="FFFFFF"/>
          <w:lang w:val="en-GB"/>
        </w:rPr>
        <w:t>in enterprise sector</w:t>
      </w:r>
      <w:r w:rsidR="00FC3398" w:rsidRPr="0062060F">
        <w:rPr>
          <w:rFonts w:eastAsia="Calibri"/>
          <w:b/>
          <w:shd w:val="clear" w:color="auto" w:fill="FFFFFF"/>
          <w:lang w:val="en-GB"/>
        </w:rPr>
        <w:t xml:space="preserve"> </w:t>
      </w:r>
      <w:r w:rsidR="00245C03" w:rsidRPr="0062060F">
        <w:rPr>
          <w:rStyle w:val="jlqj4b"/>
          <w:lang w:val="en-GB"/>
        </w:rPr>
        <w:t>minimally in</w:t>
      </w:r>
      <w:r w:rsidR="00F95A4D" w:rsidRPr="0062060F">
        <w:rPr>
          <w:rStyle w:val="jlqj4b"/>
          <w:lang w:val="en-GB"/>
        </w:rPr>
        <w:t xml:space="preserve">creased compared to the one noted in </w:t>
      </w:r>
      <w:r w:rsidR="00B62AE9">
        <w:rPr>
          <w:rStyle w:val="jlqj4b"/>
          <w:lang w:val="en-GB"/>
        </w:rPr>
        <w:t>October</w:t>
      </w:r>
      <w:r w:rsidR="00150C96" w:rsidRPr="0062060F">
        <w:rPr>
          <w:rStyle w:val="jlqj4b"/>
          <w:lang w:val="en-GB"/>
        </w:rPr>
        <w:t xml:space="preserve"> this year (by 0.</w:t>
      </w:r>
      <w:r w:rsidR="00B62AE9">
        <w:rPr>
          <w:rStyle w:val="jlqj4b"/>
          <w:lang w:val="en-GB"/>
        </w:rPr>
        <w:t>2</w:t>
      </w:r>
      <w:r w:rsidR="00150C96" w:rsidRPr="0062060F">
        <w:rPr>
          <w:rStyle w:val="jlqj4b"/>
          <w:lang w:val="en-GB"/>
        </w:rPr>
        <w:t>%)</w:t>
      </w:r>
      <w:r w:rsidR="00636196">
        <w:rPr>
          <w:rStyle w:val="jlqj4b"/>
          <w:lang w:val="en-GB"/>
        </w:rPr>
        <w:t xml:space="preserve">, which was </w:t>
      </w:r>
      <w:r w:rsidR="00985438" w:rsidRPr="0062060F">
        <w:rPr>
          <w:rFonts w:eastAsia="Calibri"/>
          <w:shd w:val="clear" w:color="auto" w:fill="FFFFFF"/>
          <w:lang w:val="en-GB"/>
        </w:rPr>
        <w:t>caused among others by admissions in the units</w:t>
      </w:r>
      <w:r w:rsidR="003C5417">
        <w:rPr>
          <w:rFonts w:eastAsia="Calibri"/>
          <w:shd w:val="clear" w:color="auto" w:fill="FFFFFF"/>
          <w:lang w:val="en-GB"/>
        </w:rPr>
        <w:t>, including seasonal workers.</w:t>
      </w:r>
    </w:p>
    <w:p w:rsidR="002A28FD" w:rsidRPr="0062060F" w:rsidRDefault="0029289B" w:rsidP="003C5417">
      <w:pPr>
        <w:autoSpaceDE w:val="0"/>
        <w:autoSpaceDN w:val="0"/>
        <w:adjustRightInd w:val="0"/>
        <w:spacing w:before="240" w:after="0" w:line="240" w:lineRule="auto"/>
        <w:rPr>
          <w:rStyle w:val="jlqj4b"/>
          <w:lang w:val="en-GB"/>
        </w:rPr>
      </w:pPr>
      <w:r w:rsidRPr="0062060F">
        <w:rPr>
          <w:rStyle w:val="jlqj4b"/>
          <w:lang w:val="en-GB"/>
        </w:rPr>
        <w:t>Comparing</w:t>
      </w:r>
      <w:r w:rsidR="00FC3398" w:rsidRPr="0062060F">
        <w:rPr>
          <w:rStyle w:val="jlqj4b"/>
          <w:lang w:val="en-GB"/>
        </w:rPr>
        <w:t xml:space="preserve"> </w:t>
      </w:r>
      <w:r w:rsidR="003C5417">
        <w:rPr>
          <w:rStyle w:val="jlqj4b"/>
          <w:lang w:val="en-GB"/>
        </w:rPr>
        <w:t>November</w:t>
      </w:r>
      <w:r w:rsidR="00FC3398" w:rsidRPr="0062060F">
        <w:rPr>
          <w:rStyle w:val="jlqj4b"/>
          <w:lang w:val="en-GB"/>
        </w:rPr>
        <w:t xml:space="preserve"> 2021 to the corresponding month of 2020, an increase in average paid employment by </w:t>
      </w:r>
      <w:r w:rsidR="003C5417">
        <w:rPr>
          <w:rStyle w:val="jlqj4b"/>
          <w:lang w:val="en-GB"/>
        </w:rPr>
        <w:t>0.7</w:t>
      </w:r>
      <w:r w:rsidR="00FC3398" w:rsidRPr="0062060F">
        <w:rPr>
          <w:rStyle w:val="jlqj4b"/>
          <w:lang w:val="en-GB"/>
        </w:rPr>
        <w:t>% was observed.</w:t>
      </w:r>
      <w:r w:rsidR="00FC3398" w:rsidRPr="0062060F">
        <w:rPr>
          <w:lang w:val="en-GB"/>
        </w:rPr>
        <w:t xml:space="preserve"> </w:t>
      </w:r>
      <w:r w:rsidR="002A28FD" w:rsidRPr="0062060F">
        <w:rPr>
          <w:rStyle w:val="jlqj4b"/>
          <w:lang w:val="en-GB"/>
        </w:rPr>
        <w:br w:type="page"/>
      </w:r>
    </w:p>
    <w:p w:rsidR="00A15B1D" w:rsidRPr="0062060F" w:rsidRDefault="00A15B1D" w:rsidP="00A27B05">
      <w:pPr>
        <w:autoSpaceDE w:val="0"/>
        <w:autoSpaceDN w:val="0"/>
        <w:adjustRightInd w:val="0"/>
        <w:spacing w:before="0" w:after="0" w:line="240" w:lineRule="auto"/>
        <w:rPr>
          <w:b/>
          <w:lang w:val="en-GB"/>
        </w:rPr>
      </w:pPr>
      <w:r w:rsidRPr="0062060F">
        <w:rPr>
          <w:b/>
          <w:noProof/>
          <w:lang w:val="en-GB"/>
        </w:rPr>
        <w:lastRenderedPageBreak/>
        <w:t>Chart 1. Average paid employment in enterprises sector</w:t>
      </w:r>
    </w:p>
    <w:p w:rsidR="00A15B1D" w:rsidRPr="0062060F" w:rsidRDefault="006D0AC7" w:rsidP="00150BDC">
      <w:pPr>
        <w:autoSpaceDE w:val="0"/>
        <w:autoSpaceDN w:val="0"/>
        <w:adjustRightInd w:val="0"/>
        <w:spacing w:before="0" w:after="0" w:line="240" w:lineRule="auto"/>
        <w:rPr>
          <w:rStyle w:val="tlid-translation"/>
          <w:lang w:val="en-GB"/>
        </w:rPr>
      </w:pPr>
      <w:r w:rsidRPr="006D0AC7">
        <w:rPr>
          <w:rStyle w:val="tlid-translation"/>
          <w:noProof/>
          <w:lang w:eastAsia="pl-PL"/>
        </w:rPr>
        <w:drawing>
          <wp:inline distT="0" distB="0" distL="0" distR="0">
            <wp:extent cx="5065455" cy="3812875"/>
            <wp:effectExtent l="19050" t="0" r="1845"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DAF" w:rsidRPr="0062060F" w:rsidRDefault="00CB3027" w:rsidP="00150BDC">
      <w:pPr>
        <w:autoSpaceDE w:val="0"/>
        <w:autoSpaceDN w:val="0"/>
        <w:adjustRightInd w:val="0"/>
        <w:spacing w:before="0" w:after="0" w:line="240" w:lineRule="auto"/>
        <w:rPr>
          <w:rStyle w:val="tlid-translation"/>
          <w:lang w:val="en-GB"/>
        </w:rPr>
      </w:pPr>
      <w:r>
        <w:rPr>
          <w:rStyle w:val="tlid-translation"/>
          <w:lang w:val="en-GB"/>
        </w:rPr>
        <w:br/>
      </w:r>
      <w:r w:rsidR="00A15B1D" w:rsidRPr="0062060F">
        <w:rPr>
          <w:rStyle w:val="tlid-translation"/>
          <w:lang w:val="en-GB"/>
        </w:rPr>
        <w:t xml:space="preserve">Due to the epidemic situation and its impact on the labour market, from March to May </w:t>
      </w:r>
      <w:r w:rsidR="00513D9E" w:rsidRPr="0062060F">
        <w:rPr>
          <w:rStyle w:val="tlid-translation"/>
          <w:lang w:val="en-GB"/>
        </w:rPr>
        <w:t>2020</w:t>
      </w:r>
      <w:r w:rsidR="00A15B1D" w:rsidRPr="0062060F">
        <w:rPr>
          <w:rStyle w:val="tlid-translation"/>
          <w:lang w:val="en-GB"/>
        </w:rPr>
        <w:t xml:space="preserve"> there was </w:t>
      </w:r>
      <w:r w:rsidR="003318D9" w:rsidRPr="0062060F">
        <w:rPr>
          <w:rStyle w:val="tlid-translation"/>
          <w:lang w:val="en-GB"/>
        </w:rPr>
        <w:t xml:space="preserve">noted </w:t>
      </w:r>
      <w:r w:rsidR="00A15B1D" w:rsidRPr="0062060F">
        <w:rPr>
          <w:rStyle w:val="tlid-translation"/>
          <w:lang w:val="en-GB"/>
        </w:rPr>
        <w:t xml:space="preserve">a decrease in the average paid employment </w:t>
      </w:r>
      <w:r w:rsidR="0015442E" w:rsidRPr="0062060F">
        <w:rPr>
          <w:rStyle w:val="tlid-translation"/>
          <w:lang w:val="en-GB"/>
        </w:rPr>
        <w:t xml:space="preserve">in enterprise sector </w:t>
      </w:r>
      <w:r w:rsidR="00A15B1D" w:rsidRPr="0062060F">
        <w:rPr>
          <w:rStyle w:val="tlid-translation"/>
          <w:lang w:val="en-GB"/>
        </w:rPr>
        <w:t xml:space="preserve">month on month, while </w:t>
      </w:r>
      <w:r w:rsidR="008F3C94" w:rsidRPr="0062060F">
        <w:rPr>
          <w:rStyle w:val="tlid-translation"/>
          <w:lang w:val="en-GB"/>
        </w:rPr>
        <w:t>from June</w:t>
      </w:r>
      <w:r w:rsidR="00A15B1D" w:rsidRPr="0062060F">
        <w:rPr>
          <w:rStyle w:val="tlid-translation"/>
          <w:lang w:val="en-GB"/>
        </w:rPr>
        <w:t xml:space="preserve"> 2020 its increase </w:t>
      </w:r>
      <w:r w:rsidR="003318D9" w:rsidRPr="0062060F">
        <w:rPr>
          <w:rStyle w:val="tlid-translation"/>
          <w:lang w:val="en-GB"/>
        </w:rPr>
        <w:t>was observed.</w:t>
      </w:r>
      <w:r w:rsidR="008F481A" w:rsidRPr="0062060F">
        <w:rPr>
          <w:rStyle w:val="tlid-translation"/>
          <w:lang w:val="en-GB"/>
        </w:rPr>
        <w:t xml:space="preserve"> </w:t>
      </w:r>
      <w:r w:rsidR="00F26A7F" w:rsidRPr="0062060F">
        <w:rPr>
          <w:rStyle w:val="tlid-translation"/>
          <w:lang w:val="en-GB"/>
        </w:rPr>
        <w:t xml:space="preserve">In </w:t>
      </w:r>
      <w:r w:rsidR="000B4165" w:rsidRPr="0062060F">
        <w:rPr>
          <w:rStyle w:val="jlqj4b"/>
          <w:lang w:val="en-GB"/>
        </w:rPr>
        <w:t>2021, average</w:t>
      </w:r>
      <w:r w:rsidR="006C7B5B" w:rsidRPr="0062060F">
        <w:rPr>
          <w:rStyle w:val="jlqj4b"/>
          <w:lang w:val="en-GB"/>
        </w:rPr>
        <w:t xml:space="preserve"> paid</w:t>
      </w:r>
      <w:r w:rsidR="000B4165" w:rsidRPr="0062060F">
        <w:rPr>
          <w:rStyle w:val="jlqj4b"/>
          <w:lang w:val="en-GB"/>
        </w:rPr>
        <w:t xml:space="preserve"> employment changed slightly</w:t>
      </w:r>
      <w:r w:rsidR="003318D9" w:rsidRPr="0062060F">
        <w:rPr>
          <w:rStyle w:val="jlqj4b"/>
          <w:lang w:val="en-GB"/>
        </w:rPr>
        <w:t>, however, it has still not returned to the values noted at the beginning of 2020</w:t>
      </w:r>
      <w:r w:rsidR="000B4165" w:rsidRPr="0062060F">
        <w:rPr>
          <w:rStyle w:val="jlqj4b"/>
          <w:lang w:val="en-GB"/>
        </w:rPr>
        <w:t>.</w:t>
      </w:r>
      <w:r w:rsidR="000B4165" w:rsidRPr="0062060F">
        <w:rPr>
          <w:rStyle w:val="viiyi"/>
          <w:lang w:val="en-GB"/>
        </w:rPr>
        <w:t xml:space="preserve"> </w:t>
      </w:r>
      <w:r w:rsidR="000B4165" w:rsidRPr="0062060F">
        <w:rPr>
          <w:rStyle w:val="jlqj4b"/>
          <w:lang w:val="en-GB"/>
        </w:rPr>
        <w:t xml:space="preserve">In </w:t>
      </w:r>
      <w:r w:rsidR="003C5417">
        <w:rPr>
          <w:rStyle w:val="jlqj4b"/>
          <w:lang w:val="en-GB"/>
        </w:rPr>
        <w:t>November</w:t>
      </w:r>
      <w:r w:rsidR="000B4165" w:rsidRPr="0062060F">
        <w:rPr>
          <w:rStyle w:val="jlqj4b"/>
          <w:lang w:val="en-GB"/>
        </w:rPr>
        <w:t xml:space="preserve"> 2021, compared to</w:t>
      </w:r>
      <w:r w:rsidR="006C7B5B" w:rsidRPr="0062060F">
        <w:rPr>
          <w:rStyle w:val="jlqj4b"/>
          <w:lang w:val="en-GB"/>
        </w:rPr>
        <w:t xml:space="preserve"> the previous month, </w:t>
      </w:r>
      <w:r w:rsidR="00DA3568" w:rsidRPr="0062060F">
        <w:rPr>
          <w:rStyle w:val="jlqj4b"/>
          <w:lang w:val="en-GB"/>
        </w:rPr>
        <w:t xml:space="preserve">average paid employment </w:t>
      </w:r>
      <w:r w:rsidR="00181E8C" w:rsidRPr="0062060F">
        <w:rPr>
          <w:rStyle w:val="jlqj4b"/>
          <w:lang w:val="en-GB"/>
        </w:rPr>
        <w:t>in</w:t>
      </w:r>
      <w:r w:rsidR="00877AC8" w:rsidRPr="0062060F">
        <w:rPr>
          <w:rStyle w:val="jlqj4b"/>
          <w:lang w:val="en-GB"/>
        </w:rPr>
        <w:t>crease</w:t>
      </w:r>
      <w:r w:rsidR="00B4625D" w:rsidRPr="0062060F">
        <w:rPr>
          <w:rStyle w:val="jlqj4b"/>
          <w:lang w:val="en-GB"/>
        </w:rPr>
        <w:t>d</w:t>
      </w:r>
      <w:r w:rsidR="003C5417">
        <w:rPr>
          <w:rStyle w:val="jlqj4b"/>
          <w:lang w:val="en-GB"/>
        </w:rPr>
        <w:t xml:space="preserve"> by approx.</w:t>
      </w:r>
      <w:r w:rsidR="001B6E2F">
        <w:rPr>
          <w:rStyle w:val="jlqj4b"/>
          <w:lang w:val="en-GB"/>
        </w:rPr>
        <w:t xml:space="preserve"> </w:t>
      </w:r>
      <w:r w:rsidR="003C5417">
        <w:rPr>
          <w:rStyle w:val="jlqj4b"/>
          <w:lang w:val="en-GB"/>
        </w:rPr>
        <w:t>12</w:t>
      </w:r>
      <w:r w:rsidR="00877AC8" w:rsidRPr="0062060F">
        <w:rPr>
          <w:rStyle w:val="jlqj4b"/>
          <w:lang w:val="en-GB"/>
        </w:rPr>
        <w:t>.</w:t>
      </w:r>
      <w:r w:rsidR="00D66163">
        <w:rPr>
          <w:rStyle w:val="jlqj4b"/>
          <w:lang w:val="en-GB"/>
        </w:rPr>
        <w:t>6</w:t>
      </w:r>
      <w:r w:rsidR="000B4165" w:rsidRPr="0062060F">
        <w:rPr>
          <w:rStyle w:val="jlqj4b"/>
          <w:lang w:val="en-GB"/>
        </w:rPr>
        <w:t xml:space="preserve"> thousand full-time jobs</w:t>
      </w:r>
      <w:r w:rsidR="00877AC8" w:rsidRPr="0062060F">
        <w:rPr>
          <w:rStyle w:val="jlqj4b"/>
          <w:lang w:val="en-GB"/>
        </w:rPr>
        <w:t>.</w:t>
      </w:r>
    </w:p>
    <w:p w:rsidR="00150C96" w:rsidRPr="0062060F" w:rsidRDefault="00150C96" w:rsidP="0057362F">
      <w:pPr>
        <w:autoSpaceDE w:val="0"/>
        <w:autoSpaceDN w:val="0"/>
        <w:adjustRightInd w:val="0"/>
        <w:spacing w:before="240" w:after="0" w:line="240" w:lineRule="auto"/>
        <w:rPr>
          <w:rStyle w:val="tlid-translation"/>
          <w:lang w:val="en-GB"/>
        </w:rPr>
      </w:pPr>
      <w:r w:rsidRPr="0062060F">
        <w:rPr>
          <w:szCs w:val="19"/>
          <w:lang w:val="en-GB"/>
        </w:rPr>
        <w:t xml:space="preserve">In </w:t>
      </w:r>
      <w:r w:rsidR="003C5417">
        <w:rPr>
          <w:szCs w:val="19"/>
          <w:lang w:val="en-GB"/>
        </w:rPr>
        <w:t>November</w:t>
      </w:r>
      <w:r w:rsidRPr="0062060F">
        <w:rPr>
          <w:szCs w:val="19"/>
          <w:lang w:val="en-GB"/>
        </w:rPr>
        <w:t xml:space="preserve"> 2021 </w:t>
      </w:r>
      <w:r w:rsidR="00516013" w:rsidRPr="0062060F">
        <w:rPr>
          <w:b/>
          <w:szCs w:val="19"/>
          <w:lang w:val="en-GB"/>
        </w:rPr>
        <w:t>average gross wages a</w:t>
      </w:r>
      <w:r w:rsidR="00B556A3" w:rsidRPr="0062060F">
        <w:rPr>
          <w:b/>
          <w:szCs w:val="19"/>
          <w:lang w:val="en-GB"/>
        </w:rPr>
        <w:t>nd sala</w:t>
      </w:r>
      <w:r w:rsidR="00B556A3" w:rsidRPr="0062060F">
        <w:rPr>
          <w:rStyle w:val="tlid-translation"/>
          <w:b/>
          <w:lang w:val="en-GB"/>
        </w:rPr>
        <w:t>ries in enterprise sector</w:t>
      </w:r>
      <w:r w:rsidR="00B556A3" w:rsidRPr="0062060F">
        <w:rPr>
          <w:rStyle w:val="tlid-translation"/>
          <w:lang w:val="en-GB"/>
        </w:rPr>
        <w:t xml:space="preserve"> </w:t>
      </w:r>
      <w:r w:rsidR="00181E8C" w:rsidRPr="0062060F">
        <w:rPr>
          <w:rStyle w:val="tlid-translation"/>
          <w:lang w:val="en-GB"/>
        </w:rPr>
        <w:t xml:space="preserve">increased compared to the one </w:t>
      </w:r>
      <w:r w:rsidRPr="0062060F">
        <w:rPr>
          <w:rStyle w:val="tlid-translation"/>
          <w:lang w:val="en-GB"/>
        </w:rPr>
        <w:t xml:space="preserve">recorded </w:t>
      </w:r>
      <w:r w:rsidR="00B556A3" w:rsidRPr="0062060F">
        <w:rPr>
          <w:rStyle w:val="tlid-translation"/>
          <w:lang w:val="en-GB"/>
        </w:rPr>
        <w:t xml:space="preserve">in </w:t>
      </w:r>
      <w:r w:rsidR="003C5417">
        <w:rPr>
          <w:rStyle w:val="tlid-translation"/>
          <w:lang w:val="en-GB"/>
        </w:rPr>
        <w:t>October</w:t>
      </w:r>
      <w:r w:rsidR="0034203E" w:rsidRPr="0062060F">
        <w:rPr>
          <w:rStyle w:val="tlid-translation"/>
          <w:lang w:val="en-GB"/>
        </w:rPr>
        <w:t xml:space="preserve"> </w:t>
      </w:r>
      <w:r w:rsidR="00B556A3" w:rsidRPr="0062060F">
        <w:rPr>
          <w:rStyle w:val="tlid-translation"/>
          <w:lang w:val="en-GB"/>
        </w:rPr>
        <w:t>2021</w:t>
      </w:r>
      <w:r w:rsidR="003C5417">
        <w:rPr>
          <w:rStyle w:val="tlid-translation"/>
          <w:lang w:val="en-GB"/>
        </w:rPr>
        <w:t xml:space="preserve"> by 1.8</w:t>
      </w:r>
      <w:r w:rsidR="0067332F">
        <w:rPr>
          <w:rStyle w:val="tlid-translation"/>
          <w:lang w:val="en-GB"/>
        </w:rPr>
        <w:t>%</w:t>
      </w:r>
      <w:r w:rsidR="00F70E22">
        <w:rPr>
          <w:rStyle w:val="tlid-translation"/>
          <w:lang w:val="en-GB"/>
        </w:rPr>
        <w:t xml:space="preserve">. </w:t>
      </w:r>
      <w:r w:rsidR="00F70E22" w:rsidRPr="007D7198">
        <w:rPr>
          <w:rStyle w:val="tlid-translation"/>
          <w:lang w:val="en-US"/>
        </w:rPr>
        <w:t xml:space="preserve">It was caused among others </w:t>
      </w:r>
      <w:r w:rsidR="00F70E22">
        <w:rPr>
          <w:rStyle w:val="tlid-translation"/>
          <w:lang w:val="en-US"/>
        </w:rPr>
        <w:t>by payment of quarterly bonuses, Miner’s Day awards</w:t>
      </w:r>
      <w:r w:rsidR="000B33AB">
        <w:rPr>
          <w:rStyle w:val="tlid-translation"/>
          <w:lang w:val="en-US"/>
        </w:rPr>
        <w:t>,</w:t>
      </w:r>
      <w:r w:rsidR="00F70E22">
        <w:rPr>
          <w:rStyle w:val="tlid-translation"/>
          <w:lang w:val="en-US"/>
        </w:rPr>
        <w:t xml:space="preserve"> and also annual</w:t>
      </w:r>
      <w:r w:rsidR="000B33AB">
        <w:rPr>
          <w:rStyle w:val="tlid-translation"/>
          <w:lang w:val="en-US"/>
        </w:rPr>
        <w:t>,</w:t>
      </w:r>
      <w:r w:rsidR="00F70E22">
        <w:rPr>
          <w:rStyle w:val="tlid-translation"/>
          <w:lang w:val="en-US"/>
        </w:rPr>
        <w:t xml:space="preserve"> d</w:t>
      </w:r>
      <w:r w:rsidR="00F70E22" w:rsidRPr="008F481A">
        <w:rPr>
          <w:rStyle w:val="tlid-translation"/>
          <w:lang w:val="en-US"/>
        </w:rPr>
        <w:t xml:space="preserve">iscretionary </w:t>
      </w:r>
      <w:r w:rsidR="00F70E22" w:rsidRPr="007D7198">
        <w:rPr>
          <w:rStyle w:val="tlid-translation"/>
          <w:lang w:val="en-US"/>
        </w:rPr>
        <w:t>awards</w:t>
      </w:r>
      <w:r w:rsidR="00F70E22">
        <w:rPr>
          <w:rStyle w:val="tlid-translation"/>
          <w:lang w:val="en-US"/>
        </w:rPr>
        <w:t>,</w:t>
      </w:r>
      <w:r w:rsidR="00F70E22" w:rsidRPr="007D7198">
        <w:rPr>
          <w:rStyle w:val="tlid-translation"/>
          <w:lang w:val="en-US"/>
        </w:rPr>
        <w:t xml:space="preserve"> </w:t>
      </w:r>
      <w:r w:rsidR="00D66163">
        <w:rPr>
          <w:rStyle w:val="tlid-translation"/>
          <w:lang w:val="en-US"/>
        </w:rPr>
        <w:t xml:space="preserve">pay rises </w:t>
      </w:r>
      <w:r w:rsidR="00F70E22">
        <w:rPr>
          <w:rStyle w:val="tlid-translation"/>
          <w:lang w:val="en-US"/>
        </w:rPr>
        <w:t xml:space="preserve">and </w:t>
      </w:r>
      <w:r w:rsidR="00F70E22" w:rsidRPr="007D7198">
        <w:rPr>
          <w:rStyle w:val="tlid-translation"/>
          <w:lang w:val="en-US"/>
        </w:rPr>
        <w:t>retirement severance pays</w:t>
      </w:r>
      <w:r w:rsidR="00F70E22" w:rsidRPr="00561FF0">
        <w:rPr>
          <w:rStyle w:val="tlid-translation"/>
          <w:lang w:val="en-US"/>
        </w:rPr>
        <w:t xml:space="preserve"> (which beside the base remuneration are also included as components of wages and salaries)</w:t>
      </w:r>
      <w:r w:rsidR="00F70E22">
        <w:rPr>
          <w:rStyle w:val="tlid-translation"/>
          <w:lang w:val="en-US"/>
        </w:rPr>
        <w:t xml:space="preserve">. </w:t>
      </w:r>
      <w:r w:rsidR="00D66163">
        <w:rPr>
          <w:rStyle w:val="tlid-translation"/>
          <w:lang w:val="en-US"/>
        </w:rPr>
        <w:t xml:space="preserve">Higher increases in wages are usually observed at the end of </w:t>
      </w:r>
      <w:r w:rsidR="0008168D">
        <w:rPr>
          <w:rStyle w:val="tlid-translation"/>
          <w:lang w:val="en-US"/>
        </w:rPr>
        <w:t xml:space="preserve">a </w:t>
      </w:r>
      <w:r w:rsidR="00D66163">
        <w:rPr>
          <w:rStyle w:val="tlid-translation"/>
          <w:lang w:val="en-US"/>
        </w:rPr>
        <w:t xml:space="preserve">year, however in some </w:t>
      </w:r>
      <w:r w:rsidR="0008168D">
        <w:rPr>
          <w:rStyle w:val="tlid-translation"/>
          <w:lang w:val="en-US"/>
        </w:rPr>
        <w:t xml:space="preserve">NACE </w:t>
      </w:r>
      <w:r w:rsidR="00D66163">
        <w:rPr>
          <w:rStyle w:val="tlid-translation"/>
          <w:lang w:val="en-US"/>
        </w:rPr>
        <w:t>Re</w:t>
      </w:r>
      <w:r w:rsidR="0008168D">
        <w:rPr>
          <w:rStyle w:val="tlid-translation"/>
          <w:lang w:val="en-US"/>
        </w:rPr>
        <w:t>v</w:t>
      </w:r>
      <w:r w:rsidR="00D66163">
        <w:rPr>
          <w:rStyle w:val="tlid-translation"/>
          <w:lang w:val="en-US"/>
        </w:rPr>
        <w:t>. 2 activities the</w:t>
      </w:r>
      <w:r w:rsidR="0008168D">
        <w:rPr>
          <w:rStyle w:val="tlid-translation"/>
          <w:lang w:val="en-US"/>
        </w:rPr>
        <w:t>y</w:t>
      </w:r>
      <w:r w:rsidR="00D66163">
        <w:rPr>
          <w:rStyle w:val="tlid-translation"/>
          <w:lang w:val="en-US"/>
        </w:rPr>
        <w:t xml:space="preserve"> were </w:t>
      </w:r>
      <w:r w:rsidR="0011367C" w:rsidRPr="0011367C">
        <w:rPr>
          <w:lang w:val="en-US"/>
        </w:rPr>
        <w:t>noticeable</w:t>
      </w:r>
      <w:r w:rsidR="0008168D">
        <w:rPr>
          <w:rStyle w:val="tlid-translation"/>
          <w:lang w:val="en-US"/>
        </w:rPr>
        <w:t xml:space="preserve"> </w:t>
      </w:r>
      <w:r w:rsidR="00D66163">
        <w:rPr>
          <w:rStyle w:val="tlid-translation"/>
          <w:lang w:val="en-US"/>
        </w:rPr>
        <w:t xml:space="preserve">already in November 2021, which </w:t>
      </w:r>
      <w:r w:rsidR="0011367C" w:rsidRPr="0011367C">
        <w:rPr>
          <w:lang w:val="en-US"/>
        </w:rPr>
        <w:t>translated into</w:t>
      </w:r>
      <w:r w:rsidR="00D66163">
        <w:rPr>
          <w:rStyle w:val="tlid-translation"/>
          <w:lang w:val="en-US"/>
        </w:rPr>
        <w:t xml:space="preserve"> dynamics of </w:t>
      </w:r>
      <w:r w:rsidR="0008168D">
        <w:rPr>
          <w:rStyle w:val="tlid-translation"/>
          <w:lang w:val="en-US"/>
        </w:rPr>
        <w:t xml:space="preserve">wages and salaries </w:t>
      </w:r>
      <w:r w:rsidR="00D66163">
        <w:rPr>
          <w:rStyle w:val="tlid-translation"/>
          <w:lang w:val="en-US"/>
        </w:rPr>
        <w:t xml:space="preserve">growth in </w:t>
      </w:r>
      <w:r w:rsidR="0011367C" w:rsidRPr="0011367C">
        <w:rPr>
          <w:lang w:val="en-US"/>
        </w:rPr>
        <w:t xml:space="preserve">the entire </w:t>
      </w:r>
      <w:r w:rsidR="00D66163">
        <w:rPr>
          <w:rStyle w:val="tlid-translation"/>
          <w:lang w:val="en-US"/>
        </w:rPr>
        <w:t xml:space="preserve">enterprise sector. The highest increase in </w:t>
      </w:r>
      <w:r w:rsidR="0008168D">
        <w:rPr>
          <w:rStyle w:val="tlid-translation"/>
          <w:lang w:val="en-US"/>
        </w:rPr>
        <w:t xml:space="preserve">wages and </w:t>
      </w:r>
      <w:r w:rsidR="00D66163">
        <w:rPr>
          <w:rStyle w:val="tlid-translation"/>
          <w:lang w:val="en-US"/>
        </w:rPr>
        <w:t>salaries compares to the previous month was noted in section “M</w:t>
      </w:r>
      <w:r w:rsidR="00D66163" w:rsidRPr="00D66163">
        <w:rPr>
          <w:rStyle w:val="tlid-translation"/>
          <w:lang w:val="en-US"/>
        </w:rPr>
        <w:t>ining and quarrying</w:t>
      </w:r>
      <w:r w:rsidR="00D66163">
        <w:rPr>
          <w:rStyle w:val="tlid-translation"/>
          <w:lang w:val="en-US"/>
        </w:rPr>
        <w:t xml:space="preserve">” (by 34.1%), where average </w:t>
      </w:r>
      <w:r w:rsidR="00FC2654">
        <w:rPr>
          <w:rStyle w:val="tlid-translation"/>
          <w:lang w:val="en-US"/>
        </w:rPr>
        <w:t xml:space="preserve">gross </w:t>
      </w:r>
      <w:r w:rsidR="00D66163">
        <w:rPr>
          <w:rStyle w:val="tlid-translation"/>
          <w:lang w:val="en-US"/>
        </w:rPr>
        <w:t>wage</w:t>
      </w:r>
      <w:r w:rsidR="000B33AB">
        <w:rPr>
          <w:rStyle w:val="tlid-translation"/>
          <w:lang w:val="en-US"/>
        </w:rPr>
        <w:t>s</w:t>
      </w:r>
      <w:r w:rsidR="00D66163">
        <w:rPr>
          <w:rStyle w:val="tlid-translation"/>
          <w:lang w:val="en-US"/>
        </w:rPr>
        <w:t xml:space="preserve"> </w:t>
      </w:r>
      <w:r w:rsidR="0008168D">
        <w:rPr>
          <w:rStyle w:val="tlid-translation"/>
          <w:lang w:val="en-US"/>
        </w:rPr>
        <w:t xml:space="preserve">and salaries </w:t>
      </w:r>
      <w:r w:rsidR="00D66163">
        <w:rPr>
          <w:rStyle w:val="tlid-translation"/>
          <w:lang w:val="en-US"/>
        </w:rPr>
        <w:t>amounted to 10436.85 PLN (</w:t>
      </w:r>
      <w:r w:rsidR="00FC2654">
        <w:rPr>
          <w:rStyle w:val="tlid-translation"/>
          <w:lang w:val="en-US"/>
        </w:rPr>
        <w:t xml:space="preserve">a </w:t>
      </w:r>
      <w:r w:rsidR="00D66163">
        <w:rPr>
          <w:rStyle w:val="tlid-translation"/>
          <w:lang w:val="en-US"/>
        </w:rPr>
        <w:t>month before</w:t>
      </w:r>
      <w:r w:rsidR="000B33AB">
        <w:rPr>
          <w:rStyle w:val="tlid-translation"/>
          <w:lang w:val="en-US"/>
        </w:rPr>
        <w:t xml:space="preserve"> were 7785.25 </w:t>
      </w:r>
      <w:r w:rsidR="00D66163">
        <w:rPr>
          <w:rStyle w:val="tlid-translation"/>
          <w:lang w:val="en-US"/>
        </w:rPr>
        <w:t xml:space="preserve">PLN) and </w:t>
      </w:r>
      <w:r w:rsidR="000B33AB">
        <w:rPr>
          <w:rStyle w:val="tlid-translation"/>
          <w:lang w:val="en-US"/>
        </w:rPr>
        <w:t xml:space="preserve">section </w:t>
      </w:r>
      <w:r w:rsidR="00D66163">
        <w:rPr>
          <w:rStyle w:val="tlid-translation"/>
          <w:lang w:val="en-US"/>
        </w:rPr>
        <w:t>“E</w:t>
      </w:r>
      <w:r w:rsidR="00D66163" w:rsidRPr="00D66163">
        <w:rPr>
          <w:rStyle w:val="tlid-translation"/>
          <w:lang w:val="en-US"/>
        </w:rPr>
        <w:t>lectricity, gas, steam and air conditioning supply</w:t>
      </w:r>
      <w:r w:rsidR="00D66163">
        <w:rPr>
          <w:rStyle w:val="tlid-translation"/>
          <w:lang w:val="en-US"/>
        </w:rPr>
        <w:t xml:space="preserve">” (by 16.9%), </w:t>
      </w:r>
      <w:r w:rsidR="00FC2654">
        <w:rPr>
          <w:rStyle w:val="tlid-translation"/>
          <w:lang w:val="en-US"/>
        </w:rPr>
        <w:t xml:space="preserve">where average monthly </w:t>
      </w:r>
      <w:r w:rsidR="006D5981">
        <w:rPr>
          <w:rStyle w:val="tlid-translation"/>
          <w:lang w:val="en-US"/>
        </w:rPr>
        <w:t xml:space="preserve">wages and </w:t>
      </w:r>
      <w:r w:rsidR="00FC2654">
        <w:rPr>
          <w:rStyle w:val="tlid-translation"/>
          <w:lang w:val="en-US"/>
        </w:rPr>
        <w:t>salaries increased to 9470.08 PLN (a month before, the</w:t>
      </w:r>
      <w:r w:rsidR="006D5981">
        <w:rPr>
          <w:rStyle w:val="tlid-translation"/>
          <w:lang w:val="en-US"/>
        </w:rPr>
        <w:t>y</w:t>
      </w:r>
      <w:r w:rsidR="00FC2654">
        <w:rPr>
          <w:rStyle w:val="tlid-translation"/>
          <w:lang w:val="en-US"/>
        </w:rPr>
        <w:t xml:space="preserve"> were 8099.55 PLN).</w:t>
      </w:r>
    </w:p>
    <w:p w:rsidR="000F0C92" w:rsidRPr="0062060F" w:rsidRDefault="00C47165" w:rsidP="000F0C92">
      <w:pPr>
        <w:autoSpaceDE w:val="0"/>
        <w:autoSpaceDN w:val="0"/>
        <w:adjustRightInd w:val="0"/>
        <w:spacing w:before="240" w:after="0" w:line="240" w:lineRule="auto"/>
        <w:rPr>
          <w:rStyle w:val="tlid-translation"/>
          <w:lang w:val="en-GB"/>
        </w:rPr>
      </w:pPr>
      <w:r w:rsidRPr="0062060F">
        <w:rPr>
          <w:rStyle w:val="tlid-translation"/>
          <w:lang w:val="en-GB"/>
        </w:rPr>
        <w:t>Annually (</w:t>
      </w:r>
      <w:r w:rsidR="00555412">
        <w:rPr>
          <w:rStyle w:val="tlid-translation"/>
          <w:lang w:val="en-GB"/>
        </w:rPr>
        <w:t>November</w:t>
      </w:r>
      <w:r w:rsidR="00E1205D" w:rsidRPr="0062060F">
        <w:rPr>
          <w:rStyle w:val="tlid-translation"/>
          <w:lang w:val="en-GB"/>
        </w:rPr>
        <w:t xml:space="preserve"> </w:t>
      </w:r>
      <w:r w:rsidR="00B556A3" w:rsidRPr="0062060F">
        <w:rPr>
          <w:rStyle w:val="tlid-translation"/>
          <w:lang w:val="en-GB"/>
        </w:rPr>
        <w:t>2021</w:t>
      </w:r>
      <w:r w:rsidRPr="0062060F">
        <w:rPr>
          <w:rStyle w:val="tlid-translation"/>
          <w:lang w:val="en-GB"/>
        </w:rPr>
        <w:t xml:space="preserve"> to </w:t>
      </w:r>
      <w:r w:rsidR="00555412">
        <w:rPr>
          <w:rStyle w:val="tlid-translation"/>
          <w:lang w:val="en-GB"/>
        </w:rPr>
        <w:t>November</w:t>
      </w:r>
      <w:r w:rsidR="00B556A3" w:rsidRPr="0062060F">
        <w:rPr>
          <w:rStyle w:val="tlid-translation"/>
          <w:lang w:val="en-GB"/>
        </w:rPr>
        <w:t xml:space="preserve"> 202</w:t>
      </w:r>
      <w:r w:rsidR="00315AE1" w:rsidRPr="0062060F">
        <w:rPr>
          <w:rStyle w:val="tlid-translation"/>
          <w:lang w:val="en-GB"/>
        </w:rPr>
        <w:t>0</w:t>
      </w:r>
      <w:r w:rsidR="007E6A22" w:rsidRPr="0062060F">
        <w:rPr>
          <w:rStyle w:val="tlid-translation"/>
          <w:lang w:val="en-GB"/>
        </w:rPr>
        <w:t>)</w:t>
      </w:r>
      <w:r w:rsidRPr="0062060F">
        <w:rPr>
          <w:rStyle w:val="tlid-translation"/>
          <w:lang w:val="en-GB"/>
        </w:rPr>
        <w:t xml:space="preserve"> a</w:t>
      </w:r>
      <w:r w:rsidR="00DE6880" w:rsidRPr="0062060F">
        <w:rPr>
          <w:rStyle w:val="tlid-translation"/>
          <w:lang w:val="en-GB"/>
        </w:rPr>
        <w:t>ver</w:t>
      </w:r>
      <w:r w:rsidRPr="0062060F">
        <w:rPr>
          <w:rStyle w:val="tlid-translation"/>
          <w:lang w:val="en-GB"/>
        </w:rPr>
        <w:t xml:space="preserve">age gross wages and salaries </w:t>
      </w:r>
      <w:r w:rsidR="00DE6880" w:rsidRPr="0062060F">
        <w:rPr>
          <w:rStyle w:val="tlid-translation"/>
          <w:lang w:val="en-GB"/>
        </w:rPr>
        <w:t>incr</w:t>
      </w:r>
      <w:r w:rsidR="00E301FA" w:rsidRPr="0062060F">
        <w:rPr>
          <w:rStyle w:val="tlid-translation"/>
          <w:lang w:val="en-GB"/>
        </w:rPr>
        <w:t xml:space="preserve">eased </w:t>
      </w:r>
      <w:r w:rsidRPr="0062060F">
        <w:rPr>
          <w:rStyle w:val="tlid-translation"/>
          <w:lang w:val="en-GB"/>
        </w:rPr>
        <w:t xml:space="preserve">by </w:t>
      </w:r>
      <w:r w:rsidR="00555412">
        <w:rPr>
          <w:rStyle w:val="tlid-translation"/>
          <w:lang w:val="en-GB"/>
        </w:rPr>
        <w:t>9.8</w:t>
      </w:r>
      <w:r w:rsidR="00124CB7" w:rsidRPr="0062060F">
        <w:rPr>
          <w:rStyle w:val="tlid-translation"/>
          <w:lang w:val="en-GB"/>
        </w:rPr>
        <w:t>%</w:t>
      </w:r>
      <w:r w:rsidR="009165B7" w:rsidRPr="0062060F">
        <w:rPr>
          <w:rStyle w:val="tlid-translation"/>
          <w:lang w:val="en-GB"/>
        </w:rPr>
        <w:t xml:space="preserve">. </w:t>
      </w:r>
      <w:r w:rsidR="00E142D3" w:rsidRPr="0062060F">
        <w:rPr>
          <w:rStyle w:val="tlid-translation"/>
          <w:lang w:val="en-GB"/>
        </w:rPr>
        <w:t>A y</w:t>
      </w:r>
      <w:r w:rsidR="00877AC8" w:rsidRPr="0062060F">
        <w:rPr>
          <w:rStyle w:val="jlqj4b"/>
          <w:lang w:val="en-GB"/>
        </w:rPr>
        <w:t>ea</w:t>
      </w:r>
      <w:r w:rsidR="007E6A22" w:rsidRPr="0062060F">
        <w:rPr>
          <w:rStyle w:val="jlqj4b"/>
          <w:lang w:val="en-GB"/>
        </w:rPr>
        <w:t>r before (</w:t>
      </w:r>
      <w:r w:rsidR="00555412">
        <w:rPr>
          <w:rStyle w:val="jlqj4b"/>
          <w:lang w:val="en-GB"/>
        </w:rPr>
        <w:t>November</w:t>
      </w:r>
      <w:r w:rsidR="007E6A22" w:rsidRPr="0062060F">
        <w:rPr>
          <w:rStyle w:val="jlqj4b"/>
          <w:lang w:val="en-GB"/>
        </w:rPr>
        <w:t xml:space="preserve"> 2020 to </w:t>
      </w:r>
      <w:r w:rsidR="00555412">
        <w:rPr>
          <w:rStyle w:val="jlqj4b"/>
          <w:lang w:val="en-GB"/>
        </w:rPr>
        <w:t>November</w:t>
      </w:r>
      <w:r w:rsidR="007E6A22" w:rsidRPr="0062060F">
        <w:rPr>
          <w:rStyle w:val="jlqj4b"/>
          <w:lang w:val="en-GB"/>
        </w:rPr>
        <w:t xml:space="preserve"> 2019)</w:t>
      </w:r>
      <w:r w:rsidR="00877AC8" w:rsidRPr="0062060F">
        <w:rPr>
          <w:rStyle w:val="jlqj4b"/>
          <w:lang w:val="en-GB"/>
        </w:rPr>
        <w:t xml:space="preserve"> a</w:t>
      </w:r>
      <w:r w:rsidR="0051588D" w:rsidRPr="0062060F">
        <w:rPr>
          <w:rStyle w:val="jlqj4b"/>
          <w:lang w:val="en-GB"/>
        </w:rPr>
        <w:t>n average</w:t>
      </w:r>
      <w:r w:rsidR="00877AC8" w:rsidRPr="0062060F">
        <w:rPr>
          <w:rStyle w:val="jlqj4b"/>
          <w:lang w:val="en-GB"/>
        </w:rPr>
        <w:t xml:space="preserve"> wage growth rate of </w:t>
      </w:r>
      <w:r w:rsidR="00181E8C" w:rsidRPr="0062060F">
        <w:rPr>
          <w:rStyle w:val="jlqj4b"/>
          <w:lang w:val="en-GB"/>
        </w:rPr>
        <w:t>4</w:t>
      </w:r>
      <w:r w:rsidR="001E65AD" w:rsidRPr="0062060F">
        <w:rPr>
          <w:rStyle w:val="jlqj4b"/>
          <w:lang w:val="en-GB"/>
        </w:rPr>
        <w:t>.</w:t>
      </w:r>
      <w:r w:rsidR="00555412">
        <w:rPr>
          <w:rStyle w:val="jlqj4b"/>
          <w:lang w:val="en-GB"/>
        </w:rPr>
        <w:t>9</w:t>
      </w:r>
      <w:r w:rsidR="00877AC8" w:rsidRPr="0062060F">
        <w:rPr>
          <w:rStyle w:val="jlqj4b"/>
          <w:lang w:val="en-GB"/>
        </w:rPr>
        <w:t>% was recorded.</w:t>
      </w:r>
      <w:r w:rsidR="009A663E" w:rsidRPr="0062060F">
        <w:rPr>
          <w:rStyle w:val="jlqj4b"/>
          <w:lang w:val="en-GB"/>
        </w:rPr>
        <w:br/>
      </w:r>
    </w:p>
    <w:p w:rsidR="008F7E17" w:rsidRPr="0062060F" w:rsidRDefault="00124CB7" w:rsidP="000F435B">
      <w:pPr>
        <w:autoSpaceDE w:val="0"/>
        <w:autoSpaceDN w:val="0"/>
        <w:adjustRightInd w:val="0"/>
        <w:spacing w:before="0" w:after="0" w:line="240" w:lineRule="auto"/>
        <w:rPr>
          <w:rStyle w:val="tlid-translation"/>
          <w:lang w:val="en-GB"/>
        </w:rPr>
      </w:pPr>
      <w:r w:rsidRPr="0062060F">
        <w:rPr>
          <w:rStyle w:val="tlid-translation"/>
          <w:lang w:val="en-GB"/>
        </w:rPr>
        <w:t xml:space="preserve">In the cumulative period of </w:t>
      </w:r>
      <w:r w:rsidR="00F53B80">
        <w:rPr>
          <w:rStyle w:val="tlid-translation"/>
          <w:lang w:val="en-GB"/>
        </w:rPr>
        <w:t>eleven</w:t>
      </w:r>
      <w:r w:rsidRPr="0062060F">
        <w:rPr>
          <w:rStyle w:val="tlid-translation"/>
          <w:lang w:val="en-GB"/>
        </w:rPr>
        <w:t xml:space="preserve"> months of 2021 average gross wages and salaries, compared to the same period of the previous year, </w:t>
      </w:r>
      <w:r w:rsidR="008F7E17" w:rsidRPr="0062060F">
        <w:rPr>
          <w:rStyle w:val="tlid-translation"/>
          <w:lang w:val="en-GB"/>
        </w:rPr>
        <w:t xml:space="preserve">increased in </w:t>
      </w:r>
      <w:r w:rsidR="00593E00" w:rsidRPr="0062060F">
        <w:rPr>
          <w:rStyle w:val="tlid-translation"/>
          <w:lang w:val="en-GB"/>
        </w:rPr>
        <w:t>all</w:t>
      </w:r>
      <w:r w:rsidR="008F7E17" w:rsidRPr="0062060F">
        <w:rPr>
          <w:rStyle w:val="tlid-translation"/>
          <w:lang w:val="en-GB"/>
        </w:rPr>
        <w:t xml:space="preserve"> NACE </w:t>
      </w:r>
      <w:r w:rsidR="000F435B" w:rsidRPr="0062060F">
        <w:rPr>
          <w:rStyle w:val="tlid-translation"/>
          <w:lang w:val="en-GB"/>
        </w:rPr>
        <w:t xml:space="preserve">Rev.2 </w:t>
      </w:r>
      <w:r w:rsidR="008F7E17" w:rsidRPr="0062060F">
        <w:rPr>
          <w:rStyle w:val="tlid-translation"/>
          <w:lang w:val="en-GB"/>
        </w:rPr>
        <w:t>sections by between</w:t>
      </w:r>
      <w:r w:rsidRPr="0062060F">
        <w:rPr>
          <w:rStyle w:val="tlid-translation"/>
          <w:lang w:val="en-GB"/>
        </w:rPr>
        <w:t xml:space="preserve"> </w:t>
      </w:r>
      <w:r w:rsidR="00B43335" w:rsidRPr="0062060F">
        <w:rPr>
          <w:rStyle w:val="tlid-translation"/>
          <w:lang w:val="en-GB"/>
        </w:rPr>
        <w:t>5</w:t>
      </w:r>
      <w:r w:rsidRPr="0062060F">
        <w:rPr>
          <w:rStyle w:val="tlid-translation"/>
          <w:lang w:val="en-GB"/>
        </w:rPr>
        <w:t>.</w:t>
      </w:r>
      <w:r w:rsidR="00F53B80">
        <w:rPr>
          <w:rStyle w:val="tlid-translation"/>
          <w:lang w:val="en-GB"/>
        </w:rPr>
        <w:t>7</w:t>
      </w:r>
      <w:r w:rsidR="008F7E17" w:rsidRPr="0062060F">
        <w:rPr>
          <w:rStyle w:val="tlid-translation"/>
          <w:lang w:val="en-GB"/>
        </w:rPr>
        <w:t xml:space="preserve">% in section </w:t>
      </w:r>
      <w:r w:rsidR="00E25869" w:rsidRPr="0062060F">
        <w:rPr>
          <w:rStyle w:val="tlid-translation"/>
          <w:lang w:val="en-GB"/>
        </w:rPr>
        <w:t>“</w:t>
      </w:r>
      <w:r w:rsidR="008226E5" w:rsidRPr="0062060F">
        <w:rPr>
          <w:lang w:val="en-GB"/>
        </w:rPr>
        <w:t>A</w:t>
      </w:r>
      <w:r w:rsidR="008226E5" w:rsidRPr="0062060F">
        <w:rPr>
          <w:rStyle w:val="tlid-translation"/>
          <w:lang w:val="en-GB"/>
        </w:rPr>
        <w:t>rts, entertainment and recreation</w:t>
      </w:r>
      <w:r w:rsidR="00AA16CB" w:rsidRPr="0062060F">
        <w:rPr>
          <w:rStyle w:val="tlid-translation"/>
          <w:lang w:val="en-GB"/>
        </w:rPr>
        <w:t xml:space="preserve">” and </w:t>
      </w:r>
      <w:r w:rsidR="00B43335" w:rsidRPr="0062060F">
        <w:rPr>
          <w:rStyle w:val="tlid-translation"/>
          <w:lang w:val="en-GB"/>
        </w:rPr>
        <w:t>12</w:t>
      </w:r>
      <w:r w:rsidR="009B729C" w:rsidRPr="0062060F">
        <w:rPr>
          <w:rStyle w:val="tlid-translation"/>
          <w:lang w:val="en-GB"/>
        </w:rPr>
        <w:t>.</w:t>
      </w:r>
      <w:r w:rsidR="00B074E0" w:rsidRPr="0062060F">
        <w:rPr>
          <w:rStyle w:val="tlid-translation"/>
          <w:lang w:val="en-GB"/>
        </w:rPr>
        <w:t>3</w:t>
      </w:r>
      <w:r w:rsidR="00E25869" w:rsidRPr="0062060F">
        <w:rPr>
          <w:rStyle w:val="tlid-translation"/>
          <w:lang w:val="en-GB"/>
        </w:rPr>
        <w:t>%</w:t>
      </w:r>
      <w:r w:rsidR="008F7E17" w:rsidRPr="0062060F">
        <w:rPr>
          <w:rStyle w:val="tlid-translation"/>
          <w:lang w:val="en-GB"/>
        </w:rPr>
        <w:t xml:space="preserve"> in section “</w:t>
      </w:r>
      <w:r w:rsidR="000F435B" w:rsidRPr="0062060F">
        <w:rPr>
          <w:rStyle w:val="tlid-translation"/>
          <w:lang w:val="en-GB"/>
        </w:rPr>
        <w:t>Agriculture, forestry and fishing</w:t>
      </w:r>
      <w:r w:rsidR="009E79E0" w:rsidRPr="0062060F">
        <w:rPr>
          <w:rStyle w:val="tlid-translation"/>
          <w:lang w:val="en-GB"/>
        </w:rPr>
        <w:t>”</w:t>
      </w:r>
      <w:r w:rsidR="00C05522" w:rsidRPr="0062060F">
        <w:rPr>
          <w:rStyle w:val="tlid-translation"/>
          <w:lang w:val="en-GB"/>
        </w:rPr>
        <w:t xml:space="preserve">, which resulted in total average monthly wages and salaries increase of </w:t>
      </w:r>
      <w:r w:rsidR="009B729C" w:rsidRPr="0062060F">
        <w:rPr>
          <w:rStyle w:val="tlid-translation"/>
          <w:lang w:val="en-GB"/>
        </w:rPr>
        <w:t>8.</w:t>
      </w:r>
      <w:r w:rsidR="00F53B80">
        <w:rPr>
          <w:rStyle w:val="tlid-translation"/>
          <w:lang w:val="en-GB"/>
        </w:rPr>
        <w:t>5</w:t>
      </w:r>
      <w:r w:rsidR="00C05522" w:rsidRPr="0062060F">
        <w:rPr>
          <w:rStyle w:val="tlid-translation"/>
          <w:lang w:val="en-GB"/>
        </w:rPr>
        <w:t>%</w:t>
      </w:r>
      <w:r w:rsidR="00B556A3" w:rsidRPr="0062060F">
        <w:rPr>
          <w:rStyle w:val="tlid-translation"/>
          <w:lang w:val="en-GB"/>
        </w:rPr>
        <w:t xml:space="preserve">. </w:t>
      </w:r>
      <w:r w:rsidR="00B074E0" w:rsidRPr="0062060F">
        <w:rPr>
          <w:rStyle w:val="tlid-translation"/>
          <w:lang w:val="en-GB"/>
        </w:rPr>
        <w:t>The highest</w:t>
      </w:r>
      <w:r w:rsidR="006D5981">
        <w:rPr>
          <w:rStyle w:val="tlid-translation"/>
          <w:lang w:val="en-GB"/>
        </w:rPr>
        <w:t xml:space="preserve"> average</w:t>
      </w:r>
      <w:r w:rsidR="00B074E0" w:rsidRPr="0062060F">
        <w:rPr>
          <w:rStyle w:val="tlid-translation"/>
          <w:lang w:val="en-GB"/>
        </w:rPr>
        <w:t xml:space="preserve"> </w:t>
      </w:r>
      <w:r w:rsidR="00B94E79">
        <w:rPr>
          <w:rStyle w:val="tlid-translation"/>
          <w:lang w:val="en-GB"/>
        </w:rPr>
        <w:t xml:space="preserve">monthly </w:t>
      </w:r>
      <w:r w:rsidR="00B074E0" w:rsidRPr="0062060F">
        <w:rPr>
          <w:rStyle w:val="tlid-translation"/>
          <w:lang w:val="en-GB"/>
        </w:rPr>
        <w:t>gross salary in the enterprise sector</w:t>
      </w:r>
      <w:r w:rsidR="009420C4">
        <w:rPr>
          <w:rStyle w:val="tlid-translation"/>
          <w:lang w:val="en-GB"/>
        </w:rPr>
        <w:t xml:space="preserve"> in the cumulative period</w:t>
      </w:r>
      <w:r w:rsidR="00B074E0" w:rsidRPr="0062060F">
        <w:rPr>
          <w:rStyle w:val="tlid-translation"/>
          <w:lang w:val="en-GB"/>
        </w:rPr>
        <w:t xml:space="preserve"> was recorded in section </w:t>
      </w:r>
      <w:r w:rsidR="00BF0253" w:rsidRPr="0062060F">
        <w:rPr>
          <w:rStyle w:val="tlid-translation"/>
          <w:lang w:val="en-GB"/>
        </w:rPr>
        <w:t>“</w:t>
      </w:r>
      <w:r w:rsidR="00B074E0" w:rsidRPr="0062060F">
        <w:rPr>
          <w:rStyle w:val="tlid-translation"/>
          <w:lang w:val="en-GB"/>
        </w:rPr>
        <w:t>Information and communication”</w:t>
      </w:r>
      <w:r w:rsidR="00BF0253" w:rsidRPr="0062060F">
        <w:rPr>
          <w:rStyle w:val="tlid-translation"/>
          <w:lang w:val="en-GB"/>
        </w:rPr>
        <w:t xml:space="preserve"> in the amount of </w:t>
      </w:r>
      <w:r w:rsidR="00F53B80">
        <w:rPr>
          <w:rStyle w:val="tlid-translation"/>
          <w:lang w:val="en-GB"/>
        </w:rPr>
        <w:t>9992.89 PLN (an increase by 8.3</w:t>
      </w:r>
      <w:r w:rsidR="00BF0253" w:rsidRPr="0062060F">
        <w:rPr>
          <w:rStyle w:val="tlid-translation"/>
          <w:lang w:val="en-GB"/>
        </w:rPr>
        <w:t>% compared to the</w:t>
      </w:r>
      <w:r w:rsidR="000F435B" w:rsidRPr="0062060F">
        <w:rPr>
          <w:rStyle w:val="tlid-translation"/>
          <w:lang w:val="en-GB"/>
        </w:rPr>
        <w:t xml:space="preserve"> corresponding period of </w:t>
      </w:r>
      <w:r w:rsidR="00CD30B5" w:rsidRPr="0062060F">
        <w:rPr>
          <w:rStyle w:val="tlid-translation"/>
          <w:lang w:val="en-GB"/>
        </w:rPr>
        <w:t xml:space="preserve">the </w:t>
      </w:r>
      <w:r w:rsidR="000F435B" w:rsidRPr="0062060F">
        <w:rPr>
          <w:rStyle w:val="tlid-translation"/>
          <w:lang w:val="en-GB"/>
        </w:rPr>
        <w:t>previous year</w:t>
      </w:r>
      <w:r w:rsidR="00BF0253" w:rsidRPr="0062060F">
        <w:rPr>
          <w:rStyle w:val="tlid-translation"/>
          <w:lang w:val="en-GB"/>
        </w:rPr>
        <w:t xml:space="preserve">), and the lowest in the section “Accommodation and catering” at the </w:t>
      </w:r>
      <w:r w:rsidR="000F435B" w:rsidRPr="0062060F">
        <w:rPr>
          <w:rStyle w:val="tlid-translation"/>
          <w:lang w:val="en-GB"/>
        </w:rPr>
        <w:t>level of 41</w:t>
      </w:r>
      <w:r w:rsidR="00F53B80">
        <w:rPr>
          <w:rStyle w:val="tlid-translation"/>
          <w:lang w:val="en-GB"/>
        </w:rPr>
        <w:t>94.10</w:t>
      </w:r>
      <w:r w:rsidR="00BF0253" w:rsidRPr="0062060F">
        <w:rPr>
          <w:rStyle w:val="tlid-translation"/>
          <w:lang w:val="en-GB"/>
        </w:rPr>
        <w:t xml:space="preserve"> PLN (</w:t>
      </w:r>
      <w:r w:rsidR="00F53B80">
        <w:rPr>
          <w:rStyle w:val="tlid-translation"/>
          <w:lang w:val="en-GB"/>
        </w:rPr>
        <w:t xml:space="preserve">despite an increase compared to the </w:t>
      </w:r>
      <w:r w:rsidR="006D5981">
        <w:rPr>
          <w:rStyle w:val="tlid-translation"/>
          <w:lang w:val="en-GB"/>
        </w:rPr>
        <w:t xml:space="preserve">situ-ation a year before </w:t>
      </w:r>
      <w:r w:rsidR="00F53B80">
        <w:rPr>
          <w:rStyle w:val="tlid-translation"/>
          <w:lang w:val="en-GB"/>
        </w:rPr>
        <w:t xml:space="preserve">by </w:t>
      </w:r>
      <w:r w:rsidR="000F435B" w:rsidRPr="0062060F">
        <w:rPr>
          <w:rStyle w:val="tlid-translation"/>
          <w:lang w:val="en-GB"/>
        </w:rPr>
        <w:t>1</w:t>
      </w:r>
      <w:r w:rsidR="00F53B80">
        <w:rPr>
          <w:rStyle w:val="tlid-translation"/>
          <w:lang w:val="en-GB"/>
        </w:rPr>
        <w:t>1</w:t>
      </w:r>
      <w:r w:rsidR="000F435B" w:rsidRPr="0062060F">
        <w:rPr>
          <w:rStyle w:val="tlid-translation"/>
          <w:lang w:val="en-GB"/>
        </w:rPr>
        <w:t>.</w:t>
      </w:r>
      <w:r w:rsidR="00F53B80">
        <w:rPr>
          <w:rStyle w:val="tlid-translation"/>
          <w:lang w:val="en-GB"/>
        </w:rPr>
        <w:t>6</w:t>
      </w:r>
      <w:r w:rsidR="00BF0253" w:rsidRPr="0062060F">
        <w:rPr>
          <w:rStyle w:val="tlid-translation"/>
          <w:lang w:val="en-GB"/>
        </w:rPr>
        <w:t>%).</w:t>
      </w:r>
    </w:p>
    <w:p w:rsidR="009C504A" w:rsidRPr="0062060F" w:rsidRDefault="009C504A">
      <w:pPr>
        <w:spacing w:before="0" w:after="0" w:line="240" w:lineRule="auto"/>
        <w:rPr>
          <w:rFonts w:ascii="Fira Sans SemiBold" w:eastAsia="Times New Roman" w:hAnsi="Fira Sans SemiBold"/>
          <w:bCs/>
          <w:color w:val="001D77"/>
          <w:szCs w:val="24"/>
          <w:lang w:val="en-GB" w:eastAsia="pl-PL"/>
        </w:rPr>
      </w:pPr>
      <w:r w:rsidRPr="0062060F">
        <w:rPr>
          <w:rFonts w:ascii="Fira Sans SemiBold" w:eastAsia="Times New Roman" w:hAnsi="Fira Sans SemiBold"/>
          <w:bCs/>
          <w:color w:val="001D77"/>
          <w:szCs w:val="24"/>
          <w:lang w:val="en-GB" w:eastAsia="pl-PL"/>
        </w:rPr>
        <w:br w:type="page"/>
      </w:r>
    </w:p>
    <w:p w:rsidR="009C504A" w:rsidRPr="0062060F" w:rsidRDefault="006D0AC7" w:rsidP="009C504A">
      <w:pPr>
        <w:pStyle w:val="tytuwykresu"/>
        <w:rPr>
          <w:noProof/>
          <w:lang w:val="en-GB"/>
        </w:rPr>
      </w:pPr>
      <w:r>
        <w:rPr>
          <w:noProof/>
          <w:lang w:eastAsia="pl-PL"/>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posOffset>317500</wp:posOffset>
            </wp:positionV>
            <wp:extent cx="5121910" cy="2872105"/>
            <wp:effectExtent l="19050" t="0" r="0" b="0"/>
            <wp:wrapSquare wrapText="bothSides"/>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62060F">
        <w:rPr>
          <w:noProof/>
          <w:lang w:val="en-GB"/>
        </w:rPr>
        <w:t>Chart 2. Average monthly gross wages and salaries in enterprise sector</w:t>
      </w:r>
    </w:p>
    <w:p w:rsidR="00694AF0" w:rsidRPr="0062060F" w:rsidRDefault="00566A53" w:rsidP="00E76D26">
      <w:pPr>
        <w:rPr>
          <w:rFonts w:ascii="Fira Sans SemiBold" w:eastAsia="Times New Roman" w:hAnsi="Fira Sans SemiBold"/>
          <w:bCs/>
          <w:color w:val="001D77"/>
          <w:szCs w:val="24"/>
          <w:lang w:val="en-GB" w:eastAsia="pl-PL"/>
        </w:rPr>
      </w:pPr>
      <w:r w:rsidRPr="0062060F">
        <w:rPr>
          <w:rFonts w:ascii="Fira Sans SemiBold" w:eastAsia="Times New Roman" w:hAnsi="Fira Sans SemiBold"/>
          <w:bCs/>
          <w:color w:val="001D77"/>
          <w:szCs w:val="24"/>
          <w:lang w:val="en-GB" w:eastAsia="pl-PL"/>
        </w:rPr>
        <w:br/>
      </w:r>
      <w:r w:rsidR="00165CD9" w:rsidRPr="0062060F">
        <w:rPr>
          <w:rFonts w:ascii="Fira Sans SemiBold" w:eastAsia="Times New Roman" w:hAnsi="Fira Sans SemiBold"/>
          <w:bCs/>
          <w:color w:val="001D77"/>
          <w:szCs w:val="24"/>
          <w:lang w:val="en-GB" w:eastAsia="pl-PL"/>
        </w:rPr>
        <w:t>Methodological notes</w:t>
      </w:r>
    </w:p>
    <w:p w:rsidR="00165CD9" w:rsidRPr="0062060F" w:rsidRDefault="00165CD9" w:rsidP="00E76D26">
      <w:pPr>
        <w:rPr>
          <w:rStyle w:val="tlid-translation"/>
          <w:lang w:val="en-GB"/>
        </w:rPr>
      </w:pPr>
      <w:r w:rsidRPr="0062060F">
        <w:rPr>
          <w:rStyle w:val="tlid-translation"/>
          <w:b/>
          <w:lang w:val="en-GB"/>
        </w:rPr>
        <w:t>Enterprise sector concerns units employing more than 9 persons and conducting economic activity within the scope of the following areas</w:t>
      </w:r>
      <w:r w:rsidRPr="0062060F">
        <w:rPr>
          <w:rStyle w:val="tlid-translation"/>
          <w:lang w:val="en-GB"/>
        </w:rPr>
        <w:t>: forestry and logging; marine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rsidR="00B24D82" w:rsidRPr="0062060F" w:rsidRDefault="00C83480" w:rsidP="00C83480">
      <w:pPr>
        <w:autoSpaceDE w:val="0"/>
        <w:autoSpaceDN w:val="0"/>
        <w:adjustRightInd w:val="0"/>
        <w:spacing w:before="0" w:after="0" w:line="240" w:lineRule="auto"/>
        <w:rPr>
          <w:rStyle w:val="tlid-translation"/>
          <w:lang w:val="en-GB"/>
        </w:rPr>
      </w:pPr>
      <w:r w:rsidRPr="0062060F">
        <w:rPr>
          <w:rStyle w:val="tlid-translation"/>
          <w:lang w:val="en-GB"/>
        </w:rPr>
        <w:t xml:space="preserve">Labour market data on survey report DG-1 do not include persons employed </w:t>
      </w:r>
      <w:r w:rsidR="006A1D47" w:rsidRPr="0062060F">
        <w:rPr>
          <w:rStyle w:val="tlid-translation"/>
          <w:lang w:val="en-GB"/>
        </w:rPr>
        <w:t xml:space="preserve">under </w:t>
      </w:r>
      <w:r w:rsidRPr="0062060F">
        <w:rPr>
          <w:rStyle w:val="tlid-translation"/>
          <w:lang w:val="en-GB"/>
        </w:rPr>
        <w:t xml:space="preserve">a </w:t>
      </w:r>
      <w:r w:rsidR="005B4BC9" w:rsidRPr="0062060F">
        <w:rPr>
          <w:rStyle w:val="tlid-translation"/>
          <w:lang w:val="en-GB"/>
        </w:rPr>
        <w:t xml:space="preserve">mandate </w:t>
      </w:r>
      <w:r w:rsidRPr="0062060F">
        <w:rPr>
          <w:rStyle w:val="tlid-translation"/>
          <w:lang w:val="en-GB"/>
        </w:rPr>
        <w:t xml:space="preserve">contract and </w:t>
      </w:r>
      <w:r w:rsidR="005B4BC9" w:rsidRPr="0062060F">
        <w:rPr>
          <w:rStyle w:val="tlid-translation"/>
          <w:lang w:val="en-GB"/>
        </w:rPr>
        <w:t>contract for</w:t>
      </w:r>
      <w:r w:rsidRPr="0062060F">
        <w:rPr>
          <w:rStyle w:val="tlid-translation"/>
          <w:lang w:val="en-GB"/>
        </w:rPr>
        <w:t xml:space="preserve"> specified work </w:t>
      </w:r>
      <w:r w:rsidR="007D7198" w:rsidRPr="0062060F">
        <w:rPr>
          <w:rStyle w:val="tlid-translation"/>
          <w:lang w:val="en-GB"/>
        </w:rPr>
        <w:t xml:space="preserve">- </w:t>
      </w:r>
      <w:r w:rsidRPr="0062060F">
        <w:rPr>
          <w:rStyle w:val="tlid-translation"/>
          <w:lang w:val="en-GB"/>
        </w:rPr>
        <w:t>the detailed scope of exclusions</w:t>
      </w:r>
      <w:r w:rsidR="007D7198" w:rsidRPr="0062060F">
        <w:rPr>
          <w:rStyle w:val="tlid-translation"/>
          <w:lang w:val="en-GB"/>
        </w:rPr>
        <w:t xml:space="preserve"> along with methods of calculating labour market variable</w:t>
      </w:r>
      <w:r w:rsidR="00901CBB" w:rsidRPr="0062060F">
        <w:rPr>
          <w:rStyle w:val="tlid-translation"/>
          <w:lang w:val="en-GB"/>
        </w:rPr>
        <w:t>s</w:t>
      </w:r>
      <w:r w:rsidRPr="0062060F">
        <w:rPr>
          <w:rStyle w:val="tlid-translation"/>
          <w:lang w:val="en-GB"/>
        </w:rPr>
        <w:t xml:space="preserve"> can be found in the explanations of the DG-1 report</w:t>
      </w:r>
      <w:r w:rsidR="00113B14" w:rsidRPr="0062060F">
        <w:rPr>
          <w:rStyle w:val="Odwoanieprzypisudolnego"/>
          <w:lang w:val="en-GB"/>
        </w:rPr>
        <w:footnoteReference w:id="4"/>
      </w:r>
      <w:r w:rsidR="00113B14" w:rsidRPr="0062060F">
        <w:rPr>
          <w:rStyle w:val="tlid-translation"/>
          <w:lang w:val="en-GB"/>
        </w:rPr>
        <w:t>.</w:t>
      </w:r>
    </w:p>
    <w:p w:rsidR="008A3D9F" w:rsidRPr="0062060F" w:rsidRDefault="00B24D82" w:rsidP="00E76D26">
      <w:pPr>
        <w:rPr>
          <w:rStyle w:val="tlid-translation"/>
          <w:lang w:val="en-GB"/>
        </w:rPr>
      </w:pPr>
      <w:r w:rsidRPr="0062060F">
        <w:rPr>
          <w:rStyle w:val="jlqj4b"/>
          <w:lang w:val="en-GB"/>
        </w:rPr>
        <w:t>Due to the short period in which the units provide data as part of the survey on the DG-1 form, the presented results are preliminary.</w:t>
      </w:r>
      <w:r w:rsidRPr="0062060F">
        <w:rPr>
          <w:rStyle w:val="viiyi"/>
          <w:lang w:val="en-GB"/>
        </w:rPr>
        <w:t xml:space="preserve"> </w:t>
      </w:r>
      <w:r w:rsidRPr="0062060F">
        <w:rPr>
          <w:rStyle w:val="jlqj4b"/>
          <w:lang w:val="en-GB"/>
        </w:rPr>
        <w:t>In the absence of complete records as at the date of preparation of the survey, it is allowed to include estimated data, and in the event of the need to correct data disclosed in previous periods, changes are included only in cumulative data.</w:t>
      </w:r>
    </w:p>
    <w:p w:rsidR="008A3D9F" w:rsidRPr="0062060F" w:rsidRDefault="008A3D9F" w:rsidP="00E76D26">
      <w:pPr>
        <w:rPr>
          <w:rStyle w:val="tlid-translation"/>
          <w:lang w:val="en-GB"/>
        </w:rPr>
      </w:pPr>
    </w:p>
    <w:p w:rsidR="008A3D9F" w:rsidRPr="0062060F" w:rsidRDefault="008A3D9F" w:rsidP="00E76D26">
      <w:pPr>
        <w:rPr>
          <w:rStyle w:val="tlid-translation"/>
          <w:lang w:val="en-GB"/>
        </w:rPr>
      </w:pPr>
    </w:p>
    <w:p w:rsidR="008A3D9F" w:rsidRPr="0062060F" w:rsidRDefault="008A3D9F" w:rsidP="00E76D26">
      <w:pPr>
        <w:rPr>
          <w:rStyle w:val="tlid-translation"/>
          <w:lang w:val="en-GB"/>
        </w:rPr>
      </w:pPr>
    </w:p>
    <w:p w:rsidR="00224563" w:rsidRPr="0062060F" w:rsidRDefault="00224563" w:rsidP="00E76D26">
      <w:pPr>
        <w:rPr>
          <w:rStyle w:val="tlid-translation"/>
          <w:lang w:val="en-GB"/>
        </w:rPr>
      </w:pPr>
    </w:p>
    <w:p w:rsidR="008A3D9F" w:rsidRPr="0062060F" w:rsidRDefault="008A3D9F" w:rsidP="00E76D26">
      <w:pPr>
        <w:rPr>
          <w:rStyle w:val="tlid-translation"/>
          <w:lang w:val="en-GB"/>
        </w:rPr>
      </w:pPr>
    </w:p>
    <w:p w:rsidR="00150BDC" w:rsidRPr="0062060F" w:rsidRDefault="008A3D9F" w:rsidP="00E76D26">
      <w:pPr>
        <w:rPr>
          <w:rStyle w:val="tlid-translation"/>
          <w:lang w:val="en-GB"/>
        </w:rPr>
      </w:pPr>
      <w:r w:rsidRPr="0062060F">
        <w:rPr>
          <w:rStyle w:val="tlid-translation"/>
          <w:lang w:val="en-GB"/>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62060F" w:rsidRDefault="00382F44" w:rsidP="00E76D26">
      <w:pPr>
        <w:rPr>
          <w:rStyle w:val="tlid-translation"/>
          <w:lang w:val="en-GB"/>
        </w:rPr>
      </w:pPr>
    </w:p>
    <w:p w:rsidR="00150BDC" w:rsidRPr="0062060F" w:rsidRDefault="00150BDC" w:rsidP="00E76D26">
      <w:pPr>
        <w:rPr>
          <w:sz w:val="18"/>
          <w:lang w:val="en-GB"/>
        </w:rPr>
        <w:sectPr w:rsidR="00150BDC" w:rsidRPr="0062060F"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62060F"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0470AA" w:rsidRPr="001B6E2F" w:rsidTr="00AC3FCE">
        <w:trPr>
          <w:trHeight w:val="1506"/>
        </w:trPr>
        <w:tc>
          <w:tcPr>
            <w:tcW w:w="4165" w:type="dxa"/>
          </w:tcPr>
          <w:p w:rsidR="000470AA" w:rsidRPr="0062060F" w:rsidRDefault="001D2736" w:rsidP="00E23337">
            <w:pPr>
              <w:spacing w:before="0" w:after="0" w:line="276" w:lineRule="auto"/>
              <w:rPr>
                <w:rFonts w:cs="Arial"/>
                <w:color w:val="000000"/>
                <w:sz w:val="20"/>
                <w:lang w:val="en-GB"/>
              </w:rPr>
            </w:pPr>
            <w:r w:rsidRPr="0062060F">
              <w:rPr>
                <w:rFonts w:cs="Arial"/>
                <w:color w:val="000000"/>
                <w:sz w:val="20"/>
                <w:lang w:val="en-GB"/>
              </w:rPr>
              <w:t>Prepared by</w:t>
            </w:r>
            <w:r w:rsidR="000470AA" w:rsidRPr="0062060F">
              <w:rPr>
                <w:rFonts w:cs="Arial"/>
                <w:color w:val="000000"/>
                <w:sz w:val="20"/>
                <w:lang w:val="en-GB"/>
              </w:rPr>
              <w:t>:</w:t>
            </w:r>
          </w:p>
          <w:p w:rsidR="000470AA" w:rsidRPr="0062060F" w:rsidRDefault="00E05C32" w:rsidP="00D00796">
            <w:pPr>
              <w:spacing w:before="0" w:after="0" w:line="240" w:lineRule="auto"/>
              <w:rPr>
                <w:rFonts w:cs="Arial"/>
                <w:b/>
                <w:color w:val="000000"/>
                <w:sz w:val="20"/>
                <w:lang w:val="en-GB"/>
              </w:rPr>
            </w:pPr>
            <w:r w:rsidRPr="0062060F">
              <w:rPr>
                <w:rFonts w:cs="Arial"/>
                <w:b/>
                <w:color w:val="000000"/>
                <w:sz w:val="20"/>
                <w:lang w:val="en-GB"/>
              </w:rPr>
              <w:t>Labour Market Department</w:t>
            </w:r>
          </w:p>
          <w:p w:rsidR="00E05C32" w:rsidRPr="0062060F" w:rsidRDefault="00B97220" w:rsidP="00E05C32">
            <w:pPr>
              <w:spacing w:before="0" w:after="0" w:line="240" w:lineRule="auto"/>
              <w:rPr>
                <w:rFonts w:cs="Arial"/>
                <w:b/>
                <w:color w:val="000000"/>
                <w:sz w:val="20"/>
                <w:lang w:val="en-GB"/>
              </w:rPr>
            </w:pPr>
            <w:r w:rsidRPr="0062060F">
              <w:rPr>
                <w:rFonts w:cs="Arial"/>
                <w:b/>
                <w:color w:val="000000"/>
                <w:sz w:val="20"/>
                <w:lang w:val="en-GB"/>
              </w:rPr>
              <w:t xml:space="preserve">Director </w:t>
            </w:r>
            <w:r w:rsidR="00653A1A" w:rsidRPr="0062060F">
              <w:rPr>
                <w:rFonts w:cs="Arial"/>
                <w:b/>
                <w:color w:val="000000"/>
                <w:sz w:val="20"/>
                <w:lang w:val="en-GB"/>
              </w:rPr>
              <w:t>Agnieszka Zgierska</w:t>
            </w:r>
          </w:p>
          <w:p w:rsidR="00DE59E1" w:rsidRPr="0062060F" w:rsidRDefault="00DE59E1" w:rsidP="00DE59E1">
            <w:pPr>
              <w:pStyle w:val="Nagwek3"/>
              <w:spacing w:before="0" w:line="240" w:lineRule="auto"/>
              <w:rPr>
                <w:rFonts w:ascii="Fira Sans" w:hAnsi="Fira Sans" w:cs="Arial"/>
                <w:color w:val="000000"/>
                <w:sz w:val="20"/>
                <w:lang w:val="en-GB"/>
              </w:rPr>
            </w:pPr>
            <w:r w:rsidRPr="0062060F">
              <w:rPr>
                <w:rFonts w:ascii="Fira Sans" w:hAnsi="Fira Sans" w:cs="Arial"/>
                <w:color w:val="000000"/>
                <w:sz w:val="20"/>
                <w:lang w:val="en-GB"/>
              </w:rPr>
              <w:t>Office: tel. (+48 22) 608 3</w:t>
            </w:r>
            <w:r w:rsidR="00DE7001">
              <w:rPr>
                <w:rFonts w:ascii="Fira Sans" w:hAnsi="Fira Sans" w:cs="Arial"/>
                <w:color w:val="000000"/>
                <w:sz w:val="20"/>
                <w:lang w:val="en-GB"/>
              </w:rPr>
              <w:t>0</w:t>
            </w:r>
            <w:r w:rsidRPr="0062060F">
              <w:rPr>
                <w:rFonts w:ascii="Fira Sans" w:hAnsi="Fira Sans" w:cs="Arial"/>
                <w:color w:val="000000"/>
                <w:sz w:val="20"/>
                <w:lang w:val="en-GB"/>
              </w:rPr>
              <w:t xml:space="preserve"> 1</w:t>
            </w:r>
            <w:r w:rsidR="00DE7001">
              <w:rPr>
                <w:rFonts w:ascii="Fira Sans" w:hAnsi="Fira Sans" w:cs="Arial"/>
                <w:color w:val="000000"/>
                <w:sz w:val="20"/>
                <w:lang w:val="en-GB"/>
              </w:rPr>
              <w:t>5</w:t>
            </w:r>
          </w:p>
          <w:p w:rsidR="000470AA" w:rsidRPr="0062060F" w:rsidRDefault="000470AA" w:rsidP="00653A1A">
            <w:pPr>
              <w:pStyle w:val="Nagwek3"/>
              <w:spacing w:before="0" w:line="240" w:lineRule="auto"/>
              <w:rPr>
                <w:rFonts w:ascii="Fira Sans" w:eastAsia="Fira Sans Light" w:hAnsi="Fira Sans" w:cs="Arial"/>
                <w:b/>
                <w:color w:val="000000"/>
                <w:sz w:val="20"/>
                <w:szCs w:val="22"/>
                <w:u w:val="single"/>
                <w:lang w:val="en-GB"/>
              </w:rPr>
            </w:pPr>
          </w:p>
        </w:tc>
        <w:tc>
          <w:tcPr>
            <w:tcW w:w="3728" w:type="dxa"/>
          </w:tcPr>
          <w:p w:rsidR="00AC3FCE" w:rsidRPr="0062060F" w:rsidRDefault="001D2736" w:rsidP="00E23337">
            <w:pPr>
              <w:spacing w:before="0" w:after="0" w:line="276" w:lineRule="auto"/>
              <w:rPr>
                <w:rFonts w:cs="Arial"/>
                <w:b/>
                <w:color w:val="000000"/>
                <w:sz w:val="20"/>
                <w:lang w:val="en-GB"/>
              </w:rPr>
            </w:pPr>
            <w:r w:rsidRPr="0062060F">
              <w:rPr>
                <w:rFonts w:cs="Arial"/>
                <w:color w:val="000000"/>
                <w:sz w:val="20"/>
                <w:lang w:val="en-GB"/>
              </w:rPr>
              <w:t>Issued by</w:t>
            </w:r>
            <w:r w:rsidR="000470AA" w:rsidRPr="0062060F">
              <w:rPr>
                <w:rFonts w:cs="Arial"/>
                <w:color w:val="000000"/>
                <w:sz w:val="20"/>
                <w:lang w:val="en-GB"/>
              </w:rPr>
              <w:t>:</w:t>
            </w:r>
            <w:r w:rsidR="000470AA" w:rsidRPr="0062060F">
              <w:rPr>
                <w:rFonts w:cs="Arial"/>
                <w:color w:val="000000"/>
                <w:sz w:val="20"/>
                <w:lang w:val="en-GB"/>
              </w:rPr>
              <w:br/>
            </w:r>
            <w:r w:rsidR="00AC3FCE" w:rsidRPr="0062060F">
              <w:rPr>
                <w:rFonts w:cs="Arial"/>
                <w:b/>
                <w:color w:val="000000"/>
                <w:sz w:val="20"/>
                <w:lang w:val="en-GB"/>
              </w:rPr>
              <w:t>The Spoke</w:t>
            </w:r>
            <w:r w:rsidR="00B97220" w:rsidRPr="0062060F">
              <w:rPr>
                <w:rFonts w:cs="Arial"/>
                <w:b/>
                <w:color w:val="000000"/>
                <w:sz w:val="20"/>
                <w:lang w:val="en-GB"/>
              </w:rPr>
              <w:t>s</w:t>
            </w:r>
            <w:r w:rsidR="00AC3FCE" w:rsidRPr="0062060F">
              <w:rPr>
                <w:rFonts w:cs="Arial"/>
                <w:b/>
                <w:color w:val="000000"/>
                <w:sz w:val="20"/>
                <w:lang w:val="en-GB"/>
              </w:rPr>
              <w:t>person</w:t>
            </w:r>
            <w:r w:rsidRPr="0062060F">
              <w:rPr>
                <w:rFonts w:cs="Arial"/>
                <w:b/>
                <w:color w:val="000000"/>
                <w:sz w:val="20"/>
                <w:lang w:val="en-GB"/>
              </w:rPr>
              <w:t xml:space="preserve"> </w:t>
            </w:r>
            <w:r w:rsidR="00AC3FCE" w:rsidRPr="0062060F">
              <w:rPr>
                <w:rFonts w:cs="Arial"/>
                <w:b/>
                <w:color w:val="000000"/>
                <w:sz w:val="20"/>
                <w:lang w:val="en-GB"/>
              </w:rPr>
              <w:t>for</w:t>
            </w:r>
            <w:r w:rsidRPr="0062060F">
              <w:rPr>
                <w:rFonts w:cs="Arial"/>
                <w:b/>
                <w:color w:val="000000"/>
                <w:sz w:val="20"/>
                <w:lang w:val="en-GB"/>
              </w:rPr>
              <w:t xml:space="preserve"> the President</w:t>
            </w:r>
            <w:r w:rsidR="00AC3FCE" w:rsidRPr="0062060F">
              <w:rPr>
                <w:rFonts w:cs="Arial"/>
                <w:b/>
                <w:color w:val="000000"/>
                <w:sz w:val="20"/>
                <w:lang w:val="en-GB"/>
              </w:rPr>
              <w:t xml:space="preserve"> </w:t>
            </w:r>
          </w:p>
          <w:p w:rsidR="000470AA" w:rsidRPr="0062060F" w:rsidRDefault="002D5D08" w:rsidP="00E23337">
            <w:pPr>
              <w:spacing w:before="0" w:after="0" w:line="276" w:lineRule="auto"/>
              <w:rPr>
                <w:rFonts w:cs="Arial"/>
                <w:b/>
                <w:color w:val="000000"/>
                <w:sz w:val="20"/>
                <w:lang w:val="en-GB"/>
              </w:rPr>
            </w:pPr>
            <w:r w:rsidRPr="0062060F">
              <w:rPr>
                <w:rFonts w:cs="Arial"/>
                <w:b/>
                <w:color w:val="000000"/>
                <w:sz w:val="20"/>
                <w:lang w:val="en-GB"/>
              </w:rPr>
              <w:t>o</w:t>
            </w:r>
            <w:r w:rsidR="00AC3FCE" w:rsidRPr="0062060F">
              <w:rPr>
                <w:rFonts w:cs="Arial"/>
                <w:b/>
                <w:color w:val="000000"/>
                <w:sz w:val="20"/>
                <w:lang w:val="en-GB"/>
              </w:rPr>
              <w:t>f</w:t>
            </w:r>
            <w:r w:rsidRPr="0062060F">
              <w:rPr>
                <w:rFonts w:cs="Arial"/>
                <w:b/>
                <w:color w:val="000000"/>
                <w:sz w:val="20"/>
                <w:lang w:val="en-GB"/>
              </w:rPr>
              <w:t xml:space="preserve"> </w:t>
            </w:r>
            <w:r w:rsidR="00AC3FCE" w:rsidRPr="0062060F">
              <w:rPr>
                <w:rFonts w:cs="Arial"/>
                <w:b/>
                <w:color w:val="000000"/>
                <w:sz w:val="20"/>
                <w:lang w:val="en-GB"/>
              </w:rPr>
              <w:t>Statistic</w:t>
            </w:r>
            <w:r w:rsidRPr="0062060F">
              <w:rPr>
                <w:rFonts w:cs="Arial"/>
                <w:b/>
                <w:color w:val="000000"/>
                <w:sz w:val="20"/>
                <w:lang w:val="en-GB"/>
              </w:rPr>
              <w:t>s</w:t>
            </w:r>
            <w:r w:rsidR="00AC3FCE" w:rsidRPr="0062060F">
              <w:rPr>
                <w:rFonts w:cs="Arial"/>
                <w:b/>
                <w:color w:val="000000"/>
                <w:sz w:val="20"/>
                <w:lang w:val="en-GB"/>
              </w:rPr>
              <w:t xml:space="preserve"> Poland</w:t>
            </w:r>
          </w:p>
          <w:p w:rsidR="000470AA" w:rsidRPr="0062060F" w:rsidRDefault="000470AA" w:rsidP="00D00796">
            <w:pPr>
              <w:pStyle w:val="Nagwek3"/>
              <w:spacing w:before="0" w:line="240" w:lineRule="auto"/>
              <w:rPr>
                <w:rFonts w:ascii="Fira Sans" w:hAnsi="Fira Sans" w:cs="Arial"/>
                <w:b/>
                <w:color w:val="000000"/>
                <w:sz w:val="20"/>
                <w:szCs w:val="28"/>
                <w:lang w:val="en-GB"/>
              </w:rPr>
            </w:pPr>
            <w:r w:rsidRPr="0062060F">
              <w:rPr>
                <w:rFonts w:ascii="Fira Sans" w:hAnsi="Fira Sans" w:cs="Arial"/>
                <w:b/>
                <w:color w:val="000000"/>
                <w:sz w:val="20"/>
                <w:szCs w:val="28"/>
                <w:lang w:val="en-GB"/>
              </w:rPr>
              <w:t xml:space="preserve">Karolina </w:t>
            </w:r>
            <w:r w:rsidR="00004F50" w:rsidRPr="0062060F">
              <w:rPr>
                <w:rFonts w:ascii="Fira Sans" w:hAnsi="Fira Sans" w:cs="Arial"/>
                <w:b/>
                <w:color w:val="000000"/>
                <w:sz w:val="20"/>
                <w:szCs w:val="28"/>
                <w:lang w:val="en-GB"/>
              </w:rPr>
              <w:t>Banaszek</w:t>
            </w:r>
          </w:p>
          <w:p w:rsidR="00DE59E1" w:rsidRPr="0062060F" w:rsidRDefault="00DE59E1" w:rsidP="00DE59E1">
            <w:pPr>
              <w:pStyle w:val="Nagwek3"/>
              <w:spacing w:before="0" w:line="240" w:lineRule="auto"/>
              <w:rPr>
                <w:rFonts w:ascii="Fira Sans" w:hAnsi="Fira Sans" w:cs="Arial"/>
                <w:color w:val="000000"/>
                <w:sz w:val="20"/>
                <w:lang w:val="en-GB"/>
              </w:rPr>
            </w:pPr>
            <w:r w:rsidRPr="0062060F">
              <w:rPr>
                <w:rFonts w:ascii="Fira Sans" w:hAnsi="Fira Sans" w:cs="Arial"/>
                <w:color w:val="000000"/>
                <w:sz w:val="20"/>
                <w:lang w:val="en-GB"/>
              </w:rPr>
              <w:t>Mobile: (+48) 695 255 011</w:t>
            </w:r>
          </w:p>
          <w:p w:rsidR="000470AA" w:rsidRPr="0062060F" w:rsidRDefault="000470AA" w:rsidP="00D00796">
            <w:pPr>
              <w:pStyle w:val="Nagwek3"/>
              <w:spacing w:before="0" w:line="240" w:lineRule="auto"/>
              <w:rPr>
                <w:rFonts w:ascii="Fira Sans" w:hAnsi="Fira Sans" w:cs="Arial"/>
                <w:color w:val="000000"/>
                <w:sz w:val="20"/>
                <w:szCs w:val="20"/>
                <w:lang w:val="en-GB"/>
              </w:rPr>
            </w:pPr>
          </w:p>
        </w:tc>
      </w:tr>
    </w:tbl>
    <w:p w:rsidR="000470AA" w:rsidRPr="0062060F" w:rsidRDefault="000470AA" w:rsidP="000470AA">
      <w:pPr>
        <w:rPr>
          <w:sz w:val="20"/>
          <w:lang w:val="en-GB"/>
        </w:rPr>
      </w:pPr>
    </w:p>
    <w:p w:rsidR="000470AA" w:rsidRPr="0062060F" w:rsidRDefault="000470AA" w:rsidP="000470AA">
      <w:pPr>
        <w:rPr>
          <w:sz w:val="18"/>
          <w:lang w:val="en-GB"/>
        </w:rPr>
      </w:pPr>
    </w:p>
    <w:tbl>
      <w:tblPr>
        <w:tblW w:w="5000" w:type="pct"/>
        <w:tblCellMar>
          <w:left w:w="57" w:type="dxa"/>
          <w:right w:w="57" w:type="dxa"/>
        </w:tblCellMar>
        <w:tblLook w:val="04A0" w:firstRow="1" w:lastRow="0" w:firstColumn="1" w:lastColumn="0" w:noHBand="0" w:noVBand="1"/>
      </w:tblPr>
      <w:tblGrid>
        <w:gridCol w:w="4452"/>
        <w:gridCol w:w="604"/>
        <w:gridCol w:w="3125"/>
      </w:tblGrid>
      <w:tr w:rsidR="000470AA" w:rsidRPr="001B6E2F" w:rsidTr="00EA20D2">
        <w:trPr>
          <w:trHeight w:val="610"/>
        </w:trPr>
        <w:tc>
          <w:tcPr>
            <w:tcW w:w="2721" w:type="pct"/>
            <w:vMerge w:val="restart"/>
            <w:vAlign w:val="center"/>
          </w:tcPr>
          <w:p w:rsidR="000470AA" w:rsidRPr="0062060F" w:rsidRDefault="001D2736" w:rsidP="000470AA">
            <w:pPr>
              <w:rPr>
                <w:b/>
                <w:sz w:val="20"/>
                <w:lang w:val="en-GB"/>
              </w:rPr>
            </w:pPr>
            <w:r w:rsidRPr="0062060F">
              <w:rPr>
                <w:b/>
                <w:sz w:val="20"/>
                <w:lang w:val="en-GB"/>
              </w:rPr>
              <w:t>Press Office</w:t>
            </w:r>
          </w:p>
          <w:p w:rsidR="003A6B14" w:rsidRPr="0062060F" w:rsidRDefault="003A6B14" w:rsidP="003A6B14">
            <w:pPr>
              <w:rPr>
                <w:sz w:val="20"/>
                <w:lang w:val="en-GB"/>
              </w:rPr>
            </w:pPr>
            <w:r w:rsidRPr="0062060F">
              <w:rPr>
                <w:rFonts w:cs="Arial"/>
                <w:color w:val="000000"/>
                <w:sz w:val="20"/>
                <w:szCs w:val="24"/>
                <w:lang w:val="en-GB"/>
              </w:rPr>
              <w:t xml:space="preserve">Office: tel. (+48 22) </w:t>
            </w:r>
            <w:r w:rsidRPr="0062060F">
              <w:rPr>
                <w:sz w:val="20"/>
                <w:lang w:val="en-GB"/>
              </w:rPr>
              <w:t xml:space="preserve">608 34 91, 608 38 04 </w:t>
            </w:r>
          </w:p>
          <w:p w:rsidR="008812C5" w:rsidRPr="0062060F" w:rsidRDefault="008812C5" w:rsidP="000470AA">
            <w:pPr>
              <w:rPr>
                <w:b/>
                <w:lang w:val="en-GB"/>
              </w:rPr>
            </w:pPr>
            <w:r w:rsidRPr="0062060F">
              <w:rPr>
                <w:b/>
                <w:sz w:val="20"/>
                <w:lang w:val="en-GB"/>
              </w:rPr>
              <w:t>e-mail:</w:t>
            </w:r>
            <w:r w:rsidRPr="0062060F">
              <w:rPr>
                <w:sz w:val="20"/>
                <w:lang w:val="en-GB"/>
              </w:rPr>
              <w:t xml:space="preserve"> </w:t>
            </w:r>
            <w:hyperlink r:id="rId18" w:history="1">
              <w:r w:rsidR="00653A1A" w:rsidRPr="0062060F">
                <w:rPr>
                  <w:rStyle w:val="Hipercze"/>
                  <w:b/>
                  <w:color w:val="auto"/>
                  <w:sz w:val="20"/>
                  <w:lang w:val="en-GB"/>
                </w:rPr>
                <w:t>obslugaprasowa@stat.gov.pl</w:t>
              </w:r>
            </w:hyperlink>
            <w:r w:rsidR="00653A1A" w:rsidRPr="0062060F">
              <w:rPr>
                <w:b/>
                <w:sz w:val="20"/>
                <w:lang w:val="en-GB"/>
              </w:rPr>
              <w:t xml:space="preserve"> </w:t>
            </w:r>
          </w:p>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62060F" w:rsidRDefault="000470AA" w:rsidP="000470AA">
            <w:pPr>
              <w:rPr>
                <w:sz w:val="18"/>
                <w:lang w:val="en-GB"/>
              </w:rPr>
            </w:pPr>
            <w:r w:rsidRPr="0062060F">
              <w:rPr>
                <w:sz w:val="20"/>
                <w:lang w:val="en-GB"/>
              </w:rPr>
              <w:t>www.stat.gov.pl</w:t>
            </w:r>
            <w:r w:rsidR="001D2736" w:rsidRPr="0062060F">
              <w:rPr>
                <w:sz w:val="20"/>
                <w:lang w:val="en-GB"/>
              </w:rPr>
              <w:t>/en/</w:t>
            </w:r>
          </w:p>
        </w:tc>
      </w:tr>
      <w:tr w:rsidR="000470AA" w:rsidRPr="0062060F" w:rsidTr="00EA20D2">
        <w:trPr>
          <w:trHeight w:val="436"/>
        </w:trPr>
        <w:tc>
          <w:tcPr>
            <w:tcW w:w="2721" w:type="pct"/>
            <w:vMerge/>
            <w:vAlign w:val="center"/>
          </w:tcPr>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62060F" w:rsidRDefault="001D2736" w:rsidP="000470AA">
            <w:pPr>
              <w:rPr>
                <w:sz w:val="18"/>
                <w:lang w:val="en-GB"/>
              </w:rPr>
            </w:pPr>
            <w:r w:rsidRPr="0062060F">
              <w:rPr>
                <w:sz w:val="20"/>
                <w:lang w:val="en-GB"/>
              </w:rPr>
              <w:t>@StatPoland</w:t>
            </w:r>
          </w:p>
        </w:tc>
      </w:tr>
      <w:tr w:rsidR="000470AA" w:rsidRPr="0062060F" w:rsidTr="00EA20D2">
        <w:trPr>
          <w:trHeight w:val="436"/>
        </w:trPr>
        <w:tc>
          <w:tcPr>
            <w:tcW w:w="2721" w:type="pct"/>
            <w:vMerge/>
            <w:vAlign w:val="center"/>
          </w:tcPr>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62060F" w:rsidRDefault="000470AA" w:rsidP="000470AA">
            <w:pPr>
              <w:rPr>
                <w:sz w:val="20"/>
                <w:lang w:val="en-GB"/>
              </w:rPr>
            </w:pPr>
            <w:r w:rsidRPr="0062060F">
              <w:rPr>
                <w:sz w:val="20"/>
                <w:lang w:val="en-GB"/>
              </w:rPr>
              <w:t>@GlownyUrzadStatystyczny</w:t>
            </w:r>
          </w:p>
        </w:tc>
      </w:tr>
    </w:tbl>
    <w:p w:rsidR="00D261A2" w:rsidRPr="0062060F" w:rsidRDefault="00B81217" w:rsidP="00E76D26">
      <w:pPr>
        <w:rPr>
          <w:sz w:val="18"/>
          <w:lang w:val="en-GB"/>
        </w:rPr>
      </w:pPr>
      <w:r>
        <w:rPr>
          <w:noProof/>
          <w:sz w:val="18"/>
          <w:lang w:val="en-GB" w:eastAsia="en-GB"/>
        </w:rPr>
        <w:pict>
          <v:shape id="Text Box 6" o:spid="_x0000_s1029"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393DE8"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C31862" w:rsidRDefault="00B81217" w:rsidP="00D17516">
                  <w:pPr>
                    <w:pStyle w:val="Nagwek2"/>
                    <w:rPr>
                      <w:rStyle w:val="Hipercze"/>
                      <w:rFonts w:ascii="Fira Sans" w:eastAsia="Fira Sans Light" w:hAnsi="Fira Sans" w:cs="Arial"/>
                      <w:color w:val="002060"/>
                      <w:sz w:val="18"/>
                      <w:szCs w:val="18"/>
                      <w:shd w:val="clear" w:color="auto" w:fill="F0F0F0"/>
                      <w:lang w:val="en-US"/>
                    </w:rPr>
                  </w:pPr>
                  <w:hyperlink r:id="rId23" w:history="1">
                    <w:r w:rsidR="00D17516" w:rsidRPr="00C31862">
                      <w:rPr>
                        <w:rStyle w:val="Hipercze"/>
                        <w:rFonts w:ascii="Fira Sans" w:eastAsia="Fira Sans Light" w:hAnsi="Fira Sans" w:cs="Arial"/>
                        <w:color w:val="002060"/>
                        <w:sz w:val="18"/>
                        <w:szCs w:val="18"/>
                        <w:shd w:val="clear" w:color="auto" w:fill="F0F0F0"/>
                        <w:lang w:val="en-US"/>
                      </w:rPr>
                      <w:t xml:space="preserve">Employment, wages and salaries in national economy in </w:t>
                    </w:r>
                    <w:r w:rsidR="00C31862" w:rsidRPr="00C31862">
                      <w:rPr>
                        <w:rStyle w:val="Hipercze"/>
                        <w:rFonts w:ascii="Fira Sans" w:eastAsia="Fira Sans Light" w:hAnsi="Fira Sans" w:cs="Arial"/>
                        <w:color w:val="002060"/>
                        <w:sz w:val="18"/>
                        <w:szCs w:val="18"/>
                        <w:shd w:val="clear" w:color="auto" w:fill="F0F0F0"/>
                        <w:lang w:val="en-US"/>
                      </w:rPr>
                      <w:t xml:space="preserve">the </w:t>
                    </w:r>
                    <w:r w:rsidR="004D7468" w:rsidRPr="00C31862">
                      <w:rPr>
                        <w:rStyle w:val="Hipercze"/>
                        <w:rFonts w:ascii="Fira Sans" w:eastAsia="Fira Sans Light" w:hAnsi="Fira Sans" w:cs="Arial"/>
                        <w:color w:val="002060"/>
                        <w:sz w:val="18"/>
                        <w:szCs w:val="18"/>
                        <w:shd w:val="clear" w:color="auto" w:fill="F0F0F0"/>
                        <w:lang w:val="en-US"/>
                      </w:rPr>
                      <w:t xml:space="preserve">first </w:t>
                    </w:r>
                    <w:r w:rsidR="00C31862" w:rsidRPr="00C31862">
                      <w:rPr>
                        <w:rStyle w:val="Hipercze"/>
                        <w:rFonts w:ascii="Fira Sans" w:eastAsia="Fira Sans Light" w:hAnsi="Fira Sans" w:cs="Arial"/>
                        <w:color w:val="002060"/>
                        <w:sz w:val="18"/>
                        <w:szCs w:val="18"/>
                        <w:shd w:val="clear" w:color="auto" w:fill="F0F0F0"/>
                        <w:lang w:val="en-US"/>
                      </w:rPr>
                      <w:t>half</w:t>
                    </w:r>
                    <w:r w:rsidR="004D7468" w:rsidRPr="00C31862">
                      <w:rPr>
                        <w:rStyle w:val="Hipercze"/>
                        <w:rFonts w:ascii="Fira Sans" w:eastAsia="Fira Sans Light" w:hAnsi="Fira Sans" w:cs="Arial"/>
                        <w:color w:val="002060"/>
                        <w:sz w:val="18"/>
                        <w:szCs w:val="18"/>
                        <w:shd w:val="clear" w:color="auto" w:fill="F0F0F0"/>
                        <w:lang w:val="en-US"/>
                      </w:rPr>
                      <w:t xml:space="preserve"> of </w:t>
                    </w:r>
                    <w:r w:rsidR="00954A87" w:rsidRPr="00C31862">
                      <w:rPr>
                        <w:rStyle w:val="Hipercze"/>
                        <w:rFonts w:ascii="Fira Sans" w:eastAsia="Fira Sans Light" w:hAnsi="Fira Sans" w:cs="Arial"/>
                        <w:color w:val="002060"/>
                        <w:sz w:val="18"/>
                        <w:szCs w:val="18"/>
                        <w:shd w:val="clear" w:color="auto" w:fill="F0F0F0"/>
                        <w:lang w:val="en-US"/>
                      </w:rPr>
                      <w:t>202</w:t>
                    </w:r>
                    <w:r w:rsidR="004D7468" w:rsidRPr="00C31862">
                      <w:rPr>
                        <w:rStyle w:val="Hipercze"/>
                        <w:rFonts w:ascii="Fira Sans" w:eastAsia="Fira Sans Light" w:hAnsi="Fira Sans" w:cs="Arial"/>
                        <w:color w:val="002060"/>
                        <w:sz w:val="18"/>
                        <w:szCs w:val="18"/>
                        <w:shd w:val="clear" w:color="auto" w:fill="F0F0F0"/>
                        <w:lang w:val="en-US"/>
                      </w:rPr>
                      <w:t>1</w:t>
                    </w:r>
                  </w:hyperlink>
                </w:p>
                <w:p w:rsidR="00F3480F" w:rsidRPr="004D7468" w:rsidRDefault="00B81217" w:rsidP="00AB6D25">
                  <w:pPr>
                    <w:rPr>
                      <w:rStyle w:val="Hipercze"/>
                      <w:rFonts w:cs="Arial"/>
                      <w:color w:val="001381"/>
                      <w:sz w:val="18"/>
                      <w:szCs w:val="18"/>
                      <w:shd w:val="clear" w:color="auto" w:fill="F0F0F0"/>
                      <w:lang w:val="en-US"/>
                    </w:rPr>
                  </w:pPr>
                  <w:hyperlink r:id="rId24" w:history="1">
                    <w:r w:rsidR="00F3480F" w:rsidRPr="004D7468">
                      <w:rPr>
                        <w:rStyle w:val="Hipercze"/>
                        <w:rFonts w:cs="Arial"/>
                        <w:color w:val="001381"/>
                        <w:sz w:val="18"/>
                        <w:szCs w:val="18"/>
                        <w:shd w:val="clear" w:color="auto" w:fill="F0F0F0"/>
                        <w:lang w:val="en-US"/>
                      </w:rPr>
                      <w:t>Stru</w:t>
                    </w:r>
                    <w:r w:rsidR="004C70AC" w:rsidRPr="004D7468">
                      <w:rPr>
                        <w:rStyle w:val="Hipercze"/>
                        <w:rFonts w:cs="Arial"/>
                        <w:color w:val="001381"/>
                        <w:sz w:val="18"/>
                        <w:szCs w:val="18"/>
                        <w:shd w:val="clear" w:color="auto" w:fill="F0F0F0"/>
                        <w:lang w:val="en-US"/>
                      </w:rPr>
                      <w:t>c</w:t>
                    </w:r>
                    <w:r w:rsidR="00F3480F" w:rsidRPr="004D7468">
                      <w:rPr>
                        <w:rStyle w:val="Hipercze"/>
                        <w:rFonts w:cs="Arial"/>
                        <w:color w:val="001381"/>
                        <w:sz w:val="18"/>
                        <w:szCs w:val="18"/>
                        <w:shd w:val="clear" w:color="auto" w:fill="F0F0F0"/>
                        <w:lang w:val="en-US"/>
                      </w:rPr>
                      <w:t>ture of wages and salaries by occupations in October 201</w:t>
                    </w:r>
                    <w:r w:rsidR="00446D71" w:rsidRPr="004D7468">
                      <w:rPr>
                        <w:rStyle w:val="Hipercze"/>
                        <w:rFonts w:cs="Arial"/>
                        <w:color w:val="001381"/>
                        <w:sz w:val="18"/>
                        <w:szCs w:val="18"/>
                        <w:shd w:val="clear" w:color="auto" w:fill="F0F0F0"/>
                        <w:lang w:val="en-US"/>
                      </w:rPr>
                      <w:t>8</w:t>
                    </w:r>
                  </w:hyperlink>
                </w:p>
                <w:p w:rsidR="0098207F" w:rsidRPr="00B87B70" w:rsidRDefault="00B81217" w:rsidP="00766496">
                  <w:pPr>
                    <w:rPr>
                      <w:rFonts w:cs="Arial"/>
                      <w:color w:val="001D77"/>
                      <w:sz w:val="18"/>
                      <w:szCs w:val="30"/>
                      <w:shd w:val="clear" w:color="auto" w:fill="F0F0F0"/>
                      <w:lang w:val="en-US"/>
                    </w:rPr>
                  </w:pPr>
                  <w:hyperlink r:id="rId25"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B81217" w:rsidP="00766496">
                  <w:pPr>
                    <w:rPr>
                      <w:rStyle w:val="Hipercze"/>
                      <w:rFonts w:cs="Arial"/>
                      <w:color w:val="001D77"/>
                      <w:sz w:val="18"/>
                      <w:szCs w:val="30"/>
                      <w:shd w:val="clear" w:color="auto" w:fill="F0F0F0"/>
                      <w:lang w:val="en-US"/>
                    </w:rPr>
                  </w:pPr>
                  <w:hyperlink r:id="rId26"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B81217"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B81217"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B81217" w:rsidP="001B0C2D">
                  <w:pPr>
                    <w:rPr>
                      <w:color w:val="001D77"/>
                      <w:sz w:val="18"/>
                      <w:szCs w:val="18"/>
                      <w:lang w:val="en-US"/>
                    </w:rPr>
                  </w:pPr>
                  <w:hyperlink r:id="rId29" w:history="1">
                    <w:r w:rsidR="00525365" w:rsidRPr="00525365">
                      <w:rPr>
                        <w:rStyle w:val="Hipercze"/>
                        <w:color w:val="001D77"/>
                        <w:sz w:val="18"/>
                        <w:szCs w:val="18"/>
                        <w:lang w:val="en-US"/>
                      </w:rPr>
                      <w:t>Average paid employment</w:t>
                    </w:r>
                  </w:hyperlink>
                </w:p>
                <w:p w:rsidR="00766496" w:rsidRPr="00B87B70" w:rsidRDefault="00B81217" w:rsidP="001B0C2D">
                  <w:pPr>
                    <w:rPr>
                      <w:rStyle w:val="Hipercze"/>
                      <w:rFonts w:cs="Arial"/>
                      <w:color w:val="001D77"/>
                      <w:sz w:val="18"/>
                      <w:szCs w:val="30"/>
                      <w:shd w:val="clear" w:color="auto" w:fill="F0F0F0"/>
                      <w:lang w:val="en-US"/>
                    </w:rPr>
                  </w:pPr>
                  <w:hyperlink r:id="rId30"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62060F"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17" w:rsidRDefault="00B81217" w:rsidP="000662E2">
      <w:pPr>
        <w:spacing w:after="0" w:line="240" w:lineRule="auto"/>
      </w:pPr>
      <w:r>
        <w:separator/>
      </w:r>
    </w:p>
  </w:endnote>
  <w:endnote w:type="continuationSeparator" w:id="0">
    <w:p w:rsidR="00B81217" w:rsidRDefault="00B8121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393DE8" w:rsidP="003B18B6">
    <w:pPr>
      <w:pStyle w:val="Stopka"/>
      <w:jc w:val="center"/>
    </w:pPr>
    <w:r>
      <w:rPr>
        <w:noProof/>
      </w:rPr>
      <w:fldChar w:fldCharType="begin"/>
    </w:r>
    <w:r w:rsidR="00973F26">
      <w:rPr>
        <w:noProof/>
      </w:rPr>
      <w:instrText>PAGE   \* MERGEFORMAT</w:instrText>
    </w:r>
    <w:r>
      <w:rPr>
        <w:noProof/>
      </w:rPr>
      <w:fldChar w:fldCharType="separate"/>
    </w:r>
    <w:r w:rsidR="00AF3F52">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393DE8" w:rsidP="003B18B6">
    <w:pPr>
      <w:pStyle w:val="Stopka"/>
      <w:jc w:val="center"/>
    </w:pPr>
    <w:r>
      <w:rPr>
        <w:noProof/>
      </w:rPr>
      <w:fldChar w:fldCharType="begin"/>
    </w:r>
    <w:r w:rsidR="00973F26">
      <w:rPr>
        <w:noProof/>
      </w:rPr>
      <w:instrText>PAGE   \* MERGEFORMAT</w:instrText>
    </w:r>
    <w:r>
      <w:rPr>
        <w:noProof/>
      </w:rPr>
      <w:fldChar w:fldCharType="separate"/>
    </w:r>
    <w:r w:rsidR="00AF3F5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393DE8" w:rsidP="003B18B6">
    <w:pPr>
      <w:pStyle w:val="Stopka"/>
      <w:jc w:val="center"/>
    </w:pPr>
    <w:r>
      <w:rPr>
        <w:noProof/>
      </w:rPr>
      <w:fldChar w:fldCharType="begin"/>
    </w:r>
    <w:r w:rsidR="00973F26">
      <w:rPr>
        <w:noProof/>
      </w:rPr>
      <w:instrText>PAGE   \* MERGEFORMAT</w:instrText>
    </w:r>
    <w:r>
      <w:rPr>
        <w:noProof/>
      </w:rPr>
      <w:fldChar w:fldCharType="separate"/>
    </w:r>
    <w:r w:rsidR="00AF3F52">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17" w:rsidRDefault="00B81217" w:rsidP="000662E2">
      <w:pPr>
        <w:spacing w:after="0" w:line="240" w:lineRule="auto"/>
      </w:pPr>
      <w:r>
        <w:separator/>
      </w:r>
    </w:p>
  </w:footnote>
  <w:footnote w:type="continuationSeparator" w:id="0">
    <w:p w:rsidR="00B81217" w:rsidRDefault="00B81217"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B81217">
    <w:pPr>
      <w:pStyle w:val="Nagwek"/>
    </w:pPr>
    <w:r>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B81217">
    <w:pPr>
      <w:pStyle w:val="Nagwek"/>
      <w:rPr>
        <w:noProof/>
        <w:lang w:eastAsia="pl-PL"/>
      </w:rPr>
    </w:pPr>
    <w:r>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5u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Bfebo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B81217">
    <w:pPr>
      <w:pStyle w:val="Nagwek"/>
      <w:rPr>
        <w:noProof/>
        <w:lang w:eastAsia="pl-PL"/>
      </w:rPr>
    </w:pPr>
    <w:r>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w:t>
                </w:r>
                <w:r w:rsidR="00CF07B9">
                  <w:rPr>
                    <w:rFonts w:ascii="Fira Sans SemiBold" w:hAnsi="Fira Sans SemiBold"/>
                    <w:color w:val="001D77"/>
                  </w:rPr>
                  <w:t>7</w:t>
                </w:r>
                <w:r w:rsidR="00276EBC">
                  <w:rPr>
                    <w:rFonts w:ascii="Fira Sans SemiBold" w:hAnsi="Fira Sans SemiBold"/>
                    <w:color w:val="001D77"/>
                  </w:rPr>
                  <w:t>.</w:t>
                </w:r>
                <w:r w:rsidR="009F24D1">
                  <w:rPr>
                    <w:rFonts w:ascii="Fira Sans SemiBold" w:hAnsi="Fira Sans SemiBold"/>
                    <w:color w:val="001D77"/>
                  </w:rPr>
                  <w:t>1</w:t>
                </w:r>
                <w:r w:rsidR="00CF07B9">
                  <w:rPr>
                    <w:rFonts w:ascii="Fira Sans SemiBold" w:hAnsi="Fira Sans SemiBold"/>
                    <w:color w:val="001D77"/>
                  </w:rPr>
                  <w:t>2</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3480F">
    <w:pPr>
      <w:pStyle w:val="Nagwek"/>
    </w:pPr>
  </w:p>
  <w:p w:rsidR="00F3480F" w:rsidRDefault="00F348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05pt;height:123.05pt;visibility:visible" o:bullet="t">
        <v:imagedata r:id="rId1" o:title=""/>
      </v:shape>
    </w:pict>
  </w:numPicBullet>
  <w:numPicBullet w:numPicBulletId="1">
    <w:pict>
      <v:shape id="_x0000_i1029" type="#_x0000_t75" style="width:122.5pt;height:123.0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8168D"/>
    <w:rsid w:val="000924E9"/>
    <w:rsid w:val="00093C74"/>
    <w:rsid w:val="00095252"/>
    <w:rsid w:val="00097C9E"/>
    <w:rsid w:val="000A295F"/>
    <w:rsid w:val="000A2E3D"/>
    <w:rsid w:val="000A3EB3"/>
    <w:rsid w:val="000A465D"/>
    <w:rsid w:val="000A765C"/>
    <w:rsid w:val="000B0727"/>
    <w:rsid w:val="000B33AB"/>
    <w:rsid w:val="000B4165"/>
    <w:rsid w:val="000B7DF1"/>
    <w:rsid w:val="000C0DD6"/>
    <w:rsid w:val="000C135D"/>
    <w:rsid w:val="000C1A8A"/>
    <w:rsid w:val="000C1DAF"/>
    <w:rsid w:val="000C44F0"/>
    <w:rsid w:val="000C4946"/>
    <w:rsid w:val="000C4AED"/>
    <w:rsid w:val="000D1D43"/>
    <w:rsid w:val="000D225C"/>
    <w:rsid w:val="000D2A5C"/>
    <w:rsid w:val="000D649C"/>
    <w:rsid w:val="000E0918"/>
    <w:rsid w:val="000E6B83"/>
    <w:rsid w:val="000F03A2"/>
    <w:rsid w:val="000F0757"/>
    <w:rsid w:val="000F0C92"/>
    <w:rsid w:val="000F435B"/>
    <w:rsid w:val="000F44A1"/>
    <w:rsid w:val="000F73CC"/>
    <w:rsid w:val="001011C3"/>
    <w:rsid w:val="00101A27"/>
    <w:rsid w:val="00101CCA"/>
    <w:rsid w:val="00110D87"/>
    <w:rsid w:val="00110DD5"/>
    <w:rsid w:val="0011367C"/>
    <w:rsid w:val="00113B14"/>
    <w:rsid w:val="00114DB9"/>
    <w:rsid w:val="00116087"/>
    <w:rsid w:val="001208C2"/>
    <w:rsid w:val="00124CB7"/>
    <w:rsid w:val="00130296"/>
    <w:rsid w:val="001307B1"/>
    <w:rsid w:val="00135B5E"/>
    <w:rsid w:val="001423B6"/>
    <w:rsid w:val="001448A7"/>
    <w:rsid w:val="00144B29"/>
    <w:rsid w:val="00146621"/>
    <w:rsid w:val="00147742"/>
    <w:rsid w:val="00150BDC"/>
    <w:rsid w:val="00150C96"/>
    <w:rsid w:val="001521B4"/>
    <w:rsid w:val="0015442E"/>
    <w:rsid w:val="00155F06"/>
    <w:rsid w:val="00162325"/>
    <w:rsid w:val="001639A6"/>
    <w:rsid w:val="00163FAA"/>
    <w:rsid w:val="00165CD9"/>
    <w:rsid w:val="00166B2E"/>
    <w:rsid w:val="00173300"/>
    <w:rsid w:val="001748A2"/>
    <w:rsid w:val="00174A90"/>
    <w:rsid w:val="00181E8C"/>
    <w:rsid w:val="00181EA5"/>
    <w:rsid w:val="00186DA1"/>
    <w:rsid w:val="00192A21"/>
    <w:rsid w:val="00192C07"/>
    <w:rsid w:val="001951DA"/>
    <w:rsid w:val="00195EB2"/>
    <w:rsid w:val="00196DF8"/>
    <w:rsid w:val="001A2C51"/>
    <w:rsid w:val="001A46CD"/>
    <w:rsid w:val="001B0C2D"/>
    <w:rsid w:val="001B1F4E"/>
    <w:rsid w:val="001B213A"/>
    <w:rsid w:val="001B2881"/>
    <w:rsid w:val="001B6E2F"/>
    <w:rsid w:val="001C2A3E"/>
    <w:rsid w:val="001C2ACC"/>
    <w:rsid w:val="001C3269"/>
    <w:rsid w:val="001C51EE"/>
    <w:rsid w:val="001C6A91"/>
    <w:rsid w:val="001D16BF"/>
    <w:rsid w:val="001D1DB4"/>
    <w:rsid w:val="001D2186"/>
    <w:rsid w:val="001D2736"/>
    <w:rsid w:val="001E65AD"/>
    <w:rsid w:val="001E7702"/>
    <w:rsid w:val="001F4B88"/>
    <w:rsid w:val="001F5212"/>
    <w:rsid w:val="001F63A4"/>
    <w:rsid w:val="00201AB9"/>
    <w:rsid w:val="0020420C"/>
    <w:rsid w:val="00204F5E"/>
    <w:rsid w:val="00211398"/>
    <w:rsid w:val="00211520"/>
    <w:rsid w:val="00221A81"/>
    <w:rsid w:val="00221B28"/>
    <w:rsid w:val="002221FE"/>
    <w:rsid w:val="00223CE0"/>
    <w:rsid w:val="00224563"/>
    <w:rsid w:val="00226295"/>
    <w:rsid w:val="0023248A"/>
    <w:rsid w:val="0023501C"/>
    <w:rsid w:val="00235764"/>
    <w:rsid w:val="00245C03"/>
    <w:rsid w:val="002503E6"/>
    <w:rsid w:val="00251345"/>
    <w:rsid w:val="0025292F"/>
    <w:rsid w:val="00254C5C"/>
    <w:rsid w:val="002574F9"/>
    <w:rsid w:val="002578F1"/>
    <w:rsid w:val="00262B61"/>
    <w:rsid w:val="00267420"/>
    <w:rsid w:val="00272037"/>
    <w:rsid w:val="002741B9"/>
    <w:rsid w:val="00276811"/>
    <w:rsid w:val="00276EBC"/>
    <w:rsid w:val="00282699"/>
    <w:rsid w:val="00282E7B"/>
    <w:rsid w:val="00282FEA"/>
    <w:rsid w:val="00286256"/>
    <w:rsid w:val="002926DF"/>
    <w:rsid w:val="0029289B"/>
    <w:rsid w:val="002930BA"/>
    <w:rsid w:val="00293DE3"/>
    <w:rsid w:val="0029568F"/>
    <w:rsid w:val="00296697"/>
    <w:rsid w:val="002A1477"/>
    <w:rsid w:val="002A28FD"/>
    <w:rsid w:val="002A35B9"/>
    <w:rsid w:val="002A71A0"/>
    <w:rsid w:val="002B0472"/>
    <w:rsid w:val="002B1462"/>
    <w:rsid w:val="002B3F97"/>
    <w:rsid w:val="002B6B12"/>
    <w:rsid w:val="002B79CB"/>
    <w:rsid w:val="002C407E"/>
    <w:rsid w:val="002C49F6"/>
    <w:rsid w:val="002D1242"/>
    <w:rsid w:val="002D12A1"/>
    <w:rsid w:val="002D2972"/>
    <w:rsid w:val="002D3583"/>
    <w:rsid w:val="002D4734"/>
    <w:rsid w:val="002D5D08"/>
    <w:rsid w:val="002D70BB"/>
    <w:rsid w:val="002D7986"/>
    <w:rsid w:val="002E0BA7"/>
    <w:rsid w:val="002E6140"/>
    <w:rsid w:val="002E6985"/>
    <w:rsid w:val="002E71B6"/>
    <w:rsid w:val="002F6420"/>
    <w:rsid w:val="002F6EC9"/>
    <w:rsid w:val="002F77C8"/>
    <w:rsid w:val="00300762"/>
    <w:rsid w:val="00300E6B"/>
    <w:rsid w:val="003026AE"/>
    <w:rsid w:val="003034AC"/>
    <w:rsid w:val="003039E2"/>
    <w:rsid w:val="00304F22"/>
    <w:rsid w:val="00306C7C"/>
    <w:rsid w:val="00307599"/>
    <w:rsid w:val="003114C7"/>
    <w:rsid w:val="003153FD"/>
    <w:rsid w:val="00315AE1"/>
    <w:rsid w:val="00321FC3"/>
    <w:rsid w:val="00322EDD"/>
    <w:rsid w:val="00326BE6"/>
    <w:rsid w:val="003318D9"/>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3DE8"/>
    <w:rsid w:val="003952AC"/>
    <w:rsid w:val="003956C1"/>
    <w:rsid w:val="00397D18"/>
    <w:rsid w:val="003A1B36"/>
    <w:rsid w:val="003A6B14"/>
    <w:rsid w:val="003B06C2"/>
    <w:rsid w:val="003B1454"/>
    <w:rsid w:val="003B18B6"/>
    <w:rsid w:val="003B2E6B"/>
    <w:rsid w:val="003C0727"/>
    <w:rsid w:val="003C29CE"/>
    <w:rsid w:val="003C5417"/>
    <w:rsid w:val="003C59E0"/>
    <w:rsid w:val="003C6849"/>
    <w:rsid w:val="003C6C8D"/>
    <w:rsid w:val="003D0943"/>
    <w:rsid w:val="003D3D28"/>
    <w:rsid w:val="003D4F95"/>
    <w:rsid w:val="003D5D73"/>
    <w:rsid w:val="003D5F42"/>
    <w:rsid w:val="003D60A9"/>
    <w:rsid w:val="003D68A9"/>
    <w:rsid w:val="003E20B8"/>
    <w:rsid w:val="003E505E"/>
    <w:rsid w:val="003E5411"/>
    <w:rsid w:val="003E5B60"/>
    <w:rsid w:val="003E7D33"/>
    <w:rsid w:val="003F2755"/>
    <w:rsid w:val="003F4148"/>
    <w:rsid w:val="003F42A9"/>
    <w:rsid w:val="003F4BBC"/>
    <w:rsid w:val="003F4C97"/>
    <w:rsid w:val="003F66C6"/>
    <w:rsid w:val="003F7FE6"/>
    <w:rsid w:val="00400193"/>
    <w:rsid w:val="00406289"/>
    <w:rsid w:val="004117CF"/>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969"/>
    <w:rsid w:val="00475D61"/>
    <w:rsid w:val="00477BDC"/>
    <w:rsid w:val="00483B1D"/>
    <w:rsid w:val="0048457F"/>
    <w:rsid w:val="00486853"/>
    <w:rsid w:val="00490A16"/>
    <w:rsid w:val="00490D06"/>
    <w:rsid w:val="00492726"/>
    <w:rsid w:val="00495DBA"/>
    <w:rsid w:val="0049621B"/>
    <w:rsid w:val="004A0948"/>
    <w:rsid w:val="004B12C1"/>
    <w:rsid w:val="004B5D2A"/>
    <w:rsid w:val="004B7246"/>
    <w:rsid w:val="004B7DAD"/>
    <w:rsid w:val="004C0D0B"/>
    <w:rsid w:val="004C1895"/>
    <w:rsid w:val="004C197C"/>
    <w:rsid w:val="004C5356"/>
    <w:rsid w:val="004C6D40"/>
    <w:rsid w:val="004C70AC"/>
    <w:rsid w:val="004D3E1A"/>
    <w:rsid w:val="004D69CA"/>
    <w:rsid w:val="004D7468"/>
    <w:rsid w:val="004E60D2"/>
    <w:rsid w:val="004F0C3C"/>
    <w:rsid w:val="004F2EF2"/>
    <w:rsid w:val="004F63FC"/>
    <w:rsid w:val="005025B2"/>
    <w:rsid w:val="00503CB3"/>
    <w:rsid w:val="00504718"/>
    <w:rsid w:val="00505A92"/>
    <w:rsid w:val="005062D3"/>
    <w:rsid w:val="00510B3F"/>
    <w:rsid w:val="00511096"/>
    <w:rsid w:val="00513D9E"/>
    <w:rsid w:val="0051588D"/>
    <w:rsid w:val="00516013"/>
    <w:rsid w:val="00516EE0"/>
    <w:rsid w:val="005203F1"/>
    <w:rsid w:val="00521BC3"/>
    <w:rsid w:val="00525365"/>
    <w:rsid w:val="00530317"/>
    <w:rsid w:val="00531151"/>
    <w:rsid w:val="00533632"/>
    <w:rsid w:val="00533BDE"/>
    <w:rsid w:val="00535754"/>
    <w:rsid w:val="00541E6E"/>
    <w:rsid w:val="0054251F"/>
    <w:rsid w:val="005520D8"/>
    <w:rsid w:val="00555412"/>
    <w:rsid w:val="00556CF1"/>
    <w:rsid w:val="00561FF0"/>
    <w:rsid w:val="0056599D"/>
    <w:rsid w:val="005669A1"/>
    <w:rsid w:val="00566A53"/>
    <w:rsid w:val="0057362F"/>
    <w:rsid w:val="00574DA8"/>
    <w:rsid w:val="005762A7"/>
    <w:rsid w:val="00581CBC"/>
    <w:rsid w:val="005916D7"/>
    <w:rsid w:val="005919BB"/>
    <w:rsid w:val="00593031"/>
    <w:rsid w:val="00593E00"/>
    <w:rsid w:val="00595CE7"/>
    <w:rsid w:val="005A0878"/>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659E"/>
    <w:rsid w:val="00607CC5"/>
    <w:rsid w:val="00611ACB"/>
    <w:rsid w:val="006128F0"/>
    <w:rsid w:val="00613EDD"/>
    <w:rsid w:val="00617F93"/>
    <w:rsid w:val="0062060F"/>
    <w:rsid w:val="00627A06"/>
    <w:rsid w:val="0063234F"/>
    <w:rsid w:val="00632FF5"/>
    <w:rsid w:val="00633014"/>
    <w:rsid w:val="00633F14"/>
    <w:rsid w:val="0063437B"/>
    <w:rsid w:val="00636196"/>
    <w:rsid w:val="00643DEC"/>
    <w:rsid w:val="00653A1A"/>
    <w:rsid w:val="00660524"/>
    <w:rsid w:val="006673CA"/>
    <w:rsid w:val="00670DB7"/>
    <w:rsid w:val="0067332F"/>
    <w:rsid w:val="00673C26"/>
    <w:rsid w:val="006744D8"/>
    <w:rsid w:val="00676532"/>
    <w:rsid w:val="006812AF"/>
    <w:rsid w:val="00682869"/>
    <w:rsid w:val="0068327D"/>
    <w:rsid w:val="0068483B"/>
    <w:rsid w:val="006864D5"/>
    <w:rsid w:val="006875F3"/>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0AC7"/>
    <w:rsid w:val="006D1507"/>
    <w:rsid w:val="006D1C56"/>
    <w:rsid w:val="006D1CFD"/>
    <w:rsid w:val="006D4054"/>
    <w:rsid w:val="006D4262"/>
    <w:rsid w:val="006D5611"/>
    <w:rsid w:val="006D5981"/>
    <w:rsid w:val="006D5B5D"/>
    <w:rsid w:val="006D5E63"/>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0FE9"/>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30D3"/>
    <w:rsid w:val="00834AD3"/>
    <w:rsid w:val="008429FA"/>
    <w:rsid w:val="00843795"/>
    <w:rsid w:val="00844171"/>
    <w:rsid w:val="0084506C"/>
    <w:rsid w:val="00847390"/>
    <w:rsid w:val="00847F0F"/>
    <w:rsid w:val="00852448"/>
    <w:rsid w:val="008533CB"/>
    <w:rsid w:val="008568E8"/>
    <w:rsid w:val="00866564"/>
    <w:rsid w:val="0086670C"/>
    <w:rsid w:val="00866891"/>
    <w:rsid w:val="008679EA"/>
    <w:rsid w:val="00870FA6"/>
    <w:rsid w:val="00871BC4"/>
    <w:rsid w:val="00873FA3"/>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94"/>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165B7"/>
    <w:rsid w:val="009227A6"/>
    <w:rsid w:val="00927F96"/>
    <w:rsid w:val="00933EC1"/>
    <w:rsid w:val="00940201"/>
    <w:rsid w:val="009420C4"/>
    <w:rsid w:val="0094698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5438"/>
    <w:rsid w:val="00987E71"/>
    <w:rsid w:val="00991BAC"/>
    <w:rsid w:val="009A3006"/>
    <w:rsid w:val="009A4046"/>
    <w:rsid w:val="009A55E2"/>
    <w:rsid w:val="009A663E"/>
    <w:rsid w:val="009A6EA0"/>
    <w:rsid w:val="009A767E"/>
    <w:rsid w:val="009B0C37"/>
    <w:rsid w:val="009B225F"/>
    <w:rsid w:val="009B729C"/>
    <w:rsid w:val="009C1335"/>
    <w:rsid w:val="009C1AB2"/>
    <w:rsid w:val="009C21F3"/>
    <w:rsid w:val="009C4DDA"/>
    <w:rsid w:val="009C504A"/>
    <w:rsid w:val="009C5F4C"/>
    <w:rsid w:val="009C7251"/>
    <w:rsid w:val="009D0F48"/>
    <w:rsid w:val="009D674D"/>
    <w:rsid w:val="009E2E85"/>
    <w:rsid w:val="009E2E91"/>
    <w:rsid w:val="009E418E"/>
    <w:rsid w:val="009E79E0"/>
    <w:rsid w:val="009F021D"/>
    <w:rsid w:val="009F24D1"/>
    <w:rsid w:val="009F2CFE"/>
    <w:rsid w:val="009F42C6"/>
    <w:rsid w:val="00A03A0F"/>
    <w:rsid w:val="00A068D2"/>
    <w:rsid w:val="00A06E57"/>
    <w:rsid w:val="00A11897"/>
    <w:rsid w:val="00A11F91"/>
    <w:rsid w:val="00A12180"/>
    <w:rsid w:val="00A139F5"/>
    <w:rsid w:val="00A14ACA"/>
    <w:rsid w:val="00A15354"/>
    <w:rsid w:val="00A15B1D"/>
    <w:rsid w:val="00A15EEE"/>
    <w:rsid w:val="00A217BE"/>
    <w:rsid w:val="00A237EA"/>
    <w:rsid w:val="00A25697"/>
    <w:rsid w:val="00A27B05"/>
    <w:rsid w:val="00A313E9"/>
    <w:rsid w:val="00A3228B"/>
    <w:rsid w:val="00A365F4"/>
    <w:rsid w:val="00A42AC5"/>
    <w:rsid w:val="00A43C05"/>
    <w:rsid w:val="00A47D80"/>
    <w:rsid w:val="00A511D5"/>
    <w:rsid w:val="00A5215E"/>
    <w:rsid w:val="00A53132"/>
    <w:rsid w:val="00A54ADB"/>
    <w:rsid w:val="00A552AE"/>
    <w:rsid w:val="00A55A23"/>
    <w:rsid w:val="00A563F2"/>
    <w:rsid w:val="00A566E8"/>
    <w:rsid w:val="00A611FC"/>
    <w:rsid w:val="00A63DB9"/>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A10"/>
    <w:rsid w:val="00AC3FCE"/>
    <w:rsid w:val="00AC49F8"/>
    <w:rsid w:val="00AD74D4"/>
    <w:rsid w:val="00AE2D4B"/>
    <w:rsid w:val="00AE4F99"/>
    <w:rsid w:val="00AE61BB"/>
    <w:rsid w:val="00AF3F52"/>
    <w:rsid w:val="00AF4A22"/>
    <w:rsid w:val="00AF7ED5"/>
    <w:rsid w:val="00B0731B"/>
    <w:rsid w:val="00B074E0"/>
    <w:rsid w:val="00B07672"/>
    <w:rsid w:val="00B1321E"/>
    <w:rsid w:val="00B14952"/>
    <w:rsid w:val="00B170FF"/>
    <w:rsid w:val="00B22B76"/>
    <w:rsid w:val="00B24D82"/>
    <w:rsid w:val="00B265F4"/>
    <w:rsid w:val="00B30B6C"/>
    <w:rsid w:val="00B31E5A"/>
    <w:rsid w:val="00B31FA9"/>
    <w:rsid w:val="00B43335"/>
    <w:rsid w:val="00B45DC4"/>
    <w:rsid w:val="00B4625D"/>
    <w:rsid w:val="00B46FDE"/>
    <w:rsid w:val="00B47130"/>
    <w:rsid w:val="00B4722F"/>
    <w:rsid w:val="00B5163B"/>
    <w:rsid w:val="00B556A3"/>
    <w:rsid w:val="00B601CF"/>
    <w:rsid w:val="00B62AE9"/>
    <w:rsid w:val="00B653AB"/>
    <w:rsid w:val="00B65F9E"/>
    <w:rsid w:val="00B6634A"/>
    <w:rsid w:val="00B66962"/>
    <w:rsid w:val="00B66B19"/>
    <w:rsid w:val="00B72C32"/>
    <w:rsid w:val="00B81217"/>
    <w:rsid w:val="00B834D9"/>
    <w:rsid w:val="00B872F7"/>
    <w:rsid w:val="00B87B70"/>
    <w:rsid w:val="00B914E9"/>
    <w:rsid w:val="00B92B8B"/>
    <w:rsid w:val="00B94E79"/>
    <w:rsid w:val="00B956EE"/>
    <w:rsid w:val="00B95E4A"/>
    <w:rsid w:val="00B97220"/>
    <w:rsid w:val="00B97BCC"/>
    <w:rsid w:val="00BA2B5E"/>
    <w:rsid w:val="00BA2BA1"/>
    <w:rsid w:val="00BA4F06"/>
    <w:rsid w:val="00BB4F09"/>
    <w:rsid w:val="00BB7E7B"/>
    <w:rsid w:val="00BC0009"/>
    <w:rsid w:val="00BC09C9"/>
    <w:rsid w:val="00BC2062"/>
    <w:rsid w:val="00BC3FDE"/>
    <w:rsid w:val="00BC51D4"/>
    <w:rsid w:val="00BC73A8"/>
    <w:rsid w:val="00BD3236"/>
    <w:rsid w:val="00BD4E33"/>
    <w:rsid w:val="00BD6356"/>
    <w:rsid w:val="00BD66AC"/>
    <w:rsid w:val="00BD6D12"/>
    <w:rsid w:val="00BD72F5"/>
    <w:rsid w:val="00BE5207"/>
    <w:rsid w:val="00BE7282"/>
    <w:rsid w:val="00BE731A"/>
    <w:rsid w:val="00BF0253"/>
    <w:rsid w:val="00BF1D88"/>
    <w:rsid w:val="00BF6327"/>
    <w:rsid w:val="00C030DE"/>
    <w:rsid w:val="00C03C71"/>
    <w:rsid w:val="00C05522"/>
    <w:rsid w:val="00C07B1B"/>
    <w:rsid w:val="00C129E0"/>
    <w:rsid w:val="00C12C2D"/>
    <w:rsid w:val="00C2128A"/>
    <w:rsid w:val="00C22105"/>
    <w:rsid w:val="00C244B6"/>
    <w:rsid w:val="00C26739"/>
    <w:rsid w:val="00C27FA7"/>
    <w:rsid w:val="00C31862"/>
    <w:rsid w:val="00C36792"/>
    <w:rsid w:val="00C3702F"/>
    <w:rsid w:val="00C377DC"/>
    <w:rsid w:val="00C40066"/>
    <w:rsid w:val="00C4160F"/>
    <w:rsid w:val="00C43006"/>
    <w:rsid w:val="00C47165"/>
    <w:rsid w:val="00C5009C"/>
    <w:rsid w:val="00C64A37"/>
    <w:rsid w:val="00C675A0"/>
    <w:rsid w:val="00C70D2B"/>
    <w:rsid w:val="00C7158E"/>
    <w:rsid w:val="00C7250B"/>
    <w:rsid w:val="00C726ED"/>
    <w:rsid w:val="00C7346B"/>
    <w:rsid w:val="00C77C0E"/>
    <w:rsid w:val="00C8311B"/>
    <w:rsid w:val="00C83480"/>
    <w:rsid w:val="00C83561"/>
    <w:rsid w:val="00C866E6"/>
    <w:rsid w:val="00C87F9B"/>
    <w:rsid w:val="00C91687"/>
    <w:rsid w:val="00C924A8"/>
    <w:rsid w:val="00C92FC6"/>
    <w:rsid w:val="00C9450A"/>
    <w:rsid w:val="00C945FE"/>
    <w:rsid w:val="00C96FAA"/>
    <w:rsid w:val="00C97A04"/>
    <w:rsid w:val="00CA107B"/>
    <w:rsid w:val="00CA484D"/>
    <w:rsid w:val="00CA4FB6"/>
    <w:rsid w:val="00CA508A"/>
    <w:rsid w:val="00CA73FD"/>
    <w:rsid w:val="00CB0488"/>
    <w:rsid w:val="00CB3027"/>
    <w:rsid w:val="00CB41A7"/>
    <w:rsid w:val="00CB44BC"/>
    <w:rsid w:val="00CB544E"/>
    <w:rsid w:val="00CC34B4"/>
    <w:rsid w:val="00CC45F2"/>
    <w:rsid w:val="00CC6E74"/>
    <w:rsid w:val="00CC739E"/>
    <w:rsid w:val="00CC7907"/>
    <w:rsid w:val="00CD2C08"/>
    <w:rsid w:val="00CD30B5"/>
    <w:rsid w:val="00CD4177"/>
    <w:rsid w:val="00CD58B7"/>
    <w:rsid w:val="00CD6042"/>
    <w:rsid w:val="00CD7713"/>
    <w:rsid w:val="00CE2ABB"/>
    <w:rsid w:val="00CE457C"/>
    <w:rsid w:val="00CF07B9"/>
    <w:rsid w:val="00CF4099"/>
    <w:rsid w:val="00D00796"/>
    <w:rsid w:val="00D06271"/>
    <w:rsid w:val="00D07F97"/>
    <w:rsid w:val="00D10317"/>
    <w:rsid w:val="00D1733C"/>
    <w:rsid w:val="00D17516"/>
    <w:rsid w:val="00D227C5"/>
    <w:rsid w:val="00D24F64"/>
    <w:rsid w:val="00D2534B"/>
    <w:rsid w:val="00D261A2"/>
    <w:rsid w:val="00D31C1A"/>
    <w:rsid w:val="00D40D92"/>
    <w:rsid w:val="00D416C5"/>
    <w:rsid w:val="00D41AA1"/>
    <w:rsid w:val="00D476B8"/>
    <w:rsid w:val="00D519E5"/>
    <w:rsid w:val="00D5499D"/>
    <w:rsid w:val="00D5577A"/>
    <w:rsid w:val="00D56A2A"/>
    <w:rsid w:val="00D616D2"/>
    <w:rsid w:val="00D624F8"/>
    <w:rsid w:val="00D63B5F"/>
    <w:rsid w:val="00D64203"/>
    <w:rsid w:val="00D66163"/>
    <w:rsid w:val="00D70EF7"/>
    <w:rsid w:val="00D73568"/>
    <w:rsid w:val="00D8257E"/>
    <w:rsid w:val="00D83230"/>
    <w:rsid w:val="00D834C4"/>
    <w:rsid w:val="00D8397C"/>
    <w:rsid w:val="00D84509"/>
    <w:rsid w:val="00D8477E"/>
    <w:rsid w:val="00D908FD"/>
    <w:rsid w:val="00D94EED"/>
    <w:rsid w:val="00D96026"/>
    <w:rsid w:val="00DA27C5"/>
    <w:rsid w:val="00DA3568"/>
    <w:rsid w:val="00DA5525"/>
    <w:rsid w:val="00DA7C1C"/>
    <w:rsid w:val="00DB0F1C"/>
    <w:rsid w:val="00DB147A"/>
    <w:rsid w:val="00DB1B7A"/>
    <w:rsid w:val="00DB3EBD"/>
    <w:rsid w:val="00DB7326"/>
    <w:rsid w:val="00DC106B"/>
    <w:rsid w:val="00DC1A0A"/>
    <w:rsid w:val="00DC1FEA"/>
    <w:rsid w:val="00DC4A69"/>
    <w:rsid w:val="00DC6708"/>
    <w:rsid w:val="00DD5582"/>
    <w:rsid w:val="00DD7A1F"/>
    <w:rsid w:val="00DD7D6E"/>
    <w:rsid w:val="00DE074F"/>
    <w:rsid w:val="00DE0EEF"/>
    <w:rsid w:val="00DE59E1"/>
    <w:rsid w:val="00DE61DE"/>
    <w:rsid w:val="00DE6880"/>
    <w:rsid w:val="00DE7001"/>
    <w:rsid w:val="00DF082B"/>
    <w:rsid w:val="00DF09AD"/>
    <w:rsid w:val="00DF0DFC"/>
    <w:rsid w:val="00DF32CE"/>
    <w:rsid w:val="00DF69D0"/>
    <w:rsid w:val="00E01436"/>
    <w:rsid w:val="00E01C07"/>
    <w:rsid w:val="00E0370A"/>
    <w:rsid w:val="00E045BD"/>
    <w:rsid w:val="00E054DD"/>
    <w:rsid w:val="00E05C32"/>
    <w:rsid w:val="00E067CF"/>
    <w:rsid w:val="00E106B3"/>
    <w:rsid w:val="00E1205D"/>
    <w:rsid w:val="00E12B15"/>
    <w:rsid w:val="00E142D3"/>
    <w:rsid w:val="00E157FD"/>
    <w:rsid w:val="00E158DA"/>
    <w:rsid w:val="00E17B77"/>
    <w:rsid w:val="00E20125"/>
    <w:rsid w:val="00E20D46"/>
    <w:rsid w:val="00E23337"/>
    <w:rsid w:val="00E25869"/>
    <w:rsid w:val="00E259EA"/>
    <w:rsid w:val="00E26AE8"/>
    <w:rsid w:val="00E301FA"/>
    <w:rsid w:val="00E32061"/>
    <w:rsid w:val="00E32DE0"/>
    <w:rsid w:val="00E42F20"/>
    <w:rsid w:val="00E42FF9"/>
    <w:rsid w:val="00E4377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3CB"/>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53B80"/>
    <w:rsid w:val="00F618BA"/>
    <w:rsid w:val="00F622F5"/>
    <w:rsid w:val="00F62AA5"/>
    <w:rsid w:val="00F670E8"/>
    <w:rsid w:val="00F67D8F"/>
    <w:rsid w:val="00F70ADF"/>
    <w:rsid w:val="00F70BE9"/>
    <w:rsid w:val="00F70C41"/>
    <w:rsid w:val="00F70E22"/>
    <w:rsid w:val="00F71DB5"/>
    <w:rsid w:val="00F720AD"/>
    <w:rsid w:val="00F802BE"/>
    <w:rsid w:val="00F85372"/>
    <w:rsid w:val="00F86024"/>
    <w:rsid w:val="00F8611A"/>
    <w:rsid w:val="00F87158"/>
    <w:rsid w:val="00F92763"/>
    <w:rsid w:val="00F94859"/>
    <w:rsid w:val="00F95A4D"/>
    <w:rsid w:val="00FA0B09"/>
    <w:rsid w:val="00FA5128"/>
    <w:rsid w:val="00FB03AA"/>
    <w:rsid w:val="00FB42D4"/>
    <w:rsid w:val="00FB5906"/>
    <w:rsid w:val="00FB762F"/>
    <w:rsid w:val="00FC1193"/>
    <w:rsid w:val="00FC2249"/>
    <w:rsid w:val="00FC2654"/>
    <w:rsid w:val="00FC2AED"/>
    <w:rsid w:val="00FC3398"/>
    <w:rsid w:val="00FC56BB"/>
    <w:rsid w:val="00FC7E26"/>
    <w:rsid w:val="00FD08F0"/>
    <w:rsid w:val="00FD0F90"/>
    <w:rsid w:val="00FD5EA7"/>
    <w:rsid w:val="00FD755F"/>
    <w:rsid w:val="00FE3BA3"/>
    <w:rsid w:val="00FE548D"/>
    <w:rsid w:val="00FE722C"/>
    <w:rsid w:val="00FF5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089A60A-774E-4E98-868D-C437B37F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paid-employment-wages-and-salaries-in-the-national-economy-in-the-first-half-of-2021,1,50.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05E-2"/>
          <c:y val="8.6234567901234765E-2"/>
          <c:w val="0.87241187972308865"/>
          <c:h val="0.66611111111111165"/>
        </c:manualLayout>
      </c:layout>
      <c:barChart>
        <c:barDir val="col"/>
        <c:grouping val="clustered"/>
        <c:varyColors val="0"/>
        <c:ser>
          <c:idx val="0"/>
          <c:order val="0"/>
          <c:tx>
            <c:strRef>
              <c:f>'gl wykres z dod osia ENG'!$D$1</c:f>
              <c:strCache>
                <c:ptCount val="1"/>
                <c:pt idx="0">
                  <c:v>Absolute numbers (left scale)</c:v>
                </c:pt>
              </c:strCache>
            </c:strRef>
          </c:tx>
          <c:spPr>
            <a:solidFill>
              <a:srgbClr val="001D77"/>
            </a:solidFill>
            <a:ln>
              <a:noFill/>
            </a:ln>
            <a:effectLst/>
          </c:spPr>
          <c:invertIfNegative val="0"/>
          <c:cat>
            <c:multiLvlStrRef>
              <c:f>'gl wykres z dod osia'!$B$64:$C$98</c:f>
              <c:multiLvlStrCache>
                <c:ptCount val="35"/>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lvl>
                <c:lvl>
                  <c:pt idx="0">
                    <c:v>2019</c:v>
                  </c:pt>
                  <c:pt idx="12">
                    <c:v>2020</c:v>
                  </c:pt>
                  <c:pt idx="24">
                    <c:v>2021</c:v>
                  </c:pt>
                </c:lvl>
              </c:multiLvlStrCache>
            </c:multiLvlStrRef>
          </c:cat>
          <c:val>
            <c:numRef>
              <c:f>'gl wykres z dod osia ENG'!$D$14:$D$48</c:f>
              <c:numCache>
                <c:formatCode>0.0</c:formatCode>
                <c:ptCount val="35"/>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pt idx="30">
                  <c:v>6361.7</c:v>
                </c:pt>
                <c:pt idx="31">
                  <c:v>6352</c:v>
                </c:pt>
                <c:pt idx="32">
                  <c:v>6347.2</c:v>
                </c:pt>
                <c:pt idx="33">
                  <c:v>6351.1</c:v>
                </c:pt>
                <c:pt idx="34" formatCode="General">
                  <c:v>6363.7</c:v>
                </c:pt>
              </c:numCache>
            </c:numRef>
          </c:val>
        </c:ser>
        <c:dLbls>
          <c:showLegendKey val="0"/>
          <c:showVal val="0"/>
          <c:showCatName val="0"/>
          <c:showSerName val="0"/>
          <c:showPercent val="0"/>
          <c:showBubbleSize val="0"/>
        </c:dLbls>
        <c:gapWidth val="100"/>
        <c:axId val="1549080048"/>
        <c:axId val="1549081680"/>
      </c:barChart>
      <c:lineChart>
        <c:grouping val="standard"/>
        <c:varyColors val="0"/>
        <c:ser>
          <c:idx val="1"/>
          <c:order val="1"/>
          <c:tx>
            <c:strRef>
              <c:f>'gl wykres z dod osia ENG'!$D$52</c:f>
              <c:strCache>
                <c:ptCount val="1"/>
                <c:pt idx="0">
                  <c:v>Indices, corresponding month of previous year=100 (right scale)</c:v>
                </c:pt>
              </c:strCache>
            </c:strRef>
          </c:tx>
          <c:spPr>
            <a:ln>
              <a:solidFill>
                <a:srgbClr val="008542"/>
              </a:solidFill>
            </a:ln>
          </c:spPr>
          <c:marker>
            <c:symbol val="none"/>
          </c:marker>
          <c:cat>
            <c:strRef>
              <c:f>'gl wykres z dod osia'!$C$64:$C$98</c:f>
              <c:strCache>
                <c:ptCount val="35"/>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strCache>
            </c:strRef>
          </c:cat>
          <c:val>
            <c:numRef>
              <c:f>'gl wykres z dod osia ENG'!$D$65:$D$99</c:f>
              <c:numCache>
                <c:formatCode>0.0</c:formatCode>
                <c:ptCount val="35"/>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pt idx="30" formatCode="General">
                  <c:v>101.8</c:v>
                </c:pt>
                <c:pt idx="31" formatCode="General">
                  <c:v>100.9</c:v>
                </c:pt>
                <c:pt idx="32" formatCode="General">
                  <c:v>100.6</c:v>
                </c:pt>
                <c:pt idx="33" formatCode="General">
                  <c:v>100.5</c:v>
                </c:pt>
                <c:pt idx="34" formatCode="General">
                  <c:v>100.7</c:v>
                </c:pt>
              </c:numCache>
            </c:numRef>
          </c:val>
          <c:smooth val="0"/>
        </c:ser>
        <c:dLbls>
          <c:showLegendKey val="0"/>
          <c:showVal val="0"/>
          <c:showCatName val="0"/>
          <c:showSerName val="0"/>
          <c:showPercent val="0"/>
          <c:showBubbleSize val="0"/>
        </c:dLbls>
        <c:marker val="1"/>
        <c:smooth val="0"/>
        <c:axId val="1728027424"/>
        <c:axId val="1549080592"/>
      </c:lineChart>
      <c:catAx>
        <c:axId val="1549080048"/>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1549081680"/>
        <c:crosses val="autoZero"/>
        <c:auto val="1"/>
        <c:lblAlgn val="ctr"/>
        <c:lblOffset val="100"/>
        <c:noMultiLvlLbl val="0"/>
      </c:catAx>
      <c:valAx>
        <c:axId val="1549081680"/>
        <c:scaling>
          <c:orientation val="minMax"/>
          <c:min val="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212E-3"/>
              <c:y val="6.6049382716047798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1549080048"/>
        <c:crosses val="autoZero"/>
        <c:crossBetween val="between"/>
      </c:valAx>
      <c:valAx>
        <c:axId val="1549080592"/>
        <c:scaling>
          <c:orientation val="minMax"/>
          <c:max val="140"/>
          <c:min val="0"/>
        </c:scaling>
        <c:delete val="0"/>
        <c:axPos val="r"/>
        <c:numFmt formatCode="0" sourceLinked="0"/>
        <c:majorTickMark val="out"/>
        <c:minorTickMark val="none"/>
        <c:tickLblPos val="nextTo"/>
        <c:spPr>
          <a:ln>
            <a:noFill/>
          </a:ln>
        </c:spPr>
        <c:crossAx val="1728027424"/>
        <c:crosses val="max"/>
        <c:crossBetween val="between"/>
        <c:majorUnit val="10"/>
      </c:valAx>
      <c:catAx>
        <c:axId val="1728027424"/>
        <c:scaling>
          <c:orientation val="minMax"/>
        </c:scaling>
        <c:delete val="1"/>
        <c:axPos val="b"/>
        <c:numFmt formatCode="General" sourceLinked="1"/>
        <c:majorTickMark val="out"/>
        <c:minorTickMark val="none"/>
        <c:tickLblPos val="none"/>
        <c:crossAx val="1549080592"/>
        <c:crosses val="autoZero"/>
        <c:auto val="1"/>
        <c:lblAlgn val="ctr"/>
        <c:lblOffset val="100"/>
        <c:noMultiLvlLbl val="0"/>
      </c:catAx>
      <c:spPr>
        <a:noFill/>
        <a:ln>
          <a:noFill/>
        </a:ln>
        <a:effectLst/>
      </c:spPr>
    </c:plotArea>
    <c:legend>
      <c:legendPos val="b"/>
      <c:layout>
        <c:manualLayout>
          <c:xMode val="edge"/>
          <c:yMode val="edge"/>
          <c:x val="0.13761560006341489"/>
          <c:y val="0.87979753086420065"/>
          <c:w val="0.72476879987317522"/>
          <c:h val="0.12020246913580244"/>
        </c:manualLayout>
      </c:layout>
      <c:overlay val="0"/>
    </c:legend>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078E-2"/>
          <c:y val="8.6234567901234668E-2"/>
          <c:w val="0.87241187972308865"/>
          <c:h val="0.66611111111111165"/>
        </c:manualLayout>
      </c:layout>
      <c:lineChart>
        <c:grouping val="standard"/>
        <c:varyColors val="0"/>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osia'!$B$64:$C$98</c:f>
              <c:multiLvlStrCache>
                <c:ptCount val="35"/>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lvl>
                <c:lvl>
                  <c:pt idx="0">
                    <c:v>2019</c:v>
                  </c:pt>
                  <c:pt idx="12">
                    <c:v>2020</c:v>
                  </c:pt>
                  <c:pt idx="24">
                    <c:v>2021</c:v>
                  </c:pt>
                </c:lvl>
              </c:multiLvlStrCache>
            </c:multiLvlStrRef>
          </c:cat>
          <c:val>
            <c:numRef>
              <c:f>'wykres wynagrodzenie glowny ENG'!$D$15:$D$49</c:f>
              <c:numCache>
                <c:formatCode>0.00</c:formatCode>
                <c:ptCount val="35"/>
                <c:pt idx="0">
                  <c:v>4931.8</c:v>
                </c:pt>
                <c:pt idx="1">
                  <c:v>4949.42</c:v>
                </c:pt>
                <c:pt idx="2">
                  <c:v>5164.53</c:v>
                </c:pt>
                <c:pt idx="3">
                  <c:v>5186.1200000000044</c:v>
                </c:pt>
                <c:pt idx="4">
                  <c:v>5057.8200000000024</c:v>
                </c:pt>
                <c:pt idx="5">
                  <c:v>5104.46</c:v>
                </c:pt>
                <c:pt idx="6">
                  <c:v>5182.4299999999994</c:v>
                </c:pt>
                <c:pt idx="7">
                  <c:v>5125.26</c:v>
                </c:pt>
                <c:pt idx="8">
                  <c:v>5084.5600000000004</c:v>
                </c:pt>
                <c:pt idx="9">
                  <c:v>5213.2700000000004</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pt idx="30">
                  <c:v>5851.87</c:v>
                </c:pt>
                <c:pt idx="31">
                  <c:v>5843.75</c:v>
                </c:pt>
                <c:pt idx="32">
                  <c:v>5841.1600000000044</c:v>
                </c:pt>
                <c:pt idx="33">
                  <c:v>5917.1500000000024</c:v>
                </c:pt>
                <c:pt idx="34">
                  <c:v>6022.49</c:v>
                </c:pt>
              </c:numCache>
            </c:numRef>
          </c:val>
          <c:smooth val="0"/>
        </c:ser>
        <c:dLbls>
          <c:showLegendKey val="0"/>
          <c:showVal val="0"/>
          <c:showCatName val="0"/>
          <c:showSerName val="0"/>
          <c:showPercent val="0"/>
          <c:showBubbleSize val="0"/>
        </c:dLbls>
        <c:smooth val="0"/>
        <c:axId val="1728030688"/>
        <c:axId val="1728032864"/>
      </c:lineChart>
      <c:catAx>
        <c:axId val="1728030688"/>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1728032864"/>
        <c:crosses val="autoZero"/>
        <c:auto val="1"/>
        <c:lblAlgn val="ctr"/>
        <c:lblOffset val="100"/>
        <c:noMultiLvlLbl val="0"/>
      </c:catAx>
      <c:valAx>
        <c:axId val="1728032864"/>
        <c:scaling>
          <c:orientation val="minMax"/>
          <c:min val="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2E-3"/>
              <c:y val="6.6049382716049381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17280306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azwaPliku xmlns="8C029B3F-2CC4-4A59-AF0D-A90575FA3373">EN_przecietne_zatrudnienie_i_wyn_sektorprzeds_X_2021.docx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3.xml><?xml version="1.0" encoding="utf-8"?>
<ds:datastoreItem xmlns:ds="http://schemas.openxmlformats.org/officeDocument/2006/customXml" ds:itemID="{A06B985F-E4F3-4ACA-B9E0-1584B39B4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44DA3-1A40-4F92-BA03-D0142F87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957</Words>
  <Characters>5742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6686</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paid employment and average gross wages and salaries in enterprise sector in XI 2021</dc:title>
  <dc:creator>Statistics Poland</dc:creator>
  <cp:lastModifiedBy>Putkowska Beata</cp:lastModifiedBy>
  <cp:revision>3</cp:revision>
  <cp:lastPrinted>2021-07-16T10:37:00Z</cp:lastPrinted>
  <dcterms:created xsi:type="dcterms:W3CDTF">2021-12-14T17:43:00Z</dcterms:created>
  <dcterms:modified xsi:type="dcterms:W3CDTF">2021-12-17T07:10:00Z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