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C2128A">
        <w:rPr>
          <w:shd w:val="clear" w:color="auto" w:fill="FFFFFF"/>
          <w:lang w:val="en-US"/>
        </w:rPr>
        <w:t>January</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6C4D79" w:rsidP="00DD7A1F">
      <w:pPr>
        <w:pStyle w:val="LID"/>
        <w:rPr>
          <w:b w:val="0"/>
          <w:color w:val="212492"/>
          <w:spacing w:val="-2"/>
          <w:lang w:val="en-US"/>
        </w:rPr>
      </w:pPr>
      <w:r w:rsidRPr="006C4D79">
        <w:pict>
          <v:shapetype id="_x0000_t202" coordsize="21600,21600" o:spt="202" path="m,l,21600r21600,l21600,xe">
            <v:stroke joinstyle="miter"/>
            <v:path gradientshapeok="t" o:connecttype="rect"/>
          </v:shapetype>
          <v:shape id="_x0000_s1039"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IkKwIAACo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" fillcolor="#001d77" stroked="f">
            <v:textbox style="mso-next-textbox:#_x0000_s1039">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rot="10800000">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C2128A">
                    <w:rPr>
                      <w:rFonts w:ascii="Fira Sans SemiBold" w:hAnsi="Fira Sans SemiBold"/>
                      <w:color w:val="FFFFFF"/>
                      <w:sz w:val="72"/>
                      <w:lang w:val="en-US"/>
                    </w:rPr>
                    <w:t>2</w:t>
                  </w:r>
                  <w:r w:rsidR="00446D71" w:rsidRPr="00446D71">
                    <w:rPr>
                      <w:rFonts w:ascii="Fira Sans SemiBold" w:hAnsi="Fira Sans SemiBold"/>
                      <w:color w:val="FFFFFF"/>
                      <w:sz w:val="72"/>
                      <w:lang w:val="en-US"/>
                    </w:rPr>
                    <w:t>.</w:t>
                  </w:r>
                  <w:r w:rsidR="00282FEA">
                    <w:rPr>
                      <w:rFonts w:ascii="Fira Sans SemiBold" w:hAnsi="Fira Sans SemiBold"/>
                      <w:color w:val="FFFFFF"/>
                      <w:sz w:val="72"/>
                      <w:lang w:val="en-US"/>
                    </w:rPr>
                    <w:t>0</w:t>
                  </w:r>
                  <w:r w:rsidR="00F3480F" w:rsidRPr="00446D71">
                    <w:rPr>
                      <w:rFonts w:ascii="Fira Sans SemiBold" w:hAnsi="Fira Sans SemiBold"/>
                      <w:color w:val="FFFFFF"/>
                      <w:sz w:val="72"/>
                      <w:lang w:val="en-US"/>
                    </w:rPr>
                    <w:t>%</w:t>
                  </w:r>
                </w:p>
                <w:p w:rsidR="00F3480F" w:rsidRPr="00B170FF" w:rsidRDefault="008A57D3" w:rsidP="00DD7A1F">
                  <w:pPr>
                    <w:spacing w:after="0" w:line="240" w:lineRule="auto"/>
                    <w:rPr>
                      <w:color w:val="FFFFFF"/>
                      <w:szCs w:val="19"/>
                      <w:lang w:val="en-US"/>
                    </w:rPr>
                  </w:pPr>
                  <w:r>
                    <w:rPr>
                      <w:szCs w:val="19"/>
                      <w:lang w:val="en-US"/>
                    </w:rPr>
                    <w:t xml:space="preserve">Decrease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C2128A">
        <w:rPr>
          <w:lang w:val="en-US"/>
        </w:rPr>
        <w:t>January</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8A57D3">
        <w:rPr>
          <w:lang w:val="en-US"/>
        </w:rPr>
        <w:t>lower</w:t>
      </w:r>
      <w:r w:rsidR="00DD7A1F" w:rsidRPr="00B26297">
        <w:rPr>
          <w:lang w:val="en-US"/>
        </w:rPr>
        <w:t xml:space="preserve"> by </w:t>
      </w:r>
      <w:r w:rsidR="00C2128A">
        <w:rPr>
          <w:lang w:val="en-US"/>
        </w:rPr>
        <w:t>2</w:t>
      </w:r>
      <w:r w:rsidR="00446D71">
        <w:rPr>
          <w:lang w:val="en-US"/>
        </w:rPr>
        <w:t>.</w:t>
      </w:r>
      <w:r w:rsidR="00282FEA">
        <w:rPr>
          <w:lang w:val="en-US"/>
        </w:rPr>
        <w:t>0</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C2128A">
        <w:rPr>
          <w:lang w:val="en-US"/>
        </w:rPr>
        <w:t>14.1</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her by 4.8</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4C70AC">
        <w:rPr>
          <w:lang w:val="en-US"/>
        </w:rPr>
        <w:t>5</w:t>
      </w:r>
      <w:r w:rsidR="009C504A">
        <w:rPr>
          <w:lang w:val="en-US"/>
        </w:rPr>
        <w:t>536.80</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074DD8" w:rsidP="00074DD8">
      <w:pPr>
        <w:pStyle w:val="Nagwek1"/>
        <w:rPr>
          <w:rFonts w:ascii="Fira Sans" w:hAnsi="Fira Sans"/>
          <w:shd w:val="clear" w:color="auto" w:fill="FFFFFF"/>
          <w:lang w:val="en-US"/>
        </w:rPr>
      </w:pPr>
      <w:r w:rsidRPr="005062D3">
        <w:rPr>
          <w:rFonts w:ascii="Fira Sans" w:hAnsi="Fira Sans"/>
          <w:shd w:val="clear" w:color="auto" w:fill="FFFFFF"/>
          <w:lang w:val="en-US"/>
        </w:rPr>
        <w:t xml:space="preserve"> </w:t>
      </w:r>
    </w:p>
    <w:p w:rsidR="00824890" w:rsidRPr="005062D3" w:rsidRDefault="00824890" w:rsidP="001639A6">
      <w:pPr>
        <w:autoSpaceDE w:val="0"/>
        <w:autoSpaceDN w:val="0"/>
        <w:adjustRightInd w:val="0"/>
        <w:spacing w:before="0" w:after="0" w:line="240" w:lineRule="auto"/>
        <w:rPr>
          <w:rFonts w:eastAsia="Calibri"/>
          <w:shd w:val="clear" w:color="auto" w:fill="FFFFFF"/>
          <w:lang w:val="en-US"/>
        </w:rPr>
      </w:pP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the ent</w:t>
      </w:r>
      <w:r w:rsidRPr="005062D3">
        <w:rPr>
          <w:rFonts w:eastAsia="Calibri"/>
          <w:shd w:val="clear" w:color="auto" w:fill="FFFFFF"/>
          <w:lang w:val="en-US"/>
        </w:rPr>
        <w:t>i</w:t>
      </w:r>
      <w:r w:rsidRPr="005062D3">
        <w:rPr>
          <w:rFonts w:eastAsia="Calibri"/>
          <w:shd w:val="clear" w:color="auto" w:fill="FFFFFF"/>
          <w:lang w:val="en-US"/>
        </w:rPr>
        <w:t xml:space="preserve">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w:t>
      </w:r>
      <w:r w:rsidRPr="005062D3">
        <w:rPr>
          <w:rFonts w:eastAsia="Calibri"/>
          <w:shd w:val="clear" w:color="auto" w:fill="FFFFFF"/>
          <w:lang w:val="en-US"/>
        </w:rPr>
        <w:t>y</w:t>
      </w:r>
      <w:r w:rsidRPr="005062D3">
        <w:rPr>
          <w:rFonts w:eastAsia="Calibri"/>
          <w:shd w:val="clear" w:color="auto" w:fill="FFFFFF"/>
          <w:lang w:val="en-US"/>
        </w:rPr>
        <w:t>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C2128A" w:rsidRPr="005062D3" w:rsidRDefault="00C2128A" w:rsidP="001639A6">
      <w:pPr>
        <w:autoSpaceDE w:val="0"/>
        <w:autoSpaceDN w:val="0"/>
        <w:adjustRightInd w:val="0"/>
        <w:spacing w:before="0" w:after="0" w:line="240" w:lineRule="auto"/>
        <w:rPr>
          <w:rFonts w:cs="FiraSans-Regular"/>
          <w:szCs w:val="19"/>
          <w:lang w:val="en-US" w:eastAsia="pl-PL"/>
        </w:rPr>
      </w:pPr>
    </w:p>
    <w:p w:rsidR="00C2128A" w:rsidRPr="005062D3" w:rsidRDefault="00C2128A" w:rsidP="001639A6">
      <w:pPr>
        <w:autoSpaceDE w:val="0"/>
        <w:autoSpaceDN w:val="0"/>
        <w:adjustRightInd w:val="0"/>
        <w:spacing w:before="0" w:after="0" w:line="240" w:lineRule="auto"/>
        <w:rPr>
          <w:rFonts w:cs="FiraSans-Regular"/>
          <w:szCs w:val="19"/>
          <w:lang w:val="en-US" w:eastAsia="pl-PL"/>
        </w:rPr>
      </w:pPr>
      <w:r w:rsidRPr="005062D3">
        <w:rPr>
          <w:rFonts w:cs="FiraSans-Regular"/>
          <w:szCs w:val="19"/>
          <w:lang w:val="en-US" w:eastAsia="pl-PL"/>
        </w:rPr>
        <w:t>As in previous years, from January 2021, the survey on the DG-1 form is carried out on an updated sample of medium units (i.e. with the number of employees from 10 to 49 people) drawn on the basis of the verified size classes of enterprises.</w:t>
      </w:r>
    </w:p>
    <w:p w:rsidR="001639A6" w:rsidRPr="005062D3" w:rsidRDefault="001639A6" w:rsidP="001639A6">
      <w:pPr>
        <w:autoSpaceDE w:val="0"/>
        <w:autoSpaceDN w:val="0"/>
        <w:adjustRightInd w:val="0"/>
        <w:spacing w:before="0" w:after="0" w:line="240" w:lineRule="auto"/>
        <w:rPr>
          <w:rFonts w:cs="FiraSans-Regular"/>
          <w:szCs w:val="19"/>
          <w:lang w:val="en-US" w:eastAsia="pl-PL"/>
        </w:rPr>
      </w:pPr>
    </w:p>
    <w:p w:rsidR="00766496" w:rsidRPr="005062D3" w:rsidRDefault="006C4D79" w:rsidP="00165CD9">
      <w:pPr>
        <w:tabs>
          <w:tab w:val="left" w:pos="567"/>
        </w:tabs>
        <w:rPr>
          <w:b/>
          <w:spacing w:val="-2"/>
          <w:sz w:val="18"/>
          <w:shd w:val="clear" w:color="auto" w:fill="FFFFFF"/>
          <w:lang w:val="en-US"/>
        </w:rPr>
      </w:pPr>
      <w:r w:rsidRPr="006C4D79">
        <w:rPr>
          <w:b/>
          <w:noProof/>
          <w:color w:val="212492"/>
          <w:spacing w:val="-2"/>
          <w:szCs w:val="19"/>
        </w:rPr>
        <w:pict>
          <v:shape id="Pole tekstowe 2" o:spid="_x0000_s1026" type="#_x0000_t202" style="position:absolute;margin-left:415.35pt;margin-top:32.75pt;width:135.85pt;height:129.2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" filled="f" stroked="f">
            <v:textbox style="mso-next-textbox:#Pole tekstowe 2">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 Jan</w:t>
                  </w:r>
                  <w:r w:rsidR="0003555A">
                    <w:rPr>
                      <w:rFonts w:ascii="Fira Sans" w:eastAsia="Times New Roman" w:hAnsi="Fira Sans"/>
                      <w:bCs/>
                      <w:color w:val="001D77"/>
                      <w:sz w:val="18"/>
                      <w:szCs w:val="18"/>
                      <w:lang w:val="en-US"/>
                    </w:rPr>
                    <w:t>u</w:t>
                  </w:r>
                  <w:r w:rsidR="0003555A">
                    <w:rPr>
                      <w:rFonts w:ascii="Fira Sans" w:eastAsia="Times New Roman" w:hAnsi="Fira Sans"/>
                      <w:bCs/>
                      <w:color w:val="001D77"/>
                      <w:sz w:val="18"/>
                      <w:szCs w:val="18"/>
                      <w:lang w:val="en-US"/>
                    </w:rPr>
                    <w:t>ary 2021</w:t>
                  </w:r>
                  <w:r w:rsidR="008A57D3">
                    <w:rPr>
                      <w:rFonts w:ascii="Fira Sans" w:eastAsia="Times New Roman" w:hAnsi="Fira Sans"/>
                      <w:bCs/>
                      <w:color w:val="001D77"/>
                      <w:sz w:val="18"/>
                      <w:szCs w:val="18"/>
                      <w:lang w:val="en-US"/>
                    </w:rPr>
                    <w:t xml:space="preserve"> </w:t>
                  </w:r>
                  <w:r w:rsidR="00A068D2">
                    <w:rPr>
                      <w:rFonts w:ascii="Fira Sans" w:eastAsia="Times New Roman" w:hAnsi="Fira Sans"/>
                      <w:bCs/>
                      <w:color w:val="001D77"/>
                      <w:sz w:val="18"/>
                      <w:szCs w:val="18"/>
                      <w:lang w:val="en-US"/>
                    </w:rPr>
                    <w:t xml:space="preserve">compared </w:t>
                  </w:r>
                  <w:r w:rsidR="008A57D3">
                    <w:rPr>
                      <w:rFonts w:ascii="Fira Sans" w:eastAsia="Times New Roman" w:hAnsi="Fira Sans"/>
                      <w:bCs/>
                      <w:color w:val="001D77"/>
                      <w:sz w:val="18"/>
                      <w:szCs w:val="18"/>
                      <w:lang w:val="en-US"/>
                    </w:rPr>
                    <w:t>to the previ</w:t>
                  </w:r>
                  <w:r w:rsidR="0003555A">
                    <w:rPr>
                      <w:rFonts w:ascii="Fira Sans" w:eastAsia="Times New Roman" w:hAnsi="Fira Sans"/>
                      <w:bCs/>
                      <w:color w:val="001D77"/>
                      <w:sz w:val="18"/>
                      <w:szCs w:val="18"/>
                      <w:lang w:val="en-US"/>
                    </w:rPr>
                    <w:t xml:space="preserve">ous month </w:t>
                  </w:r>
                  <w:r w:rsidR="000924E9">
                    <w:rPr>
                      <w:rFonts w:ascii="Fira Sans" w:eastAsia="Times New Roman" w:hAnsi="Fira Sans"/>
                      <w:bCs/>
                      <w:color w:val="001D77"/>
                      <w:sz w:val="18"/>
                      <w:szCs w:val="18"/>
                      <w:lang w:val="en-US"/>
                    </w:rPr>
                    <w:t xml:space="preserve">a minimal decrease </w:t>
                  </w:r>
                  <w:r w:rsidR="0003555A">
                    <w:rPr>
                      <w:rFonts w:ascii="Fira Sans" w:eastAsia="Times New Roman" w:hAnsi="Fira Sans"/>
                      <w:bCs/>
                      <w:color w:val="001D77"/>
                      <w:sz w:val="18"/>
                      <w:szCs w:val="18"/>
                      <w:lang w:val="en-US"/>
                    </w:rPr>
                    <w:t xml:space="preserve">in </w:t>
                  </w:r>
                  <w:r w:rsidR="00211520">
                    <w:rPr>
                      <w:rFonts w:ascii="Fira Sans" w:eastAsia="Times New Roman" w:hAnsi="Fira Sans"/>
                      <w:bCs/>
                      <w:color w:val="001D77"/>
                      <w:sz w:val="18"/>
                      <w:szCs w:val="18"/>
                      <w:lang w:val="en-US"/>
                    </w:rPr>
                    <w:t xml:space="preserve">average paid employment </w:t>
                  </w:r>
                  <w:r w:rsidR="0003555A">
                    <w:rPr>
                      <w:rFonts w:ascii="Fira Sans" w:eastAsia="Times New Roman" w:hAnsi="Fira Sans"/>
                      <w:bCs/>
                      <w:color w:val="001D77"/>
                      <w:sz w:val="18"/>
                      <w:szCs w:val="18"/>
                      <w:lang w:val="en-US"/>
                    </w:rPr>
                    <w:t xml:space="preserve">was noted (by 0.2%) </w:t>
                  </w:r>
                  <w:r w:rsidR="00211520">
                    <w:rPr>
                      <w:rFonts w:ascii="Fira Sans" w:eastAsia="Times New Roman" w:hAnsi="Fira Sans"/>
                      <w:bCs/>
                      <w:color w:val="001D77"/>
                      <w:sz w:val="18"/>
                      <w:szCs w:val="18"/>
                      <w:lang w:val="en-US"/>
                    </w:rPr>
                    <w:t xml:space="preserve"> </w:t>
                  </w:r>
                  <w:r w:rsidR="0003555A">
                    <w:rPr>
                      <w:rFonts w:ascii="Fira Sans" w:eastAsia="Times New Roman" w:hAnsi="Fira Sans"/>
                      <w:bCs/>
                      <w:color w:val="001D77"/>
                      <w:sz w:val="18"/>
                      <w:szCs w:val="18"/>
                      <w:lang w:val="en-US"/>
                    </w:rPr>
                    <w:t xml:space="preserve">and </w:t>
                  </w:r>
                  <w:r w:rsidR="0003555A" w:rsidRPr="0003555A">
                    <w:rPr>
                      <w:rFonts w:ascii="Fira Sans" w:eastAsia="Times New Roman" w:hAnsi="Fira Sans"/>
                      <w:bCs/>
                      <w:color w:val="001D77"/>
                      <w:sz w:val="18"/>
                      <w:szCs w:val="18"/>
                      <w:lang w:val="en-US"/>
                    </w:rPr>
                    <w:t>a slightly deeper drop</w:t>
                  </w:r>
                  <w:r w:rsidR="0003555A">
                    <w:rPr>
                      <w:rFonts w:ascii="Fira Sans" w:eastAsia="Times New Roman" w:hAnsi="Fira Sans"/>
                      <w:bCs/>
                      <w:color w:val="001D77"/>
                      <w:sz w:val="18"/>
                      <w:szCs w:val="18"/>
                      <w:lang w:val="en-US"/>
                    </w:rPr>
                    <w:t xml:space="preserve"> in </w:t>
                  </w:r>
                  <w:r w:rsidR="00A839FC">
                    <w:rPr>
                      <w:rFonts w:ascii="Fira Sans" w:eastAsia="Times New Roman" w:hAnsi="Fira Sans"/>
                      <w:bCs/>
                      <w:color w:val="001D77"/>
                      <w:sz w:val="18"/>
                      <w:szCs w:val="18"/>
                      <w:lang w:val="en-US"/>
                    </w:rPr>
                    <w:t xml:space="preserve">average gross wages and salaries </w:t>
                  </w:r>
                  <w:r w:rsidR="0003555A">
                    <w:rPr>
                      <w:rFonts w:ascii="Fira Sans" w:eastAsia="Times New Roman" w:hAnsi="Fira Sans"/>
                      <w:bCs/>
                      <w:color w:val="001D77"/>
                      <w:sz w:val="18"/>
                      <w:szCs w:val="18"/>
                      <w:lang w:val="en-US"/>
                    </w:rPr>
                    <w:t>(by 7.3%)</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C2128A" w:rsidRPr="005062D3">
        <w:rPr>
          <w:b/>
          <w:spacing w:val="-2"/>
          <w:sz w:val="18"/>
          <w:shd w:val="clear" w:color="auto" w:fill="FFFFFF"/>
          <w:lang w:val="en-US"/>
        </w:rPr>
        <w:t>January</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7230" w:type="dxa"/>
        <w:tblInd w:w="108" w:type="dxa"/>
        <w:tblBorders>
          <w:insideH w:val="single" w:sz="4" w:space="0" w:color="auto"/>
          <w:insideV w:val="single" w:sz="4" w:space="0" w:color="auto"/>
        </w:tblBorders>
        <w:tblLayout w:type="fixed"/>
        <w:tblLook w:val="0000"/>
      </w:tblPr>
      <w:tblGrid>
        <w:gridCol w:w="3119"/>
        <w:gridCol w:w="1370"/>
        <w:gridCol w:w="1370"/>
        <w:gridCol w:w="1371"/>
      </w:tblGrid>
      <w:tr w:rsidR="00C2128A" w:rsidRPr="005062D3" w:rsidTr="00C2128A">
        <w:trPr>
          <w:trHeight w:val="558"/>
        </w:trPr>
        <w:tc>
          <w:tcPr>
            <w:tcW w:w="3119" w:type="dxa"/>
            <w:vMerge w:val="restart"/>
            <w:tcBorders>
              <w:top w:val="single" w:sz="4" w:space="0" w:color="FFFFFF"/>
              <w:right w:val="single" w:sz="4" w:space="0" w:color="001D77"/>
            </w:tcBorders>
            <w:shd w:val="clear" w:color="auto" w:fill="auto"/>
            <w:vAlign w:val="center"/>
          </w:tcPr>
          <w:p w:rsidR="00C2128A" w:rsidRPr="005062D3" w:rsidRDefault="00C2128A" w:rsidP="00B31FA9">
            <w:pPr>
              <w:pStyle w:val="Nagwek1"/>
              <w:tabs>
                <w:tab w:val="right" w:leader="dot" w:pos="4139"/>
              </w:tabs>
              <w:jc w:val="center"/>
              <w:rPr>
                <w:rFonts w:ascii="Fira Sans" w:hAnsi="Fira Sans" w:cs="Arial"/>
                <w:color w:val="000000"/>
                <w:sz w:val="16"/>
                <w:szCs w:val="16"/>
                <w:lang w:val="en-US"/>
              </w:rPr>
            </w:pPr>
            <w:r w:rsidRPr="005062D3">
              <w:rPr>
                <w:rFonts w:ascii="Fira Sans" w:hAnsi="Fira Sans" w:cs="Arial"/>
                <w:color w:val="000000"/>
                <w:sz w:val="16"/>
                <w:szCs w:val="16"/>
                <w:lang w:val="en-US"/>
              </w:rPr>
              <w:t>Specification</w:t>
            </w:r>
          </w:p>
        </w:tc>
        <w:tc>
          <w:tcPr>
            <w:tcW w:w="4111" w:type="dxa"/>
            <w:gridSpan w:val="3"/>
            <w:tcBorders>
              <w:top w:val="single" w:sz="4" w:space="0" w:color="FFFFFF"/>
              <w:left w:val="single" w:sz="4" w:space="0" w:color="001D77"/>
              <w:bottom w:val="single" w:sz="4" w:space="0" w:color="001D77"/>
              <w:right w:val="nil"/>
            </w:tcBorders>
            <w:shd w:val="clear" w:color="auto" w:fill="auto"/>
            <w:vAlign w:val="center"/>
          </w:tcPr>
          <w:p w:rsidR="00C2128A" w:rsidRPr="005062D3" w:rsidRDefault="00C2128A" w:rsidP="00C2128A">
            <w:pPr>
              <w:pStyle w:val="Nagwek1"/>
              <w:tabs>
                <w:tab w:val="right" w:leader="dot" w:pos="4139"/>
              </w:tabs>
              <w:jc w:val="center"/>
              <w:rPr>
                <w:rFonts w:ascii="Fira Sans" w:hAnsi="Fira Sans" w:cs="Arial"/>
                <w:color w:val="000000"/>
                <w:sz w:val="16"/>
                <w:szCs w:val="16"/>
                <w:lang w:val="en-US"/>
              </w:rPr>
            </w:pPr>
            <w:r w:rsidRPr="005062D3">
              <w:rPr>
                <w:rFonts w:ascii="Fira Sans" w:hAnsi="Fira Sans" w:cs="Arial"/>
                <w:color w:val="000000"/>
                <w:sz w:val="16"/>
                <w:szCs w:val="16"/>
                <w:lang w:val="en-US"/>
              </w:rPr>
              <w:t>I 2021</w:t>
            </w:r>
          </w:p>
        </w:tc>
      </w:tr>
      <w:tr w:rsidR="00C2128A" w:rsidRPr="005062D3" w:rsidTr="00C2128A">
        <w:trPr>
          <w:trHeight w:val="791"/>
        </w:trPr>
        <w:tc>
          <w:tcPr>
            <w:tcW w:w="3119" w:type="dxa"/>
            <w:vMerge/>
            <w:tcBorders>
              <w:bottom w:val="single" w:sz="12" w:space="0" w:color="001D77"/>
              <w:right w:val="single" w:sz="4" w:space="0" w:color="001D77"/>
            </w:tcBorders>
            <w:shd w:val="clear" w:color="auto" w:fill="auto"/>
            <w:vAlign w:val="center"/>
          </w:tcPr>
          <w:p w:rsidR="00C2128A" w:rsidRPr="005062D3" w:rsidRDefault="00C2128A" w:rsidP="00B31FA9">
            <w:pPr>
              <w:pStyle w:val="Nagwek1"/>
              <w:tabs>
                <w:tab w:val="right" w:leader="dot" w:pos="4139"/>
              </w:tabs>
              <w:jc w:val="center"/>
              <w:rPr>
                <w:rFonts w:ascii="Fira Sans" w:hAnsi="Fira Sans" w:cs="Arial"/>
                <w:color w:val="000000"/>
                <w:sz w:val="16"/>
                <w:szCs w:val="16"/>
                <w:lang w:val="en-US"/>
              </w:rPr>
            </w:pPr>
          </w:p>
        </w:tc>
        <w:tc>
          <w:tcPr>
            <w:tcW w:w="1370" w:type="dxa"/>
            <w:tcBorders>
              <w:top w:val="single" w:sz="4" w:space="0" w:color="001D77"/>
              <w:left w:val="single" w:sz="4" w:space="0" w:color="001D77"/>
              <w:bottom w:val="single" w:sz="12" w:space="0" w:color="001D77"/>
              <w:right w:val="single" w:sz="4" w:space="0" w:color="001D77"/>
            </w:tcBorders>
            <w:shd w:val="clear" w:color="auto" w:fill="auto"/>
            <w:vAlign w:val="center"/>
          </w:tcPr>
          <w:p w:rsidR="00C2128A" w:rsidRPr="005062D3" w:rsidRDefault="00C2128A" w:rsidP="00B31FA9">
            <w:pPr>
              <w:pStyle w:val="Nagwek1"/>
              <w:tabs>
                <w:tab w:val="right" w:leader="dot" w:pos="4139"/>
              </w:tabs>
              <w:jc w:val="center"/>
              <w:rPr>
                <w:rFonts w:ascii="Fira Sans" w:hAnsi="Fira Sans" w:cs="Arial"/>
                <w:color w:val="000000"/>
                <w:sz w:val="16"/>
                <w:szCs w:val="16"/>
                <w:lang w:val="en-US"/>
              </w:rPr>
            </w:pPr>
            <w:r w:rsidRPr="005062D3">
              <w:rPr>
                <w:rFonts w:ascii="Fira Sans" w:hAnsi="Fira Sans" w:cs="Arial"/>
                <w:color w:val="000000"/>
                <w:sz w:val="16"/>
                <w:szCs w:val="16"/>
                <w:lang w:val="en-US"/>
              </w:rPr>
              <w:t>in absolute</w:t>
            </w:r>
            <w:r w:rsidRPr="005062D3">
              <w:rPr>
                <w:rFonts w:ascii="Fira Sans" w:hAnsi="Fira Sans" w:cs="Arial"/>
                <w:color w:val="000000"/>
                <w:sz w:val="16"/>
                <w:szCs w:val="16"/>
                <w:lang w:val="en-US"/>
              </w:rPr>
              <w:br/>
              <w:t>numbers</w:t>
            </w:r>
          </w:p>
        </w:tc>
        <w:tc>
          <w:tcPr>
            <w:tcW w:w="1370" w:type="dxa"/>
            <w:tcBorders>
              <w:top w:val="single" w:sz="4" w:space="0" w:color="001D77"/>
              <w:left w:val="single" w:sz="4" w:space="0" w:color="001D77"/>
              <w:bottom w:val="single" w:sz="12" w:space="0" w:color="001D77"/>
              <w:right w:val="single" w:sz="4" w:space="0" w:color="001D77"/>
            </w:tcBorders>
            <w:shd w:val="clear" w:color="auto" w:fill="auto"/>
            <w:vAlign w:val="center"/>
          </w:tcPr>
          <w:p w:rsidR="00C2128A" w:rsidRPr="005062D3" w:rsidRDefault="00C2128A" w:rsidP="00E0370A">
            <w:pPr>
              <w:pStyle w:val="Nagwek1"/>
              <w:tabs>
                <w:tab w:val="right" w:leader="dot" w:pos="4139"/>
              </w:tabs>
              <w:jc w:val="center"/>
              <w:rPr>
                <w:rFonts w:ascii="Fira Sans" w:hAnsi="Fira Sans" w:cs="Arial"/>
                <w:color w:val="000000"/>
                <w:sz w:val="16"/>
                <w:szCs w:val="16"/>
                <w:lang w:val="en-US"/>
              </w:rPr>
            </w:pPr>
            <w:r w:rsidRPr="005062D3">
              <w:rPr>
                <w:rFonts w:ascii="Fira Sans" w:hAnsi="Fira Sans" w:cs="Arial"/>
                <w:color w:val="000000"/>
                <w:sz w:val="16"/>
                <w:szCs w:val="16"/>
                <w:lang w:val="en-US"/>
              </w:rPr>
              <w:t>XII</w:t>
            </w:r>
            <w:r w:rsidRPr="005062D3">
              <w:rPr>
                <w:rFonts w:ascii="Fira Sans" w:hAnsi="Fira Sans" w:cs="Arial"/>
                <w:color w:val="000000"/>
                <w:sz w:val="16"/>
                <w:szCs w:val="16"/>
                <w:lang w:val="en-US"/>
              </w:rPr>
              <w:br/>
              <w:t>2020=100</w:t>
            </w:r>
          </w:p>
        </w:tc>
        <w:tc>
          <w:tcPr>
            <w:tcW w:w="1371" w:type="dxa"/>
            <w:tcBorders>
              <w:top w:val="single" w:sz="4" w:space="0" w:color="001D77"/>
              <w:left w:val="single" w:sz="4" w:space="0" w:color="001D77"/>
              <w:bottom w:val="single" w:sz="12" w:space="0" w:color="001D77"/>
              <w:right w:val="nil"/>
            </w:tcBorders>
            <w:shd w:val="clear" w:color="auto" w:fill="auto"/>
            <w:vAlign w:val="center"/>
          </w:tcPr>
          <w:p w:rsidR="00C2128A" w:rsidRPr="005062D3" w:rsidRDefault="00C2128A" w:rsidP="00C2128A">
            <w:pPr>
              <w:pStyle w:val="Nagwek1"/>
              <w:tabs>
                <w:tab w:val="right" w:leader="dot" w:pos="4139"/>
              </w:tabs>
              <w:jc w:val="center"/>
              <w:rPr>
                <w:rFonts w:ascii="Fira Sans" w:hAnsi="Fira Sans" w:cs="Arial"/>
                <w:color w:val="000000"/>
                <w:sz w:val="16"/>
                <w:szCs w:val="16"/>
                <w:lang w:val="en-US"/>
              </w:rPr>
            </w:pPr>
            <w:r w:rsidRPr="005062D3">
              <w:rPr>
                <w:rFonts w:ascii="Fira Sans" w:hAnsi="Fira Sans" w:cs="Arial"/>
                <w:color w:val="000000"/>
                <w:sz w:val="16"/>
                <w:szCs w:val="16"/>
                <w:lang w:val="en-US"/>
              </w:rPr>
              <w:t>I</w:t>
            </w:r>
            <w:r w:rsidRPr="005062D3">
              <w:rPr>
                <w:rFonts w:ascii="Fira Sans" w:hAnsi="Fira Sans" w:cs="Arial"/>
                <w:color w:val="000000"/>
                <w:sz w:val="16"/>
                <w:szCs w:val="16"/>
                <w:lang w:val="en-US"/>
              </w:rPr>
              <w:br/>
              <w:t>2020=100</w:t>
            </w:r>
          </w:p>
        </w:tc>
      </w:tr>
      <w:tr w:rsidR="00C2128A" w:rsidRPr="005062D3" w:rsidTr="00C2128A">
        <w:trPr>
          <w:trHeight w:val="574"/>
        </w:trPr>
        <w:tc>
          <w:tcPr>
            <w:tcW w:w="3119" w:type="dxa"/>
            <w:tcBorders>
              <w:top w:val="single" w:sz="12" w:space="0" w:color="001D77"/>
              <w:bottom w:val="single" w:sz="4" w:space="0" w:color="001D77"/>
              <w:right w:val="single" w:sz="4" w:space="0" w:color="001D77"/>
            </w:tcBorders>
            <w:shd w:val="clear" w:color="auto" w:fill="auto"/>
            <w:vAlign w:val="center"/>
          </w:tcPr>
          <w:p w:rsidR="00C2128A" w:rsidRPr="005062D3" w:rsidRDefault="00C2128A" w:rsidP="00DB3EBD">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5062D3">
              <w:rPr>
                <w:rFonts w:ascii="Fira Sans" w:hAnsi="Fira Sans"/>
                <w:color w:val="000000"/>
                <w:sz w:val="16"/>
                <w:szCs w:val="16"/>
                <w:lang w:val="en-US"/>
              </w:rPr>
              <w:t xml:space="preserve">Average paid employment </w:t>
            </w:r>
            <w:r w:rsidRPr="005062D3">
              <w:rPr>
                <w:rFonts w:ascii="Fira Sans" w:hAnsi="Fira Sans"/>
                <w:color w:val="000000"/>
                <w:sz w:val="16"/>
                <w:szCs w:val="16"/>
                <w:lang w:val="en-US"/>
              </w:rPr>
              <w:br/>
              <w:t xml:space="preserve">in thousands </w:t>
            </w:r>
          </w:p>
        </w:tc>
        <w:tc>
          <w:tcPr>
            <w:tcW w:w="1370" w:type="dxa"/>
            <w:tcBorders>
              <w:top w:val="single" w:sz="12" w:space="0" w:color="001D77"/>
              <w:left w:val="single" w:sz="4" w:space="0" w:color="001D77"/>
              <w:bottom w:val="single" w:sz="4" w:space="0" w:color="001D77"/>
              <w:right w:val="single" w:sz="4" w:space="0" w:color="001D77"/>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rPr>
            </w:pPr>
            <w:r w:rsidRPr="005062D3">
              <w:rPr>
                <w:rFonts w:ascii="Fira Sans" w:hAnsi="Fira Sans" w:cs="Arial"/>
                <w:color w:val="000000"/>
                <w:sz w:val="16"/>
                <w:szCs w:val="16"/>
              </w:rPr>
              <w:t>6314.1</w:t>
            </w:r>
          </w:p>
        </w:tc>
        <w:tc>
          <w:tcPr>
            <w:tcW w:w="1370" w:type="dxa"/>
            <w:tcBorders>
              <w:top w:val="single" w:sz="12" w:space="0" w:color="001D77"/>
              <w:left w:val="single" w:sz="4" w:space="0" w:color="001D77"/>
              <w:bottom w:val="single" w:sz="4" w:space="0" w:color="001D77"/>
              <w:right w:val="single" w:sz="4" w:space="0" w:color="001D77"/>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rPr>
            </w:pPr>
            <w:r w:rsidRPr="005062D3">
              <w:rPr>
                <w:rFonts w:ascii="Fira Sans" w:hAnsi="Fira Sans" w:cs="Arial"/>
                <w:color w:val="000000"/>
                <w:sz w:val="16"/>
                <w:szCs w:val="16"/>
              </w:rPr>
              <w:t>99.8</w:t>
            </w:r>
          </w:p>
        </w:tc>
        <w:tc>
          <w:tcPr>
            <w:tcW w:w="1371" w:type="dxa"/>
            <w:tcBorders>
              <w:top w:val="single" w:sz="12" w:space="0" w:color="001D77"/>
              <w:left w:val="single" w:sz="4" w:space="0" w:color="001D77"/>
              <w:bottom w:val="single" w:sz="4" w:space="0" w:color="001D77"/>
              <w:right w:val="nil"/>
            </w:tcBorders>
            <w:shd w:val="clear" w:color="auto" w:fill="auto"/>
            <w:vAlign w:val="center"/>
          </w:tcPr>
          <w:p w:rsidR="00C2128A" w:rsidRPr="005062D3" w:rsidRDefault="00C2128A" w:rsidP="00B92B8B">
            <w:pPr>
              <w:pStyle w:val="Nagwek1"/>
              <w:tabs>
                <w:tab w:val="right" w:leader="dot" w:pos="4139"/>
              </w:tabs>
              <w:spacing w:before="0" w:after="0" w:line="240" w:lineRule="exact"/>
              <w:jc w:val="right"/>
              <w:rPr>
                <w:rFonts w:ascii="Fira Sans" w:hAnsi="Fira Sans" w:cs="Arial"/>
                <w:color w:val="000000"/>
                <w:sz w:val="16"/>
                <w:szCs w:val="16"/>
              </w:rPr>
            </w:pPr>
            <w:r w:rsidRPr="005062D3">
              <w:rPr>
                <w:rFonts w:ascii="Fira Sans" w:hAnsi="Fira Sans" w:cs="Arial"/>
                <w:color w:val="000000"/>
                <w:sz w:val="16"/>
                <w:szCs w:val="16"/>
              </w:rPr>
              <w:t>98.0</w:t>
            </w:r>
          </w:p>
        </w:tc>
      </w:tr>
      <w:tr w:rsidR="00C2128A" w:rsidRPr="005062D3" w:rsidTr="00C2128A">
        <w:trPr>
          <w:trHeight w:val="651"/>
        </w:trPr>
        <w:tc>
          <w:tcPr>
            <w:tcW w:w="3119" w:type="dxa"/>
            <w:tcBorders>
              <w:top w:val="single" w:sz="4" w:space="0" w:color="001D77"/>
              <w:bottom w:val="single" w:sz="4" w:space="0" w:color="001D77"/>
              <w:right w:val="single" w:sz="4" w:space="0" w:color="001D77"/>
            </w:tcBorders>
            <w:shd w:val="clear" w:color="auto" w:fill="auto"/>
            <w:vAlign w:val="center"/>
          </w:tcPr>
          <w:p w:rsidR="00C2128A" w:rsidRPr="005062D3" w:rsidRDefault="00C2128A" w:rsidP="005B23CA">
            <w:pPr>
              <w:pStyle w:val="Nagwek1"/>
              <w:tabs>
                <w:tab w:val="right" w:leader="dot" w:pos="4139"/>
              </w:tabs>
              <w:spacing w:before="0" w:after="0" w:line="240" w:lineRule="exact"/>
              <w:rPr>
                <w:rFonts w:ascii="Fira Sans" w:hAnsi="Fira Sans" w:cs="Arial"/>
                <w:color w:val="000000"/>
                <w:sz w:val="16"/>
                <w:szCs w:val="16"/>
                <w:lang w:val="en-US"/>
              </w:rPr>
            </w:pPr>
            <w:r w:rsidRPr="005062D3">
              <w:rPr>
                <w:rFonts w:ascii="Fira Sans" w:hAnsi="Fira Sans"/>
                <w:color w:val="000000"/>
                <w:sz w:val="16"/>
                <w:szCs w:val="16"/>
                <w:lang w:val="en-US"/>
              </w:rPr>
              <w:t>Average</w:t>
            </w:r>
            <w:r w:rsidRPr="005062D3">
              <w:rPr>
                <w:rFonts w:ascii="Fira Sans" w:hAnsi="Fira Sans" w:cs="Arial"/>
                <w:color w:val="000000"/>
                <w:sz w:val="16"/>
                <w:szCs w:val="16"/>
                <w:lang w:val="en-US"/>
              </w:rPr>
              <w:t xml:space="preserve"> gross wages and salaries total in PLN</w:t>
            </w:r>
          </w:p>
        </w:tc>
        <w:tc>
          <w:tcPr>
            <w:tcW w:w="1370" w:type="dxa"/>
            <w:tcBorders>
              <w:top w:val="single" w:sz="4" w:space="0" w:color="001D77"/>
              <w:left w:val="single" w:sz="4" w:space="0" w:color="001D77"/>
              <w:bottom w:val="single" w:sz="4" w:space="0" w:color="001D77"/>
              <w:right w:val="single" w:sz="4" w:space="0" w:color="001D77"/>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lang w:val="en-US"/>
              </w:rPr>
            </w:pPr>
            <w:r w:rsidRPr="005062D3">
              <w:rPr>
                <w:rFonts w:ascii="Fira Sans" w:hAnsi="Fira Sans" w:cs="Arial"/>
                <w:color w:val="000000"/>
                <w:sz w:val="16"/>
                <w:szCs w:val="16"/>
                <w:lang w:val="en-US"/>
              </w:rPr>
              <w:t>5536.80</w:t>
            </w:r>
          </w:p>
        </w:tc>
        <w:tc>
          <w:tcPr>
            <w:tcW w:w="1370" w:type="dxa"/>
            <w:tcBorders>
              <w:top w:val="single" w:sz="4" w:space="0" w:color="001D77"/>
              <w:left w:val="single" w:sz="4" w:space="0" w:color="001D77"/>
              <w:bottom w:val="single" w:sz="4" w:space="0" w:color="001D77"/>
              <w:right w:val="single" w:sz="4" w:space="0" w:color="001D77"/>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lang w:val="en-US"/>
              </w:rPr>
            </w:pPr>
            <w:r w:rsidRPr="005062D3">
              <w:rPr>
                <w:rFonts w:ascii="Fira Sans" w:hAnsi="Fira Sans" w:cs="Arial"/>
                <w:color w:val="000000"/>
                <w:sz w:val="16"/>
                <w:szCs w:val="16"/>
                <w:lang w:val="en-US"/>
              </w:rPr>
              <w:t>92.7</w:t>
            </w:r>
          </w:p>
        </w:tc>
        <w:tc>
          <w:tcPr>
            <w:tcW w:w="1371" w:type="dxa"/>
            <w:tcBorders>
              <w:top w:val="single" w:sz="4" w:space="0" w:color="001D77"/>
              <w:left w:val="single" w:sz="4" w:space="0" w:color="001D77"/>
              <w:bottom w:val="single" w:sz="4" w:space="0" w:color="001D77"/>
              <w:right w:val="nil"/>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lang w:val="en-US"/>
              </w:rPr>
            </w:pPr>
            <w:r w:rsidRPr="005062D3">
              <w:rPr>
                <w:rFonts w:ascii="Fira Sans" w:hAnsi="Fira Sans" w:cs="Arial"/>
                <w:color w:val="000000"/>
                <w:sz w:val="16"/>
                <w:szCs w:val="16"/>
                <w:lang w:val="en-US"/>
              </w:rPr>
              <w:t>104.8</w:t>
            </w:r>
          </w:p>
        </w:tc>
      </w:tr>
      <w:tr w:rsidR="00C2128A" w:rsidRPr="005062D3" w:rsidTr="00C2128A">
        <w:trPr>
          <w:trHeight w:val="760"/>
        </w:trPr>
        <w:tc>
          <w:tcPr>
            <w:tcW w:w="3119" w:type="dxa"/>
            <w:tcBorders>
              <w:top w:val="single" w:sz="4" w:space="0" w:color="001D77"/>
              <w:bottom w:val="nil"/>
              <w:right w:val="single" w:sz="4" w:space="0" w:color="001D77"/>
            </w:tcBorders>
            <w:shd w:val="clear" w:color="auto" w:fill="auto"/>
            <w:vAlign w:val="center"/>
          </w:tcPr>
          <w:p w:rsidR="00C2128A" w:rsidRPr="005062D3" w:rsidRDefault="00C2128A" w:rsidP="00B31FA9">
            <w:pPr>
              <w:pStyle w:val="Nagwek1"/>
              <w:tabs>
                <w:tab w:val="right" w:leader="dot" w:pos="4139"/>
              </w:tabs>
              <w:spacing w:before="0" w:after="0" w:line="240" w:lineRule="exact"/>
              <w:ind w:left="227"/>
              <w:rPr>
                <w:rFonts w:ascii="Fira Sans" w:hAnsi="Fira Sans" w:cs="Arial"/>
                <w:color w:val="000000"/>
                <w:sz w:val="16"/>
                <w:szCs w:val="16"/>
                <w:lang w:val="en-US"/>
              </w:rPr>
            </w:pPr>
            <w:r w:rsidRPr="005062D3">
              <w:rPr>
                <w:rFonts w:ascii="Fira Sans" w:hAnsi="Fira Sans" w:cs="Arial"/>
                <w:color w:val="000000"/>
                <w:sz w:val="16"/>
                <w:szCs w:val="16"/>
                <w:lang w:val="en-US"/>
              </w:rPr>
              <w:t xml:space="preserve">of which excluding payments from profit </w:t>
            </w:r>
          </w:p>
        </w:tc>
        <w:tc>
          <w:tcPr>
            <w:tcW w:w="1370" w:type="dxa"/>
            <w:tcBorders>
              <w:top w:val="single" w:sz="4" w:space="0" w:color="001D77"/>
              <w:left w:val="single" w:sz="4" w:space="0" w:color="001D77"/>
              <w:bottom w:val="nil"/>
              <w:right w:val="single" w:sz="4" w:space="0" w:color="001D77"/>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lang w:val="en-US"/>
              </w:rPr>
            </w:pPr>
            <w:r w:rsidRPr="005062D3">
              <w:rPr>
                <w:rFonts w:ascii="Fira Sans" w:hAnsi="Fira Sans" w:cs="Arial"/>
                <w:color w:val="000000"/>
                <w:sz w:val="16"/>
                <w:szCs w:val="16"/>
                <w:lang w:val="en-US"/>
              </w:rPr>
              <w:t>5536.7</w:t>
            </w:r>
            <w:r w:rsidR="00315AE1">
              <w:rPr>
                <w:rFonts w:ascii="Fira Sans" w:hAnsi="Fira Sans" w:cs="Arial"/>
                <w:color w:val="000000"/>
                <w:sz w:val="16"/>
                <w:szCs w:val="16"/>
                <w:lang w:val="en-US"/>
              </w:rPr>
              <w:t>9</w:t>
            </w:r>
          </w:p>
        </w:tc>
        <w:tc>
          <w:tcPr>
            <w:tcW w:w="1370" w:type="dxa"/>
            <w:tcBorders>
              <w:top w:val="single" w:sz="4" w:space="0" w:color="001D77"/>
              <w:left w:val="single" w:sz="4" w:space="0" w:color="001D77"/>
              <w:bottom w:val="nil"/>
              <w:right w:val="single" w:sz="4" w:space="0" w:color="001D77"/>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lang w:val="en-US"/>
              </w:rPr>
            </w:pPr>
            <w:r w:rsidRPr="005062D3">
              <w:rPr>
                <w:rFonts w:ascii="Fira Sans" w:hAnsi="Fira Sans" w:cs="Arial"/>
                <w:color w:val="000000"/>
                <w:sz w:val="16"/>
                <w:szCs w:val="16"/>
                <w:lang w:val="en-US"/>
              </w:rPr>
              <w:t>92.7</w:t>
            </w:r>
          </w:p>
        </w:tc>
        <w:tc>
          <w:tcPr>
            <w:tcW w:w="1371" w:type="dxa"/>
            <w:tcBorders>
              <w:top w:val="single" w:sz="4" w:space="0" w:color="001D77"/>
              <w:left w:val="single" w:sz="4" w:space="0" w:color="001D77"/>
              <w:bottom w:val="nil"/>
              <w:right w:val="nil"/>
            </w:tcBorders>
            <w:shd w:val="clear" w:color="auto" w:fill="auto"/>
            <w:vAlign w:val="center"/>
          </w:tcPr>
          <w:p w:rsidR="00C2128A" w:rsidRPr="005062D3" w:rsidRDefault="00C2128A" w:rsidP="00C2128A">
            <w:pPr>
              <w:pStyle w:val="Nagwek1"/>
              <w:tabs>
                <w:tab w:val="right" w:leader="dot" w:pos="4139"/>
              </w:tabs>
              <w:spacing w:before="0" w:after="0" w:line="240" w:lineRule="exact"/>
              <w:jc w:val="right"/>
              <w:rPr>
                <w:rFonts w:ascii="Fira Sans" w:hAnsi="Fira Sans" w:cs="Arial"/>
                <w:color w:val="000000"/>
                <w:sz w:val="16"/>
                <w:szCs w:val="16"/>
                <w:lang w:val="en-US"/>
              </w:rPr>
            </w:pPr>
            <w:r w:rsidRPr="005062D3">
              <w:rPr>
                <w:rFonts w:ascii="Fira Sans" w:hAnsi="Fira Sans" w:cs="Arial"/>
                <w:color w:val="000000"/>
                <w:sz w:val="16"/>
                <w:szCs w:val="16"/>
                <w:lang w:val="en-US"/>
              </w:rPr>
              <w:t>104.8</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824890" w:rsidRPr="005062D3" w:rsidRDefault="00824890" w:rsidP="00150BDC">
      <w:pPr>
        <w:autoSpaceDE w:val="0"/>
        <w:autoSpaceDN w:val="0"/>
        <w:adjustRightInd w:val="0"/>
        <w:spacing w:before="0" w:after="0" w:line="240" w:lineRule="auto"/>
        <w:rPr>
          <w:rFonts w:eastAsia="Calibri"/>
          <w:shd w:val="clear" w:color="auto" w:fill="FFFFFF"/>
          <w:lang w:val="en-US"/>
        </w:rPr>
      </w:pPr>
    </w:p>
    <w:p w:rsidR="0015442E" w:rsidRPr="00AD74D4" w:rsidRDefault="00150BDC" w:rsidP="0015442E">
      <w:pPr>
        <w:autoSpaceDE w:val="0"/>
        <w:autoSpaceDN w:val="0"/>
        <w:adjustRightInd w:val="0"/>
        <w:spacing w:before="0" w:after="0" w:line="240" w:lineRule="auto"/>
        <w:rPr>
          <w:rStyle w:val="jlqj4b"/>
          <w:lang w:val="en-US"/>
        </w:rPr>
      </w:pPr>
      <w:r w:rsidRPr="005062D3">
        <w:rPr>
          <w:rFonts w:eastAsia="Calibri"/>
          <w:shd w:val="clear" w:color="auto" w:fill="FFFFFF"/>
          <w:lang w:val="en-US"/>
        </w:rPr>
        <w:t xml:space="preserve">In </w:t>
      </w:r>
      <w:r w:rsidR="00CB544E" w:rsidRPr="005062D3">
        <w:rPr>
          <w:rFonts w:eastAsia="Calibri"/>
          <w:shd w:val="clear" w:color="auto" w:fill="FFFFFF"/>
          <w:lang w:val="en-US"/>
        </w:rPr>
        <w:t>January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A15354" w:rsidRPr="005062D3">
        <w:rPr>
          <w:rFonts w:eastAsia="Calibri"/>
          <w:shd w:val="clear" w:color="auto" w:fill="FFFFFF"/>
          <w:lang w:val="en-US"/>
        </w:rPr>
        <w:t xml:space="preserve"> </w:t>
      </w:r>
      <w:r w:rsidR="00B92B8B" w:rsidRPr="005062D3">
        <w:rPr>
          <w:rFonts w:eastAsia="Calibri"/>
          <w:shd w:val="clear" w:color="auto" w:fill="FFFFFF"/>
          <w:lang w:val="en-US"/>
        </w:rPr>
        <w:t xml:space="preserve">minimally </w:t>
      </w:r>
      <w:r w:rsidR="00A03A0F" w:rsidRPr="005062D3">
        <w:rPr>
          <w:rFonts w:eastAsia="Calibri"/>
          <w:shd w:val="clear" w:color="auto" w:fill="FFFFFF"/>
          <w:lang w:val="en-US"/>
        </w:rPr>
        <w:t>decreased</w:t>
      </w:r>
      <w:r w:rsidR="00B92B8B" w:rsidRPr="005062D3">
        <w:rPr>
          <w:rFonts w:eastAsia="Calibri"/>
          <w:shd w:val="clear" w:color="auto" w:fill="FFFFFF"/>
          <w:lang w:val="en-US"/>
        </w:rPr>
        <w:t xml:space="preserve"> </w:t>
      </w:r>
      <w:r w:rsidR="00A03A0F" w:rsidRPr="005062D3">
        <w:rPr>
          <w:rFonts w:eastAsia="Calibri"/>
          <w:shd w:val="clear" w:color="auto" w:fill="FFFFFF"/>
          <w:lang w:val="en-US"/>
        </w:rPr>
        <w:t>(</w:t>
      </w:r>
      <w:r w:rsidR="00B92B8B" w:rsidRPr="005062D3">
        <w:rPr>
          <w:rFonts w:eastAsia="Calibri"/>
          <w:shd w:val="clear" w:color="auto" w:fill="FFFFFF"/>
          <w:lang w:val="en-US"/>
        </w:rPr>
        <w:t>by 0.2%</w:t>
      </w:r>
      <w:r w:rsidR="00A03A0F" w:rsidRPr="005062D3">
        <w:rPr>
          <w:rFonts w:eastAsia="Calibri"/>
          <w:shd w:val="clear" w:color="auto" w:fill="FFFFFF"/>
          <w:lang w:val="en-US"/>
        </w:rPr>
        <w:t>)</w:t>
      </w:r>
      <w:r w:rsidR="00B92B8B" w:rsidRPr="005062D3">
        <w:rPr>
          <w:rFonts w:eastAsia="Calibri"/>
          <w:shd w:val="clear" w:color="auto" w:fill="FFFFFF"/>
          <w:lang w:val="en-US"/>
        </w:rPr>
        <w:t xml:space="preserve"> compared to the one </w:t>
      </w:r>
      <w:r w:rsidR="00D24F64" w:rsidRPr="005062D3">
        <w:rPr>
          <w:rFonts w:eastAsia="Calibri"/>
          <w:shd w:val="clear" w:color="auto" w:fill="FFFFFF"/>
          <w:lang w:val="en-US"/>
        </w:rPr>
        <w:t>noted month before</w:t>
      </w:r>
      <w:r w:rsidR="005669A1" w:rsidRPr="005062D3">
        <w:rPr>
          <w:rFonts w:eastAsia="Calibri"/>
          <w:shd w:val="clear" w:color="auto" w:fill="FFFFFF"/>
          <w:lang w:val="en-US"/>
        </w:rPr>
        <w:t>,</w:t>
      </w:r>
      <w:r w:rsidR="005669A1" w:rsidRPr="005062D3">
        <w:rPr>
          <w:rStyle w:val="Nagwek1Znak"/>
          <w:rFonts w:ascii="Fira Sans" w:eastAsia="Fira Sans Light" w:hAnsi="Fira Sans"/>
          <w:lang w:val="en-US"/>
        </w:rPr>
        <w:t xml:space="preserve"> </w:t>
      </w:r>
      <w:r w:rsidR="005669A1" w:rsidRPr="005062D3">
        <w:rPr>
          <w:rStyle w:val="jlqj4b"/>
          <w:lang w:val="en-US"/>
        </w:rPr>
        <w:t xml:space="preserve">while in </w:t>
      </w:r>
      <w:r w:rsidR="0015442E" w:rsidRPr="005062D3">
        <w:rPr>
          <w:rStyle w:val="jlqj4b"/>
          <w:lang w:val="en-US"/>
        </w:rPr>
        <w:t>December</w:t>
      </w:r>
      <w:r w:rsidR="00B92B8B" w:rsidRPr="005062D3">
        <w:rPr>
          <w:rStyle w:val="jlqj4b"/>
          <w:lang w:val="en-US"/>
        </w:rPr>
        <w:t xml:space="preserve"> </w:t>
      </w:r>
      <w:r w:rsidR="00F71DB5" w:rsidRPr="005062D3">
        <w:rPr>
          <w:rStyle w:val="jlqj4b"/>
          <w:lang w:val="en-US"/>
        </w:rPr>
        <w:t>2020</w:t>
      </w:r>
      <w:r w:rsidR="00D83230" w:rsidRPr="005062D3">
        <w:rPr>
          <w:rStyle w:val="jlqj4b"/>
          <w:lang w:val="en-US"/>
        </w:rPr>
        <w:t xml:space="preserve"> </w:t>
      </w:r>
      <w:r w:rsidR="0015442E" w:rsidRPr="005062D3">
        <w:rPr>
          <w:rStyle w:val="jlqj4b"/>
          <w:lang w:val="en-US"/>
        </w:rPr>
        <w:t>compared to November 2020 it slightly increased (by 0.2%). In relation to the same period a year earlier, a continued decline in average paid employment was observed, which in January this year</w:t>
      </w:r>
      <w:r w:rsidR="0015442E" w:rsidRPr="005062D3">
        <w:rPr>
          <w:rStyle w:val="viiyi"/>
          <w:lang w:val="en-US"/>
        </w:rPr>
        <w:t xml:space="preserve"> </w:t>
      </w:r>
      <w:r w:rsidR="0015442E" w:rsidRPr="005062D3">
        <w:rPr>
          <w:rStyle w:val="jlqj4b"/>
          <w:lang w:val="en-US"/>
        </w:rPr>
        <w:t>was even stronger than in December 2020 (2.0% and 1.0% respectively). These changes resulted, among others, from</w:t>
      </w:r>
      <w:r w:rsidR="0015442E" w:rsidRPr="005062D3">
        <w:rPr>
          <w:rStyle w:val="viiyi"/>
          <w:lang w:val="en-US"/>
        </w:rPr>
        <w:t xml:space="preserve"> </w:t>
      </w:r>
      <w:r w:rsidR="0015442E" w:rsidRPr="005062D3">
        <w:rPr>
          <w:rStyle w:val="jlqj4b"/>
          <w:lang w:val="en-US"/>
        </w:rPr>
        <w:t>termination and non-renewal in January 2021 of fixed-term contracts (sometimes due to the epidemic situation), layoffs, retirement and the above-described</w:t>
      </w:r>
      <w:r w:rsidR="0015442E" w:rsidRPr="00AD74D4">
        <w:rPr>
          <w:rStyle w:val="jlqj4b"/>
          <w:lang w:val="en-US"/>
        </w:rPr>
        <w:t xml:space="preserve"> </w:t>
      </w:r>
      <w:r w:rsidR="0015442E" w:rsidRPr="00AD74D4">
        <w:rPr>
          <w:rStyle w:val="jlqj4b"/>
          <w:lang w:val="en-US"/>
        </w:rPr>
        <w:lastRenderedPageBreak/>
        <w:t>verification of the size class of the surveyed units included in the enterprise sector together with the selection of a sample of medium units</w:t>
      </w:r>
      <w:r w:rsidR="0015442E">
        <w:rPr>
          <w:rStyle w:val="Odwoanieprzypisudolnego"/>
        </w:rPr>
        <w:footnoteReference w:id="4"/>
      </w:r>
      <w:r w:rsidR="0015442E" w:rsidRPr="00AD74D4">
        <w:rPr>
          <w:rStyle w:val="jlqj4b"/>
          <w:lang w:val="en-US"/>
        </w:rPr>
        <w:t>.</w:t>
      </w:r>
    </w:p>
    <w:p w:rsidR="00A15B1D" w:rsidRPr="00516013" w:rsidRDefault="00A15B1D" w:rsidP="00516013">
      <w:pPr>
        <w:autoSpaceDE w:val="0"/>
        <w:autoSpaceDN w:val="0"/>
        <w:adjustRightInd w:val="0"/>
        <w:rPr>
          <w:b/>
          <w:lang w:val="en-US"/>
        </w:rPr>
      </w:pPr>
      <w:r w:rsidRPr="00516013">
        <w:rPr>
          <w:b/>
          <w:noProof/>
          <w:lang w:val="en-US"/>
        </w:rPr>
        <w:t>Chart 1. Average paid employment in enterprises sector</w:t>
      </w:r>
    </w:p>
    <w:p w:rsidR="00A15B1D" w:rsidRPr="00A15B1D" w:rsidRDefault="00516013" w:rsidP="00150BDC">
      <w:pPr>
        <w:autoSpaceDE w:val="0"/>
        <w:autoSpaceDN w:val="0"/>
        <w:adjustRightInd w:val="0"/>
        <w:spacing w:before="0" w:after="0" w:line="240" w:lineRule="auto"/>
        <w:rPr>
          <w:rStyle w:val="tlid-translation"/>
          <w:lang w:val="en-US"/>
        </w:rPr>
      </w:pPr>
      <w:r>
        <w:rPr>
          <w:noProof/>
          <w:lang w:eastAsia="pl-PL"/>
        </w:rPr>
        <w:drawing>
          <wp:anchor distT="0" distB="0" distL="114300" distR="114300" simplePos="0" relativeHeight="251661312" behindDoc="0" locked="0" layoutInCell="1" allowOverlap="1">
            <wp:simplePos x="0" y="0"/>
            <wp:positionH relativeFrom="margin">
              <wp:align>center</wp:align>
            </wp:positionH>
            <wp:positionV relativeFrom="margin">
              <wp:posOffset>638810</wp:posOffset>
            </wp:positionV>
            <wp:extent cx="5118100" cy="3703320"/>
            <wp:effectExtent l="19050" t="0" r="6350" b="0"/>
            <wp:wrapSquare wrapText="bothSides"/>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9C504A" w:rsidRDefault="009C504A" w:rsidP="00150BDC">
      <w:pPr>
        <w:autoSpaceDE w:val="0"/>
        <w:autoSpaceDN w:val="0"/>
        <w:adjustRightInd w:val="0"/>
        <w:spacing w:before="0" w:after="0" w:line="240" w:lineRule="auto"/>
        <w:rPr>
          <w:rStyle w:val="tlid-translation"/>
          <w:lang w:val="en-US"/>
        </w:rPr>
      </w:pP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month on month, while in the subsequent months of 2020 its increase began to be observed</w:t>
      </w:r>
      <w:r w:rsidR="0015442E" w:rsidRPr="005062D3">
        <w:rPr>
          <w:rStyle w:val="tlid-translation"/>
          <w:lang w:val="en-US"/>
        </w:rPr>
        <w:t>.</w:t>
      </w:r>
      <w:r w:rsidR="008F481A" w:rsidRPr="005062D3">
        <w:rPr>
          <w:rStyle w:val="tlid-translation"/>
          <w:lang w:val="en-US"/>
        </w:rPr>
        <w:t xml:space="preserve"> </w:t>
      </w:r>
      <w:r w:rsidR="0015442E" w:rsidRPr="005062D3">
        <w:rPr>
          <w:rStyle w:val="tlid-translation"/>
          <w:lang w:val="en-US"/>
        </w:rPr>
        <w:t>Such changes in the average paid employment during the year did not occur in the previous years. In January 2021 minimal decrease in average</w:t>
      </w:r>
      <w:r w:rsidR="00FD0F90">
        <w:rPr>
          <w:rStyle w:val="tlid-translation"/>
          <w:lang w:val="en-US"/>
        </w:rPr>
        <w:t xml:space="preserve"> </w:t>
      </w:r>
      <w:r w:rsidR="0015442E" w:rsidRPr="005062D3">
        <w:rPr>
          <w:rStyle w:val="tlid-translation"/>
          <w:lang w:val="en-US"/>
        </w:rPr>
        <w:t xml:space="preserve">paid employment was noted by approx. 14.5 thousand full-time jobs (usually in January compares to December </w:t>
      </w:r>
      <w:r w:rsidR="00516013">
        <w:rPr>
          <w:rStyle w:val="tlid-translation"/>
          <w:lang w:val="en-US"/>
        </w:rPr>
        <w:t xml:space="preserve">of the </w:t>
      </w:r>
      <w:r w:rsidR="0015442E" w:rsidRPr="005062D3">
        <w:rPr>
          <w:rStyle w:val="tlid-translation"/>
          <w:lang w:val="en-US"/>
        </w:rPr>
        <w:t xml:space="preserve">previous year there was </w:t>
      </w:r>
      <w:r w:rsidR="00516013">
        <w:rPr>
          <w:rStyle w:val="tlid-translation"/>
          <w:lang w:val="en-US"/>
        </w:rPr>
        <w:t xml:space="preserve">observed </w:t>
      </w:r>
      <w:r w:rsidR="0015442E" w:rsidRPr="005062D3">
        <w:rPr>
          <w:rStyle w:val="tlid-translation"/>
          <w:lang w:val="en-US"/>
        </w:rPr>
        <w:t xml:space="preserve">an increase, </w:t>
      </w:r>
      <w:r w:rsidR="0015442E" w:rsidRPr="005062D3">
        <w:rPr>
          <w:rStyle w:val="jlqj4b"/>
          <w:lang w:val="en-US"/>
        </w:rPr>
        <w:t>including in January 2020 compared to December 2019</w:t>
      </w:r>
      <w:r w:rsidR="00516013">
        <w:rPr>
          <w:rStyle w:val="jlqj4b"/>
          <w:lang w:val="en-US"/>
        </w:rPr>
        <w:t>,</w:t>
      </w:r>
      <w:r w:rsidR="0015442E" w:rsidRPr="005062D3">
        <w:rPr>
          <w:rStyle w:val="jlqj4b"/>
          <w:lang w:val="en-US"/>
        </w:rPr>
        <w:t xml:space="preserve"> </w:t>
      </w:r>
      <w:r w:rsidR="00516013">
        <w:rPr>
          <w:rStyle w:val="jlqj4b"/>
          <w:lang w:val="en-US"/>
        </w:rPr>
        <w:t>an increase by approx. 45 </w:t>
      </w:r>
      <w:r w:rsidR="0015442E" w:rsidRPr="005062D3">
        <w:rPr>
          <w:rStyle w:val="jlqj4b"/>
          <w:lang w:val="en-US"/>
        </w:rPr>
        <w:t>thousand full-time jobs</w:t>
      </w:r>
      <w:r w:rsidR="0015442E" w:rsidRPr="005062D3">
        <w:rPr>
          <w:rStyle w:val="tlid-translation"/>
          <w:lang w:val="en-US"/>
        </w:rPr>
        <w:t xml:space="preserve">). </w:t>
      </w:r>
    </w:p>
    <w:p w:rsidR="00C47165" w:rsidRPr="005062D3"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in January 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the previous month</w:t>
      </w:r>
      <w:r w:rsidRPr="005062D3">
        <w:rPr>
          <w:szCs w:val="19"/>
          <w:lang w:val="en-US"/>
        </w:rPr>
        <w:t xml:space="preserve"> a decrease </w:t>
      </w:r>
      <w:r w:rsidR="00516013">
        <w:rPr>
          <w:szCs w:val="19"/>
          <w:lang w:val="en-US"/>
        </w:rPr>
        <w:t xml:space="preserve">by 7.3% </w:t>
      </w:r>
      <w:r w:rsidR="00163FAA" w:rsidRPr="005062D3">
        <w:rPr>
          <w:rStyle w:val="tlid-translation"/>
          <w:lang w:val="en-US"/>
        </w:rPr>
        <w:t>was noted</w:t>
      </w:r>
      <w:r w:rsidR="00FC1193" w:rsidRPr="005062D3">
        <w:rPr>
          <w:rStyle w:val="tlid-translation"/>
          <w:lang w:val="en-US"/>
        </w:rPr>
        <w:t xml:space="preserve">. </w:t>
      </w:r>
      <w:r w:rsidR="00DF0DFC" w:rsidRPr="005062D3">
        <w:rPr>
          <w:rStyle w:val="tlid-translation"/>
          <w:lang w:val="en-US"/>
        </w:rPr>
        <w:t xml:space="preserve">It was caused among others </w:t>
      </w:r>
      <w:r w:rsidR="0001274D" w:rsidRPr="005062D3">
        <w:rPr>
          <w:rStyle w:val="tlid-translation"/>
          <w:lang w:val="en-US"/>
        </w:rPr>
        <w:t xml:space="preserve">by </w:t>
      </w:r>
      <w:r w:rsidRPr="005062D3">
        <w:rPr>
          <w:rStyle w:val="tlid-translation"/>
          <w:lang w:val="en-US"/>
        </w:rPr>
        <w:t>paying in December 2020</w:t>
      </w:r>
      <w:r w:rsidR="008F481A" w:rsidRPr="005062D3">
        <w:rPr>
          <w:rStyle w:val="tlid-translation"/>
          <w:lang w:val="en-US"/>
        </w:rPr>
        <w:t xml:space="preserve"> bonuses, quarterly, annual,</w:t>
      </w:r>
      <w:r w:rsidR="00DF0DFC" w:rsidRPr="005062D3">
        <w:rPr>
          <w:rStyle w:val="tlid-translation"/>
          <w:lang w:val="en-US"/>
        </w:rPr>
        <w:t xml:space="preserve"> jubilee </w:t>
      </w:r>
      <w:r w:rsidR="008F481A" w:rsidRPr="005062D3">
        <w:rPr>
          <w:rStyle w:val="tlid-translation"/>
          <w:lang w:val="en-US"/>
        </w:rPr>
        <w:t xml:space="preserve">and discretionary </w:t>
      </w:r>
      <w:r w:rsidR="00DF0DFC" w:rsidRPr="005062D3">
        <w:rPr>
          <w:rStyle w:val="tlid-translation"/>
          <w:lang w:val="en-US"/>
        </w:rPr>
        <w:t>awards</w:t>
      </w:r>
      <w:r w:rsidR="008F481A" w:rsidRPr="005062D3">
        <w:rPr>
          <w:rStyle w:val="tlid-translation"/>
          <w:lang w:val="en-US"/>
        </w:rPr>
        <w:t>,</w:t>
      </w:r>
      <w:r w:rsidR="00DF0DFC" w:rsidRPr="005062D3">
        <w:rPr>
          <w:rStyle w:val="tlid-translation"/>
          <w:lang w:val="en-US"/>
        </w:rPr>
        <w:t xml:space="preserve"> </w:t>
      </w:r>
      <w:r w:rsidR="008F481A" w:rsidRPr="005062D3">
        <w:rPr>
          <w:rStyle w:val="tlid-translation"/>
          <w:lang w:val="en-US"/>
        </w:rPr>
        <w:t>and also</w:t>
      </w:r>
      <w:r w:rsidR="00DF0DFC" w:rsidRPr="005062D3">
        <w:rPr>
          <w:rStyle w:val="tlid-translation"/>
          <w:lang w:val="en-US"/>
        </w:rPr>
        <w:t xml:space="preserve"> retirement severance pays </w:t>
      </w:r>
      <w:r w:rsidR="00C47165" w:rsidRPr="005062D3">
        <w:rPr>
          <w:rStyle w:val="tlid-translation"/>
          <w:lang w:val="en-US"/>
        </w:rPr>
        <w:t>(</w:t>
      </w:r>
      <w:r w:rsidR="00382F44" w:rsidRPr="005062D3">
        <w:rPr>
          <w:rStyle w:val="tlid-translation"/>
          <w:lang w:val="en-US"/>
        </w:rPr>
        <w:t xml:space="preserve">which beside the base remuneration </w:t>
      </w:r>
      <w:r w:rsidR="00F85372" w:rsidRPr="005062D3">
        <w:rPr>
          <w:rStyle w:val="tlid-translation"/>
          <w:lang w:val="en-US"/>
        </w:rPr>
        <w:t xml:space="preserve">are also included as </w:t>
      </w:r>
      <w:r w:rsidR="00382F44" w:rsidRPr="005062D3">
        <w:rPr>
          <w:rStyle w:val="tlid-translation"/>
          <w:lang w:val="en-US"/>
        </w:rPr>
        <w:t>co</w:t>
      </w:r>
      <w:r w:rsidR="00382F44" w:rsidRPr="005062D3">
        <w:rPr>
          <w:rStyle w:val="tlid-translation"/>
          <w:lang w:val="en-US"/>
        </w:rPr>
        <w:t>m</w:t>
      </w:r>
      <w:r w:rsidR="00382F44" w:rsidRPr="005062D3">
        <w:rPr>
          <w:rStyle w:val="tlid-translation"/>
          <w:lang w:val="en-US"/>
        </w:rPr>
        <w:t>ponents of wages and salaries</w:t>
      </w:r>
      <w:r w:rsidR="00C47165" w:rsidRPr="005062D3">
        <w:rPr>
          <w:rStyle w:val="tlid-translation"/>
          <w:lang w:val="en-US"/>
        </w:rPr>
        <w:t>)</w:t>
      </w:r>
      <w:r w:rsidR="00FC1193" w:rsidRPr="005062D3">
        <w:rPr>
          <w:rStyle w:val="tlid-translation"/>
          <w:lang w:val="en-US"/>
        </w:rPr>
        <w:t>.</w:t>
      </w:r>
      <w:r w:rsidR="005F6EB0" w:rsidRPr="005062D3">
        <w:rPr>
          <w:rStyle w:val="tlid-translation"/>
          <w:lang w:val="en-US"/>
        </w:rPr>
        <w:t xml:space="preserve"> </w:t>
      </w:r>
      <w:r w:rsidR="005F6EB0" w:rsidRPr="005062D3">
        <w:rPr>
          <w:rStyle w:val="jlqj4b"/>
          <w:lang w:val="en-US"/>
        </w:rPr>
        <w:t>This phenomenon is observed every year during this period.</w:t>
      </w:r>
    </w:p>
    <w:p w:rsidR="008F7E17" w:rsidRPr="005062D3" w:rsidRDefault="00C47165" w:rsidP="00B556A3">
      <w:pPr>
        <w:pStyle w:val="tytuwykresu"/>
        <w:rPr>
          <w:rStyle w:val="tlid-translation"/>
          <w:b w:val="0"/>
          <w:spacing w:val="0"/>
          <w:sz w:val="19"/>
          <w:lang w:val="en-US"/>
        </w:rPr>
      </w:pPr>
      <w:r w:rsidRPr="005062D3">
        <w:rPr>
          <w:rStyle w:val="tlid-translation"/>
          <w:b w:val="0"/>
          <w:spacing w:val="0"/>
          <w:sz w:val="19"/>
          <w:lang w:val="en-US"/>
        </w:rPr>
        <w:t>Annually (</w:t>
      </w:r>
      <w:r w:rsidR="00B556A3" w:rsidRPr="005062D3">
        <w:rPr>
          <w:rStyle w:val="tlid-translation"/>
          <w:b w:val="0"/>
          <w:spacing w:val="0"/>
          <w:sz w:val="19"/>
          <w:lang w:val="en-US"/>
        </w:rPr>
        <w:t>January</w:t>
      </w:r>
      <w:r w:rsidR="00E1205D" w:rsidRPr="005062D3">
        <w:rPr>
          <w:rStyle w:val="tlid-translation"/>
          <w:b w:val="0"/>
          <w:spacing w:val="0"/>
          <w:sz w:val="19"/>
          <w:lang w:val="en-US"/>
        </w:rPr>
        <w:t xml:space="preserve"> </w:t>
      </w:r>
      <w:r w:rsidR="00B556A3" w:rsidRPr="005062D3">
        <w:rPr>
          <w:rStyle w:val="tlid-translation"/>
          <w:b w:val="0"/>
          <w:spacing w:val="0"/>
          <w:sz w:val="19"/>
          <w:lang w:val="en-US"/>
        </w:rPr>
        <w:t>2021</w:t>
      </w:r>
      <w:r w:rsidRPr="005062D3">
        <w:rPr>
          <w:rStyle w:val="tlid-translation"/>
          <w:b w:val="0"/>
          <w:spacing w:val="0"/>
          <w:sz w:val="19"/>
          <w:lang w:val="en-US"/>
        </w:rPr>
        <w:t xml:space="preserve"> to </w:t>
      </w:r>
      <w:r w:rsidR="00B556A3" w:rsidRPr="005062D3">
        <w:rPr>
          <w:rStyle w:val="tlid-translation"/>
          <w:b w:val="0"/>
          <w:spacing w:val="0"/>
          <w:sz w:val="19"/>
          <w:lang w:val="en-US"/>
        </w:rPr>
        <w:t>January 202</w:t>
      </w:r>
      <w:r w:rsidR="00315AE1">
        <w:rPr>
          <w:rStyle w:val="tlid-translation"/>
          <w:b w:val="0"/>
          <w:spacing w:val="0"/>
          <w:sz w:val="19"/>
          <w:lang w:val="en-US"/>
        </w:rPr>
        <w:t>0</w:t>
      </w:r>
      <w:r w:rsidRPr="005062D3">
        <w:rPr>
          <w:rStyle w:val="tlid-translation"/>
          <w:b w:val="0"/>
          <w:spacing w:val="0"/>
          <w:sz w:val="19"/>
          <w:lang w:val="en-US"/>
        </w:rPr>
        <w:t>), a</w:t>
      </w:r>
      <w:r w:rsidR="00DE6880" w:rsidRPr="005062D3">
        <w:rPr>
          <w:rStyle w:val="tlid-translation"/>
          <w:b w:val="0"/>
          <w:spacing w:val="0"/>
          <w:sz w:val="19"/>
          <w:lang w:val="en-US"/>
        </w:rPr>
        <w:t>ver</w:t>
      </w:r>
      <w:r w:rsidRPr="005062D3">
        <w:rPr>
          <w:rStyle w:val="tlid-translation"/>
          <w:b w:val="0"/>
          <w:spacing w:val="0"/>
          <w:sz w:val="19"/>
          <w:lang w:val="en-US"/>
        </w:rPr>
        <w:t xml:space="preserve">age gross wages and salaries </w:t>
      </w:r>
      <w:r w:rsidR="00DE6880" w:rsidRPr="005062D3">
        <w:rPr>
          <w:rStyle w:val="tlid-translation"/>
          <w:b w:val="0"/>
          <w:spacing w:val="0"/>
          <w:sz w:val="19"/>
          <w:lang w:val="en-US"/>
        </w:rPr>
        <w:t>incr</w:t>
      </w:r>
      <w:r w:rsidR="00E301FA" w:rsidRPr="005062D3">
        <w:rPr>
          <w:rStyle w:val="tlid-translation"/>
          <w:b w:val="0"/>
          <w:spacing w:val="0"/>
          <w:sz w:val="19"/>
          <w:lang w:val="en-US"/>
        </w:rPr>
        <w:t xml:space="preserve">eased </w:t>
      </w:r>
      <w:r w:rsidRPr="005062D3">
        <w:rPr>
          <w:rStyle w:val="tlid-translation"/>
          <w:b w:val="0"/>
          <w:spacing w:val="0"/>
          <w:sz w:val="19"/>
          <w:lang w:val="en-US"/>
        </w:rPr>
        <w:t xml:space="preserve">by </w:t>
      </w:r>
      <w:r w:rsidR="00B556A3" w:rsidRPr="005062D3">
        <w:rPr>
          <w:rStyle w:val="tlid-translation"/>
          <w:b w:val="0"/>
          <w:spacing w:val="0"/>
          <w:sz w:val="19"/>
          <w:lang w:val="en-US"/>
        </w:rPr>
        <w:t>4</w:t>
      </w:r>
      <w:r w:rsidR="00691476" w:rsidRPr="005062D3">
        <w:rPr>
          <w:rStyle w:val="tlid-translation"/>
          <w:b w:val="0"/>
          <w:spacing w:val="0"/>
          <w:sz w:val="19"/>
          <w:lang w:val="en-US"/>
        </w:rPr>
        <w:t>.</w:t>
      </w:r>
      <w:r w:rsidR="00B556A3" w:rsidRPr="005062D3">
        <w:rPr>
          <w:rStyle w:val="tlid-translation"/>
          <w:b w:val="0"/>
          <w:spacing w:val="0"/>
          <w:sz w:val="19"/>
          <w:lang w:val="en-US"/>
        </w:rPr>
        <w:t>8</w:t>
      </w:r>
      <w:r w:rsidR="00E301FA" w:rsidRPr="005062D3">
        <w:rPr>
          <w:rStyle w:val="tlid-translation"/>
          <w:b w:val="0"/>
          <w:spacing w:val="0"/>
          <w:sz w:val="19"/>
          <w:lang w:val="en-US"/>
        </w:rPr>
        <w:t>%,</w:t>
      </w:r>
      <w:r w:rsidR="00927F96" w:rsidRPr="005062D3">
        <w:rPr>
          <w:rStyle w:val="tlid-translation"/>
          <w:b w:val="0"/>
          <w:spacing w:val="0"/>
          <w:sz w:val="19"/>
          <w:lang w:val="en-US"/>
        </w:rPr>
        <w:t xml:space="preserve"> </w:t>
      </w:r>
      <w:r w:rsidR="00593E00" w:rsidRPr="005062D3">
        <w:rPr>
          <w:rStyle w:val="tlid-translation"/>
          <w:b w:val="0"/>
          <w:spacing w:val="0"/>
          <w:sz w:val="19"/>
          <w:lang w:val="en-US"/>
        </w:rPr>
        <w:t xml:space="preserve">and the growth rate was </w:t>
      </w:r>
      <w:r w:rsidR="00B556A3" w:rsidRPr="005062D3">
        <w:rPr>
          <w:rStyle w:val="tlid-translation"/>
          <w:b w:val="0"/>
          <w:spacing w:val="0"/>
          <w:sz w:val="19"/>
          <w:lang w:val="en-US"/>
        </w:rPr>
        <w:t>slower</w:t>
      </w:r>
      <w:r w:rsidR="00593E00" w:rsidRPr="005062D3">
        <w:rPr>
          <w:rStyle w:val="tlid-translation"/>
          <w:b w:val="0"/>
          <w:spacing w:val="0"/>
          <w:sz w:val="19"/>
          <w:lang w:val="en-US"/>
        </w:rPr>
        <w:t xml:space="preserve"> than</w:t>
      </w:r>
      <w:r w:rsidR="00BD6D12" w:rsidRPr="005062D3">
        <w:rPr>
          <w:rStyle w:val="tlid-translation"/>
          <w:b w:val="0"/>
          <w:spacing w:val="0"/>
          <w:sz w:val="19"/>
          <w:lang w:val="en-US"/>
        </w:rPr>
        <w:t xml:space="preserve"> </w:t>
      </w:r>
      <w:r w:rsidR="00A8647D" w:rsidRPr="005062D3">
        <w:rPr>
          <w:rStyle w:val="tlid-translation"/>
          <w:b w:val="0"/>
          <w:spacing w:val="0"/>
          <w:sz w:val="19"/>
          <w:lang w:val="en-US"/>
        </w:rPr>
        <w:t xml:space="preserve">that </w:t>
      </w:r>
      <w:r w:rsidR="00BD6D12" w:rsidRPr="005062D3">
        <w:rPr>
          <w:rStyle w:val="tlid-translation"/>
          <w:b w:val="0"/>
          <w:spacing w:val="0"/>
          <w:sz w:val="19"/>
          <w:lang w:val="en-US"/>
        </w:rPr>
        <w:t>observed</w:t>
      </w:r>
      <w:r w:rsidR="00593E00" w:rsidRPr="005062D3">
        <w:rPr>
          <w:rStyle w:val="tlid-translation"/>
          <w:b w:val="0"/>
          <w:spacing w:val="0"/>
          <w:sz w:val="19"/>
          <w:lang w:val="en-US"/>
        </w:rPr>
        <w:t xml:space="preserve"> </w:t>
      </w:r>
      <w:r w:rsidR="00643DEC" w:rsidRPr="005062D3">
        <w:rPr>
          <w:rStyle w:val="tlid-translation"/>
          <w:b w:val="0"/>
          <w:spacing w:val="0"/>
          <w:sz w:val="19"/>
          <w:lang w:val="en-US"/>
        </w:rPr>
        <w:t xml:space="preserve">in previous </w:t>
      </w:r>
      <w:r w:rsidR="00B5163B" w:rsidRPr="005062D3">
        <w:rPr>
          <w:rStyle w:val="tlid-translation"/>
          <w:b w:val="0"/>
          <w:spacing w:val="0"/>
          <w:sz w:val="19"/>
          <w:lang w:val="en-US"/>
        </w:rPr>
        <w:t>month</w:t>
      </w:r>
      <w:r w:rsidR="00643DEC" w:rsidRPr="005062D3">
        <w:rPr>
          <w:rStyle w:val="tlid-translation"/>
          <w:b w:val="0"/>
          <w:spacing w:val="0"/>
          <w:sz w:val="19"/>
          <w:lang w:val="en-US"/>
        </w:rPr>
        <w:t>s</w:t>
      </w:r>
      <w:r w:rsidR="00B556A3" w:rsidRPr="005062D3">
        <w:rPr>
          <w:rStyle w:val="tlid-translation"/>
          <w:b w:val="0"/>
          <w:spacing w:val="0"/>
          <w:sz w:val="19"/>
          <w:lang w:val="en-US"/>
        </w:rPr>
        <w:t xml:space="preserve">. Average </w:t>
      </w:r>
      <w:r w:rsidR="00AA16CB" w:rsidRPr="005062D3">
        <w:rPr>
          <w:rStyle w:val="tlid-translation"/>
          <w:b w:val="0"/>
          <w:spacing w:val="0"/>
          <w:sz w:val="19"/>
          <w:lang w:val="en-US"/>
        </w:rPr>
        <w:t>gross wages and salaries</w:t>
      </w:r>
      <w:r w:rsidR="00C12C2D">
        <w:rPr>
          <w:rStyle w:val="tlid-translation"/>
          <w:b w:val="0"/>
          <w:spacing w:val="0"/>
          <w:sz w:val="19"/>
          <w:lang w:val="en-US"/>
        </w:rPr>
        <w:t xml:space="preserve"> in January 2021</w:t>
      </w:r>
      <w:r w:rsidR="008F7E17" w:rsidRPr="005062D3">
        <w:rPr>
          <w:rStyle w:val="tlid-translation"/>
          <w:b w:val="0"/>
          <w:spacing w:val="0"/>
          <w:sz w:val="19"/>
          <w:lang w:val="en-US"/>
        </w:rPr>
        <w:t xml:space="preserve">, compared to the same </w:t>
      </w:r>
      <w:r w:rsidR="00B556A3" w:rsidRPr="005062D3">
        <w:rPr>
          <w:rStyle w:val="tlid-translation"/>
          <w:b w:val="0"/>
          <w:spacing w:val="0"/>
          <w:sz w:val="19"/>
          <w:lang w:val="en-US"/>
        </w:rPr>
        <w:t>month</w:t>
      </w:r>
      <w:r w:rsidR="008F7E17" w:rsidRPr="005062D3">
        <w:rPr>
          <w:rStyle w:val="tlid-translation"/>
          <w:b w:val="0"/>
          <w:spacing w:val="0"/>
          <w:sz w:val="19"/>
          <w:lang w:val="en-US"/>
        </w:rPr>
        <w:t xml:space="preserve"> of the previous year, increased in </w:t>
      </w:r>
      <w:r w:rsidR="00593E00" w:rsidRPr="005062D3">
        <w:rPr>
          <w:rStyle w:val="tlid-translation"/>
          <w:b w:val="0"/>
          <w:spacing w:val="0"/>
          <w:sz w:val="19"/>
          <w:lang w:val="en-US"/>
        </w:rPr>
        <w:t>almost all</w:t>
      </w:r>
      <w:r w:rsidR="008F7E17" w:rsidRPr="005062D3">
        <w:rPr>
          <w:rStyle w:val="tlid-translation"/>
          <w:b w:val="0"/>
          <w:spacing w:val="0"/>
          <w:sz w:val="19"/>
          <w:lang w:val="en-US"/>
        </w:rPr>
        <w:t xml:space="preserve"> NACE sections by between </w:t>
      </w:r>
      <w:r w:rsidR="00E25869" w:rsidRPr="005062D3">
        <w:rPr>
          <w:rStyle w:val="tlid-translation"/>
          <w:b w:val="0"/>
          <w:spacing w:val="0"/>
          <w:sz w:val="19"/>
          <w:lang w:val="en-US"/>
        </w:rPr>
        <w:t>0.</w:t>
      </w:r>
      <w:r w:rsidR="00B556A3" w:rsidRPr="005062D3">
        <w:rPr>
          <w:rStyle w:val="tlid-translation"/>
          <w:b w:val="0"/>
          <w:spacing w:val="0"/>
          <w:sz w:val="19"/>
          <w:lang w:val="en-US"/>
        </w:rPr>
        <w:t>9</w:t>
      </w:r>
      <w:r w:rsidR="008F7E17" w:rsidRPr="005062D3">
        <w:rPr>
          <w:rStyle w:val="tlid-translation"/>
          <w:b w:val="0"/>
          <w:spacing w:val="0"/>
          <w:sz w:val="19"/>
          <w:lang w:val="en-US"/>
        </w:rPr>
        <w:t xml:space="preserve">% in section </w:t>
      </w:r>
      <w:r w:rsidR="00E25869" w:rsidRPr="005062D3">
        <w:rPr>
          <w:rStyle w:val="tlid-translation"/>
          <w:b w:val="0"/>
          <w:spacing w:val="0"/>
          <w:sz w:val="19"/>
          <w:lang w:val="en-US"/>
        </w:rPr>
        <w:t>“</w:t>
      </w:r>
      <w:r w:rsidR="00B556A3" w:rsidRPr="005062D3">
        <w:rPr>
          <w:rStyle w:val="tlid-translation"/>
          <w:b w:val="0"/>
          <w:spacing w:val="0"/>
          <w:sz w:val="19"/>
          <w:lang w:val="en-US"/>
        </w:rPr>
        <w:t>Other service activities</w:t>
      </w:r>
      <w:r w:rsidR="00AA16CB" w:rsidRPr="005062D3">
        <w:rPr>
          <w:rStyle w:val="tlid-translation"/>
          <w:b w:val="0"/>
          <w:spacing w:val="0"/>
          <w:sz w:val="19"/>
          <w:lang w:val="en-US"/>
        </w:rPr>
        <w:t xml:space="preserve">” and </w:t>
      </w:r>
      <w:r w:rsidR="00B556A3" w:rsidRPr="005062D3">
        <w:rPr>
          <w:rStyle w:val="tlid-translation"/>
          <w:b w:val="0"/>
          <w:spacing w:val="0"/>
          <w:sz w:val="19"/>
          <w:lang w:val="en-US"/>
        </w:rPr>
        <w:t>9</w:t>
      </w:r>
      <w:r w:rsidR="00E25869" w:rsidRPr="005062D3">
        <w:rPr>
          <w:rStyle w:val="tlid-translation"/>
          <w:b w:val="0"/>
          <w:spacing w:val="0"/>
          <w:sz w:val="19"/>
          <w:lang w:val="en-US"/>
        </w:rPr>
        <w:t>.</w:t>
      </w:r>
      <w:r w:rsidR="00B556A3" w:rsidRPr="005062D3">
        <w:rPr>
          <w:rStyle w:val="tlid-translation"/>
          <w:b w:val="0"/>
          <w:spacing w:val="0"/>
          <w:sz w:val="19"/>
          <w:lang w:val="en-US"/>
        </w:rPr>
        <w:t>5</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B556A3" w:rsidRPr="005062D3">
        <w:rPr>
          <w:rStyle w:val="tlid-translation"/>
          <w:b w:val="0"/>
          <w:spacing w:val="0"/>
          <w:sz w:val="19"/>
          <w:lang w:val="en-US"/>
        </w:rPr>
        <w:t xml:space="preserve">Agriculture, forestry and fishing”. </w:t>
      </w:r>
      <w:r w:rsidR="00AA16CB" w:rsidRPr="005062D3">
        <w:rPr>
          <w:rStyle w:val="tlid-translation"/>
          <w:b w:val="0"/>
          <w:spacing w:val="0"/>
          <w:sz w:val="19"/>
          <w:lang w:val="en-US"/>
        </w:rPr>
        <w:t>Decrease by</w:t>
      </w:r>
      <w:r w:rsidR="00643DEC" w:rsidRPr="005062D3">
        <w:rPr>
          <w:rStyle w:val="tlid-translation"/>
          <w:b w:val="0"/>
          <w:spacing w:val="0"/>
          <w:sz w:val="19"/>
          <w:lang w:val="en-US"/>
        </w:rPr>
        <w:t xml:space="preserve"> </w:t>
      </w:r>
      <w:r w:rsidR="00B556A3" w:rsidRPr="005062D3">
        <w:rPr>
          <w:rStyle w:val="tlid-translation"/>
          <w:b w:val="0"/>
          <w:spacing w:val="0"/>
          <w:sz w:val="19"/>
          <w:lang w:val="en-US"/>
        </w:rPr>
        <w:t>3</w:t>
      </w:r>
      <w:r w:rsidR="00593E00" w:rsidRPr="005062D3">
        <w:rPr>
          <w:rStyle w:val="tlid-translation"/>
          <w:b w:val="0"/>
          <w:spacing w:val="0"/>
          <w:sz w:val="19"/>
          <w:lang w:val="en-US"/>
        </w:rPr>
        <w:t>.</w:t>
      </w:r>
      <w:r w:rsidR="00B556A3" w:rsidRPr="005062D3">
        <w:rPr>
          <w:rStyle w:val="tlid-translation"/>
          <w:b w:val="0"/>
          <w:spacing w:val="0"/>
          <w:sz w:val="19"/>
          <w:lang w:val="en-US"/>
        </w:rPr>
        <w:t>1</w:t>
      </w:r>
      <w:r w:rsidR="00AA16CB" w:rsidRPr="005062D3">
        <w:rPr>
          <w:rStyle w:val="tlid-translation"/>
          <w:b w:val="0"/>
          <w:spacing w:val="0"/>
          <w:sz w:val="19"/>
          <w:lang w:val="en-US"/>
        </w:rPr>
        <w:t>% was noted in section “</w:t>
      </w:r>
      <w:r w:rsidR="00B556A3" w:rsidRPr="005062D3">
        <w:rPr>
          <w:rStyle w:val="tlid-translation"/>
          <w:b w:val="0"/>
          <w:spacing w:val="0"/>
          <w:sz w:val="19"/>
          <w:lang w:val="en-US"/>
        </w:rPr>
        <w:t>Accomm</w:t>
      </w:r>
      <w:r w:rsidR="00B556A3" w:rsidRPr="005062D3">
        <w:rPr>
          <w:rStyle w:val="tlid-translation"/>
          <w:b w:val="0"/>
          <w:spacing w:val="0"/>
          <w:sz w:val="19"/>
          <w:lang w:val="en-US"/>
        </w:rPr>
        <w:t>o</w:t>
      </w:r>
      <w:r w:rsidR="00B556A3" w:rsidRPr="005062D3">
        <w:rPr>
          <w:rStyle w:val="tlid-translation"/>
          <w:b w:val="0"/>
          <w:spacing w:val="0"/>
          <w:sz w:val="19"/>
          <w:lang w:val="en-US"/>
        </w:rPr>
        <w:t xml:space="preserve">dation and catering </w:t>
      </w:r>
      <w:r w:rsidR="00643DEC" w:rsidRPr="005062D3">
        <w:rPr>
          <w:rStyle w:val="tlid-translation"/>
          <w:b w:val="0"/>
          <w:spacing w:val="0"/>
          <w:sz w:val="19"/>
          <w:lang w:val="en-US"/>
        </w:rPr>
        <w:t>“</w:t>
      </w:r>
      <w:r w:rsidR="00B556A3" w:rsidRPr="005062D3">
        <w:rPr>
          <w:rStyle w:val="tlid-translation"/>
          <w:b w:val="0"/>
          <w:spacing w:val="0"/>
          <w:sz w:val="19"/>
          <w:lang w:val="en-US"/>
        </w:rPr>
        <w:t xml:space="preserve"> and by 2.0% in section </w:t>
      </w:r>
      <w:r w:rsidR="00643DEC" w:rsidRPr="005062D3">
        <w:rPr>
          <w:rStyle w:val="tlid-translation"/>
          <w:b w:val="0"/>
          <w:spacing w:val="0"/>
          <w:sz w:val="19"/>
          <w:lang w:val="en-US"/>
        </w:rPr>
        <w:t>”</w:t>
      </w:r>
      <w:r w:rsidR="00B556A3" w:rsidRPr="005062D3">
        <w:rPr>
          <w:b w:val="0"/>
          <w:lang w:val="en-US"/>
        </w:rPr>
        <w:t xml:space="preserve"> A</w:t>
      </w:r>
      <w:r w:rsidR="00B556A3" w:rsidRPr="005062D3">
        <w:rPr>
          <w:rStyle w:val="tlid-translation"/>
          <w:b w:val="0"/>
          <w:spacing w:val="0"/>
          <w:sz w:val="19"/>
          <w:lang w:val="en-US"/>
        </w:rPr>
        <w:t>rts, entertainment and recreation”</w:t>
      </w:r>
      <w:r w:rsidR="00AA16CB" w:rsidRPr="005062D3">
        <w:rPr>
          <w:rStyle w:val="tlid-translation"/>
          <w:b w:val="0"/>
          <w:spacing w:val="0"/>
          <w:sz w:val="19"/>
          <w:lang w:val="en-US"/>
        </w:rPr>
        <w:t>.</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9C504A" w:rsidP="009C504A">
      <w:pPr>
        <w:pStyle w:val="tytuwykresu"/>
        <w:rPr>
          <w:noProof/>
          <w:lang w:val="en-US"/>
        </w:rPr>
      </w:pPr>
      <w:r>
        <w:rPr>
          <w:noProof/>
          <w:lang w:eastAsia="pl-PL"/>
        </w:rPr>
        <w:lastRenderedPageBreak/>
        <w:drawing>
          <wp:anchor distT="0" distB="0" distL="114300" distR="114300" simplePos="0" relativeHeight="251662336" behindDoc="0" locked="0" layoutInCell="1" allowOverlap="1">
            <wp:simplePos x="0" y="0"/>
            <wp:positionH relativeFrom="margin">
              <wp:posOffset>6350</wp:posOffset>
            </wp:positionH>
            <wp:positionV relativeFrom="margin">
              <wp:posOffset>281305</wp:posOffset>
            </wp:positionV>
            <wp:extent cx="5124450" cy="2971800"/>
            <wp:effectExtent l="19050" t="0" r="0" b="0"/>
            <wp:wrapSquare wrapText="bothSides"/>
            <wp:docPr id="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C43006">
        <w:rPr>
          <w:noProof/>
          <w:lang w:val="en-US"/>
        </w:rPr>
        <w:t xml:space="preserve">Chart </w:t>
      </w:r>
      <w:r>
        <w:rPr>
          <w:noProof/>
          <w:lang w:val="en-US"/>
        </w:rPr>
        <w:t>2</w:t>
      </w:r>
      <w:r w:rsidRPr="00C43006">
        <w:rPr>
          <w:noProof/>
          <w:lang w:val="en-US"/>
        </w:rPr>
        <w:t xml:space="preserve">. Average </w:t>
      </w:r>
      <w:r>
        <w:rPr>
          <w:noProof/>
          <w:lang w:val="en-US"/>
        </w:rPr>
        <w:t>monthly gross wages and salaries in enterprise sector</w:t>
      </w:r>
    </w:p>
    <w:p w:rsidR="00694AF0" w:rsidRPr="00561FF0" w:rsidRDefault="00566A53"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150BDC"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5"/>
      </w:r>
      <w:r w:rsidR="00113B14" w:rsidRPr="00561FF0">
        <w:rPr>
          <w:rStyle w:val="tlid-translation"/>
          <w:lang w:val="en-US"/>
        </w:rPr>
        <w:t>.</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Default="00224563" w:rsidP="00E76D26">
      <w:pPr>
        <w:rPr>
          <w:rStyle w:val="tlid-translation"/>
          <w:lang w:val="en-US"/>
        </w:rPr>
      </w:pPr>
    </w:p>
    <w:p w:rsidR="00224563" w:rsidRDefault="00224563"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5E45F1"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5E45F1"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6C4D79" w:rsidP="00E76D26">
      <w:pPr>
        <w:rPr>
          <w:sz w:val="18"/>
        </w:rPr>
      </w:pPr>
      <w:r>
        <w:rPr>
          <w:noProof/>
          <w:sz w:val="18"/>
          <w:lang w:eastAsia="pl-PL"/>
        </w:rPr>
        <w:pict>
          <v:shape id="_x0000_s1030"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UWPwIAAHM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ps8dzBDTZP&#10;pL3DaQtoa+nQofvB2UAbUHP/fQdOcqY/Wurfcl4UcWWSUZRvF2S4U8/m1ANWEFTNA2fTcR3SmkWq&#10;Fq+pz61KHYgDMTE5UKbJThIetjCuzqmdon79K1Y/A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TuOUWPwIAAHMEAAAO&#10;AAAAAAAAAAAAAAAAAC4CAABkcnMvZTJvRG9jLnhtbFBLAQItABQABgAIAAAAIQBuwDF83wAAAAkB&#10;AAAPAAAAAAAAAAAAAAAAAJkEAABkcnMvZG93bnJldi54bWxQSwUGAAAAAAQABADzAAAApQ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6C4D79" w:rsidP="00AB6D25">
                  <w:pPr>
                    <w:rPr>
                      <w:rStyle w:val="Hipercze"/>
                      <w:rFonts w:cs="Arial"/>
                      <w:color w:val="001D77"/>
                      <w:sz w:val="18"/>
                      <w:szCs w:val="18"/>
                      <w:shd w:val="clear" w:color="auto" w:fill="F0F0F0"/>
                      <w:lang w:val="en-US"/>
                    </w:rPr>
                  </w:pPr>
                  <w:r>
                    <w:fldChar w:fldCharType="begin"/>
                  </w:r>
                  <w:r w:rsidRPr="005E45F1">
                    <w:rPr>
                      <w:lang w:val="en-US"/>
                    </w:rPr>
                    <w:instrText>HYPERLINK "http://stat.gov.pl/en/"</w:instrText>
                  </w:r>
                  <w:r>
                    <w:fldChar w:fldCharType="separate"/>
                  </w:r>
                  <w:r w:rsidR="00F3480F" w:rsidRPr="00B87B70">
                    <w:rPr>
                      <w:rStyle w:val="Hipercze"/>
                      <w:rFonts w:cs="Arial"/>
                      <w:color w:val="001D77"/>
                      <w:sz w:val="18"/>
                      <w:szCs w:val="18"/>
                      <w:shd w:val="clear" w:color="auto" w:fill="F0F0F0"/>
                      <w:lang w:val="en-US"/>
                    </w:rPr>
                    <w:t>Labour-market: Working employed. Wages and salaries. Cost of labour</w:t>
                  </w:r>
                  <w:r>
                    <w:fldChar w:fldCharType="end"/>
                  </w:r>
                </w:p>
                <w:p w:rsidR="00D17516" w:rsidRPr="00321FC3" w:rsidRDefault="006C4D79" w:rsidP="00D17516">
                  <w:pPr>
                    <w:pStyle w:val="Nagwek2"/>
                    <w:rPr>
                      <w:rStyle w:val="Hipercze"/>
                      <w:rFonts w:ascii="Fira Sans" w:eastAsia="Fira Sans Light" w:hAnsi="Fira Sans" w:cs="Arial"/>
                      <w:color w:val="001D77"/>
                      <w:sz w:val="18"/>
                      <w:szCs w:val="18"/>
                      <w:shd w:val="clear" w:color="auto" w:fill="F0F0F0"/>
                      <w:lang w:val="en-US"/>
                    </w:rPr>
                  </w:pPr>
                  <w:hyperlink r:id="rId22" w:history="1">
                    <w:r w:rsidR="00D17516" w:rsidRPr="00321FC3">
                      <w:rPr>
                        <w:rStyle w:val="Hipercze"/>
                        <w:rFonts w:ascii="Fira Sans" w:eastAsia="Fira Sans Light" w:hAnsi="Fira Sans" w:cs="Arial"/>
                        <w:color w:val="001D77"/>
                        <w:sz w:val="18"/>
                        <w:szCs w:val="18"/>
                        <w:shd w:val="clear" w:color="auto" w:fill="F0F0F0"/>
                        <w:lang w:val="en-US"/>
                      </w:rPr>
                      <w:t xml:space="preserve">Employment, wages and salaries in national economy in </w:t>
                    </w:r>
                    <w:r w:rsidR="00321FC3" w:rsidRPr="00321FC3">
                      <w:rPr>
                        <w:rStyle w:val="Hipercze"/>
                        <w:rFonts w:ascii="Fira Sans" w:eastAsia="Fira Sans Light" w:hAnsi="Fira Sans" w:cs="Arial"/>
                        <w:color w:val="001D77"/>
                        <w:sz w:val="18"/>
                        <w:szCs w:val="18"/>
                        <w:shd w:val="clear" w:color="auto" w:fill="F0F0F0"/>
                        <w:lang w:val="en-US"/>
                      </w:rPr>
                      <w:t xml:space="preserve">I-III quarters </w:t>
                    </w:r>
                    <w:r w:rsidR="00954A87" w:rsidRPr="00321FC3">
                      <w:rPr>
                        <w:rStyle w:val="Hipercze"/>
                        <w:rFonts w:ascii="Fira Sans" w:eastAsia="Fira Sans Light" w:hAnsi="Fira Sans" w:cs="Arial"/>
                        <w:color w:val="001D77"/>
                        <w:sz w:val="18"/>
                        <w:szCs w:val="18"/>
                        <w:shd w:val="clear" w:color="auto" w:fill="F0F0F0"/>
                        <w:lang w:val="en-US"/>
                      </w:rPr>
                      <w:t>of 2020</w:t>
                    </w:r>
                  </w:hyperlink>
                </w:p>
                <w:p w:rsidR="00F3480F" w:rsidRPr="00B87B70" w:rsidRDefault="006C4D79" w:rsidP="00AB6D25">
                  <w:pPr>
                    <w:rPr>
                      <w:rStyle w:val="Hipercze"/>
                      <w:rFonts w:cs="Arial"/>
                      <w:color w:val="001D77"/>
                      <w:sz w:val="18"/>
                      <w:szCs w:val="18"/>
                      <w:shd w:val="clear" w:color="auto" w:fill="F0F0F0"/>
                      <w:lang w:val="en-US"/>
                    </w:rPr>
                  </w:pPr>
                  <w:hyperlink r:id="rId23" w:history="1">
                    <w:r w:rsidR="00F3480F" w:rsidRPr="00B87B70">
                      <w:rPr>
                        <w:rStyle w:val="Hipercze"/>
                        <w:rFonts w:cs="Arial"/>
                        <w:color w:val="001D77"/>
                        <w:sz w:val="18"/>
                        <w:szCs w:val="18"/>
                        <w:shd w:val="clear" w:color="auto" w:fill="F0F0F0"/>
                        <w:lang w:val="en-US"/>
                      </w:rPr>
                      <w:t>Stru</w:t>
                    </w:r>
                    <w:r w:rsidR="004C70AC" w:rsidRPr="00B87B70">
                      <w:rPr>
                        <w:rStyle w:val="Hipercze"/>
                        <w:rFonts w:cs="Arial"/>
                        <w:color w:val="001D77"/>
                        <w:sz w:val="18"/>
                        <w:szCs w:val="18"/>
                        <w:shd w:val="clear" w:color="auto" w:fill="F0F0F0"/>
                        <w:lang w:val="en-US"/>
                      </w:rPr>
                      <w:t>c</w:t>
                    </w:r>
                    <w:r w:rsidR="00F3480F" w:rsidRPr="00B87B70">
                      <w:rPr>
                        <w:rStyle w:val="Hipercze"/>
                        <w:rFonts w:cs="Arial"/>
                        <w:color w:val="001D77"/>
                        <w:sz w:val="18"/>
                        <w:szCs w:val="18"/>
                        <w:shd w:val="clear" w:color="auto" w:fill="F0F0F0"/>
                        <w:lang w:val="en-US"/>
                      </w:rPr>
                      <w:t>ture of wages and salaries by occupations in October 201</w:t>
                    </w:r>
                    <w:r w:rsidR="00446D71" w:rsidRPr="00B87B70">
                      <w:rPr>
                        <w:rStyle w:val="Hipercze"/>
                        <w:rFonts w:cs="Arial"/>
                        <w:color w:val="001D77"/>
                        <w:sz w:val="18"/>
                        <w:szCs w:val="18"/>
                        <w:shd w:val="clear" w:color="auto" w:fill="F0F0F0"/>
                        <w:lang w:val="en-US"/>
                      </w:rPr>
                      <w:t>8</w:t>
                    </w:r>
                  </w:hyperlink>
                </w:p>
                <w:p w:rsidR="0098207F" w:rsidRPr="00B87B70" w:rsidRDefault="006C4D79" w:rsidP="00766496">
                  <w:pPr>
                    <w:rPr>
                      <w:rFonts w:cs="Arial"/>
                      <w:color w:val="001D77"/>
                      <w:sz w:val="18"/>
                      <w:szCs w:val="30"/>
                      <w:shd w:val="clear" w:color="auto" w:fill="F0F0F0"/>
                      <w:lang w:val="en-US"/>
                    </w:rPr>
                  </w:pPr>
                  <w:hyperlink r:id="rId24"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6C4D79" w:rsidP="00766496">
                  <w:pPr>
                    <w:rPr>
                      <w:rStyle w:val="Hipercze"/>
                      <w:rFonts w:cs="Arial"/>
                      <w:color w:val="001D77"/>
                      <w:sz w:val="18"/>
                      <w:szCs w:val="30"/>
                      <w:shd w:val="clear" w:color="auto" w:fill="F0F0F0"/>
                      <w:lang w:val="en-US"/>
                    </w:rPr>
                  </w:pPr>
                  <w:hyperlink r:id="rId25"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6C4D79" w:rsidP="00673C26">
                  <w:pPr>
                    <w:rPr>
                      <w:rStyle w:val="Hipercze"/>
                      <w:rFonts w:cs="Arial"/>
                      <w:color w:val="001D77"/>
                      <w:sz w:val="18"/>
                      <w:szCs w:val="30"/>
                      <w:shd w:val="clear" w:color="auto" w:fill="F0F0F0"/>
                      <w:lang w:val="en-US"/>
                    </w:rPr>
                  </w:pPr>
                  <w:hyperlink r:id="rId26"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6C4D79"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bookmarkStart w:id="0" w:name="_GoBack"/>
                  <w:bookmarkEnd w:id="0"/>
                </w:p>
                <w:p w:rsidR="00F3480F" w:rsidRPr="00B87B70" w:rsidRDefault="006C4D79" w:rsidP="001B0C2D">
                  <w:pPr>
                    <w:rPr>
                      <w:rStyle w:val="Hipercze"/>
                      <w:rFonts w:cs="Arial"/>
                      <w:color w:val="001D77"/>
                      <w:sz w:val="18"/>
                      <w:szCs w:val="30"/>
                      <w:shd w:val="clear" w:color="auto" w:fill="F0F0F0"/>
                      <w:lang w:val="en-US"/>
                    </w:rPr>
                  </w:pPr>
                  <w:hyperlink r:id="rId28" w:tooltip="Average paid employment" w:history="1">
                    <w:r w:rsidR="00F3480F" w:rsidRPr="00B87B70">
                      <w:rPr>
                        <w:rStyle w:val="Hipercze"/>
                        <w:rFonts w:cs="Arial"/>
                        <w:color w:val="001D77"/>
                        <w:sz w:val="18"/>
                        <w:szCs w:val="30"/>
                        <w:shd w:val="clear" w:color="auto" w:fill="F0F0F0"/>
                        <w:lang w:val="en-US"/>
                      </w:rPr>
                      <w:t>Average paid employment</w:t>
                    </w:r>
                  </w:hyperlink>
                </w:p>
                <w:p w:rsidR="00766496" w:rsidRPr="00B87B70" w:rsidRDefault="006C4D79" w:rsidP="001B0C2D">
                  <w:pPr>
                    <w:rPr>
                      <w:rStyle w:val="Hipercze"/>
                      <w:rFonts w:cs="Arial"/>
                      <w:color w:val="001D77"/>
                      <w:sz w:val="18"/>
                      <w:szCs w:val="30"/>
                      <w:shd w:val="clear" w:color="auto" w:fill="F0F0F0"/>
                      <w:lang w:val="en-US"/>
                    </w:rPr>
                  </w:pPr>
                  <w:hyperlink r:id="rId29"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0"/>
      <w:footerReference w:type="default" r:id="rId31"/>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F1B" w:rsidRDefault="00055F1B" w:rsidP="000662E2">
      <w:pPr>
        <w:spacing w:after="0" w:line="240" w:lineRule="auto"/>
      </w:pPr>
      <w:r>
        <w:separator/>
      </w:r>
    </w:p>
  </w:endnote>
  <w:endnote w:type="continuationSeparator" w:id="0">
    <w:p w:rsidR="00055F1B" w:rsidRDefault="00055F1B"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C4D79" w:rsidP="003B18B6">
    <w:pPr>
      <w:pStyle w:val="Stopka"/>
      <w:jc w:val="center"/>
    </w:pPr>
    <w:fldSimple w:instr="PAGE   \* MERGEFORMAT">
      <w:r w:rsidR="00FD0F9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C4D79" w:rsidP="003B18B6">
    <w:pPr>
      <w:pStyle w:val="Stopka"/>
      <w:jc w:val="center"/>
    </w:pPr>
    <w:fldSimple w:instr="PAGE   \* MERGEFORMAT">
      <w:r w:rsidR="00D56A2A">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C4D79" w:rsidP="003B18B6">
    <w:pPr>
      <w:pStyle w:val="Stopka"/>
      <w:jc w:val="center"/>
    </w:pPr>
    <w:fldSimple w:instr="PAGE   \* MERGEFORMAT">
      <w:r w:rsidR="0033437D">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F1B" w:rsidRDefault="00055F1B" w:rsidP="000662E2">
      <w:pPr>
        <w:spacing w:after="0" w:line="240" w:lineRule="auto"/>
      </w:pPr>
      <w:r>
        <w:separator/>
      </w:r>
    </w:p>
  </w:footnote>
  <w:footnote w:type="continuationSeparator" w:id="0">
    <w:p w:rsidR="00055F1B" w:rsidRDefault="00055F1B"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15442E" w:rsidRPr="0015442E" w:rsidRDefault="0015442E">
      <w:pPr>
        <w:pStyle w:val="Tekstprzypisudolnego"/>
        <w:rPr>
          <w:lang w:val="en-US"/>
        </w:rPr>
      </w:pPr>
      <w:r>
        <w:rPr>
          <w:rStyle w:val="Odwoanieprzypisudolnego"/>
        </w:rPr>
        <w:footnoteRef/>
      </w:r>
      <w:r w:rsidRPr="0015442E">
        <w:rPr>
          <w:lang w:val="en-US"/>
        </w:rPr>
        <w:t xml:space="preserve"> </w:t>
      </w:r>
      <w:r w:rsidR="00DA27C5">
        <w:rPr>
          <w:rFonts w:ascii="Fira Sans" w:hAnsi="Fira Sans"/>
          <w:sz w:val="16"/>
          <w:szCs w:val="16"/>
          <w:lang w:val="en-US"/>
        </w:rPr>
        <w:t>The ex</w:t>
      </w:r>
      <w:r w:rsidR="00DA27C5" w:rsidRPr="00DA27C5">
        <w:rPr>
          <w:rFonts w:ascii="Fira Sans" w:hAnsi="Fira Sans"/>
          <w:sz w:val="16"/>
          <w:szCs w:val="16"/>
          <w:lang w:val="en-US"/>
        </w:rPr>
        <w:t xml:space="preserve">planation of the </w:t>
      </w:r>
      <w:r w:rsidRPr="0015442E">
        <w:rPr>
          <w:rFonts w:ascii="Fira Sans" w:hAnsi="Fira Sans"/>
          <w:sz w:val="16"/>
          <w:szCs w:val="16"/>
          <w:lang w:val="en-US"/>
        </w:rPr>
        <w:t>reasons for changes in employment and wages from the previous period is voluntary</w:t>
      </w:r>
      <w:r w:rsidR="00DA27C5">
        <w:rPr>
          <w:rFonts w:ascii="Fira Sans" w:hAnsi="Fira Sans"/>
          <w:sz w:val="16"/>
          <w:szCs w:val="16"/>
          <w:lang w:val="en-US"/>
        </w:rPr>
        <w:t xml:space="preserve"> for r</w:t>
      </w:r>
      <w:r w:rsidR="00DA27C5" w:rsidRPr="0015442E">
        <w:rPr>
          <w:rFonts w:ascii="Fira Sans" w:hAnsi="Fira Sans"/>
          <w:sz w:val="16"/>
          <w:szCs w:val="16"/>
          <w:lang w:val="en-US"/>
        </w:rPr>
        <w:t>eporting entities</w:t>
      </w:r>
      <w:r w:rsidRPr="0015442E">
        <w:rPr>
          <w:rFonts w:ascii="Fira Sans" w:hAnsi="Fira Sans"/>
          <w:sz w:val="16"/>
          <w:szCs w:val="16"/>
          <w:lang w:val="en-US"/>
        </w:rPr>
        <w:t xml:space="preserve">, </w:t>
      </w:r>
      <w:r w:rsidR="00DA27C5">
        <w:rPr>
          <w:rFonts w:ascii="Fira Sans" w:hAnsi="Fira Sans"/>
          <w:sz w:val="16"/>
          <w:szCs w:val="16"/>
          <w:lang w:val="en-US"/>
        </w:rPr>
        <w:t>therefore</w:t>
      </w:r>
      <w:r w:rsidRPr="0015442E">
        <w:rPr>
          <w:rFonts w:ascii="Fira Sans" w:hAnsi="Fira Sans"/>
          <w:sz w:val="16"/>
          <w:szCs w:val="16"/>
          <w:lang w:val="en-US"/>
        </w:rPr>
        <w:t xml:space="preserve"> it is not possible to show </w:t>
      </w:r>
      <w:r w:rsidR="00516013">
        <w:rPr>
          <w:rFonts w:ascii="Fira Sans" w:hAnsi="Fira Sans"/>
          <w:sz w:val="16"/>
          <w:szCs w:val="16"/>
          <w:lang w:val="en-US"/>
        </w:rPr>
        <w:t>percentage shares.</w:t>
      </w:r>
    </w:p>
  </w:footnote>
  <w:footnote w:id="5">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C4D79">
    <w:pPr>
      <w:pStyle w:val="Nagwek"/>
    </w:pPr>
    <w:r>
      <w:rPr>
        <w:noProof/>
        <w:lang w:eastAsia="pl-PL"/>
      </w:rPr>
      <w:pict>
        <v:rect id="Prostokąt 24" o:spid="_x0000_s2053"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C4D79">
    <w:pPr>
      <w:pStyle w:val="Nagwek"/>
      <w:rPr>
        <w:noProof/>
        <w:lang w:eastAsia="pl-PL"/>
      </w:rPr>
    </w:pPr>
    <w:r>
      <w:rPr>
        <w:noProof/>
        <w:lang w:eastAsia="pl-PL"/>
      </w:rPr>
      <w:pict>
        <v:shape id="Schemat blokowy: opóźnienie 6" o:spid="_x0000_s2052"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eastAsia="pl-PL"/>
      </w:rPr>
      <w:pict>
        <v:rect id="Prostokąt 10" o:spid="_x0000_s2051" style="position:absolute;margin-left:411.1pt;margin-top:40.3pt;width:147.4pt;height:1803.55pt;z-index:-251659264;visibility:visible;mso-width-relative:margin;mso-height-relative:margin;v-text-anchor:middle" wrapcoords="-110 0 -110 21591 21600 21591 21600 0 -110 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6C4D79">
    <w:pPr>
      <w:pStyle w:val="Nagwek"/>
      <w:rPr>
        <w:noProof/>
        <w:lang w:eastAsia="pl-PL"/>
      </w:rPr>
    </w:pPr>
    <w:r>
      <w:rPr>
        <w:noProof/>
        <w:lang w:eastAsia="pl-PL"/>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style="mso-next-textbox:#_x0000_s2049">
            <w:txbxContent>
              <w:p w:rsidR="00F3480F" w:rsidRDefault="00C2128A" w:rsidP="00F37172">
                <w:pPr>
                  <w:jc w:val="both"/>
                  <w:rPr>
                    <w:rFonts w:ascii="Fira Sans SemiBold" w:hAnsi="Fira Sans SemiBold"/>
                    <w:color w:val="001D77"/>
                  </w:rPr>
                </w:pPr>
                <w:r>
                  <w:rPr>
                    <w:rFonts w:ascii="Fira Sans SemiBold" w:hAnsi="Fira Sans SemiBold"/>
                    <w:color w:val="001D77"/>
                  </w:rPr>
                  <w:t>17</w:t>
                </w:r>
                <w:r w:rsidR="00276EBC">
                  <w:rPr>
                    <w:rFonts w:ascii="Fira Sans SemiBold" w:hAnsi="Fira Sans SemiBold"/>
                    <w:color w:val="001D77"/>
                  </w:rPr>
                  <w:t>.</w:t>
                </w:r>
                <w:r w:rsidR="00282FEA">
                  <w:rPr>
                    <w:rFonts w:ascii="Fira Sans SemiBold" w:hAnsi="Fira Sans SemiBold"/>
                    <w:color w:val="001D77"/>
                  </w:rPr>
                  <w:t>0</w:t>
                </w:r>
                <w:r>
                  <w:rPr>
                    <w:rFonts w:ascii="Fira Sans SemiBold" w:hAnsi="Fira Sans SemiBold"/>
                    <w:color w:val="001D77"/>
                  </w:rPr>
                  <w:t>2</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3.95pt;height:124.85pt;visibility:visible" o:bullet="t">
        <v:imagedata r:id="rId1" o:title=""/>
      </v:shape>
    </w:pict>
  </w:numPicBullet>
  <w:numPicBullet w:numPicBulletId="1">
    <w:pict>
      <v:shape id="_x0000_i1039" type="#_x0000_t75" style="width:123.95pt;height:124.8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autoHyphenation/>
  <w:hyphenationZone w:val="425"/>
  <w:drawingGridHorizontalSpacing w:val="57"/>
  <w:drawingGridVerticalSpacing w:val="57"/>
  <w:characterSpacingControl w:val="doNotCompress"/>
  <w:hdrShapeDefaults>
    <o:shapedefaults v:ext="edit" spidmax="53250"/>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465B"/>
    <w:rsid w:val="00074DD8"/>
    <w:rsid w:val="000806F7"/>
    <w:rsid w:val="000924E9"/>
    <w:rsid w:val="00093C74"/>
    <w:rsid w:val="00095252"/>
    <w:rsid w:val="00097C9E"/>
    <w:rsid w:val="000A295F"/>
    <w:rsid w:val="000A2E3D"/>
    <w:rsid w:val="000A3EB3"/>
    <w:rsid w:val="000A465D"/>
    <w:rsid w:val="000A765C"/>
    <w:rsid w:val="000B0727"/>
    <w:rsid w:val="000B7DF1"/>
    <w:rsid w:val="000C0DD6"/>
    <w:rsid w:val="000C135D"/>
    <w:rsid w:val="000C1DAF"/>
    <w:rsid w:val="000C44F0"/>
    <w:rsid w:val="000C4946"/>
    <w:rsid w:val="000C4AED"/>
    <w:rsid w:val="000D1D43"/>
    <w:rsid w:val="000D225C"/>
    <w:rsid w:val="000D2A5C"/>
    <w:rsid w:val="000E0918"/>
    <w:rsid w:val="000F03A2"/>
    <w:rsid w:val="000F44A1"/>
    <w:rsid w:val="000F73CC"/>
    <w:rsid w:val="001011C3"/>
    <w:rsid w:val="00101A27"/>
    <w:rsid w:val="00101CCA"/>
    <w:rsid w:val="00110D87"/>
    <w:rsid w:val="00110DD5"/>
    <w:rsid w:val="00113B14"/>
    <w:rsid w:val="00114DB9"/>
    <w:rsid w:val="0011608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736"/>
    <w:rsid w:val="001E7702"/>
    <w:rsid w:val="001F4B88"/>
    <w:rsid w:val="001F5212"/>
    <w:rsid w:val="00201AB9"/>
    <w:rsid w:val="00211398"/>
    <w:rsid w:val="00211520"/>
    <w:rsid w:val="00221A81"/>
    <w:rsid w:val="00221B28"/>
    <w:rsid w:val="002221FE"/>
    <w:rsid w:val="00223CE0"/>
    <w:rsid w:val="00224563"/>
    <w:rsid w:val="00226295"/>
    <w:rsid w:val="0023248A"/>
    <w:rsid w:val="0023501C"/>
    <w:rsid w:val="00235764"/>
    <w:rsid w:val="00251345"/>
    <w:rsid w:val="00254C5C"/>
    <w:rsid w:val="002574F9"/>
    <w:rsid w:val="00262B61"/>
    <w:rsid w:val="00272037"/>
    <w:rsid w:val="00276811"/>
    <w:rsid w:val="00276EBC"/>
    <w:rsid w:val="00282699"/>
    <w:rsid w:val="00282E7B"/>
    <w:rsid w:val="00282FEA"/>
    <w:rsid w:val="00286256"/>
    <w:rsid w:val="002926DF"/>
    <w:rsid w:val="002930BA"/>
    <w:rsid w:val="0029568F"/>
    <w:rsid w:val="00296697"/>
    <w:rsid w:val="002A35B9"/>
    <w:rsid w:val="002B0472"/>
    <w:rsid w:val="002B3F97"/>
    <w:rsid w:val="002B6B12"/>
    <w:rsid w:val="002B79CB"/>
    <w:rsid w:val="002C49F6"/>
    <w:rsid w:val="002D1242"/>
    <w:rsid w:val="002D12A1"/>
    <w:rsid w:val="002D2972"/>
    <w:rsid w:val="002D3583"/>
    <w:rsid w:val="002D5D08"/>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59E0"/>
    <w:rsid w:val="003C6849"/>
    <w:rsid w:val="003C6C8D"/>
    <w:rsid w:val="003D4F95"/>
    <w:rsid w:val="003D5F42"/>
    <w:rsid w:val="003D60A9"/>
    <w:rsid w:val="003D68A9"/>
    <w:rsid w:val="003E5411"/>
    <w:rsid w:val="003E5B60"/>
    <w:rsid w:val="003E7D33"/>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D61"/>
    <w:rsid w:val="00483B1D"/>
    <w:rsid w:val="0048457F"/>
    <w:rsid w:val="00486853"/>
    <w:rsid w:val="00490A16"/>
    <w:rsid w:val="00490D06"/>
    <w:rsid w:val="00495DBA"/>
    <w:rsid w:val="0049621B"/>
    <w:rsid w:val="004B12C1"/>
    <w:rsid w:val="004B5D2A"/>
    <w:rsid w:val="004B7246"/>
    <w:rsid w:val="004B7DAD"/>
    <w:rsid w:val="004C1895"/>
    <w:rsid w:val="004C197C"/>
    <w:rsid w:val="004C6D40"/>
    <w:rsid w:val="004C70AC"/>
    <w:rsid w:val="004D69CA"/>
    <w:rsid w:val="004E60D2"/>
    <w:rsid w:val="004F0C3C"/>
    <w:rsid w:val="004F2EF2"/>
    <w:rsid w:val="004F63FC"/>
    <w:rsid w:val="005025B2"/>
    <w:rsid w:val="00503CB3"/>
    <w:rsid w:val="00504718"/>
    <w:rsid w:val="00505A92"/>
    <w:rsid w:val="005062D3"/>
    <w:rsid w:val="00510B3F"/>
    <w:rsid w:val="00513D9E"/>
    <w:rsid w:val="00516013"/>
    <w:rsid w:val="00516EE0"/>
    <w:rsid w:val="005203F1"/>
    <w:rsid w:val="00521BC3"/>
    <w:rsid w:val="00530317"/>
    <w:rsid w:val="00531151"/>
    <w:rsid w:val="00533632"/>
    <w:rsid w:val="00533BDE"/>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4B6C"/>
    <w:rsid w:val="005A5C69"/>
    <w:rsid w:val="005A698C"/>
    <w:rsid w:val="005B23CA"/>
    <w:rsid w:val="005B4BC9"/>
    <w:rsid w:val="005C6032"/>
    <w:rsid w:val="005C7D5A"/>
    <w:rsid w:val="005D0892"/>
    <w:rsid w:val="005E0799"/>
    <w:rsid w:val="005E4158"/>
    <w:rsid w:val="005E45F1"/>
    <w:rsid w:val="005F5A80"/>
    <w:rsid w:val="005F6EB0"/>
    <w:rsid w:val="005F714A"/>
    <w:rsid w:val="006044FF"/>
    <w:rsid w:val="00607CC5"/>
    <w:rsid w:val="00611ACB"/>
    <w:rsid w:val="006128F0"/>
    <w:rsid w:val="00617F93"/>
    <w:rsid w:val="00627A06"/>
    <w:rsid w:val="0063234F"/>
    <w:rsid w:val="00632FF5"/>
    <w:rsid w:val="00633014"/>
    <w:rsid w:val="00633F14"/>
    <w:rsid w:val="0063437B"/>
    <w:rsid w:val="00643DEC"/>
    <w:rsid w:val="00653A1A"/>
    <w:rsid w:val="00660524"/>
    <w:rsid w:val="006673CA"/>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3079"/>
    <w:rsid w:val="006A4686"/>
    <w:rsid w:val="006A7AF2"/>
    <w:rsid w:val="006B0E9E"/>
    <w:rsid w:val="006B3073"/>
    <w:rsid w:val="006B5AE4"/>
    <w:rsid w:val="006C4D79"/>
    <w:rsid w:val="006D1507"/>
    <w:rsid w:val="006D1C56"/>
    <w:rsid w:val="006D1CFD"/>
    <w:rsid w:val="006D4054"/>
    <w:rsid w:val="006D5611"/>
    <w:rsid w:val="006D5B5D"/>
    <w:rsid w:val="006E02EC"/>
    <w:rsid w:val="006E4E67"/>
    <w:rsid w:val="006E6241"/>
    <w:rsid w:val="006E6FAC"/>
    <w:rsid w:val="006E7FBB"/>
    <w:rsid w:val="006F691C"/>
    <w:rsid w:val="00700CAC"/>
    <w:rsid w:val="00702EF9"/>
    <w:rsid w:val="0070784A"/>
    <w:rsid w:val="007120FB"/>
    <w:rsid w:val="00715F28"/>
    <w:rsid w:val="00720638"/>
    <w:rsid w:val="007211B1"/>
    <w:rsid w:val="00723D15"/>
    <w:rsid w:val="00727BC4"/>
    <w:rsid w:val="0073223E"/>
    <w:rsid w:val="00736AF1"/>
    <w:rsid w:val="007453C1"/>
    <w:rsid w:val="00746187"/>
    <w:rsid w:val="0076254F"/>
    <w:rsid w:val="00765F22"/>
    <w:rsid w:val="00766496"/>
    <w:rsid w:val="00777EDA"/>
    <w:rsid w:val="007801F5"/>
    <w:rsid w:val="00783CA4"/>
    <w:rsid w:val="007842FB"/>
    <w:rsid w:val="00786124"/>
    <w:rsid w:val="00786F18"/>
    <w:rsid w:val="0079514B"/>
    <w:rsid w:val="007A2DC1"/>
    <w:rsid w:val="007A59D9"/>
    <w:rsid w:val="007D29E9"/>
    <w:rsid w:val="007D3319"/>
    <w:rsid w:val="007D335D"/>
    <w:rsid w:val="007D601A"/>
    <w:rsid w:val="007D7198"/>
    <w:rsid w:val="007E0B04"/>
    <w:rsid w:val="007E3314"/>
    <w:rsid w:val="007E4B03"/>
    <w:rsid w:val="007F324B"/>
    <w:rsid w:val="0080553C"/>
    <w:rsid w:val="00805B46"/>
    <w:rsid w:val="008132CE"/>
    <w:rsid w:val="00821FF0"/>
    <w:rsid w:val="00824890"/>
    <w:rsid w:val="00824C34"/>
    <w:rsid w:val="00825DC2"/>
    <w:rsid w:val="00834AD3"/>
    <w:rsid w:val="008429FA"/>
    <w:rsid w:val="00843795"/>
    <w:rsid w:val="00844171"/>
    <w:rsid w:val="0084506C"/>
    <w:rsid w:val="00847390"/>
    <w:rsid w:val="00847F0F"/>
    <w:rsid w:val="00852448"/>
    <w:rsid w:val="00866564"/>
    <w:rsid w:val="0086670C"/>
    <w:rsid w:val="00866891"/>
    <w:rsid w:val="00870FA6"/>
    <w:rsid w:val="008740C8"/>
    <w:rsid w:val="00874511"/>
    <w:rsid w:val="008762CD"/>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F08F9"/>
    <w:rsid w:val="008F3638"/>
    <w:rsid w:val="008F3CB0"/>
    <w:rsid w:val="008F40AE"/>
    <w:rsid w:val="008F4441"/>
    <w:rsid w:val="008F481A"/>
    <w:rsid w:val="008F58E9"/>
    <w:rsid w:val="008F6F31"/>
    <w:rsid w:val="008F74DF"/>
    <w:rsid w:val="008F7B9B"/>
    <w:rsid w:val="008F7E17"/>
    <w:rsid w:val="00901CBB"/>
    <w:rsid w:val="009127BA"/>
    <w:rsid w:val="009153AE"/>
    <w:rsid w:val="00915AA6"/>
    <w:rsid w:val="009227A6"/>
    <w:rsid w:val="00927F96"/>
    <w:rsid w:val="00933EC1"/>
    <w:rsid w:val="00940201"/>
    <w:rsid w:val="009530DB"/>
    <w:rsid w:val="00953676"/>
    <w:rsid w:val="00954A87"/>
    <w:rsid w:val="0095512A"/>
    <w:rsid w:val="009613AB"/>
    <w:rsid w:val="00965662"/>
    <w:rsid w:val="00966687"/>
    <w:rsid w:val="009705EE"/>
    <w:rsid w:val="009714FF"/>
    <w:rsid w:val="00977927"/>
    <w:rsid w:val="00981326"/>
    <w:rsid w:val="0098135C"/>
    <w:rsid w:val="0098156A"/>
    <w:rsid w:val="0098207F"/>
    <w:rsid w:val="0098264D"/>
    <w:rsid w:val="009852A8"/>
    <w:rsid w:val="00991BAC"/>
    <w:rsid w:val="009A3006"/>
    <w:rsid w:val="009A55E2"/>
    <w:rsid w:val="009A6EA0"/>
    <w:rsid w:val="009A767E"/>
    <w:rsid w:val="009B225F"/>
    <w:rsid w:val="009C1335"/>
    <w:rsid w:val="009C1AB2"/>
    <w:rsid w:val="009C21F3"/>
    <w:rsid w:val="009C4DDA"/>
    <w:rsid w:val="009C504A"/>
    <w:rsid w:val="009C7251"/>
    <w:rsid w:val="009D0F48"/>
    <w:rsid w:val="009E2E91"/>
    <w:rsid w:val="009E418E"/>
    <w:rsid w:val="00A03A0F"/>
    <w:rsid w:val="00A068D2"/>
    <w:rsid w:val="00A06E57"/>
    <w:rsid w:val="00A11897"/>
    <w:rsid w:val="00A12180"/>
    <w:rsid w:val="00A139F5"/>
    <w:rsid w:val="00A14ACA"/>
    <w:rsid w:val="00A15354"/>
    <w:rsid w:val="00A15B1D"/>
    <w:rsid w:val="00A15EEE"/>
    <w:rsid w:val="00A237EA"/>
    <w:rsid w:val="00A25697"/>
    <w:rsid w:val="00A3228B"/>
    <w:rsid w:val="00A365F4"/>
    <w:rsid w:val="00A42AC5"/>
    <w:rsid w:val="00A43C05"/>
    <w:rsid w:val="00A47D80"/>
    <w:rsid w:val="00A53132"/>
    <w:rsid w:val="00A54ADB"/>
    <w:rsid w:val="00A55A23"/>
    <w:rsid w:val="00A563F2"/>
    <w:rsid w:val="00A566E8"/>
    <w:rsid w:val="00A611FC"/>
    <w:rsid w:val="00A6691D"/>
    <w:rsid w:val="00A74D6D"/>
    <w:rsid w:val="00A810F9"/>
    <w:rsid w:val="00A839FC"/>
    <w:rsid w:val="00A8647D"/>
    <w:rsid w:val="00A86618"/>
    <w:rsid w:val="00A86ECC"/>
    <w:rsid w:val="00A86F0C"/>
    <w:rsid w:val="00A86FCC"/>
    <w:rsid w:val="00AA16CB"/>
    <w:rsid w:val="00AA27F5"/>
    <w:rsid w:val="00AA710D"/>
    <w:rsid w:val="00AB0E57"/>
    <w:rsid w:val="00AB47D0"/>
    <w:rsid w:val="00AB5DFF"/>
    <w:rsid w:val="00AB6D25"/>
    <w:rsid w:val="00AC2A84"/>
    <w:rsid w:val="00AC3FCE"/>
    <w:rsid w:val="00AC49F8"/>
    <w:rsid w:val="00AD74D4"/>
    <w:rsid w:val="00AE2D4B"/>
    <w:rsid w:val="00AE4F99"/>
    <w:rsid w:val="00AE61BB"/>
    <w:rsid w:val="00AF4A22"/>
    <w:rsid w:val="00B0731B"/>
    <w:rsid w:val="00B07672"/>
    <w:rsid w:val="00B1321E"/>
    <w:rsid w:val="00B14952"/>
    <w:rsid w:val="00B170FF"/>
    <w:rsid w:val="00B265F4"/>
    <w:rsid w:val="00B31E5A"/>
    <w:rsid w:val="00B31FA9"/>
    <w:rsid w:val="00B45DC4"/>
    <w:rsid w:val="00B4722F"/>
    <w:rsid w:val="00B5163B"/>
    <w:rsid w:val="00B556A3"/>
    <w:rsid w:val="00B601CF"/>
    <w:rsid w:val="00B653AB"/>
    <w:rsid w:val="00B65F9E"/>
    <w:rsid w:val="00B66962"/>
    <w:rsid w:val="00B66B19"/>
    <w:rsid w:val="00B72C32"/>
    <w:rsid w:val="00B87B70"/>
    <w:rsid w:val="00B914E9"/>
    <w:rsid w:val="00B92B8B"/>
    <w:rsid w:val="00B956EE"/>
    <w:rsid w:val="00B95E4A"/>
    <w:rsid w:val="00B97220"/>
    <w:rsid w:val="00BA2B5E"/>
    <w:rsid w:val="00BA2BA1"/>
    <w:rsid w:val="00BA4F06"/>
    <w:rsid w:val="00BB4F09"/>
    <w:rsid w:val="00BB7E7B"/>
    <w:rsid w:val="00BC09C9"/>
    <w:rsid w:val="00BC3FDE"/>
    <w:rsid w:val="00BD3236"/>
    <w:rsid w:val="00BD4E33"/>
    <w:rsid w:val="00BD6D12"/>
    <w:rsid w:val="00BD72F5"/>
    <w:rsid w:val="00BE5207"/>
    <w:rsid w:val="00BE7282"/>
    <w:rsid w:val="00BF1D88"/>
    <w:rsid w:val="00BF6327"/>
    <w:rsid w:val="00C030DE"/>
    <w:rsid w:val="00C03C71"/>
    <w:rsid w:val="00C07B1B"/>
    <w:rsid w:val="00C12C2D"/>
    <w:rsid w:val="00C2128A"/>
    <w:rsid w:val="00C22105"/>
    <w:rsid w:val="00C244B6"/>
    <w:rsid w:val="00C27FA7"/>
    <w:rsid w:val="00C36792"/>
    <w:rsid w:val="00C3702F"/>
    <w:rsid w:val="00C377DC"/>
    <w:rsid w:val="00C40066"/>
    <w:rsid w:val="00C43006"/>
    <w:rsid w:val="00C47165"/>
    <w:rsid w:val="00C5009C"/>
    <w:rsid w:val="00C64A37"/>
    <w:rsid w:val="00C70D2B"/>
    <w:rsid w:val="00C7158E"/>
    <w:rsid w:val="00C7250B"/>
    <w:rsid w:val="00C7346B"/>
    <w:rsid w:val="00C77C0E"/>
    <w:rsid w:val="00C83480"/>
    <w:rsid w:val="00C83561"/>
    <w:rsid w:val="00C866E6"/>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45F2"/>
    <w:rsid w:val="00CC6E74"/>
    <w:rsid w:val="00CC739E"/>
    <w:rsid w:val="00CC7907"/>
    <w:rsid w:val="00CD4177"/>
    <w:rsid w:val="00CD58B7"/>
    <w:rsid w:val="00CD6042"/>
    <w:rsid w:val="00CE2ABB"/>
    <w:rsid w:val="00CF4099"/>
    <w:rsid w:val="00D00796"/>
    <w:rsid w:val="00D06271"/>
    <w:rsid w:val="00D10317"/>
    <w:rsid w:val="00D17516"/>
    <w:rsid w:val="00D24F64"/>
    <w:rsid w:val="00D261A2"/>
    <w:rsid w:val="00D31C1A"/>
    <w:rsid w:val="00D416C5"/>
    <w:rsid w:val="00D476B8"/>
    <w:rsid w:val="00D519E5"/>
    <w:rsid w:val="00D5499D"/>
    <w:rsid w:val="00D5577A"/>
    <w:rsid w:val="00D56A2A"/>
    <w:rsid w:val="00D616D2"/>
    <w:rsid w:val="00D624F8"/>
    <w:rsid w:val="00D63B5F"/>
    <w:rsid w:val="00D64203"/>
    <w:rsid w:val="00D70EF7"/>
    <w:rsid w:val="00D73568"/>
    <w:rsid w:val="00D8257E"/>
    <w:rsid w:val="00D83230"/>
    <w:rsid w:val="00D8397C"/>
    <w:rsid w:val="00D84509"/>
    <w:rsid w:val="00D8477E"/>
    <w:rsid w:val="00D908FD"/>
    <w:rsid w:val="00D94EED"/>
    <w:rsid w:val="00D96026"/>
    <w:rsid w:val="00DA27C5"/>
    <w:rsid w:val="00DA5525"/>
    <w:rsid w:val="00DA7C1C"/>
    <w:rsid w:val="00DB0F1C"/>
    <w:rsid w:val="00DB147A"/>
    <w:rsid w:val="00DB1B7A"/>
    <w:rsid w:val="00DB3EBD"/>
    <w:rsid w:val="00DB7326"/>
    <w:rsid w:val="00DC106B"/>
    <w:rsid w:val="00DC1A0A"/>
    <w:rsid w:val="00DC1FEA"/>
    <w:rsid w:val="00DC6708"/>
    <w:rsid w:val="00DD5582"/>
    <w:rsid w:val="00DD7A1F"/>
    <w:rsid w:val="00DD7D6E"/>
    <w:rsid w:val="00DE074F"/>
    <w:rsid w:val="00DE0EEF"/>
    <w:rsid w:val="00DE59E1"/>
    <w:rsid w:val="00DE6880"/>
    <w:rsid w:val="00DF082B"/>
    <w:rsid w:val="00DF09AD"/>
    <w:rsid w:val="00DF0DFC"/>
    <w:rsid w:val="00DF32CE"/>
    <w:rsid w:val="00E01436"/>
    <w:rsid w:val="00E01C07"/>
    <w:rsid w:val="00E0370A"/>
    <w:rsid w:val="00E045BD"/>
    <w:rsid w:val="00E054DD"/>
    <w:rsid w:val="00E05C32"/>
    <w:rsid w:val="00E106B3"/>
    <w:rsid w:val="00E1205D"/>
    <w:rsid w:val="00E12B15"/>
    <w:rsid w:val="00E157FD"/>
    <w:rsid w:val="00E158DA"/>
    <w:rsid w:val="00E17B77"/>
    <w:rsid w:val="00E20125"/>
    <w:rsid w:val="00E23337"/>
    <w:rsid w:val="00E25869"/>
    <w:rsid w:val="00E259EA"/>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B1390"/>
    <w:rsid w:val="00EB2C71"/>
    <w:rsid w:val="00EB4340"/>
    <w:rsid w:val="00EB556D"/>
    <w:rsid w:val="00EB5A7D"/>
    <w:rsid w:val="00ED0FCE"/>
    <w:rsid w:val="00ED5474"/>
    <w:rsid w:val="00ED55C0"/>
    <w:rsid w:val="00ED682B"/>
    <w:rsid w:val="00ED774C"/>
    <w:rsid w:val="00EE41D5"/>
    <w:rsid w:val="00EF618E"/>
    <w:rsid w:val="00F037A4"/>
    <w:rsid w:val="00F11A15"/>
    <w:rsid w:val="00F22621"/>
    <w:rsid w:val="00F26A4E"/>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4859"/>
    <w:rsid w:val="00FA0B09"/>
    <w:rsid w:val="00FA5128"/>
    <w:rsid w:val="00FB42D4"/>
    <w:rsid w:val="00FB5906"/>
    <w:rsid w:val="00FB762F"/>
    <w:rsid w:val="00FC1193"/>
    <w:rsid w:val="00FC2249"/>
    <w:rsid w:val="00FC2AED"/>
    <w:rsid w:val="00FD08F0"/>
    <w:rsid w:val="00FD0F90"/>
    <w:rsid w:val="00FD5EA7"/>
    <w:rsid w:val="00FD755F"/>
    <w:rsid w:val="00FE3BA3"/>
    <w:rsid w:val="00FE548D"/>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GridTable1LightAccent1">
    <w:name w:val="Grid Table 1 Light Accent 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Light">
    <w:name w:val="Grid Table Light"/>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b/>
      <w:bC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bdl.stat.gov.pl/BDL/start"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wynagrodzenia-w-gospodarce-narodowej,6,1.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s/glossary/terms-used-in-official-statistics/742,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obszary-tematyczne/rynek-pracy/zasady-metodyczne-rocznik-pracy/zeszyt-metodologiczny-pracujacy-w-gospodarce-narodowej,7,1.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structure-of-wages-and-salaries-by-occupations-in-october-2018,4,6.html" TargetMode="External"/><Relationship Id="rId28" Type="http://schemas.openxmlformats.org/officeDocument/2006/relationships/hyperlink" Target="http://stat.gov.pl/en/metainformations/glossary/terms-used-in-official-statistics/376,term.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tat.gov.pl/en/topics/labour-market/working-employed-wages-and-salaries-cost-of-labour/employment-wages-and-salaries-in-national-economy-in-i-iii-quarters-of-2020,1,47.html" TargetMode="External"/><Relationship Id="rId27" Type="http://schemas.openxmlformats.org/officeDocument/2006/relationships/hyperlink" Target="https://bdm.stat.gov.pl/"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56E-2"/>
          <c:y val="8.6234567901234765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osia'!$B$56:$C$80</c:f>
              <c:multiLvlStrCache>
                <c:ptCount val="25"/>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lvl>
                <c:lvl>
                  <c:pt idx="0">
                    <c:v>2019</c:v>
                  </c:pt>
                  <c:pt idx="12">
                    <c:v>2020</c:v>
                  </c:pt>
                  <c:pt idx="24">
                    <c:v>2021</c:v>
                  </c:pt>
                </c:lvl>
              </c:multiLvlStrCache>
            </c:multiLvlStrRef>
          </c:cat>
          <c:val>
            <c:numRef>
              <c:f>'gl wykres z dod osia ENG'!$D$14:$D$38</c:f>
              <c:numCache>
                <c:formatCode>0.0</c:formatCode>
                <c:ptCount val="25"/>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numCache>
            </c:numRef>
          </c:val>
        </c:ser>
        <c:gapWidth val="100"/>
        <c:axId val="40308096"/>
        <c:axId val="40518784"/>
      </c:barChart>
      <c:lineChart>
        <c:grouping val="standard"/>
        <c:ser>
          <c:idx val="1"/>
          <c:order val="1"/>
          <c:tx>
            <c:strRef>
              <c:f>'gl wykres z dod osia ENG'!$D$43</c:f>
              <c:strCache>
                <c:ptCount val="1"/>
                <c:pt idx="0">
                  <c:v>Indices, corresponding month of previous year=100 (right scale)</c:v>
                </c:pt>
              </c:strCache>
            </c:strRef>
          </c:tx>
          <c:spPr>
            <a:ln>
              <a:solidFill>
                <a:srgbClr val="008542"/>
              </a:solidFill>
            </a:ln>
          </c:spPr>
          <c:marker>
            <c:symbol val="none"/>
          </c:marker>
          <c:cat>
            <c:strRef>
              <c:f>'gl wykres z dod osia'!$C$56:$C$80</c:f>
              <c:strCache>
                <c:ptCount val="25"/>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strCache>
            </c:strRef>
          </c:cat>
          <c:val>
            <c:numRef>
              <c:f>'gl wykres z dod osia ENG'!$D$56:$D$80</c:f>
              <c:numCache>
                <c:formatCode>0.0</c:formatCode>
                <c:ptCount val="25"/>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numCache>
            </c:numRef>
          </c:val>
        </c:ser>
        <c:marker val="1"/>
        <c:axId val="40553472"/>
        <c:axId val="40551168"/>
      </c:lineChart>
      <c:catAx>
        <c:axId val="40308096"/>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40518784"/>
        <c:crosses val="autoZero"/>
        <c:auto val="1"/>
        <c:lblAlgn val="ctr"/>
        <c:lblOffset val="100"/>
      </c:catAx>
      <c:valAx>
        <c:axId val="40518784"/>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38E-3"/>
              <c:y val="6.6049382716047798E-4"/>
            </c:manualLayout>
          </c:layout>
        </c:title>
        <c:numFmt formatCode="#,##0" sourceLinked="0"/>
        <c:tickLblPos val="nextTo"/>
        <c:spPr>
          <a:noFill/>
          <a:ln>
            <a:noFill/>
          </a:ln>
          <a:effectLst/>
        </c:spPr>
        <c:txPr>
          <a:bodyPr rot="-60000000" vert="horz"/>
          <a:lstStyle/>
          <a:p>
            <a:pPr>
              <a:defRPr sz="800"/>
            </a:pPr>
            <a:endParaRPr lang="pl-PL"/>
          </a:p>
        </c:txPr>
        <c:crossAx val="40308096"/>
        <c:crosses val="autoZero"/>
        <c:crossBetween val="between"/>
      </c:valAx>
      <c:valAx>
        <c:axId val="40551168"/>
        <c:scaling>
          <c:orientation val="minMax"/>
          <c:max val="140"/>
          <c:min val="0"/>
        </c:scaling>
        <c:axPos val="r"/>
        <c:numFmt formatCode="0" sourceLinked="0"/>
        <c:tickLblPos val="nextTo"/>
        <c:spPr>
          <a:ln>
            <a:noFill/>
          </a:ln>
        </c:spPr>
        <c:crossAx val="40553472"/>
        <c:crosses val="max"/>
        <c:crossBetween val="between"/>
        <c:majorUnit val="10"/>
      </c:valAx>
      <c:catAx>
        <c:axId val="40553472"/>
        <c:scaling>
          <c:orientation val="minMax"/>
        </c:scaling>
        <c:delete val="1"/>
        <c:axPos val="b"/>
        <c:numFmt formatCode="General" sourceLinked="1"/>
        <c:tickLblPos val="none"/>
        <c:crossAx val="40551168"/>
        <c:crosses val="autoZero"/>
        <c:auto val="1"/>
        <c:lblAlgn val="ctr"/>
        <c:lblOffset val="100"/>
      </c:catAx>
      <c:spPr>
        <a:noFill/>
        <a:ln>
          <a:noFill/>
        </a:ln>
        <a:effectLst/>
      </c:spPr>
    </c:plotArea>
    <c:legend>
      <c:legendPos val="b"/>
      <c:layout>
        <c:manualLayout>
          <c:xMode val="edge"/>
          <c:yMode val="edge"/>
          <c:x val="0.13761560006341489"/>
          <c:y val="0.87979753086420065"/>
          <c:w val="0.72476879987317422"/>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7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osia'!$B$56:$C$80</c:f>
              <c:multiLvlStrCache>
                <c:ptCount val="25"/>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lvl>
                <c:lvl>
                  <c:pt idx="0">
                    <c:v>2019</c:v>
                  </c:pt>
                  <c:pt idx="12">
                    <c:v>2020</c:v>
                  </c:pt>
                  <c:pt idx="24">
                    <c:v>2021</c:v>
                  </c:pt>
                </c:lvl>
              </c:multiLvlStrCache>
            </c:multiLvlStrRef>
          </c:cat>
          <c:val>
            <c:numRef>
              <c:f>'wykres wynagrodzenie glowny ENG'!$D$15:$D$39</c:f>
              <c:numCache>
                <c:formatCode>0.00</c:formatCode>
                <c:ptCount val="25"/>
                <c:pt idx="0">
                  <c:v>4931.8</c:v>
                </c:pt>
                <c:pt idx="1">
                  <c:v>4949.42</c:v>
                </c:pt>
                <c:pt idx="2">
                  <c:v>5164.53</c:v>
                </c:pt>
                <c:pt idx="3">
                  <c:v>5186.1200000000044</c:v>
                </c:pt>
                <c:pt idx="4">
                  <c:v>5057.8200000000024</c:v>
                </c:pt>
                <c:pt idx="5">
                  <c:v>5104.46</c:v>
                </c:pt>
                <c:pt idx="6">
                  <c:v>5182.4299999999994</c:v>
                </c:pt>
                <c:pt idx="7">
                  <c:v>5125.26</c:v>
                </c:pt>
                <c:pt idx="8">
                  <c:v>5084.5600000000004</c:v>
                </c:pt>
                <c:pt idx="9">
                  <c:v>5213.2700000000013</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numCache>
            </c:numRef>
          </c:val>
        </c:ser>
        <c:marker val="1"/>
        <c:axId val="97891840"/>
        <c:axId val="144313344"/>
      </c:lineChart>
      <c:catAx>
        <c:axId val="97891840"/>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44313344"/>
        <c:crosses val="autoZero"/>
        <c:auto val="1"/>
        <c:lblAlgn val="ctr"/>
        <c:lblOffset val="100"/>
      </c:catAx>
      <c:valAx>
        <c:axId val="144313344"/>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35E-3"/>
              <c:y val="6.6049382716049381E-4"/>
            </c:manualLayout>
          </c:layout>
        </c:title>
        <c:numFmt formatCode="#,##0" sourceLinked="0"/>
        <c:tickLblPos val="nextTo"/>
        <c:spPr>
          <a:noFill/>
          <a:ln>
            <a:noFill/>
          </a:ln>
          <a:effectLst/>
        </c:spPr>
        <c:txPr>
          <a:bodyPr rot="-60000000" vert="horz"/>
          <a:lstStyle/>
          <a:p>
            <a:pPr>
              <a:defRPr sz="800"/>
            </a:pPr>
            <a:endParaRPr lang="pl-PL"/>
          </a:p>
        </c:txPr>
        <c:crossAx val="9789184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Url xmlns="http://schemas.microsoft.com/sharepoint/v3" xsi:nil="true"/>
    <NazwaPliku xmlns="8C029B3F-2CC4-4A59-AF0D-A90575FA3373">EN_przecietne_zatrudnienie_i_wynagrodzenie_w_sektorze_przedsiebiorstw_w_marcu_2020_r.doc</NazwaPliku>
    <_SourceUrl xmlns="http://schemas.microsoft.com/sharepoint/v3" xsi:nil="true"/>
    <Odbiorcy2 xmlns="8C029B3F-2CC4-4A59-AF0D-A90575FA3373" xsi:nil="true"/>
    <xd_ProgID xmlns="http://schemas.microsoft.com/sharepoint/v3" xsi:nil="true"/>
    <Osoba xmlns="8C029B3F-2CC4-4A59-AF0D-A90575FA3373">STAT\ZgierskaA</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B974-1DF7-4958-8995-9AD449A01E3F}">
  <ds:schemaRefs>
    <ds:schemaRef ds:uri="http://schemas.microsoft.com/office/2006/metadata/propertie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C37B9DD4-9720-43CE-A695-2749894D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4.xml><?xml version="1.0" encoding="utf-8"?>
<ds:datastoreItem xmlns:ds="http://schemas.openxmlformats.org/officeDocument/2006/customXml" ds:itemID="{256E8F97-3647-487F-BA53-3CBEC6AC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841</Words>
  <Characters>5047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5877</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2020-10-16T13:42:00Z</cp:lastPrinted>
  <dcterms:created xsi:type="dcterms:W3CDTF">2020-09-15T16:17:00Z</dcterms:created>
  <dcterms:modified xsi:type="dcterms:W3CDTF">2021-02-16T16:14:00Z</dcterms:modified>
</cp:coreProperties>
</file>