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0B5B6CB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3A7F0F29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A5369B">
        <w:rPr>
          <w:shd w:val="clear" w:color="auto" w:fill="FFFFFF"/>
          <w:lang w:val="en-GB"/>
        </w:rPr>
        <w:t>November</w:t>
      </w:r>
      <w:r w:rsidR="002C5475">
        <w:rPr>
          <w:shd w:val="clear" w:color="auto" w:fill="FFFFFF"/>
          <w:lang w:val="en-GB"/>
        </w:rPr>
        <w:t xml:space="preserve"> 2021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531ECFC7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5A1DBC10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2C2B7778">
                <wp:simplePos x="0" y="0"/>
                <wp:positionH relativeFrom="margin">
                  <wp:posOffset>0</wp:posOffset>
                </wp:positionH>
                <wp:positionV relativeFrom="paragraph">
                  <wp:posOffset>98425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0C62519A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36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15.2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10FC80DA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A5369B">
                              <w:rPr>
                                <w:sz w:val="20"/>
                                <w:lang w:val="en-US"/>
                              </w:rPr>
                              <w:t>November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475">
                              <w:rPr>
                                <w:sz w:val="20"/>
                                <w:lang w:val="en-US"/>
                              </w:rPr>
                              <w:t>2020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75pt;width:152.1pt;height:104.2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" fillcolor="#001d77" stroked="f">
                <v:textbox>
                  <w:txbxContent>
                    <w:p w14:paraId="3773968B" w14:textId="0C62519A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536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15.2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10FC80DA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A5369B">
                        <w:rPr>
                          <w:sz w:val="20"/>
                          <w:lang w:val="en-US"/>
                        </w:rPr>
                        <w:t>November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475">
                        <w:rPr>
                          <w:sz w:val="20"/>
                          <w:lang w:val="en-US"/>
                        </w:rPr>
                        <w:t>2020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81E">
        <w:rPr>
          <w:lang w:val="en-GB"/>
        </w:rPr>
        <w:t xml:space="preserve">In </w:t>
      </w:r>
      <w:r w:rsidR="00A5369B">
        <w:rPr>
          <w:lang w:val="en-GB"/>
        </w:rPr>
        <w:t>November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2021</w:t>
      </w:r>
      <w:r w:rsidRPr="00C52703">
        <w:rPr>
          <w:lang w:val="en-GB"/>
        </w:rPr>
        <w:t xml:space="preserve">, sold production of industry was by </w:t>
      </w:r>
      <w:r w:rsidR="00A5369B">
        <w:rPr>
          <w:lang w:val="en-GB"/>
        </w:rPr>
        <w:t>15.2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A5369B">
        <w:rPr>
          <w:lang w:val="en-GB"/>
        </w:rPr>
        <w:t xml:space="preserve">November </w:t>
      </w:r>
      <w:r w:rsidR="002C5475">
        <w:rPr>
          <w:lang w:val="en-GB"/>
        </w:rPr>
        <w:t>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A5369B">
        <w:rPr>
          <w:spacing w:val="-2"/>
          <w:lang w:val="en-GB"/>
        </w:rPr>
        <w:t>5.4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</w:t>
      </w:r>
      <w:r w:rsidR="00A5369B">
        <w:rPr>
          <w:spacing w:val="-2"/>
          <w:lang w:val="en-GB"/>
        </w:rPr>
        <w:t>October</w:t>
      </w:r>
      <w:r w:rsidR="000276AA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2021</w:t>
      </w:r>
      <w:r>
        <w:rPr>
          <w:spacing w:val="-2"/>
          <w:lang w:val="en-GB"/>
        </w:rPr>
        <w:t>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0276AA">
        <w:rPr>
          <w:spacing w:val="-2"/>
          <w:lang w:val="en-GB"/>
        </w:rPr>
        <w:t>in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A5369B">
        <w:rPr>
          <w:spacing w:val="-2"/>
          <w:lang w:val="en-GB"/>
        </w:rPr>
        <w:t>5</w:t>
      </w:r>
      <w:r w:rsidR="00876B0C">
        <w:rPr>
          <w:spacing w:val="-2"/>
          <w:lang w:val="en-GB"/>
        </w:rPr>
        <w:t>.3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A5369B">
        <w:rPr>
          <w:lang w:val="en-GB"/>
        </w:rPr>
        <w:t>November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of 2021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A5369B">
        <w:rPr>
          <w:lang w:val="en-GB"/>
        </w:rPr>
        <w:t>15.0</w:t>
      </w:r>
      <w:r w:rsidRPr="00C52703">
        <w:rPr>
          <w:lang w:val="en-GB"/>
        </w:rPr>
        <w:t xml:space="preserve">% </w:t>
      </w:r>
      <w:r w:rsidR="002C5475">
        <w:rPr>
          <w:lang w:val="en-GB"/>
        </w:rPr>
        <w:t>higher</w:t>
      </w:r>
      <w:r w:rsidRPr="00C52703">
        <w:rPr>
          <w:lang w:val="en-GB"/>
        </w:rPr>
        <w:t xml:space="preserve"> than in </w:t>
      </w:r>
      <w:r w:rsidR="002C5475">
        <w:rPr>
          <w:lang w:val="en-GB"/>
        </w:rPr>
        <w:t>the corresponding period of 2020</w:t>
      </w:r>
      <w:r>
        <w:rPr>
          <w:lang w:val="en-GB"/>
        </w:rPr>
        <w:t>,</w:t>
      </w:r>
      <w:r w:rsidRPr="00C52703">
        <w:rPr>
          <w:lang w:val="en-GB"/>
        </w:rPr>
        <w:t xml:space="preserve"> which saw a </w:t>
      </w:r>
      <w:r w:rsidR="00A54D2D">
        <w:rPr>
          <w:lang w:val="en-GB"/>
        </w:rPr>
        <w:t>decrease</w:t>
      </w:r>
      <w:r w:rsidR="00E90FCB">
        <w:rPr>
          <w:lang w:val="en-GB"/>
        </w:rPr>
        <w:t xml:space="preserve"> by </w:t>
      </w:r>
      <w:r w:rsidR="00876B0C">
        <w:rPr>
          <w:lang w:val="en-GB"/>
        </w:rPr>
        <w:t>2.</w:t>
      </w:r>
      <w:r w:rsidR="00A5369B">
        <w:rPr>
          <w:lang w:val="en-GB"/>
        </w:rPr>
        <w:t>1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702A9B66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7DEB4608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5336B7E2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DBC11E8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A536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876B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A536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15.2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7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Hd2n+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3DBC11E8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A536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876B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A536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15.2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76DD6FB4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A5369B">
        <w:rPr>
          <w:noProof/>
          <w:spacing w:val="-2"/>
          <w:szCs w:val="19"/>
          <w:lang w:val="en-GB"/>
        </w:rPr>
        <w:t>November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A5369B">
        <w:rPr>
          <w:noProof/>
          <w:spacing w:val="-2"/>
          <w:szCs w:val="19"/>
          <w:lang w:val="en-GB"/>
        </w:rPr>
        <w:t>15.2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A5369B">
        <w:rPr>
          <w:noProof/>
          <w:spacing w:val="-2"/>
          <w:szCs w:val="19"/>
          <w:lang w:val="en-GB"/>
        </w:rPr>
        <w:t>6.5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876B0C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A5369B">
        <w:rPr>
          <w:noProof/>
          <w:spacing w:val="-2"/>
          <w:szCs w:val="19"/>
          <w:lang w:val="en-GB"/>
        </w:rPr>
        <w:t>Octobe</w:t>
      </w:r>
      <w:r w:rsidR="00876B0C">
        <w:rPr>
          <w:noProof/>
          <w:spacing w:val="-2"/>
          <w:szCs w:val="19"/>
          <w:lang w:val="en-GB"/>
        </w:rPr>
        <w:t>r</w:t>
      </w:r>
      <w:r w:rsidR="002C5475">
        <w:rPr>
          <w:noProof/>
          <w:spacing w:val="-2"/>
          <w:szCs w:val="19"/>
          <w:lang w:val="en-GB"/>
        </w:rPr>
        <w:t xml:space="preserve"> 2021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48526DFD" w:rsidR="003627E7" w:rsidRPr="007B4306" w:rsidRDefault="00A5369B" w:rsidP="000C2AC9">
      <w:pPr>
        <w:spacing w:before="360"/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szCs w:val="18"/>
          <w:shd w:val="clear" w:color="auto" w:fill="FFFFFF"/>
          <w:lang w:eastAsia="pl-PL"/>
        </w:rPr>
        <w:drawing>
          <wp:anchor distT="0" distB="0" distL="114300" distR="114300" simplePos="0" relativeHeight="251874304" behindDoc="0" locked="0" layoutInCell="1" allowOverlap="1" wp14:anchorId="5EE550D6" wp14:editId="14AA6A1D">
            <wp:simplePos x="0" y="0"/>
            <wp:positionH relativeFrom="column">
              <wp:posOffset>-38100</wp:posOffset>
            </wp:positionH>
            <wp:positionV relativeFrom="paragraph">
              <wp:posOffset>410210</wp:posOffset>
            </wp:positionV>
            <wp:extent cx="5200650" cy="3023870"/>
            <wp:effectExtent l="0" t="0" r="0" b="508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2B3FC417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3432E642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November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DC1CD2"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>, as compared to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all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highest growth was observed in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>–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31.3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284999">
        <w:rPr>
          <w:b w:val="0"/>
          <w:sz w:val="19"/>
          <w:szCs w:val="19"/>
          <w:shd w:val="clear" w:color="auto" w:fill="FFFFFF"/>
          <w:lang w:val="en-GB"/>
        </w:rPr>
        <w:t xml:space="preserve">nd </w:t>
      </w:r>
      <w:r w:rsidR="00A5369B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A5369B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284999">
        <w:rPr>
          <w:b w:val="0"/>
          <w:sz w:val="19"/>
          <w:szCs w:val="19"/>
          <w:shd w:val="clear" w:color="auto" w:fill="FFFFFF"/>
          <w:lang w:val="en-GB"/>
        </w:rPr>
        <w:t>17.0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%. T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he lower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 xml:space="preserve">increase </w:t>
      </w:r>
      <w:r w:rsidR="00A5369B" w:rsidRPr="00E2764C">
        <w:rPr>
          <w:b w:val="0"/>
          <w:sz w:val="19"/>
          <w:szCs w:val="19"/>
          <w:lang w:val="en-GB"/>
        </w:rPr>
        <w:t xml:space="preserve">was </w:t>
      </w:r>
      <w:r w:rsidR="00A5369B" w:rsidRPr="004D23D2">
        <w:rPr>
          <w:b w:val="0"/>
          <w:sz w:val="19"/>
          <w:szCs w:val="19"/>
          <w:lang w:val="en-GB"/>
        </w:rPr>
        <w:t>observed in</w:t>
      </w:r>
      <w:r w:rsidR="00A5369B" w:rsidRPr="004D23D2">
        <w:rPr>
          <w:sz w:val="19"/>
          <w:szCs w:val="19"/>
          <w:lang w:val="en-GB"/>
        </w:rPr>
        <w:t xml:space="preserve">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65C63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565C63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9.7</w:t>
      </w:r>
      <w:r w:rsidR="00565C63">
        <w:rPr>
          <w:b w:val="0"/>
          <w:sz w:val="19"/>
          <w:szCs w:val="19"/>
          <w:shd w:val="clear" w:color="auto" w:fill="FFFFFF"/>
          <w:lang w:val="en-GB"/>
        </w:rPr>
        <w:t>%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A5369B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A5369B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9.5</w:t>
      </w:r>
      <w:r w:rsidR="00A5369B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393C51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8.3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393C51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6C8C67B" w14:textId="1C2B7331" w:rsidR="00DC1CD2" w:rsidRDefault="00DC1CD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9EEF2F2" w14:textId="77777777" w:rsidR="00FB1C70" w:rsidRPr="000C2AC9" w:rsidRDefault="00FB1C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1FF845B" w14:textId="611D0E9F" w:rsidR="00DC1CD2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49F637D6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39"/>
        <w:gridCol w:w="1275"/>
        <w:gridCol w:w="1560"/>
        <w:gridCol w:w="1417"/>
      </w:tblGrid>
      <w:tr w:rsidR="00BB33B9" w:rsidRPr="00C52703" w14:paraId="6891EC02" w14:textId="77777777" w:rsidTr="004A6C40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42522CF5" w14:textId="0EC936EE" w:rsidR="00BB33B9" w:rsidRPr="00C52703" w:rsidRDefault="00313BD1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</w:t>
            </w:r>
            <w:r w:rsidR="00A5369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C547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417" w:type="dxa"/>
          </w:tcPr>
          <w:p w14:paraId="65938CEA" w14:textId="0C346BCB" w:rsidR="00BB33B9" w:rsidRPr="00C52703" w:rsidRDefault="002C5475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313BD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</w:t>
            </w:r>
            <w:r w:rsidR="00A5369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4A6C40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516C0C05" w14:textId="5543A275" w:rsidR="00BB33B9" w:rsidRPr="00C52703" w:rsidRDefault="00A5369B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10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1=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160A69" w14:textId="384C77A8" w:rsidR="00BB33B9" w:rsidRPr="00C52703" w:rsidRDefault="00313BD1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A5369B"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2C5475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691100D" w14:textId="7DA8E091" w:rsidR="00BB33B9" w:rsidRPr="00C43A96" w:rsidRDefault="00B9273E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</w:t>
            </w:r>
            <w:r w:rsidR="00313BD1">
              <w:rPr>
                <w:sz w:val="16"/>
                <w:szCs w:val="16"/>
                <w:lang w:val="en-GB"/>
              </w:rPr>
              <w:t>1</w:t>
            </w:r>
            <w:r w:rsidR="00A5369B">
              <w:rPr>
                <w:sz w:val="16"/>
                <w:szCs w:val="16"/>
                <w:lang w:val="en-GB"/>
              </w:rPr>
              <w:t>1</w:t>
            </w:r>
            <w:r w:rsidR="004A6C40">
              <w:rPr>
                <w:sz w:val="16"/>
                <w:szCs w:val="16"/>
                <w:lang w:val="en-GB"/>
              </w:rPr>
              <w:t xml:space="preserve"> 2020</w:t>
            </w:r>
            <w:r w:rsidR="004A6C40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4A6C40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444C7070" w14:textId="5B81C0F3" w:rsidR="0019680B" w:rsidRPr="009D4C87" w:rsidRDefault="00A5369B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105.3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38247E3" w14:textId="07C38911" w:rsidR="0019680B" w:rsidRPr="009D4C87" w:rsidRDefault="00AA6DFC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115.2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780CA913" w14:textId="25ED5F5A" w:rsidR="0019680B" w:rsidRPr="00DD58F4" w:rsidRDefault="00AA6DFC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152.9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8BF4766" w14:textId="1166F826" w:rsidR="0019680B" w:rsidRPr="009D4C87" w:rsidRDefault="00AA6DFC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115.0</w:t>
            </w:r>
          </w:p>
        </w:tc>
      </w:tr>
      <w:tr w:rsidR="0019680B" w:rsidRPr="001D6A44" w14:paraId="2A38CBFB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35ECCD50" w14:textId="78539D46" w:rsidR="0019680B" w:rsidRPr="009D4C87" w:rsidRDefault="00A5369B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104.0</w:t>
            </w:r>
          </w:p>
        </w:tc>
        <w:tc>
          <w:tcPr>
            <w:tcW w:w="1275" w:type="dxa"/>
            <w:vAlign w:val="center"/>
          </w:tcPr>
          <w:p w14:paraId="588D4170" w14:textId="1779CAF9" w:rsidR="0019680B" w:rsidRPr="009D4C87" w:rsidRDefault="00AA6DF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104.0</w:t>
            </w:r>
          </w:p>
        </w:tc>
        <w:tc>
          <w:tcPr>
            <w:tcW w:w="1560" w:type="dxa"/>
            <w:vAlign w:val="center"/>
          </w:tcPr>
          <w:p w14:paraId="3E145B8D" w14:textId="06A3182B" w:rsidR="0019680B" w:rsidRPr="00DD58F4" w:rsidRDefault="00AA6DF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94.9</w:t>
            </w:r>
          </w:p>
        </w:tc>
        <w:tc>
          <w:tcPr>
            <w:tcW w:w="1417" w:type="dxa"/>
            <w:vAlign w:val="center"/>
          </w:tcPr>
          <w:p w14:paraId="2E08FF59" w14:textId="228593B4" w:rsidR="0019680B" w:rsidRPr="009D4C87" w:rsidRDefault="00AA6DF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101.9</w:t>
            </w:r>
          </w:p>
        </w:tc>
      </w:tr>
      <w:tr w:rsidR="0019680B" w:rsidRPr="001D6A44" w14:paraId="150A389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7FC620EA" w14:textId="3A78F80B" w:rsidR="0019680B" w:rsidRPr="009D4C87" w:rsidRDefault="00AA6DF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</w:t>
            </w:r>
          </w:p>
        </w:tc>
        <w:tc>
          <w:tcPr>
            <w:tcW w:w="1275" w:type="dxa"/>
            <w:vAlign w:val="center"/>
          </w:tcPr>
          <w:p w14:paraId="6EE9A7FE" w14:textId="1A86D5CD" w:rsidR="0019680B" w:rsidRPr="009D4C87" w:rsidRDefault="00AA6DF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113.0</w:t>
            </w:r>
          </w:p>
        </w:tc>
        <w:tc>
          <w:tcPr>
            <w:tcW w:w="1560" w:type="dxa"/>
            <w:vAlign w:val="center"/>
          </w:tcPr>
          <w:p w14:paraId="14DEA633" w14:textId="7B6A1385" w:rsidR="0019680B" w:rsidRPr="00DD58F4" w:rsidRDefault="00AA6DF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153.6</w:t>
            </w:r>
          </w:p>
        </w:tc>
        <w:tc>
          <w:tcPr>
            <w:tcW w:w="1417" w:type="dxa"/>
            <w:vAlign w:val="center"/>
          </w:tcPr>
          <w:p w14:paraId="3C9AADCC" w14:textId="2F631772" w:rsidR="0019680B" w:rsidRPr="009D4C87" w:rsidRDefault="00AA6DF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114.4</w:t>
            </w:r>
          </w:p>
        </w:tc>
      </w:tr>
      <w:tr w:rsidR="0019680B" w:rsidRPr="00D22ECE" w14:paraId="42745E0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5D57BAE3" w14:textId="55263B44" w:rsidR="0019680B" w:rsidRPr="009D4C87" w:rsidRDefault="00AA6DF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114.2</w:t>
            </w:r>
          </w:p>
        </w:tc>
        <w:tc>
          <w:tcPr>
            <w:tcW w:w="1275" w:type="dxa"/>
            <w:vAlign w:val="center"/>
          </w:tcPr>
          <w:p w14:paraId="09A98E34" w14:textId="20B1C0CF" w:rsidR="0019680B" w:rsidRPr="009D4C87" w:rsidRDefault="00AA6DF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147.7</w:t>
            </w:r>
          </w:p>
        </w:tc>
        <w:tc>
          <w:tcPr>
            <w:tcW w:w="1560" w:type="dxa"/>
            <w:vAlign w:val="center"/>
          </w:tcPr>
          <w:p w14:paraId="48C11E68" w14:textId="6009C492" w:rsidR="0019680B" w:rsidRPr="00DD58F4" w:rsidRDefault="00AA6DF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173.2</w:t>
            </w:r>
          </w:p>
        </w:tc>
        <w:tc>
          <w:tcPr>
            <w:tcW w:w="1417" w:type="dxa"/>
            <w:vAlign w:val="center"/>
          </w:tcPr>
          <w:p w14:paraId="33B85A7E" w14:textId="742E1842" w:rsidR="0019680B" w:rsidRPr="009D4C87" w:rsidRDefault="00AA6DF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127.9</w:t>
            </w:r>
          </w:p>
        </w:tc>
      </w:tr>
      <w:tr w:rsidR="0019680B" w:rsidRPr="00A20FD5" w14:paraId="48DD5616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0ECFA20" w14:textId="072DCE37" w:rsidR="0019680B" w:rsidRPr="009D4C87" w:rsidRDefault="00AA6DF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99.0</w:t>
            </w:r>
          </w:p>
        </w:tc>
        <w:tc>
          <w:tcPr>
            <w:tcW w:w="1275" w:type="dxa"/>
            <w:vAlign w:val="center"/>
          </w:tcPr>
          <w:p w14:paraId="6E445ECF" w14:textId="1CCBA818" w:rsidR="0019680B" w:rsidRPr="009D4C87" w:rsidRDefault="00AA6DF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112.5</w:t>
            </w:r>
          </w:p>
        </w:tc>
        <w:tc>
          <w:tcPr>
            <w:tcW w:w="1560" w:type="dxa"/>
            <w:vAlign w:val="center"/>
          </w:tcPr>
          <w:p w14:paraId="4FF62C73" w14:textId="7F7F76AF" w:rsidR="0019680B" w:rsidRPr="00DD58F4" w:rsidRDefault="00AA6DF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149.2</w:t>
            </w:r>
          </w:p>
        </w:tc>
        <w:tc>
          <w:tcPr>
            <w:tcW w:w="1417" w:type="dxa"/>
            <w:vAlign w:val="center"/>
          </w:tcPr>
          <w:p w14:paraId="32141E5B" w14:textId="3D9CADAF" w:rsidR="0019680B" w:rsidRPr="009D4C87" w:rsidRDefault="00AA6DF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111.0</w:t>
            </w:r>
          </w:p>
        </w:tc>
      </w:tr>
    </w:tbl>
    <w:p w14:paraId="6E3C5957" w14:textId="0DB254E4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12562833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AA6DFC">
        <w:rPr>
          <w:sz w:val="16"/>
          <w:szCs w:val="16"/>
          <w:lang w:val="en-GB"/>
        </w:rPr>
        <w:t xml:space="preserve">October </w:t>
      </w:r>
      <w:r w:rsidR="00B9273E">
        <w:rPr>
          <w:sz w:val="16"/>
          <w:szCs w:val="16"/>
          <w:lang w:val="en-GB"/>
        </w:rPr>
        <w:t xml:space="preserve">and </w:t>
      </w:r>
      <w:r w:rsidR="00B6381E">
        <w:rPr>
          <w:sz w:val="16"/>
          <w:szCs w:val="16"/>
          <w:lang w:val="en-GB"/>
        </w:rPr>
        <w:t>reported data – in</w:t>
      </w:r>
      <w:r w:rsidR="00AA6DFC">
        <w:rPr>
          <w:sz w:val="16"/>
          <w:szCs w:val="16"/>
          <w:lang w:val="en-GB"/>
        </w:rPr>
        <w:t xml:space="preserve"> November</w:t>
      </w:r>
      <w:r w:rsidR="00BB33B9">
        <w:rPr>
          <w:sz w:val="16"/>
          <w:szCs w:val="16"/>
          <w:lang w:val="en-GB"/>
        </w:rPr>
        <w:t>.</w:t>
      </w:r>
    </w:p>
    <w:p w14:paraId="52E735D6" w14:textId="576D7DB3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1CFA6DCF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785B0452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AA6D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</w:t>
                            </w:r>
                            <w:r w:rsidR="00313B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</w:t>
                            </w:r>
                            <w:r w:rsidR="008C2E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E53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AA6D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98.5</w:t>
                            </w:r>
                            <w:r w:rsidR="00454C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" filled="f" stroked="f">
                <v:textbox>
                  <w:txbxContent>
                    <w:p w14:paraId="5F2B646E" w14:textId="785B0452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AA6D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</w:t>
                      </w:r>
                      <w:r w:rsidR="00313B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</w:t>
                      </w:r>
                      <w:r w:rsidR="008C2E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E53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AA6D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98.5</w:t>
                      </w:r>
                      <w:r w:rsidR="00454C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7ED56772" w14:textId="0189A096" w:rsidR="00AA6DFC" w:rsidRPr="00B823E4" w:rsidRDefault="00BB33B9" w:rsidP="00565C63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AA6DFC">
        <w:rPr>
          <w:noProof/>
          <w:spacing w:val="-2"/>
          <w:szCs w:val="19"/>
          <w:lang w:val="en-GB"/>
        </w:rPr>
        <w:t>November</w:t>
      </w:r>
      <w:r w:rsidR="004E532C">
        <w:rPr>
          <w:noProof/>
          <w:spacing w:val="-2"/>
          <w:szCs w:val="19"/>
          <w:lang w:val="en-GB"/>
        </w:rPr>
        <w:t xml:space="preserve"> 2021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AA6DFC">
        <w:rPr>
          <w:noProof/>
          <w:spacing w:val="-2"/>
          <w:szCs w:val="19"/>
          <w:lang w:val="en-GB"/>
        </w:rPr>
        <w:t>November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AA6DFC">
        <w:rPr>
          <w:noProof/>
          <w:spacing w:val="-2"/>
          <w:szCs w:val="19"/>
          <w:lang w:val="en-GB"/>
        </w:rPr>
        <w:t>31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 xml:space="preserve">, </w:t>
      </w:r>
      <w:r w:rsidR="00AA6DFC">
        <w:t xml:space="preserve">in </w:t>
      </w:r>
      <w:r w:rsidR="00AA6DFC">
        <w:rPr>
          <w:noProof/>
          <w:spacing w:val="-2"/>
          <w:szCs w:val="19"/>
          <w:lang w:val="en-GB"/>
        </w:rPr>
        <w:t>r</w:t>
      </w:r>
      <w:r w:rsidR="00AA6DFC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AA6DFC">
        <w:rPr>
          <w:noProof/>
          <w:spacing w:val="-2"/>
          <w:szCs w:val="19"/>
          <w:lang w:val="en-GB"/>
        </w:rPr>
        <w:t xml:space="preserve"> – by 47.6%,</w:t>
      </w:r>
      <w:r w:rsidR="00AA6DFC" w:rsidRPr="00AA6DFC">
        <w:rPr>
          <w:noProof/>
          <w:spacing w:val="-2"/>
          <w:szCs w:val="19"/>
          <w:lang w:val="en-GB"/>
        </w:rPr>
        <w:t xml:space="preserve"> </w:t>
      </w:r>
      <w:r w:rsidR="00B823E4">
        <w:rPr>
          <w:noProof/>
          <w:spacing w:val="-2"/>
          <w:szCs w:val="19"/>
          <w:lang w:val="en-GB"/>
        </w:rPr>
        <w:t>in </w:t>
      </w:r>
      <w:r w:rsidR="009753AD">
        <w:rPr>
          <w:noProof/>
          <w:spacing w:val="-2"/>
          <w:szCs w:val="19"/>
          <w:lang w:val="en-GB"/>
        </w:rPr>
        <w:t>m</w:t>
      </w:r>
      <w:r w:rsidR="009753AD" w:rsidRPr="0065283F">
        <w:rPr>
          <w:noProof/>
          <w:spacing w:val="-2"/>
          <w:szCs w:val="19"/>
          <w:lang w:val="en-GB"/>
        </w:rPr>
        <w:t xml:space="preserve">anufacture of </w:t>
      </w:r>
      <w:r w:rsidR="009753AD">
        <w:rPr>
          <w:noProof/>
          <w:spacing w:val="-2"/>
          <w:szCs w:val="19"/>
          <w:lang w:val="en-GB"/>
        </w:rPr>
        <w:t>c</w:t>
      </w:r>
      <w:r w:rsidR="009753AD" w:rsidRPr="00B067A6">
        <w:rPr>
          <w:noProof/>
          <w:spacing w:val="-2"/>
          <w:szCs w:val="19"/>
          <w:lang w:val="en-GB"/>
        </w:rPr>
        <w:t>hemicals and chemical products</w:t>
      </w:r>
      <w:r w:rsidR="009753AD" w:rsidRPr="00615DB7">
        <w:rPr>
          <w:noProof/>
          <w:spacing w:val="-2"/>
          <w:szCs w:val="19"/>
          <w:lang w:val="en-GB"/>
        </w:rPr>
        <w:t xml:space="preserve"> </w:t>
      </w:r>
      <w:r w:rsidR="009753AD">
        <w:rPr>
          <w:noProof/>
          <w:spacing w:val="-2"/>
          <w:szCs w:val="19"/>
          <w:lang w:val="en-GB"/>
        </w:rPr>
        <w:t xml:space="preserve"> – by </w:t>
      </w:r>
      <w:r w:rsidR="00AA6DFC">
        <w:rPr>
          <w:noProof/>
          <w:spacing w:val="-2"/>
          <w:szCs w:val="19"/>
          <w:lang w:val="en-GB"/>
        </w:rPr>
        <w:t>28.6</w:t>
      </w:r>
      <w:r w:rsidR="009753AD">
        <w:rPr>
          <w:noProof/>
          <w:spacing w:val="-2"/>
          <w:szCs w:val="19"/>
          <w:lang w:val="en-GB"/>
        </w:rPr>
        <w:t>%,</w:t>
      </w:r>
      <w:bookmarkStart w:id="0" w:name="_Hlk82680989"/>
      <w:r w:rsidR="00284999">
        <w:rPr>
          <w:noProof/>
          <w:spacing w:val="-2"/>
          <w:szCs w:val="19"/>
          <w:lang w:val="en-GB"/>
        </w:rPr>
        <w:t xml:space="preserve"> </w:t>
      </w:r>
      <w:r w:rsidR="00AA6DFC">
        <w:rPr>
          <w:noProof/>
          <w:spacing w:val="-2"/>
          <w:szCs w:val="19"/>
          <w:lang w:val="en-GB"/>
        </w:rPr>
        <w:t>m</w:t>
      </w:r>
      <w:r w:rsidR="00AA6DFC" w:rsidRPr="008C2E1C">
        <w:rPr>
          <w:noProof/>
          <w:spacing w:val="-2"/>
          <w:szCs w:val="19"/>
          <w:lang w:val="en-GB"/>
        </w:rPr>
        <w:t xml:space="preserve">anufacture of </w:t>
      </w:r>
      <w:r w:rsidR="00AA6DFC">
        <w:rPr>
          <w:noProof/>
          <w:spacing w:val="-2"/>
          <w:szCs w:val="19"/>
          <w:lang w:val="en-GB"/>
        </w:rPr>
        <w:t xml:space="preserve">basic </w:t>
      </w:r>
      <w:r w:rsidR="00AA6DFC" w:rsidRPr="008C2E1C">
        <w:rPr>
          <w:noProof/>
          <w:spacing w:val="-2"/>
          <w:szCs w:val="19"/>
          <w:lang w:val="en-GB"/>
        </w:rPr>
        <w:t>metal</w:t>
      </w:r>
      <w:r w:rsidR="00AA6DFC">
        <w:rPr>
          <w:noProof/>
          <w:spacing w:val="-2"/>
          <w:szCs w:val="19"/>
          <w:lang w:val="en-GB"/>
        </w:rPr>
        <w:t>s</w:t>
      </w:r>
      <w:r w:rsidR="00AA6DFC" w:rsidRPr="004E532C">
        <w:rPr>
          <w:noProof/>
          <w:spacing w:val="-2"/>
          <w:szCs w:val="19"/>
          <w:lang w:val="en-GB"/>
        </w:rPr>
        <w:t xml:space="preserve"> </w:t>
      </w:r>
      <w:r w:rsidR="00AA6DFC">
        <w:rPr>
          <w:noProof/>
          <w:szCs w:val="19"/>
          <w:lang w:val="en-GB"/>
        </w:rPr>
        <w:t>– by</w:t>
      </w:r>
      <w:r w:rsidR="00B823E4">
        <w:rPr>
          <w:noProof/>
          <w:szCs w:val="19"/>
          <w:lang w:val="en-GB"/>
        </w:rPr>
        <w:t> </w:t>
      </w:r>
      <w:r w:rsidR="00AA6DFC">
        <w:rPr>
          <w:noProof/>
          <w:szCs w:val="19"/>
          <w:lang w:val="en-GB"/>
        </w:rPr>
        <w:t>26.7%</w:t>
      </w:r>
      <w:r w:rsidR="00AA6DFC">
        <w:t xml:space="preserve">, </w:t>
      </w:r>
      <w:r w:rsidR="00AA6DFC" w:rsidRPr="009D61BA">
        <w:rPr>
          <w:noProof/>
          <w:szCs w:val="19"/>
          <w:lang w:val="en-GB"/>
        </w:rPr>
        <w:t xml:space="preserve">manufacture of </w:t>
      </w:r>
      <w:r w:rsidR="00AA6DFC" w:rsidRPr="00082002">
        <w:rPr>
          <w:noProof/>
          <w:spacing w:val="-2"/>
          <w:szCs w:val="19"/>
          <w:lang w:val="en-GB"/>
        </w:rPr>
        <w:t>machinery and equipment</w:t>
      </w:r>
      <w:r w:rsidR="00AA6DFC">
        <w:rPr>
          <w:noProof/>
          <w:spacing w:val="-2"/>
          <w:szCs w:val="19"/>
          <w:lang w:val="en-GB"/>
        </w:rPr>
        <w:t xml:space="preserve"> </w:t>
      </w:r>
      <w:r w:rsidR="00AA6DFC">
        <w:rPr>
          <w:noProof/>
          <w:szCs w:val="19"/>
          <w:lang w:val="en-GB"/>
        </w:rPr>
        <w:t>– by 20.4%,</w:t>
      </w:r>
      <w:r w:rsidR="00AA6DFC" w:rsidRPr="009753AD">
        <w:t xml:space="preserve"> </w:t>
      </w:r>
      <w:r w:rsidR="00AA6DFC">
        <w:rPr>
          <w:noProof/>
          <w:spacing w:val="-2"/>
          <w:szCs w:val="19"/>
          <w:lang w:val="en-GB"/>
        </w:rPr>
        <w:t>m</w:t>
      </w:r>
      <w:r w:rsidR="00AA6DFC" w:rsidRPr="005A074C">
        <w:rPr>
          <w:noProof/>
          <w:spacing w:val="-2"/>
          <w:szCs w:val="19"/>
          <w:lang w:val="en-GB"/>
        </w:rPr>
        <w:t>anufacture of paper and paper products</w:t>
      </w:r>
      <w:r w:rsidR="00AA6DFC">
        <w:rPr>
          <w:noProof/>
          <w:spacing w:val="-2"/>
          <w:szCs w:val="19"/>
          <w:lang w:val="en-GB"/>
        </w:rPr>
        <w:t xml:space="preserve"> – by 19.9%,</w:t>
      </w:r>
      <w:r w:rsidR="00AA6DFC" w:rsidRPr="00AA6DFC">
        <w:rPr>
          <w:noProof/>
          <w:spacing w:val="-2"/>
          <w:szCs w:val="19"/>
          <w:lang w:val="en-GB"/>
        </w:rPr>
        <w:t xml:space="preserve"> </w:t>
      </w:r>
      <w:r w:rsidR="00AA6DFC">
        <w:rPr>
          <w:noProof/>
          <w:spacing w:val="-2"/>
          <w:szCs w:val="19"/>
          <w:lang w:val="en-GB"/>
        </w:rPr>
        <w:t>m</w:t>
      </w:r>
      <w:r w:rsidR="00AA6DFC" w:rsidRPr="008C2E1C">
        <w:rPr>
          <w:noProof/>
          <w:spacing w:val="-2"/>
          <w:szCs w:val="19"/>
          <w:lang w:val="en-GB"/>
        </w:rPr>
        <w:t>anufacture of metal products</w:t>
      </w:r>
      <w:r w:rsidR="00AA6DFC" w:rsidRPr="004E532C">
        <w:rPr>
          <w:noProof/>
          <w:spacing w:val="-2"/>
          <w:szCs w:val="19"/>
          <w:lang w:val="en-GB"/>
        </w:rPr>
        <w:t xml:space="preserve"> </w:t>
      </w:r>
      <w:r w:rsidR="00AA6DFC">
        <w:rPr>
          <w:noProof/>
          <w:szCs w:val="19"/>
          <w:lang w:val="en-GB"/>
        </w:rPr>
        <w:t>– by 17.4%.</w:t>
      </w:r>
    </w:p>
    <w:bookmarkEnd w:id="0"/>
    <w:p w14:paraId="6794C325" w14:textId="5D0FF4B5" w:rsidR="00AA6DFC" w:rsidRDefault="00DA7D4B" w:rsidP="00AA6DFC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AA6DFC">
        <w:rPr>
          <w:noProof/>
          <w:szCs w:val="19"/>
          <w:lang w:val="en-GB"/>
        </w:rPr>
        <w:t>November</w:t>
      </w:r>
      <w:r w:rsidR="008C2E1C">
        <w:rPr>
          <w:noProof/>
          <w:szCs w:val="19"/>
          <w:lang w:val="en-GB"/>
        </w:rPr>
        <w:t xml:space="preserve"> </w:t>
      </w:r>
      <w:r w:rsidR="004E532C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</w:t>
      </w:r>
      <w:r w:rsidR="00393C51">
        <w:rPr>
          <w:noProof/>
          <w:szCs w:val="19"/>
          <w:lang w:val="en-GB"/>
        </w:rPr>
        <w:t>in</w:t>
      </w:r>
      <w:r w:rsidR="00B823E4">
        <w:rPr>
          <w:noProof/>
          <w:szCs w:val="19"/>
          <w:lang w:val="en-GB"/>
        </w:rPr>
        <w:t> </w:t>
      </w:r>
      <w:r w:rsidR="00AA6DFC">
        <w:rPr>
          <w:noProof/>
          <w:szCs w:val="19"/>
          <w:lang w:val="en-GB"/>
        </w:rPr>
        <w:t>3</w:t>
      </w:r>
      <w:r w:rsidR="004344CF">
        <w:rPr>
          <w:noProof/>
          <w:szCs w:val="19"/>
          <w:lang w:val="en-GB"/>
        </w:rPr>
        <w:t> </w:t>
      </w:r>
      <w:r w:rsidR="00BB33B9" w:rsidRPr="00223D02">
        <w:rPr>
          <w:noProof/>
          <w:szCs w:val="19"/>
          <w:lang w:val="en-GB"/>
        </w:rPr>
        <w:t>divisions</w:t>
      </w:r>
      <w:r w:rsidR="00C36999">
        <w:rPr>
          <w:noProof/>
          <w:szCs w:val="19"/>
          <w:lang w:val="en-GB"/>
        </w:rPr>
        <w:t>,</w:t>
      </w:r>
      <w:r w:rsidR="00A07329">
        <w:rPr>
          <w:noProof/>
          <w:szCs w:val="19"/>
          <w:lang w:val="en-GB"/>
        </w:rPr>
        <w:t xml:space="preserve"> </w:t>
      </w:r>
      <w:r w:rsidR="00AA6DFC">
        <w:rPr>
          <w:noProof/>
          <w:szCs w:val="19"/>
          <w:lang w:val="en-GB"/>
        </w:rPr>
        <w:t>including</w:t>
      </w:r>
      <w:r w:rsidR="00AA6DFC">
        <w:rPr>
          <w:noProof/>
          <w:spacing w:val="-2"/>
          <w:szCs w:val="19"/>
          <w:lang w:val="en-GB"/>
        </w:rPr>
        <w:t xml:space="preserve"> m</w:t>
      </w:r>
      <w:r w:rsidR="00AA6DFC" w:rsidRPr="00AA6DFC">
        <w:rPr>
          <w:noProof/>
          <w:spacing w:val="-2"/>
          <w:szCs w:val="19"/>
          <w:lang w:val="en-GB"/>
        </w:rPr>
        <w:t>anufacture of leather and related products</w:t>
      </w:r>
      <w:r w:rsidR="00AA6DFC">
        <w:rPr>
          <w:noProof/>
          <w:spacing w:val="-2"/>
          <w:szCs w:val="19"/>
          <w:lang w:val="en-GB"/>
        </w:rPr>
        <w:t xml:space="preserve"> – by 8.5%. </w:t>
      </w:r>
    </w:p>
    <w:p w14:paraId="7D7E1994" w14:textId="7103A5F7" w:rsidR="003627E7" w:rsidRDefault="003627E7" w:rsidP="00F536E7">
      <w:pPr>
        <w:suppressAutoHyphens/>
        <w:spacing w:before="0" w:after="0" w:line="160" w:lineRule="exact"/>
        <w:rPr>
          <w:noProof/>
          <w:szCs w:val="19"/>
          <w:lang w:val="en-GB"/>
        </w:rPr>
      </w:pPr>
    </w:p>
    <w:p w14:paraId="5855A0A2" w14:textId="47C73F30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38A6C9D9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66D43D5" w14:textId="76539FF1" w:rsidR="00AA6DFC" w:rsidRDefault="00A1107F" w:rsidP="006C4724">
      <w:pPr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75328" behindDoc="0" locked="0" layoutInCell="1" allowOverlap="1" wp14:anchorId="39E0EE0E" wp14:editId="6D2698B6">
            <wp:simplePos x="0" y="0"/>
            <wp:positionH relativeFrom="column">
              <wp:posOffset>-82550</wp:posOffset>
            </wp:positionH>
            <wp:positionV relativeFrom="paragraph">
              <wp:posOffset>317500</wp:posOffset>
            </wp:positionV>
            <wp:extent cx="4889500" cy="4041775"/>
            <wp:effectExtent l="0" t="0" r="635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4A503CB5" w14:textId="056106EF" w:rsidR="00284999" w:rsidRPr="00AA6DFC" w:rsidRDefault="00284999" w:rsidP="006C4724">
      <w:pPr>
        <w:spacing w:before="0" w:after="0"/>
        <w:rPr>
          <w:noProof/>
          <w:lang w:eastAsia="pl-PL"/>
        </w:rPr>
      </w:pPr>
    </w:p>
    <w:p w14:paraId="67D3E5FB" w14:textId="78E3BA5A" w:rsidR="00AA6DFC" w:rsidRDefault="005F27B3" w:rsidP="006C4724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AA6DFC">
        <w:rPr>
          <w:szCs w:val="19"/>
          <w:lang w:val="en-GB"/>
        </w:rPr>
        <w:t>October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0A7DBC">
        <w:rPr>
          <w:szCs w:val="19"/>
          <w:lang w:val="en-GB"/>
        </w:rPr>
        <w:t>n</w:t>
      </w:r>
      <w:r w:rsidR="005B67F3">
        <w:rPr>
          <w:szCs w:val="19"/>
          <w:lang w:val="en-GB"/>
        </w:rPr>
        <w:t xml:space="preserve">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AA6DFC">
        <w:rPr>
          <w:szCs w:val="19"/>
          <w:lang w:val="en-GB"/>
        </w:rPr>
        <w:t>November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AA6DFC">
        <w:rPr>
          <w:szCs w:val="19"/>
          <w:lang w:val="en-GB"/>
        </w:rPr>
        <w:t>22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1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8B1F26" w:rsidRPr="008B1F26">
        <w:rPr>
          <w:noProof/>
          <w:szCs w:val="19"/>
          <w:lang w:val="en-GB"/>
        </w:rPr>
        <w:t xml:space="preserve"> </w:t>
      </w:r>
      <w:bookmarkEnd w:id="1"/>
      <w:r w:rsidR="00F536E7">
        <w:rPr>
          <w:noProof/>
          <w:spacing w:val="-2"/>
          <w:szCs w:val="19"/>
          <w:lang w:val="en-GB"/>
        </w:rPr>
        <w:t>in</w:t>
      </w:r>
      <w:r w:rsidR="00AA6DFC" w:rsidRPr="00AA6DFC">
        <w:rPr>
          <w:noProof/>
          <w:spacing w:val="-2"/>
          <w:szCs w:val="19"/>
          <w:lang w:val="en-GB"/>
        </w:rPr>
        <w:t xml:space="preserve"> </w:t>
      </w:r>
      <w:r w:rsidR="00AA6DFC">
        <w:rPr>
          <w:noProof/>
          <w:spacing w:val="-2"/>
          <w:szCs w:val="19"/>
          <w:lang w:val="en-GB"/>
        </w:rPr>
        <w:t>m</w:t>
      </w:r>
      <w:r w:rsidR="00AA6DFC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AA6DFC">
        <w:rPr>
          <w:noProof/>
          <w:spacing w:val="-2"/>
          <w:szCs w:val="19"/>
          <w:lang w:val="en-GB"/>
        </w:rPr>
        <w:t xml:space="preserve"> – by 32.9%, m</w:t>
      </w:r>
      <w:r w:rsidR="00AA6DFC" w:rsidRPr="00AA6DFC">
        <w:rPr>
          <w:noProof/>
          <w:spacing w:val="-2"/>
          <w:szCs w:val="19"/>
          <w:lang w:val="en-GB"/>
        </w:rPr>
        <w:t>anufacture of other transport equipment</w:t>
      </w:r>
      <w:r w:rsidR="00B823E4">
        <w:rPr>
          <w:noProof/>
          <w:spacing w:val="-2"/>
          <w:szCs w:val="19"/>
          <w:lang w:val="en-GB"/>
        </w:rPr>
        <w:t xml:space="preserve"> </w:t>
      </w:r>
      <w:r w:rsidR="00F70B19">
        <w:rPr>
          <w:noProof/>
          <w:spacing w:val="-2"/>
          <w:szCs w:val="19"/>
          <w:lang w:val="en-GB"/>
        </w:rPr>
        <w:t>– by</w:t>
      </w:r>
      <w:r w:rsidR="00B823E4">
        <w:rPr>
          <w:noProof/>
          <w:spacing w:val="-2"/>
          <w:szCs w:val="19"/>
          <w:lang w:val="en-GB"/>
        </w:rPr>
        <w:t> </w:t>
      </w:r>
      <w:r w:rsidR="00F70B19">
        <w:rPr>
          <w:noProof/>
          <w:spacing w:val="-2"/>
          <w:szCs w:val="19"/>
          <w:lang w:val="en-GB"/>
        </w:rPr>
        <w:t>24.7%,</w:t>
      </w:r>
      <w:r w:rsidR="00F70B19" w:rsidRPr="00F70B19">
        <w:t xml:space="preserve"> </w:t>
      </w:r>
      <w:r w:rsidR="00F70B19">
        <w:t xml:space="preserve">in </w:t>
      </w:r>
      <w:r w:rsidR="00F70B19">
        <w:rPr>
          <w:noProof/>
          <w:spacing w:val="-2"/>
          <w:szCs w:val="19"/>
          <w:lang w:val="en-GB"/>
        </w:rPr>
        <w:t>r</w:t>
      </w:r>
      <w:r w:rsidR="00F70B19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F70B19">
        <w:rPr>
          <w:noProof/>
          <w:spacing w:val="-2"/>
          <w:szCs w:val="19"/>
          <w:lang w:val="en-GB"/>
        </w:rPr>
        <w:t xml:space="preserve"> – by 16.2%, in e</w:t>
      </w:r>
      <w:r w:rsidR="00F70B19" w:rsidRPr="00F70B19">
        <w:rPr>
          <w:noProof/>
          <w:spacing w:val="-2"/>
          <w:szCs w:val="19"/>
          <w:lang w:val="en-GB"/>
        </w:rPr>
        <w:t>lectricity, gas, steam and air conditioning supply</w:t>
      </w:r>
      <w:r w:rsidR="00F70B19">
        <w:rPr>
          <w:noProof/>
          <w:spacing w:val="-2"/>
          <w:szCs w:val="19"/>
          <w:lang w:val="en-GB"/>
        </w:rPr>
        <w:t xml:space="preserve"> – by 14.2%,</w:t>
      </w:r>
      <w:r w:rsidR="00F70B19" w:rsidRPr="00F70B19">
        <w:rPr>
          <w:noProof/>
          <w:spacing w:val="-2"/>
          <w:szCs w:val="19"/>
          <w:lang w:val="en-GB"/>
        </w:rPr>
        <w:t xml:space="preserve"> </w:t>
      </w:r>
      <w:r w:rsidR="00F70B19">
        <w:rPr>
          <w:noProof/>
          <w:spacing w:val="-2"/>
          <w:szCs w:val="19"/>
          <w:lang w:val="en-GB"/>
        </w:rPr>
        <w:t xml:space="preserve">in </w:t>
      </w:r>
      <w:r w:rsidR="00F70B19" w:rsidRPr="009D61BA">
        <w:rPr>
          <w:noProof/>
          <w:szCs w:val="19"/>
          <w:lang w:val="en-GB"/>
        </w:rPr>
        <w:t>manufacture of electrical equipment</w:t>
      </w:r>
      <w:r w:rsidR="00F70B19">
        <w:rPr>
          <w:noProof/>
          <w:szCs w:val="19"/>
          <w:lang w:val="en-GB"/>
        </w:rPr>
        <w:t xml:space="preserve"> </w:t>
      </w:r>
      <w:r w:rsidR="00F70B19">
        <w:rPr>
          <w:noProof/>
          <w:spacing w:val="-2"/>
          <w:szCs w:val="19"/>
          <w:lang w:val="en-GB"/>
        </w:rPr>
        <w:t>– by</w:t>
      </w:r>
      <w:r w:rsidR="00B823E4">
        <w:rPr>
          <w:noProof/>
          <w:spacing w:val="-2"/>
          <w:szCs w:val="19"/>
          <w:lang w:val="en-GB"/>
        </w:rPr>
        <w:t> </w:t>
      </w:r>
      <w:r w:rsidR="00F70B19">
        <w:rPr>
          <w:noProof/>
          <w:spacing w:val="-2"/>
          <w:szCs w:val="19"/>
          <w:lang w:val="en-GB"/>
        </w:rPr>
        <w:t>10.1%,</w:t>
      </w:r>
      <w:r w:rsidR="00F70B19" w:rsidRPr="00F70B19">
        <w:rPr>
          <w:noProof/>
          <w:spacing w:val="-2"/>
          <w:szCs w:val="19"/>
          <w:lang w:val="en-GB"/>
        </w:rPr>
        <w:t xml:space="preserve"> </w:t>
      </w:r>
      <w:r w:rsidR="00F70B19">
        <w:rPr>
          <w:noProof/>
          <w:spacing w:val="-2"/>
          <w:szCs w:val="19"/>
          <w:lang w:val="en-GB"/>
        </w:rPr>
        <w:t>m</w:t>
      </w:r>
      <w:r w:rsidR="00F70B19" w:rsidRPr="00A01D3B">
        <w:rPr>
          <w:noProof/>
          <w:spacing w:val="-2"/>
          <w:szCs w:val="19"/>
          <w:lang w:val="en-GB"/>
        </w:rPr>
        <w:t>anufacture of beverages</w:t>
      </w:r>
      <w:r w:rsidR="00F70B19">
        <w:rPr>
          <w:noProof/>
          <w:spacing w:val="-2"/>
          <w:szCs w:val="19"/>
          <w:lang w:val="en-GB"/>
        </w:rPr>
        <w:t xml:space="preserve"> – by 9.4%.</w:t>
      </w:r>
    </w:p>
    <w:p w14:paraId="3AFAFDE5" w14:textId="2F7B6B96" w:rsidR="00AA6DFC" w:rsidRPr="008B1F26" w:rsidRDefault="00256334" w:rsidP="00F70B19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5B67F3">
        <w:rPr>
          <w:noProof/>
          <w:szCs w:val="19"/>
          <w:lang w:val="en-GB"/>
        </w:rPr>
        <w:t xml:space="preserve">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F70B19">
        <w:rPr>
          <w:noProof/>
          <w:szCs w:val="19"/>
          <w:lang w:val="en-GB"/>
        </w:rPr>
        <w:t xml:space="preserve">October </w:t>
      </w:r>
      <w:r w:rsidR="00CD0395">
        <w:rPr>
          <w:noProof/>
          <w:szCs w:val="19"/>
          <w:lang w:val="en-GB"/>
        </w:rPr>
        <w:t>2021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8B1F26">
        <w:rPr>
          <w:noProof/>
          <w:szCs w:val="19"/>
          <w:lang w:val="en-GB"/>
        </w:rPr>
        <w:t>1</w:t>
      </w:r>
      <w:r w:rsidR="00F70B19">
        <w:rPr>
          <w:noProof/>
          <w:szCs w:val="19"/>
          <w:lang w:val="en-GB"/>
        </w:rPr>
        <w:t>1</w:t>
      </w:r>
      <w:r w:rsidR="00291812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6A07BB" w:rsidRPr="00D22ECE">
        <w:rPr>
          <w:noProof/>
          <w:spacing w:val="-2"/>
          <w:szCs w:val="19"/>
          <w:lang w:val="en-GB"/>
        </w:rPr>
        <w:t>among others,</w:t>
      </w:r>
      <w:r w:rsidR="0051196A" w:rsidRPr="0051196A">
        <w:t xml:space="preserve"> </w:t>
      </w:r>
      <w:r w:rsidR="00F70B19">
        <w:t xml:space="preserve">in </w:t>
      </w:r>
      <w:r w:rsidR="00F70B19">
        <w:rPr>
          <w:noProof/>
          <w:spacing w:val="-2"/>
          <w:szCs w:val="19"/>
          <w:lang w:val="en-GB"/>
        </w:rPr>
        <w:t>m</w:t>
      </w:r>
      <w:r w:rsidR="00F70B19" w:rsidRPr="0065283F">
        <w:rPr>
          <w:noProof/>
          <w:spacing w:val="-2"/>
          <w:szCs w:val="19"/>
          <w:lang w:val="en-GB"/>
        </w:rPr>
        <w:t xml:space="preserve">anufacture of </w:t>
      </w:r>
      <w:r w:rsidR="00F70B19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F70B19">
        <w:rPr>
          <w:noProof/>
          <w:spacing w:val="-2"/>
          <w:szCs w:val="19"/>
          <w:lang w:val="en-GB"/>
        </w:rPr>
        <w:t xml:space="preserve">– by 8.7%, </w:t>
      </w:r>
      <w:r w:rsidR="005C5946">
        <w:rPr>
          <w:noProof/>
          <w:spacing w:val="-2"/>
          <w:szCs w:val="19"/>
          <w:lang w:val="en-GB"/>
        </w:rPr>
        <w:t xml:space="preserve">in </w:t>
      </w:r>
      <w:r w:rsidR="00F70B19">
        <w:rPr>
          <w:noProof/>
          <w:spacing w:val="-2"/>
          <w:szCs w:val="19"/>
          <w:lang w:val="en-GB"/>
        </w:rPr>
        <w:t>w</w:t>
      </w:r>
      <w:r w:rsidR="00F70B19" w:rsidRPr="00F70B19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F70B19">
        <w:rPr>
          <w:noProof/>
          <w:spacing w:val="-2"/>
          <w:szCs w:val="19"/>
          <w:lang w:val="en-GB"/>
        </w:rPr>
        <w:t xml:space="preserve"> – by 3.2%,</w:t>
      </w:r>
      <w:r w:rsidR="00F70B19">
        <w:t xml:space="preserve"> </w:t>
      </w:r>
      <w:r w:rsidR="005C5946">
        <w:t>in</w:t>
      </w:r>
      <w:r w:rsidR="00B823E4">
        <w:t> </w:t>
      </w:r>
      <w:r w:rsidR="008B1F26">
        <w:rPr>
          <w:noProof/>
          <w:spacing w:val="-2"/>
          <w:szCs w:val="19"/>
          <w:lang w:val="en-GB"/>
        </w:rPr>
        <w:t>m</w:t>
      </w:r>
      <w:r w:rsidR="008B1F26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8B1F26">
        <w:rPr>
          <w:noProof/>
          <w:spacing w:val="-2"/>
          <w:szCs w:val="19"/>
          <w:lang w:val="en-GB"/>
        </w:rPr>
        <w:t xml:space="preserve"> </w:t>
      </w:r>
      <w:r w:rsidR="008B1F26">
        <w:t>– by 2.</w:t>
      </w:r>
      <w:r w:rsidR="00F70B19">
        <w:t>4</w:t>
      </w:r>
      <w:r w:rsidR="008B1F26">
        <w:t>%</w:t>
      </w:r>
      <w:r w:rsidR="00F70B19">
        <w:t>.</w:t>
      </w:r>
    </w:p>
    <w:p w14:paraId="2C1D2381" w14:textId="3B4FFFAA" w:rsidR="00A01D3B" w:rsidRPr="00A01D3B" w:rsidRDefault="00A01D3B" w:rsidP="00A01D3B">
      <w:pPr>
        <w:spacing w:before="0" w:after="0"/>
      </w:pPr>
    </w:p>
    <w:p w14:paraId="1F5B1DF6" w14:textId="3C773F8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2B9A0BB9" w:rsidR="00E44A8F" w:rsidRPr="00680622" w:rsidRDefault="00B823E4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76352" behindDoc="0" locked="0" layoutInCell="1" allowOverlap="1" wp14:anchorId="45C4A3C4" wp14:editId="2BE7597B">
            <wp:simplePos x="0" y="0"/>
            <wp:positionH relativeFrom="column">
              <wp:posOffset>-67310</wp:posOffset>
            </wp:positionH>
            <wp:positionV relativeFrom="paragraph">
              <wp:posOffset>236220</wp:posOffset>
            </wp:positionV>
            <wp:extent cx="5279390" cy="4005580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400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7E31CC5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1848601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3527E2DD" w:rsidR="00E44A8F" w:rsidRDefault="00E44A8F" w:rsidP="00E01D2D">
      <w:pPr>
        <w:spacing w:before="0" w:after="0" w:line="240" w:lineRule="auto"/>
        <w:rPr>
          <w:szCs w:val="19"/>
        </w:rPr>
      </w:pPr>
    </w:p>
    <w:p w14:paraId="5636FA98" w14:textId="77777777" w:rsidR="00342001" w:rsidRDefault="00342001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ED86892" w:rsidR="00E44A8F" w:rsidRDefault="00E44A8F" w:rsidP="00E01D2D">
      <w:pPr>
        <w:spacing w:before="0" w:after="0" w:line="240" w:lineRule="auto"/>
        <w:rPr>
          <w:szCs w:val="19"/>
        </w:rPr>
      </w:pPr>
    </w:p>
    <w:p w14:paraId="4F30AC03" w14:textId="67258CF7" w:rsidR="0081077F" w:rsidRDefault="0081077F" w:rsidP="00E01D2D">
      <w:pPr>
        <w:spacing w:before="0" w:after="0" w:line="240" w:lineRule="auto"/>
        <w:rPr>
          <w:szCs w:val="19"/>
        </w:rPr>
      </w:pPr>
    </w:p>
    <w:p w14:paraId="269DD6F1" w14:textId="77777777" w:rsidR="0081077F" w:rsidRDefault="0081077F" w:rsidP="00E01D2D">
      <w:pPr>
        <w:spacing w:before="0" w:after="0" w:line="240" w:lineRule="auto"/>
        <w:rPr>
          <w:szCs w:val="19"/>
        </w:rPr>
      </w:pPr>
    </w:p>
    <w:p w14:paraId="7641E332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3CFDC73F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A92C78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8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A47E1CF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B823E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"https://stat.gov.pl/en/topics/other-studies/informations-on-socio-economic-situation/statistical-bulletin-no-102021,4,130.html"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70237B2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B823E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"https://stat.gov.pl/en/topics/other-studies/informations-on-socio-economic-situation/socio-economic-situation-of-the-country-in-october-2021,1,127.html"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D73BB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D73BBE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D73BB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  <w:bookmarkStart w:id="2" w:name="_GoBack"/>
                            <w:bookmarkEnd w:id="2"/>
                          </w:p>
                          <w:p w14:paraId="513D3D9E" w14:textId="77777777" w:rsidR="003E66BF" w:rsidRPr="00346B6D" w:rsidRDefault="00D73BBE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3E66BF" w:rsidRPr="005D60C9" w:rsidRDefault="00515F68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3E66BF" w:rsidRPr="005D60C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3E66BF" w:rsidRPr="00346B6D" w:rsidRDefault="00515F6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3E66BF" w:rsidRPr="00346B6D" w:rsidRDefault="00D73BB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3E66BF" w:rsidRPr="00346B6D" w:rsidRDefault="00D73BB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3E66BF" w:rsidRPr="00346B6D" w:rsidRDefault="00D73BB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3E66BF" w:rsidRPr="00346B6D" w:rsidRDefault="00D73BB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3E66BF" w:rsidRPr="00346B6D" w:rsidRDefault="00D73BB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3627E7" w:rsidRPr="007B4306" w:rsidRDefault="00D73BB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A47E1CF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B823E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"https://stat.gov.pl/en/topics/other-studies/informations-on-socio-economic-situation/statistical-bulletin-no-102021,4,130.html"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370237B2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B823E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"https://stat.gov.pl/en/topics/other-studies/informations-on-socio-economic-situation/socio-economic-situation-of-the-country-in-october-2021,1,127.html"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D73BBE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D73BBE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D73BBE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  <w:bookmarkStart w:id="3" w:name="_GoBack"/>
                      <w:bookmarkEnd w:id="3"/>
                    </w:p>
                    <w:p w14:paraId="513D3D9E" w14:textId="77777777" w:rsidR="003E66BF" w:rsidRPr="00346B6D" w:rsidRDefault="00D73BBE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3E66BF" w:rsidRPr="005D60C9" w:rsidRDefault="00515F68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="003E66BF" w:rsidRPr="005D60C9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3E66BF" w:rsidRPr="00346B6D" w:rsidRDefault="00515F68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3E66BF" w:rsidRPr="00346B6D" w:rsidRDefault="00D73BBE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3E66BF" w:rsidRPr="00346B6D" w:rsidRDefault="00D73BB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3E66BF" w:rsidRPr="00346B6D" w:rsidRDefault="00D73BB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3E66BF" w:rsidRPr="00346B6D" w:rsidRDefault="00D73BB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3E66BF" w:rsidRPr="00346B6D" w:rsidRDefault="00D73BB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3627E7" w:rsidRPr="007B4306" w:rsidRDefault="00D73BB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50800" w14:textId="77777777" w:rsidR="00D73BBE" w:rsidRDefault="00D73BBE" w:rsidP="000662E2">
      <w:pPr>
        <w:spacing w:after="0" w:line="240" w:lineRule="auto"/>
      </w:pPr>
      <w:r>
        <w:separator/>
      </w:r>
    </w:p>
  </w:endnote>
  <w:endnote w:type="continuationSeparator" w:id="0">
    <w:p w14:paraId="7255A0EA" w14:textId="77777777" w:rsidR="00D73BBE" w:rsidRDefault="00D73BB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1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1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A62AA" w14:textId="77777777" w:rsidR="00D73BBE" w:rsidRDefault="00D73BBE" w:rsidP="000662E2">
      <w:pPr>
        <w:spacing w:after="0" w:line="240" w:lineRule="auto"/>
      </w:pPr>
      <w:r>
        <w:separator/>
      </w:r>
    </w:p>
  </w:footnote>
  <w:footnote w:type="continuationSeparator" w:id="0">
    <w:p w14:paraId="79FC40DC" w14:textId="77777777" w:rsidR="00D73BBE" w:rsidRDefault="00D73BB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3925DBC8" w:rsidR="00112A4D" w:rsidRPr="00C97596" w:rsidRDefault="0016119C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5369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9273E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276A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5369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C5475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3925DBC8" w:rsidR="00112A4D" w:rsidRPr="00C97596" w:rsidRDefault="0016119C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5369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9273E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276A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5369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C5475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8pt;height:130.2pt;visibility:visible;mso-wrap-style:square" o:bullet="t">
        <v:imagedata r:id="rId1" o:title=""/>
      </v:shape>
    </w:pict>
  </w:numPicBullet>
  <w:numPicBullet w:numPicBulletId="1">
    <w:pict>
      <v:shape id="_x0000_i1031" type="#_x0000_t75" style="width:121.8pt;height:130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276AA"/>
    <w:rsid w:val="000306DD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B52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5D06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19C"/>
    <w:rsid w:val="00161220"/>
    <w:rsid w:val="0016150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4E70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22B3"/>
    <w:rsid w:val="00273D4F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4D83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881"/>
    <w:rsid w:val="00395913"/>
    <w:rsid w:val="00395F5C"/>
    <w:rsid w:val="00396002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0A9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67F3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0C9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7BB"/>
    <w:rsid w:val="006A0A6A"/>
    <w:rsid w:val="006A1938"/>
    <w:rsid w:val="006A19B6"/>
    <w:rsid w:val="006A37E8"/>
    <w:rsid w:val="006A6B61"/>
    <w:rsid w:val="006A6DB6"/>
    <w:rsid w:val="006B0E9E"/>
    <w:rsid w:val="006B1485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3DBF"/>
    <w:rsid w:val="00724458"/>
    <w:rsid w:val="00724FB4"/>
    <w:rsid w:val="007271B6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9A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4AFB"/>
    <w:rsid w:val="00964DC1"/>
    <w:rsid w:val="00965255"/>
    <w:rsid w:val="0096565D"/>
    <w:rsid w:val="00965BE1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41"/>
    <w:rsid w:val="009F6602"/>
    <w:rsid w:val="009F66F2"/>
    <w:rsid w:val="009F686F"/>
    <w:rsid w:val="00A00674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6DFC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3BB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2DF2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2DBD"/>
    <w:rsid w:val="00F037A4"/>
    <w:rsid w:val="00F03961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6D82"/>
    <w:rsid w:val="00F67582"/>
    <w:rsid w:val="00F67C2A"/>
    <w:rsid w:val="00F67D8F"/>
    <w:rsid w:val="00F708DF"/>
    <w:rsid w:val="00F70B19"/>
    <w:rsid w:val="00F7265B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/glossary/terms-used-in-official-statistics/700,term.html" TargetMode="External"/><Relationship Id="rId39" Type="http://schemas.openxmlformats.org/officeDocument/2006/relationships/hyperlink" Target="https://stat.gov.pl/en/metainformation/glossary/terms-used-in-official-statistics/356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s://stat.gov.pl/en/metainformation/glossary/terms-used-in-official-statistics/357,term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stat.gov.pl/en/metainformation/glossary/terms-used-in-official-statistics/131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s://stat.gov.pl/en/metainformation/glossary/terms-used-in-official-statistics/1313,term.html" TargetMode="External"/><Relationship Id="rId37" Type="http://schemas.openxmlformats.org/officeDocument/2006/relationships/hyperlink" Target="https://stat.gov.pl/en/metainformation/glossary/terms-used-in-official-statistics/700,term.html" TargetMode="External"/><Relationship Id="rId40" Type="http://schemas.openxmlformats.org/officeDocument/2006/relationships/hyperlink" Target="https://stat.gov.pl/en/metainformation/glossary/terms-used-in-official-statistics/1317,term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356,term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357,term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waid.stat.gov.pl/EN/SitePagesDBW/ProdukcjaPrzemyslowa.aspx" TargetMode="External"/><Relationship Id="rId27" Type="http://schemas.openxmlformats.org/officeDocument/2006/relationships/hyperlink" Target="https://stat.gov.pl/en/metainformation/glossary/terms-used-in-official-statistics/707,term.html" TargetMode="External"/><Relationship Id="rId30" Type="http://schemas.openxmlformats.org/officeDocument/2006/relationships/hyperlink" Target="https://stat.gov.pl/en/metainformation/glossary/terms-used-in-official-statistics/1314,term.html" TargetMode="External"/><Relationship Id="rId35" Type="http://schemas.openxmlformats.org/officeDocument/2006/relationships/hyperlink" Target="http://stat.gov.pl/en/poland-macroeconomic-indicators/" TargetMode="External"/><Relationship Id="rId43" Type="http://schemas.openxmlformats.org/officeDocument/2006/relationships/hyperlink" Target="https://stat.gov.pl/en/metainformation/glossary/terms-used-in-official-statistics/131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waid.stat.gov.pl/EN/SitePagesDBW/ProdukcjaPrzemyslowa.aspx" TargetMode="External"/><Relationship Id="rId38" Type="http://schemas.openxmlformats.org/officeDocument/2006/relationships/hyperlink" Target="https://stat.gov.pl/en/metainformation/glossary/terms-used-in-official-statistics/707,term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1314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94F10-3A25-4B67-986A-2D3A0105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2021-12-17T08:20:00Z</dcterms:created>
  <dcterms:modified xsi:type="dcterms:W3CDTF">2021-12-20T08:19:00Z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