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5EE2" w14:textId="77777777"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723947B" wp14:editId="1B03EF14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E2BBF" w14:textId="77777777" w:rsidR="00FB5D78" w:rsidRPr="00F75CFF" w:rsidRDefault="00F3044E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7F425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A2277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7F425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7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94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14:paraId="04EE2BBF" w14:textId="77777777" w:rsidR="00FB5D78" w:rsidRPr="00F75CFF" w:rsidRDefault="00F3044E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7F425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A2277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7F425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7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D21103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June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</w:t>
      </w:r>
      <w:bookmarkStart w:id="0" w:name="_GoBack"/>
      <w:bookmarkEnd w:id="0"/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2</w:t>
      </w:r>
      <w:r w:rsidR="00936940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14:paraId="7E75E8E0" w14:textId="77777777"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14:paraId="0C73E558" w14:textId="77777777" w:rsidR="008D059F" w:rsidRPr="000F45BD" w:rsidRDefault="001F31E6" w:rsidP="00AF0E4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00F7952E" wp14:editId="3522C10E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85975" cy="1409700"/>
                <wp:effectExtent l="0" t="0" r="9525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E6B6" w14:textId="77777777" w:rsidR="00133140" w:rsidRPr="000F45BD" w:rsidRDefault="00133140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2E68F2" w:rsidRPr="002E68F2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76888A3" wp14:editId="104EB068">
                                  <wp:extent cx="323850" cy="361950"/>
                                  <wp:effectExtent l="0" t="0" r="0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60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CC315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3434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2E68F2" w:rsidRPr="002E68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434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E68F2" w:rsidRPr="002E68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  <w:t>a</w:t>
                            </w:r>
                            <w:r w:rsidR="003D7F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D7F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3364D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June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952E" id="_x0000_s1027" type="#_x0000_t202" style="position:absolute;margin-left:0;margin-top:6.35pt;width:164.25pt;height:111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" fillcolor="#001d77" stroked="f">
                <v:textbox>
                  <w:txbxContent>
                    <w:p w14:paraId="6709E6B6" w14:textId="77777777" w:rsidR="00133140" w:rsidRPr="000F45BD" w:rsidRDefault="00133140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2E68F2" w:rsidRPr="002E68F2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76888A3" wp14:editId="104EB068">
                            <wp:extent cx="323850" cy="361950"/>
                            <wp:effectExtent l="0" t="0" r="0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60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CC315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3434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2E68F2" w:rsidRPr="002E68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434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E68F2" w:rsidRPr="002E68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  <w:t>a</w:t>
                      </w:r>
                      <w:r w:rsidR="003D7F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D7F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3364D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June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0E0503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371BC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266AE3">
        <w:rPr>
          <w:rFonts w:ascii="Fira Sans" w:hAnsi="Fira Sans"/>
          <w:b/>
          <w:sz w:val="19"/>
          <w:szCs w:val="20"/>
          <w:lang w:val="en-US" w:eastAsia="pl-PL"/>
        </w:rPr>
        <w:t>June</w:t>
      </w:r>
      <w:r w:rsidR="000E0503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E74453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A371BC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C0CF4">
        <w:rPr>
          <w:rFonts w:ascii="Fira Sans" w:hAnsi="Fira Sans"/>
          <w:b/>
          <w:sz w:val="19"/>
          <w:szCs w:val="20"/>
          <w:lang w:val="en-US" w:eastAsia="pl-PL"/>
        </w:rPr>
        <w:t xml:space="preserve"> both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42218A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266AE3">
        <w:rPr>
          <w:rFonts w:ascii="Fira Sans" w:hAnsi="Fira Sans"/>
          <w:b/>
          <w:sz w:val="19"/>
          <w:szCs w:val="20"/>
          <w:lang w:val="en-US" w:eastAsia="pl-PL"/>
        </w:rPr>
        <w:t>5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0E0503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compared to </w:t>
      </w:r>
      <w:r w:rsidR="00DB345B">
        <w:rPr>
          <w:rFonts w:ascii="Fira Sans" w:hAnsi="Fira Sans"/>
          <w:b/>
          <w:sz w:val="19"/>
          <w:szCs w:val="20"/>
          <w:lang w:val="en-US" w:eastAsia="pl-PL"/>
        </w:rPr>
        <w:t xml:space="preserve">the 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 xml:space="preserve">corresponding month of last year (by </w:t>
      </w:r>
      <w:r w:rsidR="00CC3151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42218A">
        <w:rPr>
          <w:rFonts w:ascii="Fira Sans" w:hAnsi="Fira Sans"/>
          <w:b/>
          <w:sz w:val="19"/>
          <w:szCs w:val="20"/>
          <w:lang w:val="en-US" w:eastAsia="pl-PL"/>
        </w:rPr>
        <w:t>6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42218A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4A3455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903515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14:paraId="55322022" w14:textId="77777777"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14:paraId="7F0796E8" w14:textId="77777777"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14:paraId="61354B53" w14:textId="77777777"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14:paraId="54979188" w14:textId="77777777" w:rsidR="002B1742" w:rsidRDefault="002B1742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14:paraId="55B6FB33" w14:textId="012F02C6"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CE4D83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>previous month</w:t>
      </w:r>
    </w:p>
    <w:p w14:paraId="67CFC9D6" w14:textId="77777777" w:rsidR="00BC4B00" w:rsidRDefault="00B53C69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11550A89" wp14:editId="0681DD96">
                <wp:simplePos x="0" y="0"/>
                <wp:positionH relativeFrom="column">
                  <wp:posOffset>5657850</wp:posOffset>
                </wp:positionH>
                <wp:positionV relativeFrom="paragraph">
                  <wp:posOffset>415925</wp:posOffset>
                </wp:positionV>
                <wp:extent cx="1133475" cy="1181100"/>
                <wp:effectExtent l="0" t="0" r="0" b="0"/>
                <wp:wrapTight wrapText="bothSides">
                  <wp:wrapPolygon edited="0">
                    <wp:start x="1089" y="0"/>
                    <wp:lineTo x="1089" y="21252"/>
                    <wp:lineTo x="20329" y="21252"/>
                    <wp:lineTo x="20329" y="0"/>
                    <wp:lineTo x="1089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7FCB" w14:textId="77777777" w:rsidR="009C699E" w:rsidRPr="00661C39" w:rsidRDefault="00DA23F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5E231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most</w:t>
                            </w:r>
                            <w:r w:rsidR="002F7A2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agricultural products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higher than</w:t>
                            </w:r>
                            <w:r w:rsidR="00D205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D7E8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 month ago</w:t>
                            </w:r>
                          </w:p>
                          <w:p w14:paraId="15AA6299" w14:textId="77777777"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0A89" id="_x0000_s1028" type="#_x0000_t202" style="position:absolute;left:0;text-align:left;margin-left:445.5pt;margin-top:32.75pt;width:89.25pt;height:93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" filled="f" stroked="f">
                <v:textbox>
                  <w:txbxContent>
                    <w:p w14:paraId="3FE37FCB" w14:textId="77777777" w:rsidR="009C699E" w:rsidRPr="00661C39" w:rsidRDefault="00DA23F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5E231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most</w:t>
                      </w:r>
                      <w:r w:rsidR="002F7A2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agricultural products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higher than</w:t>
                      </w:r>
                      <w:r w:rsidR="00D205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D7E8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 month ago</w:t>
                      </w:r>
                    </w:p>
                    <w:p w14:paraId="15AA6299" w14:textId="77777777"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B04AF">
        <w:rPr>
          <w:noProof/>
          <w:lang w:eastAsia="pl-PL"/>
        </w:rPr>
        <w:drawing>
          <wp:inline distT="0" distB="0" distL="0" distR="0" wp14:anchorId="3F1E7AFA" wp14:editId="0F60A2DA">
            <wp:extent cx="4936490" cy="2200275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09542EB6" wp14:editId="7D90A15A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2C9B1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2EB6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14:paraId="2B32C9B1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7F0FAE" w14:textId="77777777" w:rsidR="009F2576" w:rsidRDefault="009F2576" w:rsidP="00326D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0A894022" w14:textId="77777777" w:rsidR="00347B4E" w:rsidRPr="000F45BD" w:rsidRDefault="00347B4E" w:rsidP="001B5E70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 the corresponding month of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14:paraId="4E6E1B7D" w14:textId="77777777" w:rsidR="00BF2127" w:rsidRDefault="00360F99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308B0477" wp14:editId="60370BFD">
                <wp:simplePos x="0" y="0"/>
                <wp:positionH relativeFrom="column">
                  <wp:posOffset>5638165</wp:posOffset>
                </wp:positionH>
                <wp:positionV relativeFrom="paragraph">
                  <wp:posOffset>342900</wp:posOffset>
                </wp:positionV>
                <wp:extent cx="1247775" cy="1562100"/>
                <wp:effectExtent l="0" t="0" r="0" b="0"/>
                <wp:wrapTight wrapText="bothSides">
                  <wp:wrapPolygon edited="0">
                    <wp:start x="989" y="0"/>
                    <wp:lineTo x="989" y="21337"/>
                    <wp:lineTo x="20446" y="21337"/>
                    <wp:lineTo x="20446" y="0"/>
                    <wp:lineTo x="989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EBE4" w14:textId="77777777" w:rsidR="002E573B" w:rsidRPr="00661C39" w:rsidRDefault="00280C34" w:rsidP="002E573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of basic agricultural products</w:t>
                            </w:r>
                            <w:r w:rsidR="00360F9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except</w:t>
                            </w:r>
                            <w:r w:rsidR="007278F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60F9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pigs for slaughter</w:t>
                            </w:r>
                            <w:r w:rsidR="0091078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prices</w:t>
                            </w:r>
                            <w:r w:rsidR="00360F9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  <w:r w:rsidR="00360F9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2021 were higher 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than those recorded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B62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360F9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14:paraId="0FCE4DA4" w14:textId="77777777" w:rsidR="00BA56B8" w:rsidRPr="00661C39" w:rsidRDefault="00BA56B8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0477" id="_x0000_s1030" type="#_x0000_t202" style="position:absolute;margin-left:443.95pt;margin-top:27pt;width:98.25pt;height:123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" filled="f" stroked="f">
                <v:textbox>
                  <w:txbxContent>
                    <w:p w14:paraId="3088EBE4" w14:textId="77777777" w:rsidR="002E573B" w:rsidRPr="00661C39" w:rsidRDefault="00280C34" w:rsidP="002E573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of basic agricultural products</w:t>
                      </w:r>
                      <w:r w:rsidR="00360F9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except</w:t>
                      </w:r>
                      <w:r w:rsidR="007278F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60F9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pigs for slaughter</w:t>
                      </w:r>
                      <w:r w:rsidR="0091078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prices</w:t>
                      </w:r>
                      <w:r w:rsidR="00360F9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 </w:t>
                      </w:r>
                      <w:r w:rsidR="00360F9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2021 were higher 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than those recorded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B62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360F9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14:paraId="0FCE4DA4" w14:textId="77777777" w:rsidR="00BA56B8" w:rsidRPr="00661C39" w:rsidRDefault="00BA56B8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842AF">
        <w:rPr>
          <w:noProof/>
          <w:lang w:eastAsia="pl-PL"/>
        </w:rPr>
        <w:drawing>
          <wp:inline distT="0" distB="0" distL="0" distR="0" wp14:anchorId="3AD3E30B" wp14:editId="6DB9F9AE">
            <wp:extent cx="5117465" cy="1971675"/>
            <wp:effectExtent l="0" t="0" r="698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215AA8" w14:textId="77777777" w:rsidR="002A7C42" w:rsidRDefault="002A7C42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14:paraId="279FCD7A" w14:textId="77777777"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14:paraId="389A9145" w14:textId="77777777" w:rsidR="00285786" w:rsidRDefault="000B62E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0806A6">
        <w:rPr>
          <w:rFonts w:ascii="Fira Sans" w:hAnsi="Fira Sans"/>
          <w:sz w:val="19"/>
          <w:szCs w:val="18"/>
          <w:lang w:val="en-US"/>
        </w:rPr>
        <w:t>June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9D26C5" w:rsidRPr="00661C39">
        <w:rPr>
          <w:rFonts w:ascii="Fira Sans" w:hAnsi="Fira Sans"/>
          <w:sz w:val="19"/>
          <w:szCs w:val="18"/>
          <w:lang w:val="en-US"/>
        </w:rPr>
        <w:t>202</w:t>
      </w:r>
      <w:r w:rsidR="00A440C8">
        <w:rPr>
          <w:rFonts w:ascii="Fira Sans" w:hAnsi="Fira Sans"/>
          <w:sz w:val="19"/>
          <w:szCs w:val="18"/>
          <w:lang w:val="en-US"/>
        </w:rPr>
        <w:t>1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 prices </w:t>
      </w:r>
      <w:r w:rsidR="006D6788">
        <w:rPr>
          <w:rFonts w:ascii="Fira Sans" w:hAnsi="Fira Sans"/>
          <w:sz w:val="19"/>
          <w:szCs w:val="18"/>
          <w:lang w:val="en-US"/>
        </w:rPr>
        <w:t>of</w:t>
      </w:r>
      <w:r w:rsidR="00600454">
        <w:rPr>
          <w:rFonts w:ascii="Fira Sans" w:hAnsi="Fira Sans"/>
          <w:sz w:val="19"/>
          <w:szCs w:val="18"/>
          <w:lang w:val="en-US"/>
        </w:rPr>
        <w:t xml:space="preserve"> </w:t>
      </w:r>
      <w:r w:rsidR="005A2361">
        <w:rPr>
          <w:rFonts w:ascii="Fira Sans" w:hAnsi="Fira Sans"/>
          <w:sz w:val="19"/>
          <w:szCs w:val="18"/>
          <w:lang w:val="en-US"/>
        </w:rPr>
        <w:t>agricultural products</w:t>
      </w:r>
      <w:r w:rsidR="00B77EB8">
        <w:rPr>
          <w:rFonts w:ascii="Fira Sans" w:hAnsi="Fira Sans"/>
          <w:sz w:val="19"/>
          <w:szCs w:val="18"/>
          <w:lang w:val="en-US"/>
        </w:rPr>
        <w:t>,</w:t>
      </w:r>
      <w:r w:rsidR="00D336D1">
        <w:rPr>
          <w:rFonts w:ascii="Fira Sans" w:hAnsi="Fira Sans"/>
          <w:sz w:val="19"/>
          <w:szCs w:val="18"/>
          <w:lang w:val="en-US"/>
        </w:rPr>
        <w:t xml:space="preserve"> </w:t>
      </w:r>
      <w:r w:rsidR="00811010">
        <w:rPr>
          <w:rFonts w:ascii="Fira Sans" w:hAnsi="Fira Sans"/>
          <w:sz w:val="19"/>
          <w:szCs w:val="18"/>
          <w:lang w:val="en-US"/>
        </w:rPr>
        <w:t xml:space="preserve">except </w:t>
      </w:r>
      <w:r w:rsidR="003A3FB8">
        <w:rPr>
          <w:rFonts w:ascii="Fira Sans" w:hAnsi="Fira Sans"/>
          <w:sz w:val="19"/>
          <w:szCs w:val="18"/>
          <w:lang w:val="en-US"/>
        </w:rPr>
        <w:t>cows’</w:t>
      </w:r>
      <w:r w:rsidR="00A060D4">
        <w:rPr>
          <w:rFonts w:ascii="Fira Sans" w:hAnsi="Fira Sans"/>
          <w:sz w:val="19"/>
          <w:szCs w:val="18"/>
          <w:lang w:val="en-US"/>
        </w:rPr>
        <w:t xml:space="preserve"> </w:t>
      </w:r>
      <w:r w:rsidR="003A3FB8">
        <w:rPr>
          <w:rFonts w:ascii="Fira Sans" w:hAnsi="Fira Sans"/>
          <w:sz w:val="19"/>
          <w:szCs w:val="18"/>
          <w:lang w:val="en-US"/>
        </w:rPr>
        <w:t>milk</w:t>
      </w:r>
      <w:r w:rsidR="003712F3">
        <w:rPr>
          <w:rFonts w:ascii="Fira Sans" w:hAnsi="Fira Sans"/>
          <w:sz w:val="19"/>
          <w:szCs w:val="18"/>
          <w:lang w:val="en-US"/>
        </w:rPr>
        <w:t>,</w:t>
      </w:r>
      <w:r w:rsidR="009851D9">
        <w:rPr>
          <w:rFonts w:ascii="Fira Sans" w:hAnsi="Fira Sans"/>
          <w:sz w:val="19"/>
          <w:szCs w:val="18"/>
          <w:lang w:val="en-US"/>
        </w:rPr>
        <w:t xml:space="preserve"> were higher than in May 2021.</w:t>
      </w:r>
    </w:p>
    <w:p w14:paraId="1CC3D6A4" w14:textId="77777777" w:rsidR="006C7BA6" w:rsidRPr="00661C39" w:rsidRDefault="006C7BA6" w:rsidP="006C7BA6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lastRenderedPageBreak/>
        <w:t>The 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</w:t>
      </w:r>
      <w:r w:rsidR="00E32E22">
        <w:rPr>
          <w:rFonts w:ascii="Fira Sans" w:hAnsi="Fira Sans"/>
          <w:sz w:val="19"/>
          <w:szCs w:val="18"/>
          <w:lang w:val="en-US"/>
        </w:rPr>
        <w:t xml:space="preserve"> </w:t>
      </w:r>
      <w:r w:rsidR="00D75611">
        <w:rPr>
          <w:rFonts w:ascii="Fira Sans" w:hAnsi="Fira Sans"/>
          <w:sz w:val="19"/>
          <w:szCs w:val="18"/>
          <w:lang w:val="en-US"/>
        </w:rPr>
        <w:t>most agricultural products were also higher</w:t>
      </w:r>
      <w:r w:rsidR="00B90EAE">
        <w:rPr>
          <w:rFonts w:ascii="Fira Sans" w:hAnsi="Fira Sans"/>
          <w:sz w:val="19"/>
          <w:szCs w:val="18"/>
          <w:lang w:val="en-US"/>
        </w:rPr>
        <w:t xml:space="preserve"> in </w:t>
      </w:r>
      <w:r w:rsidR="00B76F27">
        <w:rPr>
          <w:rFonts w:ascii="Fira Sans" w:hAnsi="Fira Sans"/>
          <w:sz w:val="19"/>
          <w:szCs w:val="18"/>
          <w:lang w:val="en-US"/>
        </w:rPr>
        <w:t>June</w:t>
      </w:r>
      <w:r w:rsidR="00B90EAE">
        <w:rPr>
          <w:rFonts w:ascii="Fira Sans" w:hAnsi="Fira Sans"/>
          <w:sz w:val="19"/>
          <w:szCs w:val="18"/>
          <w:lang w:val="en-US"/>
        </w:rPr>
        <w:t xml:space="preserve"> 2021 </w:t>
      </w:r>
      <w:r w:rsidR="009E318A">
        <w:rPr>
          <w:rFonts w:ascii="Fira Sans" w:hAnsi="Fira Sans"/>
          <w:sz w:val="19"/>
          <w:szCs w:val="18"/>
          <w:lang w:val="en-US"/>
        </w:rPr>
        <w:t>in comparison with</w:t>
      </w:r>
      <w:r w:rsidR="00D75611">
        <w:rPr>
          <w:rFonts w:ascii="Fira Sans" w:hAnsi="Fira Sans"/>
          <w:sz w:val="19"/>
          <w:szCs w:val="18"/>
          <w:lang w:val="en-US"/>
        </w:rPr>
        <w:t xml:space="preserve"> the corresponding month of the last year. However</w:t>
      </w:r>
      <w:r w:rsidR="00070D24">
        <w:rPr>
          <w:rFonts w:ascii="Fira Sans" w:hAnsi="Fira Sans"/>
          <w:sz w:val="19"/>
          <w:szCs w:val="18"/>
          <w:lang w:val="en-US"/>
        </w:rPr>
        <w:t>,</w:t>
      </w:r>
      <w:r w:rsidR="00D75611">
        <w:rPr>
          <w:rFonts w:ascii="Fira Sans" w:hAnsi="Fira Sans"/>
          <w:sz w:val="19"/>
          <w:szCs w:val="18"/>
          <w:lang w:val="en-US"/>
        </w:rPr>
        <w:t xml:space="preserve"> </w:t>
      </w:r>
      <w:r w:rsidR="004E7B8E">
        <w:rPr>
          <w:rFonts w:ascii="Fira Sans" w:hAnsi="Fira Sans"/>
          <w:sz w:val="19"/>
          <w:szCs w:val="18"/>
          <w:lang w:val="en-US"/>
        </w:rPr>
        <w:t>oat</w:t>
      </w:r>
      <w:r w:rsidR="00AE2B13">
        <w:rPr>
          <w:rFonts w:ascii="Fira Sans" w:hAnsi="Fira Sans"/>
          <w:sz w:val="19"/>
          <w:szCs w:val="18"/>
          <w:lang w:val="en-US"/>
        </w:rPr>
        <w:t>s</w:t>
      </w:r>
      <w:r w:rsidR="00AE2718">
        <w:rPr>
          <w:rFonts w:ascii="Fira Sans" w:hAnsi="Fira Sans"/>
          <w:sz w:val="19"/>
          <w:szCs w:val="18"/>
          <w:lang w:val="en-US"/>
        </w:rPr>
        <w:t xml:space="preserve"> and </w:t>
      </w:r>
      <w:r w:rsidR="009D3D4D">
        <w:rPr>
          <w:rFonts w:ascii="Fira Sans" w:hAnsi="Fira Sans"/>
          <w:sz w:val="19"/>
          <w:szCs w:val="18"/>
          <w:lang w:val="en-US"/>
        </w:rPr>
        <w:t>pigs</w:t>
      </w:r>
      <w:r w:rsidR="007E1E8B">
        <w:rPr>
          <w:rFonts w:ascii="Fira Sans" w:hAnsi="Fira Sans"/>
          <w:sz w:val="19"/>
          <w:szCs w:val="18"/>
          <w:lang w:val="en-US"/>
        </w:rPr>
        <w:t xml:space="preserve"> for slaughter</w:t>
      </w:r>
      <w:r w:rsidR="00B70BA3">
        <w:rPr>
          <w:rFonts w:ascii="Fira Sans" w:hAnsi="Fira Sans"/>
          <w:sz w:val="19"/>
          <w:szCs w:val="18"/>
          <w:lang w:val="en-US"/>
        </w:rPr>
        <w:t xml:space="preserve"> </w:t>
      </w:r>
      <w:r w:rsidR="00A113BB">
        <w:rPr>
          <w:rFonts w:ascii="Fira Sans" w:hAnsi="Fira Sans"/>
          <w:sz w:val="19"/>
          <w:szCs w:val="18"/>
          <w:lang w:val="en-US"/>
        </w:rPr>
        <w:t>were cheaper than last year</w:t>
      </w:r>
      <w:r w:rsidR="00F161BA">
        <w:rPr>
          <w:rFonts w:ascii="Fira Sans" w:hAnsi="Fira Sans"/>
          <w:sz w:val="19"/>
          <w:szCs w:val="18"/>
          <w:lang w:val="en-US"/>
        </w:rPr>
        <w:t>.</w:t>
      </w:r>
    </w:p>
    <w:p w14:paraId="200E0B80" w14:textId="77777777" w:rsidR="00B125DF" w:rsidRPr="000F45BD" w:rsidRDefault="00B125DF" w:rsidP="001C1947">
      <w:pPr>
        <w:spacing w:before="24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</w:t>
      </w:r>
      <w:r w:rsidR="00920D9C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in </w:t>
      </w:r>
      <w:r w:rsidR="00C35AB8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June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480DC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</w:p>
    <w:tbl>
      <w:tblPr>
        <w:tblW w:w="783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639"/>
        <w:gridCol w:w="1134"/>
        <w:gridCol w:w="1134"/>
        <w:gridCol w:w="635"/>
        <w:gridCol w:w="1191"/>
        <w:gridCol w:w="1147"/>
        <w:gridCol w:w="44"/>
      </w:tblGrid>
      <w:tr w:rsidR="004656E0" w:rsidRPr="004656E0" w14:paraId="22976B03" w14:textId="77777777" w:rsidTr="00D217FB">
        <w:trPr>
          <w:gridAfter w:val="1"/>
          <w:wAfter w:w="44" w:type="dxa"/>
          <w:trHeight w:val="285"/>
        </w:trPr>
        <w:tc>
          <w:tcPr>
            <w:tcW w:w="1913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5DBF0A2" w14:textId="77777777"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0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1AB6D76" w14:textId="77777777"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893364F" w14:textId="77777777"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14:paraId="1B74A395" w14:textId="77777777" w:rsidTr="00D217FB">
        <w:trPr>
          <w:gridAfter w:val="1"/>
          <w:wAfter w:w="44" w:type="dxa"/>
          <w:trHeight w:val="2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5F124AA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1847AE" w14:textId="77777777" w:rsidR="004656E0" w:rsidRPr="004656E0" w:rsidRDefault="00D7696A" w:rsidP="00E22C9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E22C9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182A159" w14:textId="77777777" w:rsidR="004656E0" w:rsidRPr="004656E0" w:rsidRDefault="00D7696A" w:rsidP="00E22C9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E22C9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</w:t>
            </w:r>
            <w:r w:rsidR="00E3421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D83CF3" w:rsidRPr="004656E0" w14:paraId="7E61E6F8" w14:textId="77777777" w:rsidTr="00D217FB">
        <w:trPr>
          <w:trHeight w:val="5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4B45335" w14:textId="77777777" w:rsidR="00D83CF3" w:rsidRPr="004656E0" w:rsidRDefault="00D83CF3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4E90E6A" w14:textId="77777777" w:rsidR="00D83CF3" w:rsidRPr="004656E0" w:rsidRDefault="00D83CF3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DAE382" w14:textId="77777777" w:rsidR="00D83CF3" w:rsidRPr="004656E0" w:rsidRDefault="00D83CF3" w:rsidP="00E22C9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E22C9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0756B464" w14:textId="77777777" w:rsidR="00D83CF3" w:rsidRPr="004656E0" w:rsidRDefault="00D83CF3" w:rsidP="00E22C9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E22C9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635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45322B7" w14:textId="77777777" w:rsidR="00D83CF3" w:rsidRPr="004656E0" w:rsidRDefault="00D83CF3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91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4679DC6" w14:textId="77777777" w:rsidR="00D83CF3" w:rsidRPr="004656E0" w:rsidRDefault="00D83CF3" w:rsidP="00E22C9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E22C9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7FDC" w14:textId="77777777" w:rsidR="00D83CF3" w:rsidRPr="004656E0" w:rsidRDefault="00D83CF3" w:rsidP="00E22C9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E22C9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656E0" w:rsidRPr="004656E0" w14:paraId="38599092" w14:textId="77777777" w:rsidTr="00D217FB">
        <w:trPr>
          <w:trHeight w:val="285"/>
        </w:trPr>
        <w:tc>
          <w:tcPr>
            <w:tcW w:w="1913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C650" w14:textId="77777777"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3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C529540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73475D7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12999EC9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5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2A6D4B27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3DE8F19B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AA5E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04FC2" w:rsidRPr="004656E0" w14:paraId="1EC0B294" w14:textId="77777777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C0242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BF9A48" w14:textId="77777777" w:rsidR="00C04FC2" w:rsidRPr="007C5F30" w:rsidRDefault="00C04FC2" w:rsidP="00C04FC2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38EA31B" w14:textId="77777777" w:rsidR="00C04FC2" w:rsidRPr="00AC65E1" w:rsidRDefault="00C04FC2" w:rsidP="00C04FC2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21432AE" w14:textId="77777777" w:rsidR="00C04FC2" w:rsidRPr="00E602AF" w:rsidRDefault="00C04FC2" w:rsidP="00C04FC2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BE8F7F4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7D3511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99687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77C02971" w14:textId="77777777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18FA311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6FB211" w14:textId="77777777" w:rsidR="00C04FC2" w:rsidRPr="007C5F30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0F2FC8" w14:textId="77777777" w:rsidR="00C04FC2" w:rsidRPr="00AC65E1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7A9044B" w14:textId="77777777" w:rsidR="00C04FC2" w:rsidRPr="003559E2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1675CF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B24164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3838633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76F1B994" w14:textId="77777777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2C8DE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E0A704" w14:textId="77777777" w:rsidR="00C04FC2" w:rsidRPr="007C5F30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8743166" w14:textId="77777777" w:rsidR="00C04FC2" w:rsidRPr="0009764F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C97F3F1" w14:textId="77777777" w:rsidR="00C04FC2" w:rsidRPr="00192A02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762EE1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F14EC5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7BE07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61AF6300" w14:textId="77777777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26954F5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ED0DF4" w14:textId="77777777" w:rsidR="00C04FC2" w:rsidRPr="007C5F30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A3D000A" w14:textId="77777777" w:rsidR="00C04FC2" w:rsidRPr="00F41CC6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1375486" w14:textId="77777777" w:rsidR="00C04FC2" w:rsidRPr="00B55D95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2B29129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77D518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6D5A8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0963C31F" w14:textId="77777777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075D018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2BCDB12" w14:textId="77777777" w:rsidR="00C04FC2" w:rsidRPr="007C5F30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22D1DC8" w14:textId="77777777" w:rsidR="00C04FC2" w:rsidRPr="006D05C7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7DC25C6" w14:textId="77777777" w:rsidR="00C04FC2" w:rsidRPr="00223D14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3A1E589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4EFA9FD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91412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6620C736" w14:textId="77777777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34121CD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BA8F64" w14:textId="77777777" w:rsidR="00C04FC2" w:rsidRPr="007C5F30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1BA19C" w14:textId="77777777" w:rsidR="00C04FC2" w:rsidRPr="009D4654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138C94" w14:textId="77777777" w:rsidR="00C04FC2" w:rsidRPr="00B33CF9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04D85E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4ED5662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017A4F9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7F6E3B87" w14:textId="77777777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2874BE5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774B88" w14:textId="77777777" w:rsidR="00C04FC2" w:rsidRPr="007C5F30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A999B36" w14:textId="77777777" w:rsidR="00C04FC2" w:rsidRPr="00D12B1C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E45BBB" w14:textId="77777777" w:rsidR="00C04FC2" w:rsidRPr="00AF12A2" w:rsidRDefault="00C04FC2" w:rsidP="00C04F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09FEB1A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20B19F0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EEEEFB2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661C39" w14:paraId="4FD157BB" w14:textId="77777777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EAF44" w14:textId="77777777" w:rsidR="00C04FC2" w:rsidRPr="000F45BD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C69C0B" w14:textId="77777777" w:rsidR="00C04FC2" w:rsidRPr="007C5F30" w:rsidRDefault="00C04FC2" w:rsidP="00C04FC2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5D31C1" w14:textId="77777777" w:rsidR="00C04FC2" w:rsidRPr="00C92A85" w:rsidRDefault="00C04FC2" w:rsidP="00C04FC2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94A9833" w14:textId="77777777" w:rsidR="00C04FC2" w:rsidRPr="00C92A85" w:rsidRDefault="00C04FC2" w:rsidP="00C04FC2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DBDA342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F2D06CC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AA890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05B468E8" w14:textId="77777777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F7C59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BF22CE3" w14:textId="77777777" w:rsidR="00C04FC2" w:rsidRPr="007C5F30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B0D00B" w14:textId="77777777" w:rsidR="00C04FC2" w:rsidRPr="0089790F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E29E5BB" w14:textId="77777777" w:rsidR="00C04FC2" w:rsidRPr="00FE0EFB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5EDF18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A18358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138A8E6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38B7A580" w14:textId="77777777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94E97" w14:textId="77777777" w:rsidR="00C04FC2" w:rsidRPr="004656E0" w:rsidRDefault="00C04FC2" w:rsidP="00C04FC2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CB8ED8B" w14:textId="77777777" w:rsidR="00C04FC2" w:rsidRPr="00925815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25815">
              <w:rPr>
                <w:rFonts w:ascii="Fira Sans" w:hAnsi="Fira Sans" w:cs="Arial"/>
                <w:sz w:val="16"/>
                <w:szCs w:val="16"/>
              </w:rPr>
              <w:t>7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 w:rsidRPr="00925815">
              <w:rPr>
                <w:rFonts w:ascii="Fira Sans" w:hAnsi="Fira Sans" w:cs="Arial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7DBC8B" w14:textId="77777777" w:rsidR="00C04FC2" w:rsidRPr="00925815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25815">
              <w:rPr>
                <w:rFonts w:ascii="Fira Sans" w:hAnsi="Fira Sans" w:cs="Arial"/>
                <w:sz w:val="16"/>
                <w:szCs w:val="16"/>
              </w:rPr>
              <w:t>103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 w:rsidRPr="00925815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BB7128A" w14:textId="77777777" w:rsidR="00C04FC2" w:rsidRPr="00925815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25815">
              <w:rPr>
                <w:rFonts w:ascii="Fira Sans" w:hAnsi="Fira Sans" w:cs="Arial"/>
                <w:sz w:val="16"/>
                <w:szCs w:val="16"/>
              </w:rPr>
              <w:t>119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 w:rsidRPr="00925815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4EFD4C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57F2D3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B548D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4F5CBC9B" w14:textId="77777777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4F823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C05258" w14:textId="77777777" w:rsidR="00C04FC2" w:rsidRPr="007C5F30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323EF14" w14:textId="77777777" w:rsidR="00C04FC2" w:rsidRPr="000A33A8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497CEDE" w14:textId="77777777" w:rsidR="00C04FC2" w:rsidRPr="00537E7D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E81D78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BF8A7E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0CE07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3B789F74" w14:textId="77777777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3BC6CE3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AA0D7D" w14:textId="77777777" w:rsidR="00C04FC2" w:rsidRPr="00ED739A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D46A1F" w14:textId="77777777" w:rsidR="00C04FC2" w:rsidRPr="00ED739A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BF80ED0" w14:textId="77777777" w:rsidR="00C04FC2" w:rsidRPr="00ED739A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5D1C74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D194E48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EDCE637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C04FC2" w:rsidRPr="004656E0" w14:paraId="1DFE07AF" w14:textId="77777777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9E5F5" w14:textId="77777777" w:rsidR="00C04FC2" w:rsidRPr="004656E0" w:rsidRDefault="00C04FC2" w:rsidP="00C04FC2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47A00D" w14:textId="77777777" w:rsidR="00C04FC2" w:rsidRPr="003241D0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D3E778" w14:textId="77777777" w:rsidR="00C04FC2" w:rsidRPr="003241D0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863AAC7" w14:textId="77777777" w:rsidR="00C04FC2" w:rsidRPr="003241D0" w:rsidRDefault="00C04FC2" w:rsidP="00C04F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</w:t>
            </w:r>
            <w:r w:rsidR="003A7B6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29B7960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18C0CA0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D2B2D" w14:textId="77777777" w:rsidR="00C04FC2" w:rsidRPr="00BA24FC" w:rsidRDefault="00C04FC2" w:rsidP="00C04F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3579901A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139A12E2" w14:textId="77777777"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No data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;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due to the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 epidemiological situation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(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)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14:paraId="18D32EFD" w14:textId="77777777" w:rsidR="0034324D" w:rsidRPr="000F45BD" w:rsidRDefault="0034324D" w:rsidP="009D059F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14:paraId="78BE4CF0" w14:textId="77777777"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14:paraId="379A99C2" w14:textId="77777777" w:rsidR="00E703EA" w:rsidRDefault="00E703E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14:paraId="41098A02" w14:textId="77777777"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14:paraId="26004319" w14:textId="77777777" w:rsidR="008D0B81" w:rsidRDefault="008D0B8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E568CE">
        <w:rPr>
          <w:rFonts w:ascii="Fira Sans" w:hAnsi="Fira Sans"/>
          <w:sz w:val="19"/>
          <w:szCs w:val="18"/>
          <w:lang w:val="en-US"/>
        </w:rPr>
        <w:t>June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7B2211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EB2DA3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(</w:t>
      </w:r>
      <w:r w:rsidR="00ED65C0">
        <w:rPr>
          <w:rFonts w:ascii="Fira Sans" w:hAnsi="Fira Sans"/>
          <w:sz w:val="19"/>
          <w:szCs w:val="18"/>
          <w:lang w:val="en-US"/>
        </w:rPr>
        <w:t>9</w:t>
      </w:r>
      <w:r w:rsidR="00E568CE">
        <w:rPr>
          <w:rFonts w:ascii="Fira Sans" w:hAnsi="Fira Sans"/>
          <w:sz w:val="19"/>
          <w:szCs w:val="18"/>
          <w:lang w:val="en-US"/>
        </w:rPr>
        <w:t>7</w:t>
      </w:r>
      <w:r w:rsidR="00ED65C0">
        <w:rPr>
          <w:rFonts w:ascii="Fira Sans" w:hAnsi="Fira Sans"/>
          <w:sz w:val="19"/>
          <w:szCs w:val="18"/>
          <w:lang w:val="en-US"/>
        </w:rPr>
        <w:t>.</w:t>
      </w:r>
      <w:r w:rsidR="00E568CE">
        <w:rPr>
          <w:rFonts w:ascii="Fira Sans" w:hAnsi="Fira Sans"/>
          <w:sz w:val="19"/>
          <w:szCs w:val="18"/>
          <w:lang w:val="en-US"/>
        </w:rPr>
        <w:t>03</w:t>
      </w:r>
      <w:r>
        <w:rPr>
          <w:rFonts w:ascii="Fira Sans" w:hAnsi="Fira Sans"/>
          <w:sz w:val="19"/>
          <w:szCs w:val="18"/>
          <w:lang w:val="en-US"/>
        </w:rPr>
        <w:t xml:space="preserve"> PLN</w:t>
      </w:r>
      <w:r w:rsidR="00E44E82">
        <w:rPr>
          <w:rFonts w:ascii="Fira Sans" w:hAnsi="Fira Sans"/>
          <w:sz w:val="19"/>
          <w:szCs w:val="18"/>
          <w:lang w:val="en-US"/>
        </w:rPr>
        <w:t xml:space="preserve"> per </w:t>
      </w:r>
      <w:r>
        <w:rPr>
          <w:rFonts w:ascii="Fira Sans" w:hAnsi="Fira Sans"/>
          <w:sz w:val="19"/>
          <w:szCs w:val="18"/>
          <w:lang w:val="en-US"/>
        </w:rPr>
        <w:t>dt) were higher both in relation to the previous month</w:t>
      </w:r>
      <w:r w:rsidR="00F44F3A">
        <w:rPr>
          <w:rFonts w:ascii="Fira Sans" w:hAnsi="Fira Sans"/>
          <w:sz w:val="19"/>
          <w:szCs w:val="18"/>
          <w:lang w:val="en-US"/>
        </w:rPr>
        <w:t xml:space="preserve"> (by </w:t>
      </w:r>
      <w:r w:rsidR="00227075">
        <w:rPr>
          <w:rFonts w:ascii="Fira Sans" w:hAnsi="Fira Sans"/>
          <w:sz w:val="19"/>
          <w:szCs w:val="18"/>
          <w:lang w:val="en-US"/>
        </w:rPr>
        <w:t>1</w:t>
      </w:r>
      <w:r w:rsidR="00F44F3A">
        <w:rPr>
          <w:rFonts w:ascii="Fira Sans" w:hAnsi="Fira Sans"/>
          <w:sz w:val="19"/>
          <w:szCs w:val="18"/>
          <w:lang w:val="en-US"/>
        </w:rPr>
        <w:t>.</w:t>
      </w:r>
      <w:r w:rsidR="00E568CE">
        <w:rPr>
          <w:rFonts w:ascii="Fira Sans" w:hAnsi="Fira Sans"/>
          <w:sz w:val="19"/>
          <w:szCs w:val="18"/>
          <w:lang w:val="en-US"/>
        </w:rPr>
        <w:t>1</w:t>
      </w:r>
      <w:r w:rsidR="00F44F3A">
        <w:rPr>
          <w:rFonts w:ascii="Fira Sans" w:hAnsi="Fira Sans"/>
          <w:sz w:val="19"/>
          <w:szCs w:val="18"/>
          <w:lang w:val="en-US"/>
        </w:rPr>
        <w:t>%)</w:t>
      </w:r>
      <w:r>
        <w:rPr>
          <w:rFonts w:ascii="Fira Sans" w:hAnsi="Fira Sans"/>
          <w:sz w:val="19"/>
          <w:szCs w:val="18"/>
          <w:lang w:val="en-US"/>
        </w:rPr>
        <w:t xml:space="preserve"> and in</w:t>
      </w:r>
      <w:r w:rsidR="006508B3">
        <w:rPr>
          <w:rFonts w:ascii="Fira Sans" w:hAnsi="Fira Sans"/>
          <w:sz w:val="19"/>
          <w:szCs w:val="18"/>
          <w:lang w:val="en-US"/>
        </w:rPr>
        <w:t xml:space="preserve"> an </w:t>
      </w:r>
      <w:r>
        <w:rPr>
          <w:rFonts w:ascii="Fira Sans" w:hAnsi="Fira Sans"/>
          <w:sz w:val="19"/>
          <w:szCs w:val="18"/>
          <w:lang w:val="en-US"/>
        </w:rPr>
        <w:t xml:space="preserve">annual terms </w:t>
      </w:r>
      <w:r w:rsidR="00F44F3A">
        <w:rPr>
          <w:rFonts w:ascii="Fira Sans" w:hAnsi="Fira Sans"/>
          <w:sz w:val="19"/>
          <w:szCs w:val="18"/>
          <w:lang w:val="en-US"/>
        </w:rPr>
        <w:t>(</w:t>
      </w:r>
      <w:r>
        <w:rPr>
          <w:rFonts w:ascii="Fira Sans" w:hAnsi="Fira Sans"/>
          <w:sz w:val="19"/>
          <w:lang w:val="en-US"/>
        </w:rPr>
        <w:t xml:space="preserve">by </w:t>
      </w:r>
      <w:r w:rsidR="001B23DC">
        <w:rPr>
          <w:rFonts w:ascii="Fira Sans" w:hAnsi="Fira Sans"/>
          <w:sz w:val="19"/>
          <w:lang w:val="en-US"/>
        </w:rPr>
        <w:t>1</w:t>
      </w:r>
      <w:r w:rsidR="00E568CE">
        <w:rPr>
          <w:rFonts w:ascii="Fira Sans" w:hAnsi="Fira Sans"/>
          <w:sz w:val="19"/>
          <w:lang w:val="en-US"/>
        </w:rPr>
        <w:t>9</w:t>
      </w:r>
      <w:r>
        <w:rPr>
          <w:rFonts w:ascii="Fira Sans" w:hAnsi="Fira Sans"/>
          <w:sz w:val="19"/>
          <w:lang w:val="en-US"/>
        </w:rPr>
        <w:t>.</w:t>
      </w:r>
      <w:r w:rsidR="00E568CE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>%</w:t>
      </w:r>
      <w:r w:rsidR="00F44F3A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. </w:t>
      </w:r>
    </w:p>
    <w:p w14:paraId="731ADDC9" w14:textId="77777777" w:rsidR="00E97A14" w:rsidRDefault="00E97A1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For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5470C" w:rsidRPr="0025470C">
        <w:rPr>
          <w:rFonts w:ascii="Fira Sans" w:hAnsi="Fira Sans"/>
          <w:sz w:val="19"/>
          <w:szCs w:val="18"/>
          <w:lang w:val="en-US"/>
        </w:rPr>
        <w:t>in procurement</w:t>
      </w:r>
      <w:r w:rsidR="00214559">
        <w:rPr>
          <w:rFonts w:ascii="Fira Sans" w:hAnsi="Fira Sans"/>
          <w:sz w:val="19"/>
          <w:lang w:val="en-US"/>
        </w:rPr>
        <w:t xml:space="preserve"> </w:t>
      </w:r>
      <w:r w:rsidR="00214559" w:rsidRPr="00EF5CE1">
        <w:rPr>
          <w:rFonts w:ascii="Fira Sans" w:hAnsi="Fira Sans"/>
          <w:sz w:val="19"/>
          <w:lang w:val="en-US"/>
        </w:rPr>
        <w:t xml:space="preserve">was </w:t>
      </w:r>
      <w:r w:rsidR="002E0CA5" w:rsidRPr="00EF5CE1">
        <w:rPr>
          <w:rFonts w:ascii="Fira Sans" w:hAnsi="Fira Sans"/>
          <w:sz w:val="19"/>
          <w:lang w:val="en-US"/>
        </w:rPr>
        <w:t>paid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552466">
        <w:rPr>
          <w:rFonts w:ascii="Fira Sans" w:hAnsi="Fira Sans"/>
          <w:sz w:val="19"/>
          <w:lang w:val="en-US"/>
        </w:rPr>
        <w:t>81</w:t>
      </w:r>
      <w:r w:rsidR="002E0CA5">
        <w:rPr>
          <w:rFonts w:ascii="Fira Sans" w:hAnsi="Fira Sans"/>
          <w:sz w:val="19"/>
          <w:lang w:val="en-US"/>
        </w:rPr>
        <w:t>.</w:t>
      </w:r>
      <w:r w:rsidR="00552466">
        <w:rPr>
          <w:rFonts w:ascii="Fira Sans" w:hAnsi="Fira Sans"/>
          <w:sz w:val="19"/>
          <w:lang w:val="en-US"/>
        </w:rPr>
        <w:t>77</w:t>
      </w:r>
      <w:r w:rsidR="002E0CA5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2E0CA5">
        <w:rPr>
          <w:rFonts w:ascii="Fira Sans" w:hAnsi="Fira Sans"/>
          <w:sz w:val="19"/>
          <w:lang w:val="en-US"/>
        </w:rPr>
        <w:t xml:space="preserve">dt, i.e. by </w:t>
      </w:r>
      <w:r w:rsidR="00552466">
        <w:rPr>
          <w:rFonts w:ascii="Fira Sans" w:hAnsi="Fira Sans"/>
          <w:sz w:val="19"/>
          <w:lang w:val="en-US"/>
        </w:rPr>
        <w:t>5</w:t>
      </w:r>
      <w:r w:rsidR="002E0CA5">
        <w:rPr>
          <w:rFonts w:ascii="Fira Sans" w:hAnsi="Fira Sans"/>
          <w:sz w:val="19"/>
          <w:lang w:val="en-US"/>
        </w:rPr>
        <w:t>.</w:t>
      </w:r>
      <w:r w:rsidR="00552466">
        <w:rPr>
          <w:rFonts w:ascii="Fira Sans" w:hAnsi="Fira Sans"/>
          <w:sz w:val="19"/>
          <w:lang w:val="en-US"/>
        </w:rPr>
        <w:t>9</w:t>
      </w:r>
      <w:r w:rsidR="002E0CA5">
        <w:rPr>
          <w:rFonts w:ascii="Fira Sans" w:hAnsi="Fira Sans"/>
          <w:sz w:val="19"/>
          <w:lang w:val="en-US"/>
        </w:rPr>
        <w:t xml:space="preserve">% </w:t>
      </w:r>
      <w:r w:rsidR="000824AD">
        <w:rPr>
          <w:rFonts w:ascii="Fira Sans" w:hAnsi="Fira Sans"/>
          <w:sz w:val="19"/>
          <w:lang w:val="en-US"/>
        </w:rPr>
        <w:t>more</w:t>
      </w:r>
      <w:r w:rsidR="002E0CA5">
        <w:rPr>
          <w:rFonts w:ascii="Fira Sans" w:hAnsi="Fira Sans"/>
          <w:sz w:val="19"/>
          <w:lang w:val="en-US"/>
        </w:rPr>
        <w:t xml:space="preserve"> than in </w:t>
      </w:r>
      <w:r w:rsidR="00552466">
        <w:rPr>
          <w:rFonts w:ascii="Fira Sans" w:hAnsi="Fira Sans"/>
          <w:sz w:val="19"/>
          <w:lang w:val="en-US"/>
        </w:rPr>
        <w:t>May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>202</w:t>
      </w:r>
      <w:r w:rsidR="00267EB1">
        <w:rPr>
          <w:rFonts w:ascii="Fira Sans" w:hAnsi="Fira Sans"/>
          <w:sz w:val="19"/>
          <w:lang w:val="en-US"/>
        </w:rPr>
        <w:t>1</w:t>
      </w:r>
      <w:r w:rsidR="002E0CA5">
        <w:rPr>
          <w:rFonts w:ascii="Fira Sans" w:hAnsi="Fira Sans"/>
          <w:sz w:val="19"/>
          <w:lang w:val="en-US"/>
        </w:rPr>
        <w:t xml:space="preserve">, </w:t>
      </w:r>
      <w:r w:rsidR="000824AD">
        <w:rPr>
          <w:rFonts w:ascii="Fira Sans" w:hAnsi="Fira Sans"/>
          <w:sz w:val="19"/>
          <w:lang w:val="en-US"/>
        </w:rPr>
        <w:t>and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 xml:space="preserve">also </w:t>
      </w:r>
      <w:r w:rsidR="002E0CA5">
        <w:rPr>
          <w:rFonts w:ascii="Fira Sans" w:hAnsi="Fira Sans"/>
          <w:sz w:val="19"/>
          <w:lang w:val="en-US"/>
        </w:rPr>
        <w:t xml:space="preserve">by </w:t>
      </w:r>
      <w:r w:rsidR="00552466">
        <w:rPr>
          <w:rFonts w:ascii="Fira Sans" w:hAnsi="Fira Sans"/>
          <w:sz w:val="19"/>
          <w:lang w:val="en-US"/>
        </w:rPr>
        <w:t>33</w:t>
      </w:r>
      <w:r w:rsidR="00267EB1">
        <w:rPr>
          <w:rFonts w:ascii="Fira Sans" w:hAnsi="Fira Sans"/>
          <w:sz w:val="19"/>
          <w:lang w:val="en-US"/>
        </w:rPr>
        <w:t>.</w:t>
      </w:r>
      <w:r w:rsidR="00A91478">
        <w:rPr>
          <w:rFonts w:ascii="Fira Sans" w:hAnsi="Fira Sans"/>
          <w:sz w:val="19"/>
          <w:lang w:val="en-US"/>
        </w:rPr>
        <w:t>2</w:t>
      </w:r>
      <w:r w:rsidR="002E0CA5">
        <w:rPr>
          <w:rFonts w:ascii="Fira Sans" w:hAnsi="Fira Sans"/>
          <w:sz w:val="19"/>
          <w:lang w:val="en-US"/>
        </w:rPr>
        <w:t xml:space="preserve">% more </w:t>
      </w:r>
      <w:r w:rsidR="000824AD">
        <w:rPr>
          <w:rFonts w:ascii="Fira Sans" w:hAnsi="Fira Sans"/>
          <w:sz w:val="19"/>
          <w:lang w:val="en-US"/>
        </w:rPr>
        <w:t xml:space="preserve">than in </w:t>
      </w:r>
      <w:r w:rsidR="00552466">
        <w:rPr>
          <w:rFonts w:ascii="Fira Sans" w:hAnsi="Fira Sans"/>
          <w:sz w:val="19"/>
          <w:lang w:val="en-US"/>
        </w:rPr>
        <w:t>June</w:t>
      </w:r>
      <w:r w:rsidR="000824AD">
        <w:rPr>
          <w:rFonts w:ascii="Fira Sans" w:hAnsi="Fira Sans"/>
          <w:sz w:val="19"/>
          <w:lang w:val="en-US"/>
        </w:rPr>
        <w:t xml:space="preserve"> 20</w:t>
      </w:r>
      <w:r w:rsidR="00FF1E88">
        <w:rPr>
          <w:rFonts w:ascii="Fira Sans" w:hAnsi="Fira Sans"/>
          <w:sz w:val="19"/>
          <w:lang w:val="en-US"/>
        </w:rPr>
        <w:t>20</w:t>
      </w:r>
      <w:r w:rsidR="000824AD">
        <w:rPr>
          <w:rFonts w:ascii="Fira Sans" w:hAnsi="Fira Sans"/>
          <w:sz w:val="19"/>
          <w:lang w:val="en-US"/>
        </w:rPr>
        <w:t>.</w:t>
      </w:r>
    </w:p>
    <w:p w14:paraId="68BB61B3" w14:textId="77777777" w:rsidR="00635CF7" w:rsidRDefault="00AE62A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12AC7C81" wp14:editId="7E3110BD">
                <wp:simplePos x="0" y="0"/>
                <wp:positionH relativeFrom="column">
                  <wp:posOffset>5577840</wp:posOffset>
                </wp:positionH>
                <wp:positionV relativeFrom="paragraph">
                  <wp:posOffset>6985</wp:posOffset>
                </wp:positionV>
                <wp:extent cx="1339215" cy="1624330"/>
                <wp:effectExtent l="0" t="0" r="0" b="0"/>
                <wp:wrapTight wrapText="bothSides">
                  <wp:wrapPolygon edited="0">
                    <wp:start x="922" y="0"/>
                    <wp:lineTo x="922" y="21279"/>
                    <wp:lineTo x="20586" y="21279"/>
                    <wp:lineTo x="20586" y="0"/>
                    <wp:lineTo x="92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62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D7148" w14:textId="77777777" w:rsidR="00031A03" w:rsidRPr="00661C39" w:rsidRDefault="00031A03" w:rsidP="00031A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3611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both as related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3A40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to </w:t>
                            </w:r>
                            <w:r w:rsidR="00F3611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B4CB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8345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prices of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cereal grain</w:t>
                            </w:r>
                            <w:r w:rsidR="0027355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(except oat)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35A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as well as</w:t>
                            </w:r>
                            <w:r w:rsidR="00AB4CB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         of </w:t>
                            </w:r>
                            <w:r w:rsidR="00F3611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potatoes, </w:t>
                            </w:r>
                            <w:r w:rsidR="0013175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 w:rsidR="00F3611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cattle</w:t>
                            </w:r>
                            <w:r w:rsidR="00AE728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for slaughter</w:t>
                            </w:r>
                            <w:r w:rsidR="00F3611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="0013175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 w:rsidR="00F3611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poultry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increased</w:t>
                            </w:r>
                          </w:p>
                          <w:p w14:paraId="435FAA67" w14:textId="77777777"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7C81" id="_x0000_s1031" type="#_x0000_t202" style="position:absolute;margin-left:439.2pt;margin-top:.55pt;width:105.45pt;height:127.9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" filled="f" stroked="f">
                <v:textbox>
                  <w:txbxContent>
                    <w:p w14:paraId="2D2D7148" w14:textId="77777777" w:rsidR="00031A03" w:rsidRPr="00661C39" w:rsidRDefault="00031A03" w:rsidP="00031A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3611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both as related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3A40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previous month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to </w:t>
                      </w:r>
                      <w:r w:rsidR="00F3611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B4CB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8345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prices of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cereal grain</w:t>
                      </w:r>
                      <w:r w:rsidR="0027355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(except oat)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35A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as well as</w:t>
                      </w:r>
                      <w:r w:rsidR="00AB4CB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         of </w:t>
                      </w:r>
                      <w:r w:rsidR="00F3611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potatoes, </w:t>
                      </w:r>
                      <w:r w:rsidR="0013175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 w:rsidR="00F3611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cattle</w:t>
                      </w:r>
                      <w:r w:rsidR="00AE728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for slaughter</w:t>
                      </w:r>
                      <w:r w:rsidR="00F3611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</w:t>
                      </w:r>
                      <w:r w:rsidR="0013175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 w:rsidR="00F3611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poultry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increased</w:t>
                      </w:r>
                    </w:p>
                    <w:p w14:paraId="435FAA67" w14:textId="77777777"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76589">
        <w:rPr>
          <w:rFonts w:ascii="Fira Sans" w:hAnsi="Fira Sans"/>
          <w:sz w:val="19"/>
          <w:lang w:val="en-US"/>
        </w:rPr>
        <w:t xml:space="preserve">In </w:t>
      </w:r>
      <w:r w:rsidR="00E76611">
        <w:rPr>
          <w:rFonts w:ascii="Fira Sans" w:hAnsi="Fira Sans"/>
          <w:sz w:val="19"/>
          <w:lang w:val="en-US"/>
        </w:rPr>
        <w:t>June</w:t>
      </w:r>
      <w:r w:rsidR="00D76589">
        <w:rPr>
          <w:rFonts w:ascii="Fira Sans" w:hAnsi="Fira Sans"/>
          <w:sz w:val="19"/>
          <w:lang w:val="en-US"/>
        </w:rPr>
        <w:t xml:space="preserve"> 202</w:t>
      </w:r>
      <w:r w:rsidR="00631A4E">
        <w:rPr>
          <w:rFonts w:ascii="Fira Sans" w:hAnsi="Fira Sans"/>
          <w:sz w:val="19"/>
          <w:lang w:val="en-US"/>
        </w:rPr>
        <w:t>1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the </w:t>
      </w:r>
      <w:r w:rsidR="00D76589">
        <w:rPr>
          <w:rFonts w:ascii="Fira Sans" w:hAnsi="Fira Sans"/>
          <w:sz w:val="19"/>
          <w:lang w:val="en-US"/>
        </w:rPr>
        <w:t xml:space="preserve">price of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in procurement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amounted</w:t>
      </w:r>
      <w:r w:rsidR="00EE095C">
        <w:rPr>
          <w:rFonts w:ascii="Fira Sans" w:hAnsi="Fira Sans"/>
          <w:sz w:val="19"/>
          <w:lang w:val="en-US"/>
        </w:rPr>
        <w:t xml:space="preserve"> to </w:t>
      </w:r>
      <w:r w:rsidR="00F55C9E">
        <w:rPr>
          <w:rFonts w:ascii="Fira Sans" w:hAnsi="Fira Sans"/>
          <w:sz w:val="19"/>
          <w:lang w:val="en-US"/>
        </w:rPr>
        <w:t>on average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3D5E86">
        <w:rPr>
          <w:rFonts w:ascii="Fira Sans" w:hAnsi="Fira Sans"/>
          <w:sz w:val="19"/>
          <w:lang w:val="en-US"/>
        </w:rPr>
        <w:t>81</w:t>
      </w:r>
      <w:r w:rsidR="00A7781D">
        <w:rPr>
          <w:rFonts w:ascii="Fira Sans" w:hAnsi="Fira Sans"/>
          <w:sz w:val="19"/>
          <w:lang w:val="en-US"/>
        </w:rPr>
        <w:t>.</w:t>
      </w:r>
      <w:r w:rsidR="003D5E86">
        <w:rPr>
          <w:rFonts w:ascii="Fira Sans" w:hAnsi="Fira Sans"/>
          <w:sz w:val="19"/>
          <w:lang w:val="en-US"/>
        </w:rPr>
        <w:t>47</w:t>
      </w:r>
      <w:r w:rsidR="0051442B" w:rsidRPr="00661C39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dt</w:t>
      </w:r>
      <w:r w:rsidR="00C161B1">
        <w:rPr>
          <w:rFonts w:ascii="Fira Sans" w:hAnsi="Fira Sans"/>
          <w:sz w:val="19"/>
          <w:lang w:val="en-US"/>
        </w:rPr>
        <w:t xml:space="preserve"> and was </w:t>
      </w:r>
      <w:r w:rsidR="00EA7DAD">
        <w:rPr>
          <w:rFonts w:ascii="Fira Sans" w:hAnsi="Fira Sans"/>
          <w:sz w:val="19"/>
          <w:lang w:val="en-US"/>
        </w:rPr>
        <w:t xml:space="preserve">higher </w:t>
      </w:r>
      <w:r w:rsidR="003D5E86">
        <w:rPr>
          <w:rFonts w:ascii="Fira Sans" w:hAnsi="Fira Sans"/>
          <w:sz w:val="19"/>
          <w:lang w:val="en-US"/>
        </w:rPr>
        <w:t>both on a monthly basis – by 3.7% and in an annual terms – by 0.4%.</w:t>
      </w:r>
    </w:p>
    <w:p w14:paraId="77A00FA1" w14:textId="77777777" w:rsidR="003E47A5" w:rsidRPr="00A02323" w:rsidRDefault="00AD797D" w:rsidP="003E47A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 of </w:t>
      </w:r>
      <w:r>
        <w:rPr>
          <w:rFonts w:ascii="Fira Sans" w:hAnsi="Fira Sans"/>
          <w:b/>
          <w:sz w:val="19"/>
          <w:lang w:val="en-US"/>
        </w:rPr>
        <w:t>cattle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was</w:t>
      </w:r>
      <w:r w:rsidRPr="00661C39">
        <w:rPr>
          <w:rFonts w:ascii="Fira Sans" w:hAnsi="Fira Sans"/>
          <w:sz w:val="19"/>
          <w:lang w:val="en-US"/>
        </w:rPr>
        <w:t xml:space="preserve"> at the level of </w:t>
      </w:r>
      <w:r w:rsidR="00D67A09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>.</w:t>
      </w:r>
      <w:r w:rsidR="00CD32BE">
        <w:rPr>
          <w:rFonts w:ascii="Fira Sans" w:hAnsi="Fira Sans"/>
          <w:sz w:val="19"/>
          <w:lang w:val="en-US"/>
        </w:rPr>
        <w:t>48</w:t>
      </w:r>
      <w:r w:rsidR="00452E6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 and </w:t>
      </w:r>
      <w:r w:rsidR="003E47A5">
        <w:rPr>
          <w:rFonts w:ascii="Fira Sans" w:hAnsi="Fira Sans"/>
          <w:sz w:val="19"/>
          <w:lang w:val="en-US"/>
        </w:rPr>
        <w:t>was</w:t>
      </w:r>
      <w:r>
        <w:rPr>
          <w:rFonts w:ascii="Fira Sans" w:hAnsi="Fira Sans"/>
          <w:sz w:val="19"/>
          <w:lang w:val="en-US"/>
        </w:rPr>
        <w:t xml:space="preserve"> </w:t>
      </w:r>
      <w:r w:rsidR="005E4D75">
        <w:rPr>
          <w:rFonts w:ascii="Fira Sans" w:hAnsi="Fira Sans"/>
          <w:sz w:val="19"/>
          <w:lang w:val="en-US"/>
        </w:rPr>
        <w:t>higher</w:t>
      </w:r>
      <w:r w:rsidR="009C1CA4">
        <w:rPr>
          <w:rFonts w:ascii="Fira Sans" w:hAnsi="Fira Sans"/>
          <w:sz w:val="19"/>
          <w:lang w:val="en-US"/>
        </w:rPr>
        <w:t xml:space="preserve"> </w:t>
      </w:r>
      <w:r w:rsidR="00CD32BE">
        <w:rPr>
          <w:rFonts w:ascii="Fira Sans" w:hAnsi="Fira Sans"/>
          <w:sz w:val="19"/>
          <w:lang w:val="en-US"/>
        </w:rPr>
        <w:t>in relation to the previous month by 3.1% and</w:t>
      </w:r>
      <w:r w:rsidR="00F72C70">
        <w:rPr>
          <w:rFonts w:ascii="Fira Sans" w:hAnsi="Fira Sans"/>
          <w:sz w:val="19"/>
          <w:lang w:val="en-US"/>
        </w:rPr>
        <w:t xml:space="preserve"> </w:t>
      </w:r>
      <w:r w:rsidR="00CD32BE">
        <w:rPr>
          <w:rFonts w:ascii="Fira Sans" w:hAnsi="Fira Sans"/>
          <w:sz w:val="19"/>
          <w:lang w:val="en-US"/>
        </w:rPr>
        <w:t>in comparison with</w:t>
      </w:r>
      <w:r w:rsidR="00F72C70">
        <w:rPr>
          <w:rFonts w:ascii="Fira Sans" w:hAnsi="Fira Sans"/>
          <w:sz w:val="19"/>
          <w:lang w:val="en-US"/>
        </w:rPr>
        <w:t xml:space="preserve"> </w:t>
      </w:r>
      <w:r w:rsidR="00CD32BE">
        <w:rPr>
          <w:rFonts w:ascii="Fira Sans" w:hAnsi="Fira Sans"/>
          <w:sz w:val="19"/>
          <w:lang w:val="en-US"/>
        </w:rPr>
        <w:t>June</w:t>
      </w:r>
      <w:r w:rsidR="00354D5C" w:rsidRPr="00354D5C">
        <w:rPr>
          <w:rFonts w:ascii="Fira Sans" w:hAnsi="Fira Sans"/>
          <w:sz w:val="19"/>
          <w:lang w:val="en-US"/>
        </w:rPr>
        <w:t xml:space="preserve"> 2020</w:t>
      </w:r>
      <w:r w:rsidR="00F72C70" w:rsidRPr="00354D5C">
        <w:rPr>
          <w:rFonts w:ascii="Fira Sans" w:hAnsi="Fira Sans"/>
          <w:sz w:val="19"/>
          <w:lang w:val="en-US"/>
        </w:rPr>
        <w:t xml:space="preserve"> </w:t>
      </w:r>
      <w:r w:rsidR="00CD32BE">
        <w:rPr>
          <w:rFonts w:ascii="Fira Sans" w:hAnsi="Fira Sans"/>
          <w:sz w:val="19"/>
          <w:lang w:val="en-US"/>
        </w:rPr>
        <w:t>–</w:t>
      </w:r>
      <w:r w:rsidR="00F72C70" w:rsidRPr="00354D5C">
        <w:rPr>
          <w:rFonts w:ascii="Fira Sans" w:hAnsi="Fira Sans"/>
          <w:sz w:val="19"/>
          <w:lang w:val="en-US"/>
        </w:rPr>
        <w:t xml:space="preserve"> </w:t>
      </w:r>
      <w:r w:rsidR="00CD32BE">
        <w:rPr>
          <w:rFonts w:ascii="Fira Sans" w:hAnsi="Fira Sans"/>
          <w:sz w:val="19"/>
          <w:lang w:val="en-US"/>
        </w:rPr>
        <w:t>by 19.3%.</w:t>
      </w:r>
    </w:p>
    <w:p w14:paraId="52847A24" w14:textId="77777777" w:rsidR="00085645" w:rsidRDefault="00C218F1" w:rsidP="0008564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296136">
        <w:rPr>
          <w:rFonts w:ascii="Fira Sans" w:hAnsi="Fira Sans"/>
          <w:sz w:val="19"/>
          <w:lang w:val="en-US"/>
        </w:rPr>
        <w:t>June</w:t>
      </w:r>
      <w:r>
        <w:rPr>
          <w:rFonts w:ascii="Fira Sans" w:hAnsi="Fira Sans"/>
          <w:sz w:val="19"/>
          <w:lang w:val="en-US"/>
        </w:rPr>
        <w:t xml:space="preserve"> 2021 </w:t>
      </w:r>
      <w:r w:rsidR="0013175F">
        <w:rPr>
          <w:rFonts w:ascii="Fira Sans" w:hAnsi="Fira Sans"/>
          <w:sz w:val="19"/>
          <w:lang w:val="en-US"/>
        </w:rPr>
        <w:t xml:space="preserve"> the </w:t>
      </w:r>
      <w:r w:rsidR="00085645" w:rsidRPr="00661C39">
        <w:rPr>
          <w:rFonts w:ascii="Fira Sans" w:hAnsi="Fira Sans"/>
          <w:sz w:val="19"/>
          <w:lang w:val="en-US"/>
        </w:rPr>
        <w:t xml:space="preserve">price of </w:t>
      </w:r>
      <w:r w:rsidR="00085645">
        <w:rPr>
          <w:rFonts w:ascii="Fira Sans" w:hAnsi="Fira Sans"/>
          <w:b/>
          <w:sz w:val="19"/>
          <w:lang w:val="en-US"/>
        </w:rPr>
        <w:t>pigs</w:t>
      </w:r>
      <w:r w:rsidR="00085645"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="00085645" w:rsidRPr="00661C39">
        <w:rPr>
          <w:rFonts w:ascii="Fira Sans" w:hAnsi="Fira Sans"/>
          <w:sz w:val="19"/>
          <w:lang w:val="en-US"/>
        </w:rPr>
        <w:t xml:space="preserve"> (</w:t>
      </w:r>
      <w:r w:rsidR="002727FB">
        <w:rPr>
          <w:rFonts w:ascii="Fira Sans" w:hAnsi="Fira Sans"/>
          <w:sz w:val="19"/>
          <w:lang w:val="en-US"/>
        </w:rPr>
        <w:t>5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3C00CB">
        <w:rPr>
          <w:rFonts w:ascii="Fira Sans" w:hAnsi="Fira Sans"/>
          <w:sz w:val="19"/>
          <w:lang w:val="en-US"/>
        </w:rPr>
        <w:t>42</w:t>
      </w:r>
      <w:r w:rsidR="002B3EF8">
        <w:rPr>
          <w:rFonts w:ascii="Fira Sans" w:hAnsi="Fira Sans"/>
          <w:sz w:val="19"/>
          <w:lang w:val="en-US"/>
        </w:rPr>
        <w:t xml:space="preserve"> </w:t>
      </w:r>
      <w:r w:rsidR="00085645" w:rsidRPr="00661C39"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085645" w:rsidRPr="00661C39">
        <w:rPr>
          <w:rFonts w:ascii="Fira Sans" w:hAnsi="Fira Sans"/>
          <w:sz w:val="19"/>
          <w:lang w:val="en-US"/>
        </w:rPr>
        <w:t xml:space="preserve">kg) </w:t>
      </w:r>
      <w:r w:rsidR="00296136">
        <w:rPr>
          <w:rFonts w:ascii="Fira Sans" w:hAnsi="Fira Sans"/>
          <w:sz w:val="19"/>
          <w:lang w:val="en-US"/>
        </w:rPr>
        <w:t>was similar to th</w:t>
      </w:r>
      <w:r w:rsidR="0013175F">
        <w:rPr>
          <w:rFonts w:ascii="Fira Sans" w:hAnsi="Fira Sans"/>
          <w:sz w:val="19"/>
          <w:lang w:val="en-US"/>
        </w:rPr>
        <w:t>at</w:t>
      </w:r>
      <w:r w:rsidR="00296136">
        <w:rPr>
          <w:rFonts w:ascii="Fira Sans" w:hAnsi="Fira Sans"/>
          <w:sz w:val="19"/>
          <w:lang w:val="en-US"/>
        </w:rPr>
        <w:t xml:space="preserve"> record</w:t>
      </w:r>
      <w:r w:rsidR="0013175F">
        <w:rPr>
          <w:rFonts w:ascii="Fira Sans" w:hAnsi="Fira Sans"/>
          <w:sz w:val="19"/>
          <w:lang w:val="en-US"/>
        </w:rPr>
        <w:t>ed</w:t>
      </w:r>
      <w:r w:rsidR="00D76FDB">
        <w:rPr>
          <w:rFonts w:ascii="Fira Sans" w:hAnsi="Fira Sans"/>
          <w:sz w:val="19"/>
          <w:lang w:val="en-US"/>
        </w:rPr>
        <w:t xml:space="preserve"> of the</w:t>
      </w:r>
      <w:r w:rsidR="00296136">
        <w:rPr>
          <w:rFonts w:ascii="Fira Sans" w:hAnsi="Fira Sans"/>
          <w:sz w:val="19"/>
          <w:lang w:val="en-US"/>
        </w:rPr>
        <w:t xml:space="preserve"> month ago, while</w:t>
      </w:r>
      <w:r w:rsidR="00AA7A79">
        <w:rPr>
          <w:rFonts w:ascii="Fira Sans" w:hAnsi="Fira Sans"/>
          <w:sz w:val="19"/>
          <w:lang w:val="en-US"/>
        </w:rPr>
        <w:t xml:space="preserve"> </w:t>
      </w:r>
      <w:r w:rsidR="00385AF5">
        <w:rPr>
          <w:rFonts w:ascii="Fira Sans" w:hAnsi="Fira Sans"/>
          <w:sz w:val="19"/>
          <w:lang w:val="en-US"/>
        </w:rPr>
        <w:t>on an annual basis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296136">
        <w:rPr>
          <w:rFonts w:ascii="Fira Sans" w:hAnsi="Fira Sans"/>
          <w:sz w:val="19"/>
          <w:lang w:val="en-US"/>
        </w:rPr>
        <w:t>decreased by 2.6%.</w:t>
      </w:r>
    </w:p>
    <w:p w14:paraId="3F4E8B39" w14:textId="77777777" w:rsidR="00A92B92" w:rsidRPr="001C154E" w:rsidRDefault="00A92B92" w:rsidP="00A92B92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F18A0">
        <w:rPr>
          <w:rFonts w:ascii="Fira Sans" w:hAnsi="Fira Sans"/>
          <w:sz w:val="19"/>
          <w:lang w:val="en-US"/>
        </w:rPr>
        <w:t xml:space="preserve">Procurement price of </w:t>
      </w:r>
      <w:r w:rsidRPr="006F18A0">
        <w:rPr>
          <w:rFonts w:ascii="Fira Sans" w:hAnsi="Fira Sans"/>
          <w:b/>
          <w:sz w:val="19"/>
          <w:lang w:val="en-US"/>
        </w:rPr>
        <w:t>poultry for slaughter</w:t>
      </w:r>
      <w:r w:rsidRPr="00593FA7">
        <w:rPr>
          <w:rFonts w:ascii="Fira Sans" w:hAnsi="Fira Sans"/>
          <w:b/>
          <w:sz w:val="19"/>
          <w:lang w:val="en-US"/>
        </w:rPr>
        <w:t xml:space="preserve"> </w:t>
      </w:r>
      <w:r w:rsidR="00097164" w:rsidRPr="0040548A">
        <w:rPr>
          <w:rFonts w:ascii="Fira Sans" w:hAnsi="Fira Sans"/>
          <w:sz w:val="19"/>
          <w:lang w:val="en-US"/>
        </w:rPr>
        <w:t>(</w:t>
      </w:r>
      <w:r w:rsidR="003739E0">
        <w:rPr>
          <w:rFonts w:ascii="Fira Sans" w:hAnsi="Fira Sans"/>
          <w:sz w:val="19"/>
          <w:lang w:val="en-US"/>
        </w:rPr>
        <w:t>4</w:t>
      </w:r>
      <w:r w:rsidR="00097164" w:rsidRPr="0040548A">
        <w:rPr>
          <w:rFonts w:ascii="Fira Sans" w:hAnsi="Fira Sans"/>
          <w:sz w:val="19"/>
          <w:lang w:val="en-US"/>
        </w:rPr>
        <w:t>.</w:t>
      </w:r>
      <w:r w:rsidR="006C42F2">
        <w:rPr>
          <w:rFonts w:ascii="Fira Sans" w:hAnsi="Fira Sans"/>
          <w:sz w:val="19"/>
          <w:lang w:val="en-US"/>
        </w:rPr>
        <w:t>49</w:t>
      </w:r>
      <w:r w:rsidR="00097164" w:rsidRPr="0040548A">
        <w:rPr>
          <w:rFonts w:ascii="Fira Sans" w:hAnsi="Fira Sans"/>
          <w:sz w:val="19"/>
          <w:lang w:val="en-US"/>
        </w:rPr>
        <w:t xml:space="preserve"> PLN per kg)</w:t>
      </w:r>
      <w:r w:rsidR="00097164" w:rsidRPr="007D10B3">
        <w:rPr>
          <w:rFonts w:ascii="Fira Sans" w:hAnsi="Fira Sans"/>
          <w:sz w:val="19"/>
          <w:lang w:val="en-US"/>
        </w:rPr>
        <w:t xml:space="preserve"> </w:t>
      </w:r>
      <w:r w:rsidR="00241EEF" w:rsidRPr="00241EEF">
        <w:rPr>
          <w:rFonts w:ascii="Fira Sans" w:hAnsi="Fira Sans"/>
          <w:sz w:val="19"/>
          <w:lang w:val="en-US"/>
        </w:rPr>
        <w:t xml:space="preserve">was higher </w:t>
      </w:r>
      <w:r w:rsidR="009E4AE7">
        <w:rPr>
          <w:rFonts w:ascii="Fira Sans" w:hAnsi="Fira Sans"/>
          <w:sz w:val="19"/>
          <w:lang w:val="en-US"/>
        </w:rPr>
        <w:t xml:space="preserve">both as related to </w:t>
      </w:r>
      <w:r w:rsidR="000B6565" w:rsidRPr="00C52F89">
        <w:rPr>
          <w:rFonts w:ascii="Fira Sans" w:hAnsi="Fira Sans"/>
          <w:sz w:val="19"/>
          <w:lang w:val="en-US"/>
        </w:rPr>
        <w:t>the previous month</w:t>
      </w:r>
      <w:r w:rsidR="0038598C" w:rsidRPr="00C52F89">
        <w:rPr>
          <w:rFonts w:ascii="Fira Sans" w:hAnsi="Fira Sans"/>
          <w:sz w:val="19"/>
          <w:lang w:val="en-US"/>
        </w:rPr>
        <w:t xml:space="preserve"> </w:t>
      </w:r>
      <w:r w:rsidR="00E80B8D" w:rsidRPr="00E80B8D">
        <w:rPr>
          <w:rFonts w:ascii="Fira Sans" w:hAnsi="Fira Sans"/>
          <w:sz w:val="19"/>
          <w:lang w:val="en-US"/>
        </w:rPr>
        <w:t>(</w:t>
      </w:r>
      <w:r w:rsidRPr="00E80B8D">
        <w:rPr>
          <w:rFonts w:ascii="Fira Sans" w:hAnsi="Fira Sans"/>
          <w:sz w:val="19"/>
          <w:lang w:val="en-US"/>
        </w:rPr>
        <w:t xml:space="preserve">by </w:t>
      </w:r>
      <w:r w:rsidR="006C42F2">
        <w:rPr>
          <w:rFonts w:ascii="Fira Sans" w:hAnsi="Fira Sans"/>
          <w:sz w:val="19"/>
          <w:lang w:val="en-US"/>
        </w:rPr>
        <w:t>6</w:t>
      </w:r>
      <w:r w:rsidR="003F6DEF">
        <w:rPr>
          <w:rFonts w:ascii="Fira Sans" w:hAnsi="Fira Sans"/>
          <w:sz w:val="19"/>
          <w:lang w:val="en-US"/>
        </w:rPr>
        <w:t>.</w:t>
      </w:r>
      <w:r w:rsidR="006C42F2">
        <w:rPr>
          <w:rFonts w:ascii="Fira Sans" w:hAnsi="Fira Sans"/>
          <w:sz w:val="19"/>
          <w:lang w:val="en-US"/>
        </w:rPr>
        <w:t>8</w:t>
      </w:r>
      <w:r w:rsidRPr="00E80B8D">
        <w:rPr>
          <w:rFonts w:ascii="Fira Sans" w:hAnsi="Fira Sans"/>
          <w:sz w:val="19"/>
          <w:lang w:val="en-US"/>
        </w:rPr>
        <w:t>%</w:t>
      </w:r>
      <w:r w:rsidR="00E80B8D" w:rsidRPr="00E80B8D">
        <w:rPr>
          <w:rFonts w:ascii="Fira Sans" w:hAnsi="Fira Sans"/>
          <w:sz w:val="19"/>
          <w:lang w:val="en-US"/>
        </w:rPr>
        <w:t>)</w:t>
      </w:r>
      <w:r w:rsidR="00E80B8D">
        <w:rPr>
          <w:rFonts w:ascii="Fira Sans" w:hAnsi="Fira Sans"/>
          <w:sz w:val="19"/>
          <w:lang w:val="en-US"/>
        </w:rPr>
        <w:t>,</w:t>
      </w:r>
      <w:r w:rsidRPr="00E80B8D">
        <w:rPr>
          <w:rFonts w:ascii="Fira Sans" w:hAnsi="Fira Sans"/>
          <w:sz w:val="19"/>
          <w:lang w:val="en-US"/>
        </w:rPr>
        <w:t xml:space="preserve"> </w:t>
      </w:r>
      <w:r w:rsidR="000B6565">
        <w:rPr>
          <w:rFonts w:ascii="Fira Sans" w:hAnsi="Fira Sans"/>
          <w:sz w:val="19"/>
          <w:lang w:val="en-US"/>
        </w:rPr>
        <w:t>and</w:t>
      </w:r>
      <w:r w:rsidR="00FC4BDC">
        <w:rPr>
          <w:rFonts w:ascii="Fira Sans" w:hAnsi="Fira Sans"/>
          <w:sz w:val="19"/>
          <w:lang w:val="en-US"/>
        </w:rPr>
        <w:t xml:space="preserve"> </w:t>
      </w:r>
      <w:r w:rsidR="000B6565">
        <w:rPr>
          <w:rFonts w:ascii="Fira Sans" w:hAnsi="Fira Sans"/>
          <w:sz w:val="19"/>
          <w:lang w:val="en-US"/>
        </w:rPr>
        <w:t xml:space="preserve">to </w:t>
      </w:r>
      <w:r w:rsidR="006C42F2">
        <w:rPr>
          <w:rFonts w:ascii="Fira Sans" w:hAnsi="Fira Sans"/>
          <w:sz w:val="19"/>
          <w:lang w:val="en-US"/>
        </w:rPr>
        <w:t>June</w:t>
      </w:r>
      <w:r w:rsidR="000B6565">
        <w:rPr>
          <w:rFonts w:ascii="Fira Sans" w:hAnsi="Fira Sans"/>
          <w:sz w:val="19"/>
          <w:lang w:val="en-US"/>
        </w:rPr>
        <w:t xml:space="preserve"> 2020 (by </w:t>
      </w:r>
      <w:r w:rsidR="00C7784E">
        <w:rPr>
          <w:rFonts w:ascii="Fira Sans" w:hAnsi="Fira Sans"/>
          <w:sz w:val="19"/>
          <w:lang w:val="en-US"/>
        </w:rPr>
        <w:t>2</w:t>
      </w:r>
      <w:r w:rsidR="006C42F2">
        <w:rPr>
          <w:rFonts w:ascii="Fira Sans" w:hAnsi="Fira Sans"/>
          <w:sz w:val="19"/>
          <w:lang w:val="en-US"/>
        </w:rPr>
        <w:t>9</w:t>
      </w:r>
      <w:r w:rsidR="000B6565">
        <w:rPr>
          <w:rFonts w:ascii="Fira Sans" w:hAnsi="Fira Sans"/>
          <w:sz w:val="19"/>
          <w:lang w:val="en-US"/>
        </w:rPr>
        <w:t>.</w:t>
      </w:r>
      <w:r w:rsidR="006C42F2">
        <w:rPr>
          <w:rFonts w:ascii="Fira Sans" w:hAnsi="Fira Sans"/>
          <w:sz w:val="19"/>
          <w:lang w:val="en-US"/>
        </w:rPr>
        <w:t>4</w:t>
      </w:r>
      <w:r w:rsidR="000B6565">
        <w:rPr>
          <w:rFonts w:ascii="Fira Sans" w:hAnsi="Fira Sans"/>
          <w:sz w:val="19"/>
          <w:lang w:val="en-US"/>
        </w:rPr>
        <w:t>%).</w:t>
      </w:r>
    </w:p>
    <w:p w14:paraId="433FE2DF" w14:textId="77777777" w:rsidR="004B07A9" w:rsidRPr="005258E7" w:rsidRDefault="00486FBD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F214B1">
        <w:rPr>
          <w:rFonts w:ascii="Fira Sans" w:hAnsi="Fira Sans"/>
          <w:sz w:val="19"/>
          <w:lang w:val="en-US"/>
        </w:rPr>
        <w:t>June</w:t>
      </w:r>
      <w:r>
        <w:rPr>
          <w:rFonts w:ascii="Fira Sans" w:hAnsi="Fira Sans"/>
          <w:sz w:val="19"/>
          <w:lang w:val="en-US"/>
        </w:rPr>
        <w:t xml:space="preserve"> 202</w:t>
      </w:r>
      <w:r w:rsidR="00FE0980">
        <w:rPr>
          <w:rFonts w:ascii="Fira Sans" w:hAnsi="Fira Sans"/>
          <w:sz w:val="19"/>
          <w:lang w:val="en-US"/>
        </w:rPr>
        <w:t>1</w:t>
      </w:r>
      <w:r w:rsidR="00004555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</w:t>
      </w:r>
      <w:r w:rsidR="00B201EE">
        <w:rPr>
          <w:rFonts w:ascii="Fira Sans" w:hAnsi="Fira Sans"/>
          <w:sz w:val="19"/>
          <w:lang w:val="en-US"/>
        </w:rPr>
        <w:t>5</w:t>
      </w:r>
      <w:r w:rsidR="00F214B1">
        <w:rPr>
          <w:rFonts w:ascii="Fira Sans" w:hAnsi="Fira Sans"/>
          <w:sz w:val="19"/>
          <w:lang w:val="en-US"/>
        </w:rPr>
        <w:t>0</w:t>
      </w:r>
      <w:r>
        <w:rPr>
          <w:rFonts w:ascii="Fira Sans" w:hAnsi="Fira Sans"/>
          <w:sz w:val="19"/>
          <w:lang w:val="en-US"/>
        </w:rPr>
        <w:t>.</w:t>
      </w:r>
      <w:r w:rsidR="00F214B1">
        <w:rPr>
          <w:rFonts w:ascii="Fira Sans" w:hAnsi="Fira Sans"/>
          <w:sz w:val="19"/>
          <w:lang w:val="en-US"/>
        </w:rPr>
        <w:t>22</w:t>
      </w:r>
      <w:r>
        <w:rPr>
          <w:rFonts w:ascii="Fira Sans" w:hAnsi="Fira Sans"/>
          <w:sz w:val="19"/>
          <w:lang w:val="en-US"/>
        </w:rPr>
        <w:t xml:space="preserve"> PLN was paid </w:t>
      </w:r>
      <w:r w:rsidR="00E44E82">
        <w:rPr>
          <w:rFonts w:ascii="Fira Sans" w:hAnsi="Fira Sans"/>
          <w:sz w:val="19"/>
          <w:lang w:val="en-US"/>
        </w:rPr>
        <w:t xml:space="preserve">per </w:t>
      </w:r>
      <w:r>
        <w:rPr>
          <w:rFonts w:ascii="Fira Sans" w:hAnsi="Fira Sans"/>
          <w:sz w:val="19"/>
          <w:lang w:val="en-US"/>
        </w:rPr>
        <w:t>1 hl of</w:t>
      </w:r>
      <w:r w:rsidR="00EE095C">
        <w:rPr>
          <w:rFonts w:ascii="Fira Sans" w:hAnsi="Fira Sans"/>
          <w:sz w:val="19"/>
          <w:lang w:val="en-US"/>
        </w:rPr>
        <w:t xml:space="preserve"> </w:t>
      </w:r>
      <w:r w:rsidR="00EE095C" w:rsidRPr="00965B0A">
        <w:rPr>
          <w:rFonts w:ascii="Fira Sans" w:hAnsi="Fira Sans"/>
          <w:b/>
          <w:sz w:val="19"/>
          <w:lang w:val="en-US"/>
        </w:rPr>
        <w:t>cows’</w:t>
      </w:r>
      <w:r>
        <w:rPr>
          <w:rFonts w:ascii="Fira Sans" w:hAnsi="Fira Sans"/>
          <w:sz w:val="19"/>
          <w:lang w:val="en-US"/>
        </w:rPr>
        <w:t xml:space="preserve"> </w:t>
      </w:r>
      <w:r w:rsidRPr="00D16EF1">
        <w:rPr>
          <w:rFonts w:ascii="Fira Sans" w:hAnsi="Fira Sans"/>
          <w:b/>
          <w:sz w:val="19"/>
          <w:lang w:val="en-US"/>
        </w:rPr>
        <w:t>milk</w:t>
      </w:r>
      <w:r w:rsidR="007F07B0">
        <w:rPr>
          <w:rFonts w:ascii="Fira Sans" w:hAnsi="Fira Sans"/>
          <w:b/>
          <w:sz w:val="19"/>
          <w:lang w:val="en-US"/>
        </w:rPr>
        <w:t xml:space="preserve"> </w:t>
      </w:r>
      <w:r w:rsidR="007F07B0" w:rsidRPr="007F07B0">
        <w:rPr>
          <w:rFonts w:ascii="Fira Sans" w:hAnsi="Fira Sans"/>
          <w:sz w:val="19"/>
          <w:lang w:val="en-US"/>
        </w:rPr>
        <w:t>in procurement</w:t>
      </w:r>
      <w:r>
        <w:rPr>
          <w:rFonts w:ascii="Fira Sans" w:hAnsi="Fira Sans"/>
          <w:sz w:val="19"/>
          <w:lang w:val="en-US"/>
        </w:rPr>
        <w:t xml:space="preserve"> i.e</w:t>
      </w:r>
      <w:r w:rsidR="00AB4CB8">
        <w:rPr>
          <w:rFonts w:ascii="Fira Sans" w:hAnsi="Fira Sans"/>
          <w:sz w:val="19"/>
          <w:lang w:val="en-US"/>
        </w:rPr>
        <w:t>.</w:t>
      </w:r>
      <w:r w:rsidR="005258E7">
        <w:rPr>
          <w:rFonts w:ascii="Fira Sans" w:hAnsi="Fira Sans"/>
          <w:sz w:val="19"/>
          <w:lang w:val="en-US"/>
        </w:rPr>
        <w:t xml:space="preserve"> by 0.</w:t>
      </w:r>
      <w:r w:rsidR="00F214B1">
        <w:rPr>
          <w:rFonts w:ascii="Fira Sans" w:hAnsi="Fira Sans"/>
          <w:sz w:val="19"/>
          <w:lang w:val="en-US"/>
        </w:rPr>
        <w:t>8</w:t>
      </w:r>
      <w:r w:rsidR="005258E7">
        <w:rPr>
          <w:rFonts w:ascii="Fira Sans" w:hAnsi="Fira Sans"/>
          <w:sz w:val="19"/>
          <w:lang w:val="en-US"/>
        </w:rPr>
        <w:t>%</w:t>
      </w:r>
      <w:r>
        <w:rPr>
          <w:rFonts w:ascii="Fira Sans" w:hAnsi="Fira Sans"/>
          <w:sz w:val="19"/>
          <w:lang w:val="en-US"/>
        </w:rPr>
        <w:t xml:space="preserve"> </w:t>
      </w:r>
      <w:r w:rsidR="00917FA5">
        <w:rPr>
          <w:rFonts w:ascii="Fira Sans" w:hAnsi="Fira Sans"/>
          <w:sz w:val="19"/>
          <w:lang w:val="en-US"/>
        </w:rPr>
        <w:t>less</w:t>
      </w:r>
      <w:r w:rsidR="00882C35">
        <w:rPr>
          <w:rFonts w:ascii="Fira Sans" w:hAnsi="Fira Sans"/>
          <w:sz w:val="19"/>
          <w:lang w:val="en-US"/>
        </w:rPr>
        <w:t xml:space="preserve"> </w:t>
      </w:r>
      <w:r w:rsidR="005258E7">
        <w:rPr>
          <w:rFonts w:ascii="Fira Sans" w:hAnsi="Fira Sans"/>
          <w:sz w:val="19"/>
          <w:lang w:val="en-US"/>
        </w:rPr>
        <w:t xml:space="preserve">than in </w:t>
      </w:r>
      <w:r w:rsidR="00F214B1">
        <w:rPr>
          <w:rFonts w:ascii="Fira Sans" w:hAnsi="Fira Sans"/>
          <w:sz w:val="19"/>
          <w:lang w:val="en-US"/>
        </w:rPr>
        <w:t>May</w:t>
      </w:r>
      <w:r w:rsidR="00FE0980" w:rsidRPr="005258E7">
        <w:rPr>
          <w:rFonts w:ascii="Fira Sans" w:hAnsi="Fira Sans"/>
          <w:sz w:val="19"/>
          <w:lang w:val="en-US"/>
        </w:rPr>
        <w:t xml:space="preserve"> 202</w:t>
      </w:r>
      <w:r w:rsidR="00986110" w:rsidRPr="005258E7">
        <w:rPr>
          <w:rFonts w:ascii="Fira Sans" w:hAnsi="Fira Sans"/>
          <w:sz w:val="19"/>
          <w:lang w:val="en-US"/>
        </w:rPr>
        <w:t>1</w:t>
      </w:r>
      <w:r w:rsidR="005258E7" w:rsidRPr="005258E7">
        <w:rPr>
          <w:rFonts w:ascii="Fira Sans" w:hAnsi="Fira Sans"/>
          <w:sz w:val="19"/>
          <w:lang w:val="en-US"/>
        </w:rPr>
        <w:t xml:space="preserve">, </w:t>
      </w:r>
      <w:r w:rsidR="00917FA5" w:rsidRPr="005258E7">
        <w:rPr>
          <w:rFonts w:ascii="Fira Sans" w:hAnsi="Fira Sans"/>
          <w:sz w:val="19"/>
          <w:lang w:val="en-US"/>
        </w:rPr>
        <w:t>but</w:t>
      </w:r>
      <w:r w:rsidR="00AA7A79">
        <w:rPr>
          <w:rFonts w:ascii="Fira Sans" w:hAnsi="Fira Sans"/>
          <w:sz w:val="19"/>
          <w:lang w:val="en-US"/>
        </w:rPr>
        <w:t xml:space="preserve"> by</w:t>
      </w:r>
      <w:r w:rsidR="00917FA5" w:rsidRPr="005258E7">
        <w:rPr>
          <w:rFonts w:ascii="Fira Sans" w:hAnsi="Fira Sans"/>
          <w:sz w:val="19"/>
          <w:lang w:val="en-US"/>
        </w:rPr>
        <w:t xml:space="preserve"> 15.</w:t>
      </w:r>
      <w:r w:rsidR="00F214B1">
        <w:rPr>
          <w:rFonts w:ascii="Fira Sans" w:hAnsi="Fira Sans"/>
          <w:sz w:val="19"/>
          <w:lang w:val="en-US"/>
        </w:rPr>
        <w:t>0</w:t>
      </w:r>
      <w:r w:rsidR="00917FA5" w:rsidRPr="005258E7">
        <w:rPr>
          <w:rFonts w:ascii="Fira Sans" w:hAnsi="Fira Sans"/>
          <w:sz w:val="19"/>
          <w:lang w:val="en-US"/>
        </w:rPr>
        <w:t>% more</w:t>
      </w:r>
      <w:r w:rsidR="00882C35" w:rsidRPr="005258E7">
        <w:rPr>
          <w:rFonts w:ascii="Fira Sans" w:hAnsi="Fira Sans"/>
          <w:sz w:val="19"/>
          <w:lang w:val="en-US"/>
        </w:rPr>
        <w:t xml:space="preserve"> </w:t>
      </w:r>
      <w:r w:rsidR="005258E7" w:rsidRPr="005258E7">
        <w:rPr>
          <w:rFonts w:ascii="Fira Sans" w:hAnsi="Fira Sans"/>
          <w:sz w:val="19"/>
          <w:lang w:val="en-US"/>
        </w:rPr>
        <w:t>than</w:t>
      </w:r>
      <w:r w:rsidR="00882C35" w:rsidRPr="005258E7">
        <w:rPr>
          <w:rFonts w:ascii="Fira Sans" w:hAnsi="Fira Sans"/>
          <w:sz w:val="19"/>
          <w:lang w:val="en-US"/>
        </w:rPr>
        <w:t xml:space="preserve"> </w:t>
      </w:r>
      <w:r w:rsidR="00564DCF">
        <w:rPr>
          <w:rFonts w:ascii="Fira Sans" w:hAnsi="Fira Sans"/>
          <w:sz w:val="19"/>
          <w:lang w:val="en-US"/>
        </w:rPr>
        <w:t>a year ago.</w:t>
      </w:r>
      <w:r w:rsidR="00882C35" w:rsidRPr="005258E7">
        <w:rPr>
          <w:rFonts w:ascii="Fira Sans" w:hAnsi="Fira Sans"/>
          <w:sz w:val="19"/>
          <w:lang w:val="en-US"/>
        </w:rPr>
        <w:t xml:space="preserve"> </w:t>
      </w:r>
    </w:p>
    <w:p w14:paraId="04EF64B3" w14:textId="77777777" w:rsidR="001C720F" w:rsidRDefault="001C720F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6EF6D8C7" w14:textId="77777777" w:rsidR="000B1DA5" w:rsidRDefault="000B1DA5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0EE73B83" w14:textId="77777777"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14:paraId="57E2D5BF" w14:textId="77777777" w:rsidR="00197733" w:rsidRPr="008279D3" w:rsidRDefault="000352BE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3B5C257C" wp14:editId="5916E594">
            <wp:extent cx="5122545" cy="3705225"/>
            <wp:effectExtent l="0" t="0" r="1905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42EF354" w14:textId="77777777"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0839A96C" w14:textId="77777777" w:rsidR="006816D1" w:rsidRDefault="006816D1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272547C9" w14:textId="77777777"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14:paraId="5C3FC2A9" w14:textId="77777777" w:rsidR="00D87C6E" w:rsidRDefault="00E805BC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E724F4E" wp14:editId="62595CCB">
            <wp:extent cx="5122545" cy="3590925"/>
            <wp:effectExtent l="0" t="0" r="1905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1BA2AA" w14:textId="77777777"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14:paraId="603C225B" w14:textId="77777777"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7DFEEBA6" w14:textId="77777777" w:rsidR="008443B7" w:rsidRDefault="008443B7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37A34367" w14:textId="77777777" w:rsidR="00464543" w:rsidRDefault="0046454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0D5DA940" w14:textId="77777777" w:rsidR="001F4889" w:rsidRDefault="001F4889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5D32C621" w14:textId="77777777"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14:paraId="7FE7BD92" w14:textId="77777777" w:rsidR="0094650F" w:rsidRPr="00F3419A" w:rsidRDefault="00F25C61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949C272" wp14:editId="3DB55C11">
            <wp:extent cx="4972050" cy="3419475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608538" w14:textId="77777777"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14:paraId="29E3A6DD" w14:textId="77777777"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14:paraId="1D8526F5" w14:textId="77777777"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14:paraId="18344119" w14:textId="77777777" w:rsidR="00391BB3" w:rsidRDefault="00A32444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7199CB0B" wp14:editId="340F6127">
            <wp:extent cx="5122545" cy="3133725"/>
            <wp:effectExtent l="0" t="0" r="1905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7B2297C" w14:textId="77777777"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14:paraId="78EE45DF" w14:textId="77777777"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14:paraId="67FB7552" w14:textId="77777777"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  <w:r w:rsidR="00B4405E">
        <w:rPr>
          <w:rFonts w:ascii="Fira Sans" w:hAnsi="Fira Sans" w:cs="Arial"/>
          <w:sz w:val="19"/>
          <w:szCs w:val="19"/>
          <w:lang w:val="en-US"/>
        </w:rPr>
        <w:t xml:space="preserve"> </w:t>
      </w:r>
    </w:p>
    <w:p w14:paraId="34D0A7A0" w14:textId="77777777" w:rsidR="00506FBD" w:rsidRDefault="00506FBD" w:rsidP="0046678C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3BB80FD" w14:textId="77777777" w:rsidR="00A87B6A" w:rsidRPr="003954A7" w:rsidRDefault="00A87B6A" w:rsidP="0046678C">
      <w:pPr>
        <w:pStyle w:val="tytuwykresu"/>
        <w:spacing w:before="40"/>
        <w:rPr>
          <w:rFonts w:cs="Arial"/>
          <w:color w:val="000000"/>
          <w:sz w:val="19"/>
          <w:szCs w:val="19"/>
          <w:lang w:val="en-US"/>
        </w:rPr>
        <w:sectPr w:rsidR="00A87B6A" w:rsidRPr="003954A7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 w:rsidRPr="003954A7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661C39" w14:paraId="65107FB3" w14:textId="77777777" w:rsidTr="00875905">
        <w:trPr>
          <w:trHeight w:val="1912"/>
        </w:trPr>
        <w:tc>
          <w:tcPr>
            <w:tcW w:w="4358" w:type="dxa"/>
          </w:tcPr>
          <w:p w14:paraId="0B5037EA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1F7DC2DC" w14:textId="77777777"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proofErr w:type="spellStart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</w:t>
            </w:r>
            <w:proofErr w:type="spellEnd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14:paraId="36A923E6" w14:textId="77777777"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Trade and Services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Departament</w:t>
            </w:r>
            <w:proofErr w:type="spellEnd"/>
          </w:p>
          <w:p w14:paraId="11D30E51" w14:textId="77777777"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14:paraId="68D8F225" w14:textId="77777777"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65CE6289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39A70D98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58C1424E" w14:textId="77777777"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Spokesperon</w:t>
            </w:r>
            <w:proofErr w:type="spellEnd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14:paraId="09198C1F" w14:textId="77777777"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14:paraId="34213650" w14:textId="77777777"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14:paraId="792D659D" w14:textId="77777777"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14:paraId="5DA02DF9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4FFD27D" w14:textId="77777777" w:rsidR="00CD26D8" w:rsidRPr="005771B2" w:rsidRDefault="00CD26D8" w:rsidP="00CD26D8">
      <w:pPr>
        <w:rPr>
          <w:sz w:val="20"/>
          <w:lang w:val="en-US"/>
        </w:rPr>
      </w:pPr>
    </w:p>
    <w:p w14:paraId="253AE4C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14:paraId="343660ED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5F68225A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14:paraId="38FAB209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14:paraId="048CC6DC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27B59341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D0EEE42" wp14:editId="50D732B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6AC08C89" wp14:editId="77DC54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BDEFA54" w14:textId="77777777"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14:paraId="29D6A6D2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25313A0B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C8C7895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14:paraId="63FADBFF" w14:textId="77777777"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14:paraId="48890976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2ACA905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80F5EF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AA6D3A4" wp14:editId="4D1214D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40BA5CDB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4C3CCDC8" w14:textId="77777777"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9B75DC4" wp14:editId="1A950F3B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F61B7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1D4456BD" w14:textId="77777777"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14:paraId="61C05F69" w14:textId="77777777" w:rsidR="004B514A" w:rsidRPr="000F45BD" w:rsidRDefault="00896FF3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3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D624AA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  <w:r w:rsidR="00E13C45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2C192C51" w14:textId="77777777" w:rsidR="004B514A" w:rsidRPr="00365B30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6479E1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"https://stat.gov.pl/obszary-tematyczne/rolnictwo-lesnictwo/rolnictwo/skup-i-ceny-produktow-rolnych-w-2020-roku,7,17.html"</w:instrText>
                            </w: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and prices of agricultural products in 20</w:t>
                            </w:r>
                            <w:r w:rsidR="003E2EE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CC5EBDA" w14:textId="77777777" w:rsidR="004B514A" w:rsidRPr="000F45BD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</w:t>
                              </w:r>
                              <w:r w:rsidR="00057E30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2FF5EE87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08CC6CD7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14:paraId="257825A3" w14:textId="77777777" w:rsidR="00126062" w:rsidRPr="000F45BD" w:rsidRDefault="00896FF3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D48942B" w14:textId="77777777" w:rsidR="00126062" w:rsidRPr="000F45BD" w:rsidRDefault="00896FF3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14:paraId="3468E0B5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3681443D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1823B2C0" w14:textId="77777777" w:rsidR="004B7E72" w:rsidRPr="000F45BD" w:rsidRDefault="00896FF3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14:paraId="2C8D3A61" w14:textId="77777777" w:rsidR="004B7E72" w:rsidRPr="00986B31" w:rsidRDefault="00896FF3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14:paraId="410571C8" w14:textId="77777777" w:rsidR="00713967" w:rsidRPr="00B94304" w:rsidRDefault="00896FF3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EAD7A2" w14:textId="77777777" w:rsidR="00713967" w:rsidRPr="004F677F" w:rsidRDefault="00896FF3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5F0A64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75DC4"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14:paraId="02AF61B7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1D4456BD" w14:textId="77777777"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14:paraId="61C05F69" w14:textId="77777777" w:rsidR="004B514A" w:rsidRPr="000F45BD" w:rsidRDefault="00896FF3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1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D624AA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</w:t>
                        </w:r>
                        <w:r w:rsidR="00E13C45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2C192C51" w14:textId="77777777" w:rsidR="004B514A" w:rsidRPr="00365B30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6479E1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"https://stat.gov.pl/obszary-tematyczne/rolnictwo-lesnictwo/rolnictwo/skup-i-ceny-produktow-rolnych-w-2020-roku,7,17.html"</w:instrText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Procurement and prices of agricultural products in 20</w:t>
                      </w:r>
                      <w:r w:rsidR="003E2EE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CC5EBDA" w14:textId="77777777" w:rsidR="004B514A" w:rsidRPr="000F45BD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</w:t>
                        </w:r>
                        <w:r w:rsidR="00057E30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2FF5EE87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08CC6CD7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14:paraId="257825A3" w14:textId="77777777" w:rsidR="00126062" w:rsidRPr="000F45BD" w:rsidRDefault="00896FF3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D48942B" w14:textId="77777777" w:rsidR="00126062" w:rsidRPr="000F45BD" w:rsidRDefault="00896FF3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14:paraId="3468E0B5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3681443D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14:paraId="1823B2C0" w14:textId="77777777" w:rsidR="004B7E72" w:rsidRPr="000F45BD" w:rsidRDefault="00896FF3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14:paraId="2C8D3A61" w14:textId="77777777" w:rsidR="004B7E72" w:rsidRPr="00986B31" w:rsidRDefault="00896FF3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14:paraId="410571C8" w14:textId="77777777" w:rsidR="00713967" w:rsidRPr="00B94304" w:rsidRDefault="00896FF3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EAD7A2" w14:textId="77777777" w:rsidR="00713967" w:rsidRPr="004F677F" w:rsidRDefault="00896FF3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5F0A64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AF4A4C" w14:textId="77777777" w:rsidR="00815A82" w:rsidRDefault="00815A82" w:rsidP="00CD26D8">
      <w:pPr>
        <w:rPr>
          <w:sz w:val="18"/>
        </w:rPr>
      </w:pPr>
    </w:p>
    <w:p w14:paraId="06C21AE2" w14:textId="77777777" w:rsidR="004B514A" w:rsidRDefault="004B514A" w:rsidP="00CD26D8">
      <w:pPr>
        <w:rPr>
          <w:sz w:val="18"/>
        </w:rPr>
      </w:pPr>
    </w:p>
    <w:p w14:paraId="5F8DF856" w14:textId="77777777" w:rsidR="004B514A" w:rsidRDefault="004B514A" w:rsidP="00CD26D8">
      <w:pPr>
        <w:rPr>
          <w:sz w:val="18"/>
        </w:rPr>
      </w:pPr>
    </w:p>
    <w:p w14:paraId="647CE9D6" w14:textId="77777777"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39"/>
      <w:headerReference w:type="first" r:id="rId40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177BA" w14:textId="77777777" w:rsidR="00896FF3" w:rsidRDefault="00896FF3" w:rsidP="000662E2">
      <w:pPr>
        <w:spacing w:after="0" w:line="240" w:lineRule="auto"/>
      </w:pPr>
      <w:r>
        <w:separator/>
      </w:r>
    </w:p>
  </w:endnote>
  <w:endnote w:type="continuationSeparator" w:id="0">
    <w:p w14:paraId="72C036E0" w14:textId="77777777" w:rsidR="00896FF3" w:rsidRDefault="00896FF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427C8" w14:textId="77777777"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01F5D">
      <w:rPr>
        <w:noProof/>
        <w:sz w:val="18"/>
        <w:szCs w:val="18"/>
      </w:rPr>
      <w:t>3</w:t>
    </w:r>
    <w:r w:rsidRPr="006F2D45">
      <w:rPr>
        <w:sz w:val="18"/>
        <w:szCs w:val="18"/>
      </w:rPr>
      <w:fldChar w:fldCharType="end"/>
    </w:r>
  </w:p>
  <w:p w14:paraId="0676EED0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A68EC" w14:textId="77777777"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01F5D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5327F682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44E80" w14:textId="77777777" w:rsidR="00896FF3" w:rsidRDefault="00896FF3" w:rsidP="000662E2">
      <w:pPr>
        <w:spacing w:after="0" w:line="240" w:lineRule="auto"/>
      </w:pPr>
      <w:r>
        <w:separator/>
      </w:r>
    </w:p>
  </w:footnote>
  <w:footnote w:type="continuationSeparator" w:id="0">
    <w:p w14:paraId="03DD8AFF" w14:textId="77777777" w:rsidR="00896FF3" w:rsidRDefault="00896FF3" w:rsidP="000662E2">
      <w:pPr>
        <w:spacing w:after="0" w:line="240" w:lineRule="auto"/>
      </w:pPr>
      <w:r>
        <w:continuationSeparator/>
      </w:r>
    </w:p>
  </w:footnote>
  <w:footnote w:id="1">
    <w:p w14:paraId="285E1B34" w14:textId="77777777" w:rsidR="000E0503" w:rsidRPr="00661C39" w:rsidRDefault="000E0503" w:rsidP="000E0503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14:paraId="3D4670F5" w14:textId="77777777"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C6FB8" w14:textId="77777777"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5F1221" wp14:editId="43476CC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4604" w14:textId="77777777" w:rsidR="000F45BD" w:rsidRDefault="000F45BD" w:rsidP="00F32458">
    <w:pPr>
      <w:pStyle w:val="Nagwek"/>
      <w:rPr>
        <w:noProof/>
        <w:lang w:eastAsia="pl-PL"/>
      </w:rPr>
    </w:pPr>
  </w:p>
  <w:p w14:paraId="49CAFF57" w14:textId="77777777"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6241031" wp14:editId="508DE6BD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23" name="Obraz 23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B27810" w14:textId="77777777"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D9D0AD" wp14:editId="35276BE4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62EB29" wp14:editId="21E45BDD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D23B6E" w14:textId="77777777"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62EB29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14:paraId="35D23B6E" w14:textId="77777777"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14:paraId="58B4ADEA" w14:textId="77777777" w:rsidR="00133140" w:rsidRDefault="00133140" w:rsidP="00CD0E08">
    <w:pPr>
      <w:pStyle w:val="Nagwek"/>
      <w:jc w:val="right"/>
    </w:pPr>
  </w:p>
  <w:p w14:paraId="2680DB60" w14:textId="77777777"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B186" w14:textId="77777777"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A4EA33" wp14:editId="61B99A37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A4F0F" w14:textId="77777777" w:rsidR="00133140" w:rsidRDefault="00133140" w:rsidP="00F32458">
    <w:pPr>
      <w:pStyle w:val="Nagwek"/>
      <w:rPr>
        <w:noProof/>
        <w:lang w:eastAsia="pl-PL"/>
      </w:rPr>
    </w:pPr>
  </w:p>
  <w:p w14:paraId="09A7E46B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08F29AFE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" o:bullet="t">
        <v:imagedata r:id="rId1" o:title=""/>
      </v:shape>
    </w:pict>
  </w:numPicBullet>
  <w:numPicBullet w:numPicBulletId="1">
    <w:pict>
      <v:shape id="_x0000_i1029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2762"/>
    <w:rsid w:val="00003437"/>
    <w:rsid w:val="00003531"/>
    <w:rsid w:val="00003C9C"/>
    <w:rsid w:val="0000454C"/>
    <w:rsid w:val="00004555"/>
    <w:rsid w:val="0000460D"/>
    <w:rsid w:val="000054E3"/>
    <w:rsid w:val="000055E7"/>
    <w:rsid w:val="0000560B"/>
    <w:rsid w:val="0000668B"/>
    <w:rsid w:val="00006690"/>
    <w:rsid w:val="00006A05"/>
    <w:rsid w:val="0000709F"/>
    <w:rsid w:val="00007526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1A"/>
    <w:rsid w:val="00014825"/>
    <w:rsid w:val="000152F5"/>
    <w:rsid w:val="00015664"/>
    <w:rsid w:val="00015F80"/>
    <w:rsid w:val="00016752"/>
    <w:rsid w:val="00017AE5"/>
    <w:rsid w:val="00020239"/>
    <w:rsid w:val="0002066A"/>
    <w:rsid w:val="00020DDD"/>
    <w:rsid w:val="0002264C"/>
    <w:rsid w:val="0002303D"/>
    <w:rsid w:val="0002385D"/>
    <w:rsid w:val="000240AE"/>
    <w:rsid w:val="000245DF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1A03"/>
    <w:rsid w:val="000328F8"/>
    <w:rsid w:val="00032E2D"/>
    <w:rsid w:val="00032FB4"/>
    <w:rsid w:val="00033484"/>
    <w:rsid w:val="00033D83"/>
    <w:rsid w:val="00034B07"/>
    <w:rsid w:val="00034B81"/>
    <w:rsid w:val="000351B2"/>
    <w:rsid w:val="000352BE"/>
    <w:rsid w:val="0003547E"/>
    <w:rsid w:val="00036F4A"/>
    <w:rsid w:val="00037892"/>
    <w:rsid w:val="00040975"/>
    <w:rsid w:val="00042DB1"/>
    <w:rsid w:val="00043040"/>
    <w:rsid w:val="00043884"/>
    <w:rsid w:val="000439E6"/>
    <w:rsid w:val="00043F6D"/>
    <w:rsid w:val="0004582E"/>
    <w:rsid w:val="000466B7"/>
    <w:rsid w:val="00047F54"/>
    <w:rsid w:val="000501FF"/>
    <w:rsid w:val="00050D93"/>
    <w:rsid w:val="00051E56"/>
    <w:rsid w:val="00051F7F"/>
    <w:rsid w:val="00052235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A23"/>
    <w:rsid w:val="00056B1C"/>
    <w:rsid w:val="00057A85"/>
    <w:rsid w:val="00057CA1"/>
    <w:rsid w:val="00057E30"/>
    <w:rsid w:val="0006029C"/>
    <w:rsid w:val="00060730"/>
    <w:rsid w:val="000607F1"/>
    <w:rsid w:val="00060BE6"/>
    <w:rsid w:val="00060D74"/>
    <w:rsid w:val="00060E6D"/>
    <w:rsid w:val="000610B7"/>
    <w:rsid w:val="000615F6"/>
    <w:rsid w:val="00061799"/>
    <w:rsid w:val="00061953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A73"/>
    <w:rsid w:val="00065D3E"/>
    <w:rsid w:val="00065F0B"/>
    <w:rsid w:val="00065F11"/>
    <w:rsid w:val="0006609E"/>
    <w:rsid w:val="000662E2"/>
    <w:rsid w:val="000664CD"/>
    <w:rsid w:val="00066883"/>
    <w:rsid w:val="00066D6F"/>
    <w:rsid w:val="00066DF3"/>
    <w:rsid w:val="00070D24"/>
    <w:rsid w:val="00071592"/>
    <w:rsid w:val="00071652"/>
    <w:rsid w:val="00071959"/>
    <w:rsid w:val="00071A15"/>
    <w:rsid w:val="00071C6F"/>
    <w:rsid w:val="000723BA"/>
    <w:rsid w:val="00072603"/>
    <w:rsid w:val="00072C7C"/>
    <w:rsid w:val="000740C0"/>
    <w:rsid w:val="000744C0"/>
    <w:rsid w:val="00074DCC"/>
    <w:rsid w:val="00075BE3"/>
    <w:rsid w:val="00075F18"/>
    <w:rsid w:val="0007647F"/>
    <w:rsid w:val="000779FC"/>
    <w:rsid w:val="00077C73"/>
    <w:rsid w:val="00077D0A"/>
    <w:rsid w:val="000802B6"/>
    <w:rsid w:val="000806A6"/>
    <w:rsid w:val="000806F7"/>
    <w:rsid w:val="00081DB8"/>
    <w:rsid w:val="00082265"/>
    <w:rsid w:val="000824AD"/>
    <w:rsid w:val="00082865"/>
    <w:rsid w:val="00082A1A"/>
    <w:rsid w:val="00082E3E"/>
    <w:rsid w:val="000833A1"/>
    <w:rsid w:val="00083D81"/>
    <w:rsid w:val="00083F6B"/>
    <w:rsid w:val="0008459C"/>
    <w:rsid w:val="00084AFB"/>
    <w:rsid w:val="00084B00"/>
    <w:rsid w:val="00084E1C"/>
    <w:rsid w:val="0008542E"/>
    <w:rsid w:val="00085645"/>
    <w:rsid w:val="00085ACF"/>
    <w:rsid w:val="00085AD8"/>
    <w:rsid w:val="000860D2"/>
    <w:rsid w:val="00086109"/>
    <w:rsid w:val="00086C9F"/>
    <w:rsid w:val="0009010D"/>
    <w:rsid w:val="00090416"/>
    <w:rsid w:val="000905EC"/>
    <w:rsid w:val="000912AB"/>
    <w:rsid w:val="000918B1"/>
    <w:rsid w:val="00091D0E"/>
    <w:rsid w:val="00091D79"/>
    <w:rsid w:val="00092E4D"/>
    <w:rsid w:val="000930D8"/>
    <w:rsid w:val="00093582"/>
    <w:rsid w:val="00093B65"/>
    <w:rsid w:val="00093BF6"/>
    <w:rsid w:val="00094684"/>
    <w:rsid w:val="00094CA6"/>
    <w:rsid w:val="00094DCE"/>
    <w:rsid w:val="0009554F"/>
    <w:rsid w:val="000955DD"/>
    <w:rsid w:val="00095CDD"/>
    <w:rsid w:val="00095D16"/>
    <w:rsid w:val="000965F8"/>
    <w:rsid w:val="000970A0"/>
    <w:rsid w:val="00097164"/>
    <w:rsid w:val="0009754D"/>
    <w:rsid w:val="00097B75"/>
    <w:rsid w:val="00097E79"/>
    <w:rsid w:val="000A02CB"/>
    <w:rsid w:val="000A02E7"/>
    <w:rsid w:val="000A0EAD"/>
    <w:rsid w:val="000A13B7"/>
    <w:rsid w:val="000A13D3"/>
    <w:rsid w:val="000A15E7"/>
    <w:rsid w:val="000A177E"/>
    <w:rsid w:val="000A1BD8"/>
    <w:rsid w:val="000A1F0E"/>
    <w:rsid w:val="000A26B4"/>
    <w:rsid w:val="000A2AEC"/>
    <w:rsid w:val="000A3013"/>
    <w:rsid w:val="000A3A62"/>
    <w:rsid w:val="000A463C"/>
    <w:rsid w:val="000A4C6C"/>
    <w:rsid w:val="000A56DC"/>
    <w:rsid w:val="000A5A13"/>
    <w:rsid w:val="000A5CA7"/>
    <w:rsid w:val="000A62D8"/>
    <w:rsid w:val="000A642B"/>
    <w:rsid w:val="000A6D2A"/>
    <w:rsid w:val="000A7C99"/>
    <w:rsid w:val="000B04AF"/>
    <w:rsid w:val="000B04C5"/>
    <w:rsid w:val="000B0571"/>
    <w:rsid w:val="000B0727"/>
    <w:rsid w:val="000B08BA"/>
    <w:rsid w:val="000B1538"/>
    <w:rsid w:val="000B1C57"/>
    <w:rsid w:val="000B1DA5"/>
    <w:rsid w:val="000B2A6F"/>
    <w:rsid w:val="000B39A7"/>
    <w:rsid w:val="000B4137"/>
    <w:rsid w:val="000B47B4"/>
    <w:rsid w:val="000B5193"/>
    <w:rsid w:val="000B54C0"/>
    <w:rsid w:val="000B5A17"/>
    <w:rsid w:val="000B62E5"/>
    <w:rsid w:val="000B6565"/>
    <w:rsid w:val="000B691F"/>
    <w:rsid w:val="000B6AB6"/>
    <w:rsid w:val="000B6BF0"/>
    <w:rsid w:val="000B6F1F"/>
    <w:rsid w:val="000B70A4"/>
    <w:rsid w:val="000B75B7"/>
    <w:rsid w:val="000B773F"/>
    <w:rsid w:val="000B7911"/>
    <w:rsid w:val="000B7B6C"/>
    <w:rsid w:val="000B7FD8"/>
    <w:rsid w:val="000C001F"/>
    <w:rsid w:val="000C078A"/>
    <w:rsid w:val="000C08EB"/>
    <w:rsid w:val="000C0CF4"/>
    <w:rsid w:val="000C135D"/>
    <w:rsid w:val="000C273D"/>
    <w:rsid w:val="000C3778"/>
    <w:rsid w:val="000C3879"/>
    <w:rsid w:val="000C3DD9"/>
    <w:rsid w:val="000C5390"/>
    <w:rsid w:val="000C6CD1"/>
    <w:rsid w:val="000C7AE4"/>
    <w:rsid w:val="000D1765"/>
    <w:rsid w:val="000D1D43"/>
    <w:rsid w:val="000D225C"/>
    <w:rsid w:val="000D23C1"/>
    <w:rsid w:val="000D2520"/>
    <w:rsid w:val="000D281C"/>
    <w:rsid w:val="000D29C3"/>
    <w:rsid w:val="000D3579"/>
    <w:rsid w:val="000D58B7"/>
    <w:rsid w:val="000D618A"/>
    <w:rsid w:val="000D675C"/>
    <w:rsid w:val="000D7492"/>
    <w:rsid w:val="000D7CEB"/>
    <w:rsid w:val="000E00A2"/>
    <w:rsid w:val="000E03BE"/>
    <w:rsid w:val="000E0503"/>
    <w:rsid w:val="000E05CA"/>
    <w:rsid w:val="000E0918"/>
    <w:rsid w:val="000E120B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0EC"/>
    <w:rsid w:val="000F073D"/>
    <w:rsid w:val="000F0944"/>
    <w:rsid w:val="000F0C6A"/>
    <w:rsid w:val="000F11C3"/>
    <w:rsid w:val="000F16E3"/>
    <w:rsid w:val="000F17D8"/>
    <w:rsid w:val="000F1DF0"/>
    <w:rsid w:val="000F1F10"/>
    <w:rsid w:val="000F2546"/>
    <w:rsid w:val="000F2BAF"/>
    <w:rsid w:val="000F2E5E"/>
    <w:rsid w:val="000F3964"/>
    <w:rsid w:val="000F39FC"/>
    <w:rsid w:val="000F3CA1"/>
    <w:rsid w:val="000F4482"/>
    <w:rsid w:val="000F45BD"/>
    <w:rsid w:val="000F4A02"/>
    <w:rsid w:val="000F523E"/>
    <w:rsid w:val="000F5A18"/>
    <w:rsid w:val="000F5E76"/>
    <w:rsid w:val="000F6141"/>
    <w:rsid w:val="000F61E5"/>
    <w:rsid w:val="000F647B"/>
    <w:rsid w:val="000F78B6"/>
    <w:rsid w:val="000F7ED6"/>
    <w:rsid w:val="000F7F34"/>
    <w:rsid w:val="00100330"/>
    <w:rsid w:val="001005FB"/>
    <w:rsid w:val="00100B9F"/>
    <w:rsid w:val="00100D50"/>
    <w:rsid w:val="001011C3"/>
    <w:rsid w:val="001018E2"/>
    <w:rsid w:val="00101D99"/>
    <w:rsid w:val="00102047"/>
    <w:rsid w:val="001028A7"/>
    <w:rsid w:val="00102FF5"/>
    <w:rsid w:val="001035F7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3FF1"/>
    <w:rsid w:val="001149A5"/>
    <w:rsid w:val="00114DB9"/>
    <w:rsid w:val="00114FDE"/>
    <w:rsid w:val="001151A1"/>
    <w:rsid w:val="00116087"/>
    <w:rsid w:val="0011626D"/>
    <w:rsid w:val="0011635B"/>
    <w:rsid w:val="00117C76"/>
    <w:rsid w:val="001206EA"/>
    <w:rsid w:val="00120FED"/>
    <w:rsid w:val="001211B1"/>
    <w:rsid w:val="001223EE"/>
    <w:rsid w:val="00122A06"/>
    <w:rsid w:val="00123D6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75F"/>
    <w:rsid w:val="001318ED"/>
    <w:rsid w:val="00131BDA"/>
    <w:rsid w:val="00131EE1"/>
    <w:rsid w:val="00132393"/>
    <w:rsid w:val="00132C59"/>
    <w:rsid w:val="00132C84"/>
    <w:rsid w:val="00133140"/>
    <w:rsid w:val="001336E3"/>
    <w:rsid w:val="00133C96"/>
    <w:rsid w:val="00133E8A"/>
    <w:rsid w:val="001341F0"/>
    <w:rsid w:val="001345C8"/>
    <w:rsid w:val="0013511E"/>
    <w:rsid w:val="00135203"/>
    <w:rsid w:val="00136685"/>
    <w:rsid w:val="00136923"/>
    <w:rsid w:val="00136C79"/>
    <w:rsid w:val="00137441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5BA"/>
    <w:rsid w:val="00147D79"/>
    <w:rsid w:val="00147E42"/>
    <w:rsid w:val="00150318"/>
    <w:rsid w:val="00150403"/>
    <w:rsid w:val="00150AF7"/>
    <w:rsid w:val="00150D85"/>
    <w:rsid w:val="001515D7"/>
    <w:rsid w:val="00151657"/>
    <w:rsid w:val="00151AA6"/>
    <w:rsid w:val="00151DEC"/>
    <w:rsid w:val="0015288D"/>
    <w:rsid w:val="001537A0"/>
    <w:rsid w:val="00154817"/>
    <w:rsid w:val="00154B1F"/>
    <w:rsid w:val="00154EA5"/>
    <w:rsid w:val="00154F5B"/>
    <w:rsid w:val="00156437"/>
    <w:rsid w:val="00156B5A"/>
    <w:rsid w:val="001602D4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22D"/>
    <w:rsid w:val="00164500"/>
    <w:rsid w:val="001648A9"/>
    <w:rsid w:val="00164C1B"/>
    <w:rsid w:val="001652B9"/>
    <w:rsid w:val="00165B50"/>
    <w:rsid w:val="001668EF"/>
    <w:rsid w:val="00166D3D"/>
    <w:rsid w:val="0016705C"/>
    <w:rsid w:val="001670F6"/>
    <w:rsid w:val="0016778F"/>
    <w:rsid w:val="001704D0"/>
    <w:rsid w:val="001706D0"/>
    <w:rsid w:val="00171057"/>
    <w:rsid w:val="0017128B"/>
    <w:rsid w:val="00171948"/>
    <w:rsid w:val="00172FA4"/>
    <w:rsid w:val="00173051"/>
    <w:rsid w:val="0017364B"/>
    <w:rsid w:val="001742E2"/>
    <w:rsid w:val="00174748"/>
    <w:rsid w:val="001747BD"/>
    <w:rsid w:val="00174DC2"/>
    <w:rsid w:val="0017501D"/>
    <w:rsid w:val="0017511F"/>
    <w:rsid w:val="0017514E"/>
    <w:rsid w:val="00175234"/>
    <w:rsid w:val="00175428"/>
    <w:rsid w:val="00176792"/>
    <w:rsid w:val="00176C87"/>
    <w:rsid w:val="001773BF"/>
    <w:rsid w:val="001779FD"/>
    <w:rsid w:val="00181525"/>
    <w:rsid w:val="00181898"/>
    <w:rsid w:val="00181945"/>
    <w:rsid w:val="00181BB5"/>
    <w:rsid w:val="001820A2"/>
    <w:rsid w:val="0018210A"/>
    <w:rsid w:val="0018298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1F45"/>
    <w:rsid w:val="0019210D"/>
    <w:rsid w:val="00192299"/>
    <w:rsid w:val="001927D9"/>
    <w:rsid w:val="00192DF9"/>
    <w:rsid w:val="001933C7"/>
    <w:rsid w:val="00194C84"/>
    <w:rsid w:val="001951DA"/>
    <w:rsid w:val="001952C1"/>
    <w:rsid w:val="00195CB8"/>
    <w:rsid w:val="00196339"/>
    <w:rsid w:val="001967A9"/>
    <w:rsid w:val="0019695D"/>
    <w:rsid w:val="0019722F"/>
    <w:rsid w:val="00197733"/>
    <w:rsid w:val="00197BF3"/>
    <w:rsid w:val="00197D6D"/>
    <w:rsid w:val="001A0E51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2C4B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A76"/>
    <w:rsid w:val="001B1B6B"/>
    <w:rsid w:val="001B1D50"/>
    <w:rsid w:val="001B22E2"/>
    <w:rsid w:val="001B23DC"/>
    <w:rsid w:val="001B2C05"/>
    <w:rsid w:val="001B2CD3"/>
    <w:rsid w:val="001B2FC3"/>
    <w:rsid w:val="001B3151"/>
    <w:rsid w:val="001B338B"/>
    <w:rsid w:val="001B33E5"/>
    <w:rsid w:val="001B4BB8"/>
    <w:rsid w:val="001B5146"/>
    <w:rsid w:val="001B5E70"/>
    <w:rsid w:val="001B5FF5"/>
    <w:rsid w:val="001B6542"/>
    <w:rsid w:val="001B7B13"/>
    <w:rsid w:val="001B7C6B"/>
    <w:rsid w:val="001B7CC3"/>
    <w:rsid w:val="001C0587"/>
    <w:rsid w:val="001C0B59"/>
    <w:rsid w:val="001C1462"/>
    <w:rsid w:val="001C154E"/>
    <w:rsid w:val="001C1947"/>
    <w:rsid w:val="001C1C90"/>
    <w:rsid w:val="001C202E"/>
    <w:rsid w:val="001C3093"/>
    <w:rsid w:val="001C3269"/>
    <w:rsid w:val="001C3304"/>
    <w:rsid w:val="001C359E"/>
    <w:rsid w:val="001C3883"/>
    <w:rsid w:val="001C40EC"/>
    <w:rsid w:val="001C44D2"/>
    <w:rsid w:val="001C48F2"/>
    <w:rsid w:val="001C4FAF"/>
    <w:rsid w:val="001C50BC"/>
    <w:rsid w:val="001C5B16"/>
    <w:rsid w:val="001C5DA6"/>
    <w:rsid w:val="001C60C1"/>
    <w:rsid w:val="001C6BA1"/>
    <w:rsid w:val="001C707C"/>
    <w:rsid w:val="001C720F"/>
    <w:rsid w:val="001C7E09"/>
    <w:rsid w:val="001D06D4"/>
    <w:rsid w:val="001D08FA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2A5"/>
    <w:rsid w:val="001D5E68"/>
    <w:rsid w:val="001D6CCC"/>
    <w:rsid w:val="001D7241"/>
    <w:rsid w:val="001D726E"/>
    <w:rsid w:val="001D73E1"/>
    <w:rsid w:val="001D7ADF"/>
    <w:rsid w:val="001D7B0F"/>
    <w:rsid w:val="001E009B"/>
    <w:rsid w:val="001E07FB"/>
    <w:rsid w:val="001E17F5"/>
    <w:rsid w:val="001E1875"/>
    <w:rsid w:val="001E1C2E"/>
    <w:rsid w:val="001E2B22"/>
    <w:rsid w:val="001E2F4B"/>
    <w:rsid w:val="001E2F5F"/>
    <w:rsid w:val="001E386F"/>
    <w:rsid w:val="001E3A60"/>
    <w:rsid w:val="001E4F30"/>
    <w:rsid w:val="001E5A60"/>
    <w:rsid w:val="001E5CCF"/>
    <w:rsid w:val="001E5DF2"/>
    <w:rsid w:val="001E6318"/>
    <w:rsid w:val="001E67B8"/>
    <w:rsid w:val="001E6BAB"/>
    <w:rsid w:val="001E6D43"/>
    <w:rsid w:val="001E7B1E"/>
    <w:rsid w:val="001F0960"/>
    <w:rsid w:val="001F0BE9"/>
    <w:rsid w:val="001F1488"/>
    <w:rsid w:val="001F14E0"/>
    <w:rsid w:val="001F1F84"/>
    <w:rsid w:val="001F21D3"/>
    <w:rsid w:val="001F29C8"/>
    <w:rsid w:val="001F2F51"/>
    <w:rsid w:val="001F3009"/>
    <w:rsid w:val="001F31E6"/>
    <w:rsid w:val="001F3AB6"/>
    <w:rsid w:val="001F3B81"/>
    <w:rsid w:val="001F3F2A"/>
    <w:rsid w:val="001F3F6F"/>
    <w:rsid w:val="001F4889"/>
    <w:rsid w:val="001F4AED"/>
    <w:rsid w:val="001F5561"/>
    <w:rsid w:val="001F5919"/>
    <w:rsid w:val="001F63B2"/>
    <w:rsid w:val="001F6693"/>
    <w:rsid w:val="001F6A06"/>
    <w:rsid w:val="001F6D68"/>
    <w:rsid w:val="001F737B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2F5A"/>
    <w:rsid w:val="00203BC6"/>
    <w:rsid w:val="002040D1"/>
    <w:rsid w:val="00204443"/>
    <w:rsid w:val="00204FA1"/>
    <w:rsid w:val="0020567E"/>
    <w:rsid w:val="002059EF"/>
    <w:rsid w:val="00205AD5"/>
    <w:rsid w:val="00205CCB"/>
    <w:rsid w:val="0020676D"/>
    <w:rsid w:val="00207A22"/>
    <w:rsid w:val="00207A61"/>
    <w:rsid w:val="00207C4A"/>
    <w:rsid w:val="0021004E"/>
    <w:rsid w:val="002101DC"/>
    <w:rsid w:val="002103B9"/>
    <w:rsid w:val="00212390"/>
    <w:rsid w:val="0021269A"/>
    <w:rsid w:val="00214559"/>
    <w:rsid w:val="002150EC"/>
    <w:rsid w:val="002151E0"/>
    <w:rsid w:val="002156B4"/>
    <w:rsid w:val="002161D9"/>
    <w:rsid w:val="0021632B"/>
    <w:rsid w:val="00216DB4"/>
    <w:rsid w:val="002171DB"/>
    <w:rsid w:val="00221FE7"/>
    <w:rsid w:val="002227D8"/>
    <w:rsid w:val="002227E7"/>
    <w:rsid w:val="00223D88"/>
    <w:rsid w:val="00224823"/>
    <w:rsid w:val="0022552A"/>
    <w:rsid w:val="00225CF0"/>
    <w:rsid w:val="0022601D"/>
    <w:rsid w:val="00226655"/>
    <w:rsid w:val="00226A84"/>
    <w:rsid w:val="00226FAC"/>
    <w:rsid w:val="00227075"/>
    <w:rsid w:val="002270CF"/>
    <w:rsid w:val="00227FCB"/>
    <w:rsid w:val="002314EB"/>
    <w:rsid w:val="0023159C"/>
    <w:rsid w:val="00231F58"/>
    <w:rsid w:val="00232B69"/>
    <w:rsid w:val="00232E23"/>
    <w:rsid w:val="002331DA"/>
    <w:rsid w:val="002349ED"/>
    <w:rsid w:val="002351B7"/>
    <w:rsid w:val="002359B7"/>
    <w:rsid w:val="00235AAD"/>
    <w:rsid w:val="00236FC5"/>
    <w:rsid w:val="00237277"/>
    <w:rsid w:val="00237BF1"/>
    <w:rsid w:val="00237E10"/>
    <w:rsid w:val="00240A07"/>
    <w:rsid w:val="00240E7F"/>
    <w:rsid w:val="002410D2"/>
    <w:rsid w:val="00241EEF"/>
    <w:rsid w:val="00242755"/>
    <w:rsid w:val="00242A4E"/>
    <w:rsid w:val="00242ED6"/>
    <w:rsid w:val="002438FE"/>
    <w:rsid w:val="00244414"/>
    <w:rsid w:val="002444C6"/>
    <w:rsid w:val="00244ACE"/>
    <w:rsid w:val="00245870"/>
    <w:rsid w:val="00245963"/>
    <w:rsid w:val="0024603F"/>
    <w:rsid w:val="002466B1"/>
    <w:rsid w:val="00246A8B"/>
    <w:rsid w:val="00246FF2"/>
    <w:rsid w:val="00247F7D"/>
    <w:rsid w:val="002505FD"/>
    <w:rsid w:val="002512D0"/>
    <w:rsid w:val="002524DE"/>
    <w:rsid w:val="00252553"/>
    <w:rsid w:val="00252A2D"/>
    <w:rsid w:val="00252FFD"/>
    <w:rsid w:val="002537FB"/>
    <w:rsid w:val="002539F4"/>
    <w:rsid w:val="002544CF"/>
    <w:rsid w:val="0025470C"/>
    <w:rsid w:val="002555D4"/>
    <w:rsid w:val="002562B0"/>
    <w:rsid w:val="00256A5C"/>
    <w:rsid w:val="0025717E"/>
    <w:rsid w:val="002574F9"/>
    <w:rsid w:val="00257831"/>
    <w:rsid w:val="00257D7C"/>
    <w:rsid w:val="00260A77"/>
    <w:rsid w:val="00260F85"/>
    <w:rsid w:val="00260FF0"/>
    <w:rsid w:val="0026192A"/>
    <w:rsid w:val="002619E2"/>
    <w:rsid w:val="00262E15"/>
    <w:rsid w:val="002636F1"/>
    <w:rsid w:val="00265080"/>
    <w:rsid w:val="00265502"/>
    <w:rsid w:val="0026565E"/>
    <w:rsid w:val="00265C36"/>
    <w:rsid w:val="00265F6F"/>
    <w:rsid w:val="00266475"/>
    <w:rsid w:val="00266804"/>
    <w:rsid w:val="00266A53"/>
    <w:rsid w:val="00266AE3"/>
    <w:rsid w:val="002675E0"/>
    <w:rsid w:val="00267EB1"/>
    <w:rsid w:val="002700F2"/>
    <w:rsid w:val="002701DE"/>
    <w:rsid w:val="00270B0E"/>
    <w:rsid w:val="00270FE4"/>
    <w:rsid w:val="00272203"/>
    <w:rsid w:val="00272695"/>
    <w:rsid w:val="002726B0"/>
    <w:rsid w:val="002727FB"/>
    <w:rsid w:val="0027340D"/>
    <w:rsid w:val="00273552"/>
    <w:rsid w:val="00274241"/>
    <w:rsid w:val="00274691"/>
    <w:rsid w:val="00275D0C"/>
    <w:rsid w:val="0027610A"/>
    <w:rsid w:val="00276811"/>
    <w:rsid w:val="00276E4C"/>
    <w:rsid w:val="0027727C"/>
    <w:rsid w:val="002774DA"/>
    <w:rsid w:val="00280875"/>
    <w:rsid w:val="00280C34"/>
    <w:rsid w:val="00281881"/>
    <w:rsid w:val="00281E52"/>
    <w:rsid w:val="00282699"/>
    <w:rsid w:val="002827C3"/>
    <w:rsid w:val="002835AA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5BC"/>
    <w:rsid w:val="00293930"/>
    <w:rsid w:val="00294769"/>
    <w:rsid w:val="00294A7C"/>
    <w:rsid w:val="002953EB"/>
    <w:rsid w:val="0029598B"/>
    <w:rsid w:val="00295E89"/>
    <w:rsid w:val="00296136"/>
    <w:rsid w:val="0029645C"/>
    <w:rsid w:val="00296697"/>
    <w:rsid w:val="00297F35"/>
    <w:rsid w:val="002A0C67"/>
    <w:rsid w:val="002A4430"/>
    <w:rsid w:val="002A4440"/>
    <w:rsid w:val="002A4581"/>
    <w:rsid w:val="002A469F"/>
    <w:rsid w:val="002A4B16"/>
    <w:rsid w:val="002A5CC2"/>
    <w:rsid w:val="002A6A73"/>
    <w:rsid w:val="002A6C8E"/>
    <w:rsid w:val="002A7B26"/>
    <w:rsid w:val="002A7C42"/>
    <w:rsid w:val="002B01AC"/>
    <w:rsid w:val="002B0472"/>
    <w:rsid w:val="002B0602"/>
    <w:rsid w:val="002B0A26"/>
    <w:rsid w:val="002B0F65"/>
    <w:rsid w:val="002B1742"/>
    <w:rsid w:val="002B31BC"/>
    <w:rsid w:val="002B373F"/>
    <w:rsid w:val="002B3EF8"/>
    <w:rsid w:val="002B3EFC"/>
    <w:rsid w:val="002B436C"/>
    <w:rsid w:val="002B6845"/>
    <w:rsid w:val="002B68EF"/>
    <w:rsid w:val="002B6B12"/>
    <w:rsid w:val="002B7B1C"/>
    <w:rsid w:val="002C0852"/>
    <w:rsid w:val="002C0E42"/>
    <w:rsid w:val="002C24B0"/>
    <w:rsid w:val="002C4871"/>
    <w:rsid w:val="002C574B"/>
    <w:rsid w:val="002C6058"/>
    <w:rsid w:val="002C7311"/>
    <w:rsid w:val="002C73BD"/>
    <w:rsid w:val="002C77A2"/>
    <w:rsid w:val="002C7846"/>
    <w:rsid w:val="002D0469"/>
    <w:rsid w:val="002D0806"/>
    <w:rsid w:val="002D0969"/>
    <w:rsid w:val="002D11EB"/>
    <w:rsid w:val="002D2736"/>
    <w:rsid w:val="002D3139"/>
    <w:rsid w:val="002D35A5"/>
    <w:rsid w:val="002D38E5"/>
    <w:rsid w:val="002D3DC1"/>
    <w:rsid w:val="002D42C7"/>
    <w:rsid w:val="002D4BBD"/>
    <w:rsid w:val="002D517B"/>
    <w:rsid w:val="002D51BD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0CA5"/>
    <w:rsid w:val="002E1444"/>
    <w:rsid w:val="002E17BF"/>
    <w:rsid w:val="002E1B93"/>
    <w:rsid w:val="002E2899"/>
    <w:rsid w:val="002E295C"/>
    <w:rsid w:val="002E29CD"/>
    <w:rsid w:val="002E2EA2"/>
    <w:rsid w:val="002E3393"/>
    <w:rsid w:val="002E38F8"/>
    <w:rsid w:val="002E44EE"/>
    <w:rsid w:val="002E466E"/>
    <w:rsid w:val="002E573B"/>
    <w:rsid w:val="002E59C9"/>
    <w:rsid w:val="002E5E9D"/>
    <w:rsid w:val="002E6140"/>
    <w:rsid w:val="002E61B1"/>
    <w:rsid w:val="002E65F8"/>
    <w:rsid w:val="002E66DC"/>
    <w:rsid w:val="002E68F2"/>
    <w:rsid w:val="002E6985"/>
    <w:rsid w:val="002E6A5F"/>
    <w:rsid w:val="002E6DF3"/>
    <w:rsid w:val="002E6E44"/>
    <w:rsid w:val="002E6F8C"/>
    <w:rsid w:val="002E7125"/>
    <w:rsid w:val="002E71B6"/>
    <w:rsid w:val="002E74D4"/>
    <w:rsid w:val="002F000E"/>
    <w:rsid w:val="002F0034"/>
    <w:rsid w:val="002F0148"/>
    <w:rsid w:val="002F0CE7"/>
    <w:rsid w:val="002F1483"/>
    <w:rsid w:val="002F2453"/>
    <w:rsid w:val="002F3821"/>
    <w:rsid w:val="002F3879"/>
    <w:rsid w:val="002F3AD4"/>
    <w:rsid w:val="002F3F2B"/>
    <w:rsid w:val="002F3FA4"/>
    <w:rsid w:val="002F5243"/>
    <w:rsid w:val="002F5DCB"/>
    <w:rsid w:val="002F6A4E"/>
    <w:rsid w:val="002F7213"/>
    <w:rsid w:val="002F7441"/>
    <w:rsid w:val="002F77C8"/>
    <w:rsid w:val="002F7A29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2D6C"/>
    <w:rsid w:val="0031352A"/>
    <w:rsid w:val="003136DC"/>
    <w:rsid w:val="00314113"/>
    <w:rsid w:val="003141B0"/>
    <w:rsid w:val="00314886"/>
    <w:rsid w:val="003148D1"/>
    <w:rsid w:val="00314C0E"/>
    <w:rsid w:val="00314DF6"/>
    <w:rsid w:val="003151C8"/>
    <w:rsid w:val="003152ED"/>
    <w:rsid w:val="00316D71"/>
    <w:rsid w:val="003175A2"/>
    <w:rsid w:val="003175E9"/>
    <w:rsid w:val="0031763A"/>
    <w:rsid w:val="003201A8"/>
    <w:rsid w:val="003201EE"/>
    <w:rsid w:val="00320CFE"/>
    <w:rsid w:val="003210A3"/>
    <w:rsid w:val="0032156E"/>
    <w:rsid w:val="00321888"/>
    <w:rsid w:val="00322CF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26DEB"/>
    <w:rsid w:val="00330DCA"/>
    <w:rsid w:val="0033123E"/>
    <w:rsid w:val="00331948"/>
    <w:rsid w:val="00332320"/>
    <w:rsid w:val="003324DA"/>
    <w:rsid w:val="00332B67"/>
    <w:rsid w:val="00332DEC"/>
    <w:rsid w:val="0033366D"/>
    <w:rsid w:val="003336AD"/>
    <w:rsid w:val="00333CD8"/>
    <w:rsid w:val="0033484A"/>
    <w:rsid w:val="0033577F"/>
    <w:rsid w:val="003364DF"/>
    <w:rsid w:val="003367F1"/>
    <w:rsid w:val="003371FA"/>
    <w:rsid w:val="0033726A"/>
    <w:rsid w:val="0033794A"/>
    <w:rsid w:val="00337A87"/>
    <w:rsid w:val="00340033"/>
    <w:rsid w:val="00340B9B"/>
    <w:rsid w:val="0034100B"/>
    <w:rsid w:val="0034170F"/>
    <w:rsid w:val="003429C6"/>
    <w:rsid w:val="00342AA1"/>
    <w:rsid w:val="00342DE0"/>
    <w:rsid w:val="003431C5"/>
    <w:rsid w:val="003431F4"/>
    <w:rsid w:val="0034324D"/>
    <w:rsid w:val="003434DA"/>
    <w:rsid w:val="00343856"/>
    <w:rsid w:val="0034399A"/>
    <w:rsid w:val="0034427B"/>
    <w:rsid w:val="003442B9"/>
    <w:rsid w:val="00344DF2"/>
    <w:rsid w:val="0034516E"/>
    <w:rsid w:val="003461BD"/>
    <w:rsid w:val="00346D7E"/>
    <w:rsid w:val="00347B4E"/>
    <w:rsid w:val="00347D72"/>
    <w:rsid w:val="00347F09"/>
    <w:rsid w:val="0035081D"/>
    <w:rsid w:val="003508C8"/>
    <w:rsid w:val="00350DE0"/>
    <w:rsid w:val="0035137B"/>
    <w:rsid w:val="00351A9E"/>
    <w:rsid w:val="00353B8B"/>
    <w:rsid w:val="00354354"/>
    <w:rsid w:val="00354371"/>
    <w:rsid w:val="0035442C"/>
    <w:rsid w:val="003547D3"/>
    <w:rsid w:val="00354D5C"/>
    <w:rsid w:val="00354D6A"/>
    <w:rsid w:val="00355553"/>
    <w:rsid w:val="003558EB"/>
    <w:rsid w:val="00356D06"/>
    <w:rsid w:val="00356DB0"/>
    <w:rsid w:val="00357294"/>
    <w:rsid w:val="00357CE6"/>
    <w:rsid w:val="00360006"/>
    <w:rsid w:val="00360261"/>
    <w:rsid w:val="0036045A"/>
    <w:rsid w:val="0036047D"/>
    <w:rsid w:val="003605E6"/>
    <w:rsid w:val="00360F99"/>
    <w:rsid w:val="00361323"/>
    <w:rsid w:val="00361ACD"/>
    <w:rsid w:val="00361C63"/>
    <w:rsid w:val="003620B4"/>
    <w:rsid w:val="00362962"/>
    <w:rsid w:val="00362E47"/>
    <w:rsid w:val="003637D2"/>
    <w:rsid w:val="0036502E"/>
    <w:rsid w:val="00365842"/>
    <w:rsid w:val="00365B30"/>
    <w:rsid w:val="003664C0"/>
    <w:rsid w:val="00366A21"/>
    <w:rsid w:val="003670D2"/>
    <w:rsid w:val="00367237"/>
    <w:rsid w:val="0036795A"/>
    <w:rsid w:val="00367BE4"/>
    <w:rsid w:val="00370192"/>
    <w:rsid w:val="003701FD"/>
    <w:rsid w:val="003705BD"/>
    <w:rsid w:val="003705F2"/>
    <w:rsid w:val="0037077F"/>
    <w:rsid w:val="00370EA7"/>
    <w:rsid w:val="0037105B"/>
    <w:rsid w:val="00371244"/>
    <w:rsid w:val="003712F3"/>
    <w:rsid w:val="00371373"/>
    <w:rsid w:val="00371400"/>
    <w:rsid w:val="00371AA4"/>
    <w:rsid w:val="00371C7F"/>
    <w:rsid w:val="003734E1"/>
    <w:rsid w:val="00373882"/>
    <w:rsid w:val="003739E0"/>
    <w:rsid w:val="00374539"/>
    <w:rsid w:val="003746F5"/>
    <w:rsid w:val="00374C06"/>
    <w:rsid w:val="00374C3C"/>
    <w:rsid w:val="00374D9D"/>
    <w:rsid w:val="003751F2"/>
    <w:rsid w:val="00375988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463"/>
    <w:rsid w:val="00383E12"/>
    <w:rsid w:val="00384409"/>
    <w:rsid w:val="00385261"/>
    <w:rsid w:val="003852F9"/>
    <w:rsid w:val="00385830"/>
    <w:rsid w:val="0038598C"/>
    <w:rsid w:val="00385A29"/>
    <w:rsid w:val="00385AF5"/>
    <w:rsid w:val="00385E36"/>
    <w:rsid w:val="00386177"/>
    <w:rsid w:val="00387C8C"/>
    <w:rsid w:val="00387F36"/>
    <w:rsid w:val="0039060D"/>
    <w:rsid w:val="003919D7"/>
    <w:rsid w:val="00391BB3"/>
    <w:rsid w:val="00391D25"/>
    <w:rsid w:val="00391D6A"/>
    <w:rsid w:val="00392155"/>
    <w:rsid w:val="003923E6"/>
    <w:rsid w:val="00393962"/>
    <w:rsid w:val="00393A33"/>
    <w:rsid w:val="0039412E"/>
    <w:rsid w:val="0039417E"/>
    <w:rsid w:val="003954A7"/>
    <w:rsid w:val="003956B3"/>
    <w:rsid w:val="00396338"/>
    <w:rsid w:val="00396729"/>
    <w:rsid w:val="00396F14"/>
    <w:rsid w:val="00397138"/>
    <w:rsid w:val="003971F7"/>
    <w:rsid w:val="003974FD"/>
    <w:rsid w:val="00397D18"/>
    <w:rsid w:val="003A0560"/>
    <w:rsid w:val="003A0876"/>
    <w:rsid w:val="003A1417"/>
    <w:rsid w:val="003A1482"/>
    <w:rsid w:val="003A1A43"/>
    <w:rsid w:val="003A1B36"/>
    <w:rsid w:val="003A229B"/>
    <w:rsid w:val="003A2697"/>
    <w:rsid w:val="003A381A"/>
    <w:rsid w:val="003A3978"/>
    <w:rsid w:val="003A3FB8"/>
    <w:rsid w:val="003A406B"/>
    <w:rsid w:val="003A5228"/>
    <w:rsid w:val="003A53AE"/>
    <w:rsid w:val="003A5450"/>
    <w:rsid w:val="003A5D7F"/>
    <w:rsid w:val="003A66FB"/>
    <w:rsid w:val="003A7101"/>
    <w:rsid w:val="003A780F"/>
    <w:rsid w:val="003A7B6B"/>
    <w:rsid w:val="003B0AD3"/>
    <w:rsid w:val="003B1191"/>
    <w:rsid w:val="003B13CC"/>
    <w:rsid w:val="003B18D4"/>
    <w:rsid w:val="003B30B5"/>
    <w:rsid w:val="003B3252"/>
    <w:rsid w:val="003B32AE"/>
    <w:rsid w:val="003B3D6C"/>
    <w:rsid w:val="003B4DBB"/>
    <w:rsid w:val="003B5089"/>
    <w:rsid w:val="003B5BFE"/>
    <w:rsid w:val="003B6154"/>
    <w:rsid w:val="003B752D"/>
    <w:rsid w:val="003B7EC0"/>
    <w:rsid w:val="003C00CB"/>
    <w:rsid w:val="003C0DCD"/>
    <w:rsid w:val="003C121E"/>
    <w:rsid w:val="003C14A2"/>
    <w:rsid w:val="003C176B"/>
    <w:rsid w:val="003C27C0"/>
    <w:rsid w:val="003C3308"/>
    <w:rsid w:val="003C366A"/>
    <w:rsid w:val="003C3771"/>
    <w:rsid w:val="003C4585"/>
    <w:rsid w:val="003C4688"/>
    <w:rsid w:val="003C4C1A"/>
    <w:rsid w:val="003C55F7"/>
    <w:rsid w:val="003C59E0"/>
    <w:rsid w:val="003C5E5E"/>
    <w:rsid w:val="003C5E67"/>
    <w:rsid w:val="003C621C"/>
    <w:rsid w:val="003C64B1"/>
    <w:rsid w:val="003C6673"/>
    <w:rsid w:val="003C6C8D"/>
    <w:rsid w:val="003D0F33"/>
    <w:rsid w:val="003D0F56"/>
    <w:rsid w:val="003D1C1D"/>
    <w:rsid w:val="003D1F0C"/>
    <w:rsid w:val="003D29CB"/>
    <w:rsid w:val="003D2D18"/>
    <w:rsid w:val="003D3499"/>
    <w:rsid w:val="003D37E4"/>
    <w:rsid w:val="003D413F"/>
    <w:rsid w:val="003D4270"/>
    <w:rsid w:val="003D4522"/>
    <w:rsid w:val="003D4F95"/>
    <w:rsid w:val="003D5941"/>
    <w:rsid w:val="003D5CE9"/>
    <w:rsid w:val="003D5E1A"/>
    <w:rsid w:val="003D5E86"/>
    <w:rsid w:val="003D5F42"/>
    <w:rsid w:val="003D60A9"/>
    <w:rsid w:val="003D641F"/>
    <w:rsid w:val="003D6693"/>
    <w:rsid w:val="003D698B"/>
    <w:rsid w:val="003D6E11"/>
    <w:rsid w:val="003D74B0"/>
    <w:rsid w:val="003D7B05"/>
    <w:rsid w:val="003D7FBE"/>
    <w:rsid w:val="003E0955"/>
    <w:rsid w:val="003E09E1"/>
    <w:rsid w:val="003E1744"/>
    <w:rsid w:val="003E1B4A"/>
    <w:rsid w:val="003E1CC5"/>
    <w:rsid w:val="003E2EEF"/>
    <w:rsid w:val="003E3302"/>
    <w:rsid w:val="003E3878"/>
    <w:rsid w:val="003E47A5"/>
    <w:rsid w:val="003E489A"/>
    <w:rsid w:val="003E4AF6"/>
    <w:rsid w:val="003E50D0"/>
    <w:rsid w:val="003E58C8"/>
    <w:rsid w:val="003E5AA9"/>
    <w:rsid w:val="003E6589"/>
    <w:rsid w:val="003E73C4"/>
    <w:rsid w:val="003E7BC5"/>
    <w:rsid w:val="003F011E"/>
    <w:rsid w:val="003F0399"/>
    <w:rsid w:val="003F0D64"/>
    <w:rsid w:val="003F17D3"/>
    <w:rsid w:val="003F2F2A"/>
    <w:rsid w:val="003F4B9A"/>
    <w:rsid w:val="003F4B9D"/>
    <w:rsid w:val="003F5C9F"/>
    <w:rsid w:val="003F6DEF"/>
    <w:rsid w:val="003F72C9"/>
    <w:rsid w:val="003F7602"/>
    <w:rsid w:val="003F7C8C"/>
    <w:rsid w:val="003F7FE6"/>
    <w:rsid w:val="0040123B"/>
    <w:rsid w:val="004012CB"/>
    <w:rsid w:val="00402118"/>
    <w:rsid w:val="00402A72"/>
    <w:rsid w:val="00402AEA"/>
    <w:rsid w:val="00402BDC"/>
    <w:rsid w:val="00403D7D"/>
    <w:rsid w:val="0040548A"/>
    <w:rsid w:val="00406404"/>
    <w:rsid w:val="00406502"/>
    <w:rsid w:val="00406EE5"/>
    <w:rsid w:val="00407676"/>
    <w:rsid w:val="0040794E"/>
    <w:rsid w:val="00410120"/>
    <w:rsid w:val="00410948"/>
    <w:rsid w:val="00410AA7"/>
    <w:rsid w:val="00410BBF"/>
    <w:rsid w:val="00410E0B"/>
    <w:rsid w:val="00411708"/>
    <w:rsid w:val="0041222D"/>
    <w:rsid w:val="0041239C"/>
    <w:rsid w:val="00412580"/>
    <w:rsid w:val="00412CAB"/>
    <w:rsid w:val="00413354"/>
    <w:rsid w:val="004137F0"/>
    <w:rsid w:val="00413C24"/>
    <w:rsid w:val="00413F31"/>
    <w:rsid w:val="004143BA"/>
    <w:rsid w:val="0041441E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18A"/>
    <w:rsid w:val="00422391"/>
    <w:rsid w:val="00422B46"/>
    <w:rsid w:val="00422BBD"/>
    <w:rsid w:val="00423132"/>
    <w:rsid w:val="00423C85"/>
    <w:rsid w:val="00423CCE"/>
    <w:rsid w:val="00423E1E"/>
    <w:rsid w:val="0042446D"/>
    <w:rsid w:val="00424619"/>
    <w:rsid w:val="00424BD6"/>
    <w:rsid w:val="00424C40"/>
    <w:rsid w:val="00424D5D"/>
    <w:rsid w:val="00424FC0"/>
    <w:rsid w:val="0042502E"/>
    <w:rsid w:val="00425D9C"/>
    <w:rsid w:val="00426089"/>
    <w:rsid w:val="00427BF8"/>
    <w:rsid w:val="00430079"/>
    <w:rsid w:val="004301ED"/>
    <w:rsid w:val="00430E29"/>
    <w:rsid w:val="00431406"/>
    <w:rsid w:val="00431C02"/>
    <w:rsid w:val="004330E7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0A7"/>
    <w:rsid w:val="00440DA4"/>
    <w:rsid w:val="00440F03"/>
    <w:rsid w:val="00441C4B"/>
    <w:rsid w:val="00442692"/>
    <w:rsid w:val="0044282B"/>
    <w:rsid w:val="00443C99"/>
    <w:rsid w:val="00444690"/>
    <w:rsid w:val="00445047"/>
    <w:rsid w:val="0044541F"/>
    <w:rsid w:val="004455C0"/>
    <w:rsid w:val="00446151"/>
    <w:rsid w:val="00446414"/>
    <w:rsid w:val="0044655C"/>
    <w:rsid w:val="00447F34"/>
    <w:rsid w:val="00450CEE"/>
    <w:rsid w:val="00451EFA"/>
    <w:rsid w:val="00452C3B"/>
    <w:rsid w:val="00452E61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5D3B"/>
    <w:rsid w:val="00456A5F"/>
    <w:rsid w:val="00456DEF"/>
    <w:rsid w:val="00457388"/>
    <w:rsid w:val="00457C33"/>
    <w:rsid w:val="00457D9C"/>
    <w:rsid w:val="00461508"/>
    <w:rsid w:val="004618FB"/>
    <w:rsid w:val="004620BB"/>
    <w:rsid w:val="004620CF"/>
    <w:rsid w:val="0046443A"/>
    <w:rsid w:val="00464543"/>
    <w:rsid w:val="0046457D"/>
    <w:rsid w:val="004656E0"/>
    <w:rsid w:val="004657FC"/>
    <w:rsid w:val="0046631D"/>
    <w:rsid w:val="0046678C"/>
    <w:rsid w:val="004667E3"/>
    <w:rsid w:val="00466A8C"/>
    <w:rsid w:val="00466C34"/>
    <w:rsid w:val="00467984"/>
    <w:rsid w:val="00467C68"/>
    <w:rsid w:val="0047059B"/>
    <w:rsid w:val="00470D45"/>
    <w:rsid w:val="00470DCE"/>
    <w:rsid w:val="00470FF5"/>
    <w:rsid w:val="00471315"/>
    <w:rsid w:val="00472016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0DC6"/>
    <w:rsid w:val="00481B54"/>
    <w:rsid w:val="004840C0"/>
    <w:rsid w:val="00484D5C"/>
    <w:rsid w:val="00484F26"/>
    <w:rsid w:val="0048611F"/>
    <w:rsid w:val="004866F8"/>
    <w:rsid w:val="00486E04"/>
    <w:rsid w:val="00486FBD"/>
    <w:rsid w:val="00490049"/>
    <w:rsid w:val="004903B6"/>
    <w:rsid w:val="00492C50"/>
    <w:rsid w:val="004930F0"/>
    <w:rsid w:val="0049330E"/>
    <w:rsid w:val="004935FC"/>
    <w:rsid w:val="004945F7"/>
    <w:rsid w:val="00494A6D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455"/>
    <w:rsid w:val="004A3691"/>
    <w:rsid w:val="004A3B58"/>
    <w:rsid w:val="004A4FF3"/>
    <w:rsid w:val="004A6298"/>
    <w:rsid w:val="004A7DE9"/>
    <w:rsid w:val="004B0516"/>
    <w:rsid w:val="004B07A9"/>
    <w:rsid w:val="004B0FAE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6C38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2831"/>
    <w:rsid w:val="004C3066"/>
    <w:rsid w:val="004C3234"/>
    <w:rsid w:val="004C3464"/>
    <w:rsid w:val="004C3485"/>
    <w:rsid w:val="004C3BCB"/>
    <w:rsid w:val="004C5ECE"/>
    <w:rsid w:val="004C61C4"/>
    <w:rsid w:val="004C6D40"/>
    <w:rsid w:val="004D0FB7"/>
    <w:rsid w:val="004D1124"/>
    <w:rsid w:val="004D1724"/>
    <w:rsid w:val="004D1B0A"/>
    <w:rsid w:val="004D20AA"/>
    <w:rsid w:val="004D2E79"/>
    <w:rsid w:val="004D33C7"/>
    <w:rsid w:val="004D35D6"/>
    <w:rsid w:val="004D3A51"/>
    <w:rsid w:val="004D4131"/>
    <w:rsid w:val="004D426C"/>
    <w:rsid w:val="004D5D1D"/>
    <w:rsid w:val="004D5D45"/>
    <w:rsid w:val="004D5E7B"/>
    <w:rsid w:val="004D6D59"/>
    <w:rsid w:val="004D6F5D"/>
    <w:rsid w:val="004D76BC"/>
    <w:rsid w:val="004D77D8"/>
    <w:rsid w:val="004D7C1A"/>
    <w:rsid w:val="004D7D16"/>
    <w:rsid w:val="004E0172"/>
    <w:rsid w:val="004E0785"/>
    <w:rsid w:val="004E10FE"/>
    <w:rsid w:val="004E241D"/>
    <w:rsid w:val="004E25E8"/>
    <w:rsid w:val="004E2F7E"/>
    <w:rsid w:val="004E4F33"/>
    <w:rsid w:val="004E5C45"/>
    <w:rsid w:val="004E6B3D"/>
    <w:rsid w:val="004E7827"/>
    <w:rsid w:val="004E799F"/>
    <w:rsid w:val="004E79FF"/>
    <w:rsid w:val="004E7B11"/>
    <w:rsid w:val="004E7B8E"/>
    <w:rsid w:val="004F030D"/>
    <w:rsid w:val="004F096E"/>
    <w:rsid w:val="004F0C3C"/>
    <w:rsid w:val="004F0F29"/>
    <w:rsid w:val="004F14DF"/>
    <w:rsid w:val="004F162D"/>
    <w:rsid w:val="004F1D12"/>
    <w:rsid w:val="004F2A5F"/>
    <w:rsid w:val="004F34DE"/>
    <w:rsid w:val="004F3628"/>
    <w:rsid w:val="004F4001"/>
    <w:rsid w:val="004F4160"/>
    <w:rsid w:val="004F575F"/>
    <w:rsid w:val="004F59DD"/>
    <w:rsid w:val="004F60C6"/>
    <w:rsid w:val="004F63FC"/>
    <w:rsid w:val="004F6BB7"/>
    <w:rsid w:val="004F7959"/>
    <w:rsid w:val="004F7F43"/>
    <w:rsid w:val="005000A4"/>
    <w:rsid w:val="00500813"/>
    <w:rsid w:val="00500E4F"/>
    <w:rsid w:val="005011D1"/>
    <w:rsid w:val="005011FF"/>
    <w:rsid w:val="00502030"/>
    <w:rsid w:val="0050277F"/>
    <w:rsid w:val="00503573"/>
    <w:rsid w:val="00503B80"/>
    <w:rsid w:val="00504601"/>
    <w:rsid w:val="0050466E"/>
    <w:rsid w:val="005048AB"/>
    <w:rsid w:val="005059A8"/>
    <w:rsid w:val="00505A92"/>
    <w:rsid w:val="00505C76"/>
    <w:rsid w:val="0050636E"/>
    <w:rsid w:val="00506FBD"/>
    <w:rsid w:val="005075ED"/>
    <w:rsid w:val="00507890"/>
    <w:rsid w:val="00507B04"/>
    <w:rsid w:val="00507C68"/>
    <w:rsid w:val="00510774"/>
    <w:rsid w:val="00510EF8"/>
    <w:rsid w:val="00511392"/>
    <w:rsid w:val="005115B4"/>
    <w:rsid w:val="00511EB4"/>
    <w:rsid w:val="00512CF5"/>
    <w:rsid w:val="005130E1"/>
    <w:rsid w:val="00513C35"/>
    <w:rsid w:val="00513E97"/>
    <w:rsid w:val="0051442B"/>
    <w:rsid w:val="005144DB"/>
    <w:rsid w:val="005152F3"/>
    <w:rsid w:val="005157B8"/>
    <w:rsid w:val="00516034"/>
    <w:rsid w:val="00516200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20B"/>
    <w:rsid w:val="00524DF5"/>
    <w:rsid w:val="00525564"/>
    <w:rsid w:val="005255FB"/>
    <w:rsid w:val="0052582A"/>
    <w:rsid w:val="005258E7"/>
    <w:rsid w:val="005263EB"/>
    <w:rsid w:val="00526537"/>
    <w:rsid w:val="00526A72"/>
    <w:rsid w:val="0053099E"/>
    <w:rsid w:val="005312A3"/>
    <w:rsid w:val="00531632"/>
    <w:rsid w:val="00532001"/>
    <w:rsid w:val="00532020"/>
    <w:rsid w:val="00532EF9"/>
    <w:rsid w:val="00532FF8"/>
    <w:rsid w:val="00534DB3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C75"/>
    <w:rsid w:val="00541D4A"/>
    <w:rsid w:val="00542505"/>
    <w:rsid w:val="0054251F"/>
    <w:rsid w:val="00542AB6"/>
    <w:rsid w:val="005432F0"/>
    <w:rsid w:val="00543488"/>
    <w:rsid w:val="0054405E"/>
    <w:rsid w:val="00544332"/>
    <w:rsid w:val="00544BBC"/>
    <w:rsid w:val="00544CAC"/>
    <w:rsid w:val="005459A1"/>
    <w:rsid w:val="005463B9"/>
    <w:rsid w:val="00546B1B"/>
    <w:rsid w:val="00546B49"/>
    <w:rsid w:val="00546CE8"/>
    <w:rsid w:val="0054774D"/>
    <w:rsid w:val="00547830"/>
    <w:rsid w:val="00547CE6"/>
    <w:rsid w:val="005504D9"/>
    <w:rsid w:val="00551683"/>
    <w:rsid w:val="00551A44"/>
    <w:rsid w:val="005520D8"/>
    <w:rsid w:val="0055212F"/>
    <w:rsid w:val="005521CD"/>
    <w:rsid w:val="0055240C"/>
    <w:rsid w:val="00552466"/>
    <w:rsid w:val="00552855"/>
    <w:rsid w:val="00552B99"/>
    <w:rsid w:val="0055321F"/>
    <w:rsid w:val="00553AC9"/>
    <w:rsid w:val="00555522"/>
    <w:rsid w:val="00555816"/>
    <w:rsid w:val="00555A18"/>
    <w:rsid w:val="00555C08"/>
    <w:rsid w:val="00556091"/>
    <w:rsid w:val="00556727"/>
    <w:rsid w:val="00556CF1"/>
    <w:rsid w:val="00556DCC"/>
    <w:rsid w:val="00557B13"/>
    <w:rsid w:val="005605B7"/>
    <w:rsid w:val="00560945"/>
    <w:rsid w:val="00560D27"/>
    <w:rsid w:val="0056282D"/>
    <w:rsid w:val="0056376E"/>
    <w:rsid w:val="00563C20"/>
    <w:rsid w:val="005644E7"/>
    <w:rsid w:val="00564DCF"/>
    <w:rsid w:val="00565FD3"/>
    <w:rsid w:val="0056664B"/>
    <w:rsid w:val="005701F7"/>
    <w:rsid w:val="00572105"/>
    <w:rsid w:val="00572466"/>
    <w:rsid w:val="00573568"/>
    <w:rsid w:val="00573C1F"/>
    <w:rsid w:val="005744DB"/>
    <w:rsid w:val="005745A6"/>
    <w:rsid w:val="00574DAE"/>
    <w:rsid w:val="005762A7"/>
    <w:rsid w:val="005770D0"/>
    <w:rsid w:val="00577DFE"/>
    <w:rsid w:val="00581DD1"/>
    <w:rsid w:val="005823AE"/>
    <w:rsid w:val="00582494"/>
    <w:rsid w:val="00582EE9"/>
    <w:rsid w:val="00583872"/>
    <w:rsid w:val="00583CC6"/>
    <w:rsid w:val="00584DCC"/>
    <w:rsid w:val="00584DE0"/>
    <w:rsid w:val="005852D9"/>
    <w:rsid w:val="005858CA"/>
    <w:rsid w:val="00585BE3"/>
    <w:rsid w:val="00586A2E"/>
    <w:rsid w:val="0058748D"/>
    <w:rsid w:val="00587877"/>
    <w:rsid w:val="00590D04"/>
    <w:rsid w:val="00590FFD"/>
    <w:rsid w:val="00591320"/>
    <w:rsid w:val="005916D7"/>
    <w:rsid w:val="0059189F"/>
    <w:rsid w:val="00591A6F"/>
    <w:rsid w:val="00593195"/>
    <w:rsid w:val="00593FA7"/>
    <w:rsid w:val="00595CEC"/>
    <w:rsid w:val="0059737C"/>
    <w:rsid w:val="00597794"/>
    <w:rsid w:val="00597BDB"/>
    <w:rsid w:val="00597D52"/>
    <w:rsid w:val="005A0542"/>
    <w:rsid w:val="005A0D09"/>
    <w:rsid w:val="005A110B"/>
    <w:rsid w:val="005A1CA4"/>
    <w:rsid w:val="005A2282"/>
    <w:rsid w:val="005A230D"/>
    <w:rsid w:val="005A2361"/>
    <w:rsid w:val="005A2FF7"/>
    <w:rsid w:val="005A315F"/>
    <w:rsid w:val="005A45B3"/>
    <w:rsid w:val="005A45CD"/>
    <w:rsid w:val="005A548B"/>
    <w:rsid w:val="005A5677"/>
    <w:rsid w:val="005A5F08"/>
    <w:rsid w:val="005A5F33"/>
    <w:rsid w:val="005A60C5"/>
    <w:rsid w:val="005A6352"/>
    <w:rsid w:val="005A651F"/>
    <w:rsid w:val="005A698C"/>
    <w:rsid w:val="005A6F1A"/>
    <w:rsid w:val="005A76FE"/>
    <w:rsid w:val="005A792B"/>
    <w:rsid w:val="005B008D"/>
    <w:rsid w:val="005B00E1"/>
    <w:rsid w:val="005B03E6"/>
    <w:rsid w:val="005B0502"/>
    <w:rsid w:val="005B09B1"/>
    <w:rsid w:val="005B0C3B"/>
    <w:rsid w:val="005B10FD"/>
    <w:rsid w:val="005B17B9"/>
    <w:rsid w:val="005B1E98"/>
    <w:rsid w:val="005B2464"/>
    <w:rsid w:val="005B2515"/>
    <w:rsid w:val="005B28E4"/>
    <w:rsid w:val="005B397D"/>
    <w:rsid w:val="005B46C4"/>
    <w:rsid w:val="005B4A9F"/>
    <w:rsid w:val="005B4F6A"/>
    <w:rsid w:val="005B678B"/>
    <w:rsid w:val="005C0383"/>
    <w:rsid w:val="005C11AC"/>
    <w:rsid w:val="005C13F2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4E32"/>
    <w:rsid w:val="005C4E74"/>
    <w:rsid w:val="005C4FCE"/>
    <w:rsid w:val="005C545D"/>
    <w:rsid w:val="005C5687"/>
    <w:rsid w:val="005C572D"/>
    <w:rsid w:val="005C5733"/>
    <w:rsid w:val="005C5AC5"/>
    <w:rsid w:val="005C5F3F"/>
    <w:rsid w:val="005C613E"/>
    <w:rsid w:val="005C70EF"/>
    <w:rsid w:val="005C7AFA"/>
    <w:rsid w:val="005C7E09"/>
    <w:rsid w:val="005D031D"/>
    <w:rsid w:val="005D0646"/>
    <w:rsid w:val="005D0D2F"/>
    <w:rsid w:val="005D189A"/>
    <w:rsid w:val="005D1D90"/>
    <w:rsid w:val="005D2024"/>
    <w:rsid w:val="005D2F87"/>
    <w:rsid w:val="005D3ACB"/>
    <w:rsid w:val="005D40E2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315"/>
    <w:rsid w:val="005E2730"/>
    <w:rsid w:val="005E291A"/>
    <w:rsid w:val="005E38B5"/>
    <w:rsid w:val="005E4185"/>
    <w:rsid w:val="005E42C9"/>
    <w:rsid w:val="005E44F9"/>
    <w:rsid w:val="005E4B59"/>
    <w:rsid w:val="005E4D75"/>
    <w:rsid w:val="005E543E"/>
    <w:rsid w:val="005E5B40"/>
    <w:rsid w:val="005E671E"/>
    <w:rsid w:val="005E6D68"/>
    <w:rsid w:val="005E76C0"/>
    <w:rsid w:val="005E7890"/>
    <w:rsid w:val="005F1265"/>
    <w:rsid w:val="005F1367"/>
    <w:rsid w:val="005F265B"/>
    <w:rsid w:val="005F2B06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3D8"/>
    <w:rsid w:val="005F6742"/>
    <w:rsid w:val="005F7CDE"/>
    <w:rsid w:val="005F7CFC"/>
    <w:rsid w:val="006002F3"/>
    <w:rsid w:val="00600454"/>
    <w:rsid w:val="006004C8"/>
    <w:rsid w:val="006005DD"/>
    <w:rsid w:val="006009DB"/>
    <w:rsid w:val="00600D78"/>
    <w:rsid w:val="00601F5D"/>
    <w:rsid w:val="00603389"/>
    <w:rsid w:val="006035C3"/>
    <w:rsid w:val="00603DBF"/>
    <w:rsid w:val="00603EF9"/>
    <w:rsid w:val="006040CC"/>
    <w:rsid w:val="006044FF"/>
    <w:rsid w:val="00604D27"/>
    <w:rsid w:val="006069B1"/>
    <w:rsid w:val="00606F51"/>
    <w:rsid w:val="00607223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526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1CE9"/>
    <w:rsid w:val="00622000"/>
    <w:rsid w:val="00622B00"/>
    <w:rsid w:val="00622BB9"/>
    <w:rsid w:val="00622E36"/>
    <w:rsid w:val="00623453"/>
    <w:rsid w:val="00624403"/>
    <w:rsid w:val="00625C9A"/>
    <w:rsid w:val="006260EE"/>
    <w:rsid w:val="006263BB"/>
    <w:rsid w:val="0062722A"/>
    <w:rsid w:val="0062728A"/>
    <w:rsid w:val="00627795"/>
    <w:rsid w:val="0062786E"/>
    <w:rsid w:val="00627ECF"/>
    <w:rsid w:val="0063022E"/>
    <w:rsid w:val="00631140"/>
    <w:rsid w:val="006316CD"/>
    <w:rsid w:val="006317C6"/>
    <w:rsid w:val="00631A4E"/>
    <w:rsid w:val="00631EDA"/>
    <w:rsid w:val="00632905"/>
    <w:rsid w:val="0063332A"/>
    <w:rsid w:val="00633453"/>
    <w:rsid w:val="0063437B"/>
    <w:rsid w:val="006359F5"/>
    <w:rsid w:val="00635BAB"/>
    <w:rsid w:val="00635CF7"/>
    <w:rsid w:val="00636475"/>
    <w:rsid w:val="006367CB"/>
    <w:rsid w:val="00636E88"/>
    <w:rsid w:val="00636EAD"/>
    <w:rsid w:val="006378F6"/>
    <w:rsid w:val="00637926"/>
    <w:rsid w:val="00640054"/>
    <w:rsid w:val="00640AB1"/>
    <w:rsid w:val="00640E84"/>
    <w:rsid w:val="006413D0"/>
    <w:rsid w:val="00641A8A"/>
    <w:rsid w:val="00641BDB"/>
    <w:rsid w:val="00642674"/>
    <w:rsid w:val="00642866"/>
    <w:rsid w:val="0064301C"/>
    <w:rsid w:val="0064376A"/>
    <w:rsid w:val="00643DE3"/>
    <w:rsid w:val="00644582"/>
    <w:rsid w:val="00645A93"/>
    <w:rsid w:val="00645F40"/>
    <w:rsid w:val="0064618C"/>
    <w:rsid w:val="006470F5"/>
    <w:rsid w:val="0064740E"/>
    <w:rsid w:val="006479E1"/>
    <w:rsid w:val="00647E3A"/>
    <w:rsid w:val="006502A5"/>
    <w:rsid w:val="0065069A"/>
    <w:rsid w:val="006508B3"/>
    <w:rsid w:val="00650AF2"/>
    <w:rsid w:val="00650DD7"/>
    <w:rsid w:val="00651C52"/>
    <w:rsid w:val="006526C5"/>
    <w:rsid w:val="006527B4"/>
    <w:rsid w:val="00652E05"/>
    <w:rsid w:val="00653646"/>
    <w:rsid w:val="006537E1"/>
    <w:rsid w:val="00653A13"/>
    <w:rsid w:val="00653DC7"/>
    <w:rsid w:val="0065412C"/>
    <w:rsid w:val="0065446D"/>
    <w:rsid w:val="006545A3"/>
    <w:rsid w:val="00656046"/>
    <w:rsid w:val="00657760"/>
    <w:rsid w:val="00660551"/>
    <w:rsid w:val="00660683"/>
    <w:rsid w:val="00660F74"/>
    <w:rsid w:val="00660FA0"/>
    <w:rsid w:val="006611E8"/>
    <w:rsid w:val="00661C39"/>
    <w:rsid w:val="00662146"/>
    <w:rsid w:val="00662B1E"/>
    <w:rsid w:val="00663A15"/>
    <w:rsid w:val="006644F5"/>
    <w:rsid w:val="00665418"/>
    <w:rsid w:val="00665808"/>
    <w:rsid w:val="00665E55"/>
    <w:rsid w:val="00666682"/>
    <w:rsid w:val="00666A3D"/>
    <w:rsid w:val="00666F6F"/>
    <w:rsid w:val="006673CA"/>
    <w:rsid w:val="00667532"/>
    <w:rsid w:val="00667F18"/>
    <w:rsid w:val="00667F9F"/>
    <w:rsid w:val="00670F4C"/>
    <w:rsid w:val="006710B5"/>
    <w:rsid w:val="006720DB"/>
    <w:rsid w:val="00672F94"/>
    <w:rsid w:val="006752FE"/>
    <w:rsid w:val="00677BED"/>
    <w:rsid w:val="00680455"/>
    <w:rsid w:val="00680DD6"/>
    <w:rsid w:val="006816D1"/>
    <w:rsid w:val="00682501"/>
    <w:rsid w:val="006828EB"/>
    <w:rsid w:val="00683090"/>
    <w:rsid w:val="006836BF"/>
    <w:rsid w:val="0068414D"/>
    <w:rsid w:val="00684AF5"/>
    <w:rsid w:val="00684D61"/>
    <w:rsid w:val="00684FCF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1"/>
    <w:rsid w:val="00691E55"/>
    <w:rsid w:val="00692A72"/>
    <w:rsid w:val="00693174"/>
    <w:rsid w:val="0069412F"/>
    <w:rsid w:val="00694784"/>
    <w:rsid w:val="0069486B"/>
    <w:rsid w:val="00695127"/>
    <w:rsid w:val="00695647"/>
    <w:rsid w:val="00697161"/>
    <w:rsid w:val="00697272"/>
    <w:rsid w:val="00697454"/>
    <w:rsid w:val="006A1109"/>
    <w:rsid w:val="006A11E0"/>
    <w:rsid w:val="006A15C9"/>
    <w:rsid w:val="006A183F"/>
    <w:rsid w:val="006A3452"/>
    <w:rsid w:val="006A3560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D54"/>
    <w:rsid w:val="006B0E9E"/>
    <w:rsid w:val="006B1148"/>
    <w:rsid w:val="006B126F"/>
    <w:rsid w:val="006B1271"/>
    <w:rsid w:val="006B17C8"/>
    <w:rsid w:val="006B17FD"/>
    <w:rsid w:val="006B2001"/>
    <w:rsid w:val="006B2275"/>
    <w:rsid w:val="006B2B97"/>
    <w:rsid w:val="006B2D58"/>
    <w:rsid w:val="006B2E89"/>
    <w:rsid w:val="006B33D8"/>
    <w:rsid w:val="006B3F72"/>
    <w:rsid w:val="006B46C5"/>
    <w:rsid w:val="006B487A"/>
    <w:rsid w:val="006B51A3"/>
    <w:rsid w:val="006B5260"/>
    <w:rsid w:val="006B542A"/>
    <w:rsid w:val="006B5AE4"/>
    <w:rsid w:val="006B5D1B"/>
    <w:rsid w:val="006B60CA"/>
    <w:rsid w:val="006B6DB5"/>
    <w:rsid w:val="006B7D87"/>
    <w:rsid w:val="006B7DF6"/>
    <w:rsid w:val="006C042D"/>
    <w:rsid w:val="006C0AC2"/>
    <w:rsid w:val="006C0E15"/>
    <w:rsid w:val="006C11BE"/>
    <w:rsid w:val="006C1BDE"/>
    <w:rsid w:val="006C2278"/>
    <w:rsid w:val="006C2B48"/>
    <w:rsid w:val="006C2CC3"/>
    <w:rsid w:val="006C346A"/>
    <w:rsid w:val="006C3A9E"/>
    <w:rsid w:val="006C3BEB"/>
    <w:rsid w:val="006C3DBF"/>
    <w:rsid w:val="006C42F2"/>
    <w:rsid w:val="006C480C"/>
    <w:rsid w:val="006C55A5"/>
    <w:rsid w:val="006C57CB"/>
    <w:rsid w:val="006C5899"/>
    <w:rsid w:val="006C5F1B"/>
    <w:rsid w:val="006C605A"/>
    <w:rsid w:val="006C6414"/>
    <w:rsid w:val="006C66E1"/>
    <w:rsid w:val="006C6A45"/>
    <w:rsid w:val="006C7BA6"/>
    <w:rsid w:val="006C7D2B"/>
    <w:rsid w:val="006D0498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4EA7"/>
    <w:rsid w:val="006D4F91"/>
    <w:rsid w:val="006D540C"/>
    <w:rsid w:val="006D5F07"/>
    <w:rsid w:val="006D612C"/>
    <w:rsid w:val="006D6332"/>
    <w:rsid w:val="006D6503"/>
    <w:rsid w:val="006D6788"/>
    <w:rsid w:val="006D6CF9"/>
    <w:rsid w:val="006D7090"/>
    <w:rsid w:val="006D74A6"/>
    <w:rsid w:val="006E02EC"/>
    <w:rsid w:val="006E08A4"/>
    <w:rsid w:val="006E0A6F"/>
    <w:rsid w:val="006E1DDA"/>
    <w:rsid w:val="006E2BFD"/>
    <w:rsid w:val="006E33AD"/>
    <w:rsid w:val="006E49D2"/>
    <w:rsid w:val="006E4CDA"/>
    <w:rsid w:val="006E60C9"/>
    <w:rsid w:val="006E64A8"/>
    <w:rsid w:val="006E65EF"/>
    <w:rsid w:val="006E71E2"/>
    <w:rsid w:val="006E7433"/>
    <w:rsid w:val="006E7B43"/>
    <w:rsid w:val="006F18A0"/>
    <w:rsid w:val="006F209C"/>
    <w:rsid w:val="006F225B"/>
    <w:rsid w:val="006F2453"/>
    <w:rsid w:val="006F2F6F"/>
    <w:rsid w:val="006F2FC6"/>
    <w:rsid w:val="006F404F"/>
    <w:rsid w:val="006F4864"/>
    <w:rsid w:val="006F5000"/>
    <w:rsid w:val="006F554C"/>
    <w:rsid w:val="006F5C9D"/>
    <w:rsid w:val="006F5D8B"/>
    <w:rsid w:val="006F6A68"/>
    <w:rsid w:val="006F6A98"/>
    <w:rsid w:val="006F7141"/>
    <w:rsid w:val="006F76C1"/>
    <w:rsid w:val="006F7A4B"/>
    <w:rsid w:val="00700090"/>
    <w:rsid w:val="00700158"/>
    <w:rsid w:val="007004A8"/>
    <w:rsid w:val="00700ADF"/>
    <w:rsid w:val="00700D52"/>
    <w:rsid w:val="00701610"/>
    <w:rsid w:val="0070171E"/>
    <w:rsid w:val="007024CD"/>
    <w:rsid w:val="00703DC0"/>
    <w:rsid w:val="00704035"/>
    <w:rsid w:val="007047B6"/>
    <w:rsid w:val="007053D5"/>
    <w:rsid w:val="00705CB0"/>
    <w:rsid w:val="00706309"/>
    <w:rsid w:val="007066A3"/>
    <w:rsid w:val="007067CC"/>
    <w:rsid w:val="00706DD3"/>
    <w:rsid w:val="00706F4E"/>
    <w:rsid w:val="00707CF2"/>
    <w:rsid w:val="00707ECB"/>
    <w:rsid w:val="00707F35"/>
    <w:rsid w:val="00711541"/>
    <w:rsid w:val="0071164B"/>
    <w:rsid w:val="00712027"/>
    <w:rsid w:val="00712211"/>
    <w:rsid w:val="00712BE4"/>
    <w:rsid w:val="007131F0"/>
    <w:rsid w:val="007138A6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3943"/>
    <w:rsid w:val="00724BB7"/>
    <w:rsid w:val="00726140"/>
    <w:rsid w:val="00726294"/>
    <w:rsid w:val="007262DA"/>
    <w:rsid w:val="007264ED"/>
    <w:rsid w:val="00726587"/>
    <w:rsid w:val="00726702"/>
    <w:rsid w:val="007268C8"/>
    <w:rsid w:val="0072694E"/>
    <w:rsid w:val="007269FB"/>
    <w:rsid w:val="0072703C"/>
    <w:rsid w:val="007278FD"/>
    <w:rsid w:val="00727C5C"/>
    <w:rsid w:val="007300BC"/>
    <w:rsid w:val="007304B9"/>
    <w:rsid w:val="00730884"/>
    <w:rsid w:val="007309C1"/>
    <w:rsid w:val="00730E35"/>
    <w:rsid w:val="007316E0"/>
    <w:rsid w:val="007320DE"/>
    <w:rsid w:val="007322C7"/>
    <w:rsid w:val="00733D27"/>
    <w:rsid w:val="00733DA6"/>
    <w:rsid w:val="007344BA"/>
    <w:rsid w:val="00734951"/>
    <w:rsid w:val="00734CBE"/>
    <w:rsid w:val="00734E28"/>
    <w:rsid w:val="007357A2"/>
    <w:rsid w:val="00736417"/>
    <w:rsid w:val="00736C0B"/>
    <w:rsid w:val="00736EA2"/>
    <w:rsid w:val="0073718F"/>
    <w:rsid w:val="00737805"/>
    <w:rsid w:val="00740322"/>
    <w:rsid w:val="00740349"/>
    <w:rsid w:val="007405F4"/>
    <w:rsid w:val="00740AFA"/>
    <w:rsid w:val="00740F7E"/>
    <w:rsid w:val="00740F9B"/>
    <w:rsid w:val="00741A83"/>
    <w:rsid w:val="00742610"/>
    <w:rsid w:val="00742F67"/>
    <w:rsid w:val="007431BF"/>
    <w:rsid w:val="0074395E"/>
    <w:rsid w:val="00744346"/>
    <w:rsid w:val="00744556"/>
    <w:rsid w:val="00744AA8"/>
    <w:rsid w:val="00744BBC"/>
    <w:rsid w:val="007456A5"/>
    <w:rsid w:val="00745823"/>
    <w:rsid w:val="0074607A"/>
    <w:rsid w:val="00746187"/>
    <w:rsid w:val="007465CF"/>
    <w:rsid w:val="0074773B"/>
    <w:rsid w:val="00750030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4F3"/>
    <w:rsid w:val="00752CD8"/>
    <w:rsid w:val="00752D23"/>
    <w:rsid w:val="007530C0"/>
    <w:rsid w:val="00753625"/>
    <w:rsid w:val="0075362E"/>
    <w:rsid w:val="00753691"/>
    <w:rsid w:val="00753CFF"/>
    <w:rsid w:val="007541AE"/>
    <w:rsid w:val="0075458D"/>
    <w:rsid w:val="00755269"/>
    <w:rsid w:val="007555EB"/>
    <w:rsid w:val="007558EE"/>
    <w:rsid w:val="00755AF0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3063"/>
    <w:rsid w:val="007635BC"/>
    <w:rsid w:val="00765527"/>
    <w:rsid w:val="00765F07"/>
    <w:rsid w:val="00766661"/>
    <w:rsid w:val="00770224"/>
    <w:rsid w:val="00772292"/>
    <w:rsid w:val="00772D94"/>
    <w:rsid w:val="00774AB8"/>
    <w:rsid w:val="00774B77"/>
    <w:rsid w:val="007756C1"/>
    <w:rsid w:val="00776A66"/>
    <w:rsid w:val="007770D0"/>
    <w:rsid w:val="00777BA6"/>
    <w:rsid w:val="007801F5"/>
    <w:rsid w:val="00780DCD"/>
    <w:rsid w:val="007811B8"/>
    <w:rsid w:val="007815B0"/>
    <w:rsid w:val="00781766"/>
    <w:rsid w:val="007817BE"/>
    <w:rsid w:val="00782AC2"/>
    <w:rsid w:val="00782EFF"/>
    <w:rsid w:val="00783613"/>
    <w:rsid w:val="00783CA4"/>
    <w:rsid w:val="00783D1F"/>
    <w:rsid w:val="00784017"/>
    <w:rsid w:val="007842FB"/>
    <w:rsid w:val="00786124"/>
    <w:rsid w:val="00786769"/>
    <w:rsid w:val="00786B00"/>
    <w:rsid w:val="00786E48"/>
    <w:rsid w:val="00786F98"/>
    <w:rsid w:val="0078701E"/>
    <w:rsid w:val="00787072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25E5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6F41"/>
    <w:rsid w:val="0079724F"/>
    <w:rsid w:val="007976BD"/>
    <w:rsid w:val="00797FBA"/>
    <w:rsid w:val="007A0AF1"/>
    <w:rsid w:val="007A13ED"/>
    <w:rsid w:val="007A18B3"/>
    <w:rsid w:val="007A2038"/>
    <w:rsid w:val="007A2250"/>
    <w:rsid w:val="007A2410"/>
    <w:rsid w:val="007A24AF"/>
    <w:rsid w:val="007A2DC1"/>
    <w:rsid w:val="007A2E33"/>
    <w:rsid w:val="007A354C"/>
    <w:rsid w:val="007A4B8A"/>
    <w:rsid w:val="007A508F"/>
    <w:rsid w:val="007A5500"/>
    <w:rsid w:val="007A5EDD"/>
    <w:rsid w:val="007A6145"/>
    <w:rsid w:val="007A6922"/>
    <w:rsid w:val="007A6A73"/>
    <w:rsid w:val="007A7CA3"/>
    <w:rsid w:val="007A7CCC"/>
    <w:rsid w:val="007A7E0A"/>
    <w:rsid w:val="007B0857"/>
    <w:rsid w:val="007B19E9"/>
    <w:rsid w:val="007B1A36"/>
    <w:rsid w:val="007B2211"/>
    <w:rsid w:val="007B2346"/>
    <w:rsid w:val="007B285E"/>
    <w:rsid w:val="007B3380"/>
    <w:rsid w:val="007B33D5"/>
    <w:rsid w:val="007B4120"/>
    <w:rsid w:val="007B4772"/>
    <w:rsid w:val="007B4814"/>
    <w:rsid w:val="007B4827"/>
    <w:rsid w:val="007B4B3D"/>
    <w:rsid w:val="007B5197"/>
    <w:rsid w:val="007B5545"/>
    <w:rsid w:val="007B5AA4"/>
    <w:rsid w:val="007B6718"/>
    <w:rsid w:val="007B7303"/>
    <w:rsid w:val="007C0D84"/>
    <w:rsid w:val="007C1A1F"/>
    <w:rsid w:val="007C229B"/>
    <w:rsid w:val="007C2707"/>
    <w:rsid w:val="007C2B59"/>
    <w:rsid w:val="007C2D19"/>
    <w:rsid w:val="007C2EC3"/>
    <w:rsid w:val="007C341A"/>
    <w:rsid w:val="007C387E"/>
    <w:rsid w:val="007C4EAC"/>
    <w:rsid w:val="007C51FE"/>
    <w:rsid w:val="007C5932"/>
    <w:rsid w:val="007C5B82"/>
    <w:rsid w:val="007C5CA4"/>
    <w:rsid w:val="007C6EF9"/>
    <w:rsid w:val="007D072A"/>
    <w:rsid w:val="007D0C3C"/>
    <w:rsid w:val="007D10B3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9B2"/>
    <w:rsid w:val="007D7C85"/>
    <w:rsid w:val="007E0004"/>
    <w:rsid w:val="007E0439"/>
    <w:rsid w:val="007E1E8B"/>
    <w:rsid w:val="007E276C"/>
    <w:rsid w:val="007E3314"/>
    <w:rsid w:val="007E33BA"/>
    <w:rsid w:val="007E3C22"/>
    <w:rsid w:val="007E46FA"/>
    <w:rsid w:val="007E4B03"/>
    <w:rsid w:val="007E4C66"/>
    <w:rsid w:val="007E5284"/>
    <w:rsid w:val="007E6BE2"/>
    <w:rsid w:val="007E7373"/>
    <w:rsid w:val="007E7A46"/>
    <w:rsid w:val="007F07B0"/>
    <w:rsid w:val="007F0AFD"/>
    <w:rsid w:val="007F0D21"/>
    <w:rsid w:val="007F1173"/>
    <w:rsid w:val="007F11D3"/>
    <w:rsid w:val="007F14F2"/>
    <w:rsid w:val="007F18D8"/>
    <w:rsid w:val="007F2AC2"/>
    <w:rsid w:val="007F2BE5"/>
    <w:rsid w:val="007F306D"/>
    <w:rsid w:val="007F324B"/>
    <w:rsid w:val="007F3410"/>
    <w:rsid w:val="007F3E45"/>
    <w:rsid w:val="007F425A"/>
    <w:rsid w:val="007F45D8"/>
    <w:rsid w:val="007F5592"/>
    <w:rsid w:val="007F6092"/>
    <w:rsid w:val="007F6ECC"/>
    <w:rsid w:val="007F6EF8"/>
    <w:rsid w:val="007F7EAF"/>
    <w:rsid w:val="00800D06"/>
    <w:rsid w:val="00801431"/>
    <w:rsid w:val="00802001"/>
    <w:rsid w:val="00803467"/>
    <w:rsid w:val="008039E1"/>
    <w:rsid w:val="00803BBB"/>
    <w:rsid w:val="00803E14"/>
    <w:rsid w:val="00804484"/>
    <w:rsid w:val="008046F6"/>
    <w:rsid w:val="00804C81"/>
    <w:rsid w:val="00804CD0"/>
    <w:rsid w:val="0080512C"/>
    <w:rsid w:val="00805216"/>
    <w:rsid w:val="0080553C"/>
    <w:rsid w:val="00805A3C"/>
    <w:rsid w:val="00805B46"/>
    <w:rsid w:val="0080666A"/>
    <w:rsid w:val="00806F6A"/>
    <w:rsid w:val="00807069"/>
    <w:rsid w:val="0080706C"/>
    <w:rsid w:val="00807304"/>
    <w:rsid w:val="0080760D"/>
    <w:rsid w:val="0080761A"/>
    <w:rsid w:val="00807BA7"/>
    <w:rsid w:val="00807C47"/>
    <w:rsid w:val="0081068C"/>
    <w:rsid w:val="00810DEF"/>
    <w:rsid w:val="00811010"/>
    <w:rsid w:val="008110DD"/>
    <w:rsid w:val="00811F04"/>
    <w:rsid w:val="0081216E"/>
    <w:rsid w:val="0081240C"/>
    <w:rsid w:val="00812512"/>
    <w:rsid w:val="00813BD6"/>
    <w:rsid w:val="00814001"/>
    <w:rsid w:val="008147E0"/>
    <w:rsid w:val="008152E5"/>
    <w:rsid w:val="008155BE"/>
    <w:rsid w:val="0081577A"/>
    <w:rsid w:val="008157D7"/>
    <w:rsid w:val="00815A82"/>
    <w:rsid w:val="00815B4D"/>
    <w:rsid w:val="0081606C"/>
    <w:rsid w:val="00816213"/>
    <w:rsid w:val="00816657"/>
    <w:rsid w:val="00816807"/>
    <w:rsid w:val="008168D8"/>
    <w:rsid w:val="0081691B"/>
    <w:rsid w:val="008169D0"/>
    <w:rsid w:val="00817021"/>
    <w:rsid w:val="00817116"/>
    <w:rsid w:val="008179D7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6A80"/>
    <w:rsid w:val="00826DDB"/>
    <w:rsid w:val="0082736D"/>
    <w:rsid w:val="0082763A"/>
    <w:rsid w:val="008277CA"/>
    <w:rsid w:val="008279D3"/>
    <w:rsid w:val="00827CF4"/>
    <w:rsid w:val="0083133D"/>
    <w:rsid w:val="00831F69"/>
    <w:rsid w:val="00832C45"/>
    <w:rsid w:val="00832DF6"/>
    <w:rsid w:val="008335E0"/>
    <w:rsid w:val="0083385A"/>
    <w:rsid w:val="00834520"/>
    <w:rsid w:val="0083456F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35C"/>
    <w:rsid w:val="00843509"/>
    <w:rsid w:val="00843795"/>
    <w:rsid w:val="0084406B"/>
    <w:rsid w:val="0084428E"/>
    <w:rsid w:val="008443B7"/>
    <w:rsid w:val="008444DF"/>
    <w:rsid w:val="00846724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3CD9"/>
    <w:rsid w:val="008547E2"/>
    <w:rsid w:val="008555C1"/>
    <w:rsid w:val="00855A96"/>
    <w:rsid w:val="00855A9F"/>
    <w:rsid w:val="0085624B"/>
    <w:rsid w:val="00856648"/>
    <w:rsid w:val="008602AB"/>
    <w:rsid w:val="0086037C"/>
    <w:rsid w:val="00860A0C"/>
    <w:rsid w:val="008610A6"/>
    <w:rsid w:val="008615DD"/>
    <w:rsid w:val="0086171E"/>
    <w:rsid w:val="00862AA3"/>
    <w:rsid w:val="00862BE5"/>
    <w:rsid w:val="008630C8"/>
    <w:rsid w:val="00864080"/>
    <w:rsid w:val="008644EF"/>
    <w:rsid w:val="00864C6A"/>
    <w:rsid w:val="00865F66"/>
    <w:rsid w:val="00866AEB"/>
    <w:rsid w:val="00866C55"/>
    <w:rsid w:val="0086740F"/>
    <w:rsid w:val="0086789B"/>
    <w:rsid w:val="00867A14"/>
    <w:rsid w:val="00867C94"/>
    <w:rsid w:val="008716CF"/>
    <w:rsid w:val="008718D6"/>
    <w:rsid w:val="00871D56"/>
    <w:rsid w:val="0087288C"/>
    <w:rsid w:val="0087316B"/>
    <w:rsid w:val="00873B67"/>
    <w:rsid w:val="00874443"/>
    <w:rsid w:val="00874989"/>
    <w:rsid w:val="00874E27"/>
    <w:rsid w:val="00874E38"/>
    <w:rsid w:val="00875905"/>
    <w:rsid w:val="00875A6F"/>
    <w:rsid w:val="00876DD6"/>
    <w:rsid w:val="0087758F"/>
    <w:rsid w:val="0087770B"/>
    <w:rsid w:val="00877DF9"/>
    <w:rsid w:val="00877FC9"/>
    <w:rsid w:val="00881FD6"/>
    <w:rsid w:val="0088258A"/>
    <w:rsid w:val="00882C35"/>
    <w:rsid w:val="00882CCF"/>
    <w:rsid w:val="00882E3A"/>
    <w:rsid w:val="00882EF6"/>
    <w:rsid w:val="00883203"/>
    <w:rsid w:val="00883214"/>
    <w:rsid w:val="00883229"/>
    <w:rsid w:val="00883296"/>
    <w:rsid w:val="00883C9E"/>
    <w:rsid w:val="008849C5"/>
    <w:rsid w:val="00885093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3465"/>
    <w:rsid w:val="00893DC4"/>
    <w:rsid w:val="008956F7"/>
    <w:rsid w:val="008961C6"/>
    <w:rsid w:val="00896FF3"/>
    <w:rsid w:val="00897149"/>
    <w:rsid w:val="0089720B"/>
    <w:rsid w:val="00897571"/>
    <w:rsid w:val="008A02ED"/>
    <w:rsid w:val="008A0475"/>
    <w:rsid w:val="008A0908"/>
    <w:rsid w:val="008A0A17"/>
    <w:rsid w:val="008A116F"/>
    <w:rsid w:val="008A22FC"/>
    <w:rsid w:val="008A2389"/>
    <w:rsid w:val="008A26D9"/>
    <w:rsid w:val="008A35DB"/>
    <w:rsid w:val="008A39CE"/>
    <w:rsid w:val="008A40E3"/>
    <w:rsid w:val="008A7184"/>
    <w:rsid w:val="008A7716"/>
    <w:rsid w:val="008A7DA3"/>
    <w:rsid w:val="008B06CF"/>
    <w:rsid w:val="008B0BD6"/>
    <w:rsid w:val="008B0F06"/>
    <w:rsid w:val="008B21A3"/>
    <w:rsid w:val="008B2AD1"/>
    <w:rsid w:val="008B2FE5"/>
    <w:rsid w:val="008B3A10"/>
    <w:rsid w:val="008B5322"/>
    <w:rsid w:val="008B5CD0"/>
    <w:rsid w:val="008B652B"/>
    <w:rsid w:val="008B66CC"/>
    <w:rsid w:val="008B6749"/>
    <w:rsid w:val="008B67EC"/>
    <w:rsid w:val="008B6EA3"/>
    <w:rsid w:val="008B7526"/>
    <w:rsid w:val="008B78D3"/>
    <w:rsid w:val="008B7944"/>
    <w:rsid w:val="008C013B"/>
    <w:rsid w:val="008C0927"/>
    <w:rsid w:val="008C0F73"/>
    <w:rsid w:val="008C1BBC"/>
    <w:rsid w:val="008C1F15"/>
    <w:rsid w:val="008C38D9"/>
    <w:rsid w:val="008C6213"/>
    <w:rsid w:val="008C6462"/>
    <w:rsid w:val="008C6ACE"/>
    <w:rsid w:val="008C6CAE"/>
    <w:rsid w:val="008C6EEA"/>
    <w:rsid w:val="008C709A"/>
    <w:rsid w:val="008C7B36"/>
    <w:rsid w:val="008C7FB0"/>
    <w:rsid w:val="008D0143"/>
    <w:rsid w:val="008D01B9"/>
    <w:rsid w:val="008D0221"/>
    <w:rsid w:val="008D059F"/>
    <w:rsid w:val="008D094F"/>
    <w:rsid w:val="008D0B81"/>
    <w:rsid w:val="008D18CC"/>
    <w:rsid w:val="008D2138"/>
    <w:rsid w:val="008D23C7"/>
    <w:rsid w:val="008D283C"/>
    <w:rsid w:val="008D3992"/>
    <w:rsid w:val="008D3D8E"/>
    <w:rsid w:val="008D4686"/>
    <w:rsid w:val="008D474A"/>
    <w:rsid w:val="008D5118"/>
    <w:rsid w:val="008D5199"/>
    <w:rsid w:val="008D5697"/>
    <w:rsid w:val="008D59D4"/>
    <w:rsid w:val="008D62C7"/>
    <w:rsid w:val="008D6459"/>
    <w:rsid w:val="008D78A8"/>
    <w:rsid w:val="008E0077"/>
    <w:rsid w:val="008E097D"/>
    <w:rsid w:val="008E0A77"/>
    <w:rsid w:val="008E0AB5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7E0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4B58"/>
    <w:rsid w:val="008F4DB8"/>
    <w:rsid w:val="008F620C"/>
    <w:rsid w:val="008F6243"/>
    <w:rsid w:val="008F68AD"/>
    <w:rsid w:val="008F6F31"/>
    <w:rsid w:val="0090019A"/>
    <w:rsid w:val="009018A4"/>
    <w:rsid w:val="00901B54"/>
    <w:rsid w:val="00901D20"/>
    <w:rsid w:val="0090279F"/>
    <w:rsid w:val="00903515"/>
    <w:rsid w:val="00903F6D"/>
    <w:rsid w:val="009043FA"/>
    <w:rsid w:val="009046B7"/>
    <w:rsid w:val="00904AE7"/>
    <w:rsid w:val="009056AE"/>
    <w:rsid w:val="0090648B"/>
    <w:rsid w:val="00906640"/>
    <w:rsid w:val="0090669A"/>
    <w:rsid w:val="009103ED"/>
    <w:rsid w:val="00910781"/>
    <w:rsid w:val="00910C98"/>
    <w:rsid w:val="00910DA0"/>
    <w:rsid w:val="00911C74"/>
    <w:rsid w:val="00911FCE"/>
    <w:rsid w:val="00912639"/>
    <w:rsid w:val="009132BA"/>
    <w:rsid w:val="009157BF"/>
    <w:rsid w:val="00917178"/>
    <w:rsid w:val="00917989"/>
    <w:rsid w:val="00917C6C"/>
    <w:rsid w:val="00917EF4"/>
    <w:rsid w:val="00917FA5"/>
    <w:rsid w:val="00920003"/>
    <w:rsid w:val="00920258"/>
    <w:rsid w:val="0092032A"/>
    <w:rsid w:val="00920BE3"/>
    <w:rsid w:val="00920C33"/>
    <w:rsid w:val="00920D9C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14CD"/>
    <w:rsid w:val="009325E5"/>
    <w:rsid w:val="00932E84"/>
    <w:rsid w:val="0093307A"/>
    <w:rsid w:val="0093362A"/>
    <w:rsid w:val="00933EC1"/>
    <w:rsid w:val="0093436A"/>
    <w:rsid w:val="00934997"/>
    <w:rsid w:val="00934ADA"/>
    <w:rsid w:val="009351E9"/>
    <w:rsid w:val="00935F98"/>
    <w:rsid w:val="00936189"/>
    <w:rsid w:val="00936940"/>
    <w:rsid w:val="00937411"/>
    <w:rsid w:val="0093780F"/>
    <w:rsid w:val="00937C55"/>
    <w:rsid w:val="00940965"/>
    <w:rsid w:val="00941127"/>
    <w:rsid w:val="00941736"/>
    <w:rsid w:val="009422D3"/>
    <w:rsid w:val="00943532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1A3"/>
    <w:rsid w:val="00951962"/>
    <w:rsid w:val="0095237B"/>
    <w:rsid w:val="00952417"/>
    <w:rsid w:val="00952E2D"/>
    <w:rsid w:val="009530DB"/>
    <w:rsid w:val="00953676"/>
    <w:rsid w:val="009536A9"/>
    <w:rsid w:val="00954019"/>
    <w:rsid w:val="009546B3"/>
    <w:rsid w:val="00954E57"/>
    <w:rsid w:val="00954F3F"/>
    <w:rsid w:val="00955AB9"/>
    <w:rsid w:val="009569F4"/>
    <w:rsid w:val="00956AFD"/>
    <w:rsid w:val="00957FD1"/>
    <w:rsid w:val="00960939"/>
    <w:rsid w:val="00960DE7"/>
    <w:rsid w:val="009614DD"/>
    <w:rsid w:val="00961D11"/>
    <w:rsid w:val="00962BD1"/>
    <w:rsid w:val="00963416"/>
    <w:rsid w:val="0096391E"/>
    <w:rsid w:val="00963AB0"/>
    <w:rsid w:val="00964491"/>
    <w:rsid w:val="009647CB"/>
    <w:rsid w:val="009649C9"/>
    <w:rsid w:val="00964A79"/>
    <w:rsid w:val="00965B0A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4912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1D9"/>
    <w:rsid w:val="00985759"/>
    <w:rsid w:val="00985FD1"/>
    <w:rsid w:val="00986110"/>
    <w:rsid w:val="0098681B"/>
    <w:rsid w:val="00986EFC"/>
    <w:rsid w:val="009872DC"/>
    <w:rsid w:val="00987F2A"/>
    <w:rsid w:val="00990589"/>
    <w:rsid w:val="00990A3E"/>
    <w:rsid w:val="0099132B"/>
    <w:rsid w:val="0099143D"/>
    <w:rsid w:val="00992338"/>
    <w:rsid w:val="00992DC0"/>
    <w:rsid w:val="00993416"/>
    <w:rsid w:val="009935D8"/>
    <w:rsid w:val="00993726"/>
    <w:rsid w:val="00993E30"/>
    <w:rsid w:val="00994394"/>
    <w:rsid w:val="00994BF9"/>
    <w:rsid w:val="00995F7D"/>
    <w:rsid w:val="009964BE"/>
    <w:rsid w:val="00996A42"/>
    <w:rsid w:val="0099735D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9F7"/>
    <w:rsid w:val="009B4EE0"/>
    <w:rsid w:val="009B54CF"/>
    <w:rsid w:val="009B552B"/>
    <w:rsid w:val="009B55DA"/>
    <w:rsid w:val="009B5AD2"/>
    <w:rsid w:val="009B620B"/>
    <w:rsid w:val="009B6210"/>
    <w:rsid w:val="009B78E9"/>
    <w:rsid w:val="009C051C"/>
    <w:rsid w:val="009C1335"/>
    <w:rsid w:val="009C1AB2"/>
    <w:rsid w:val="009C1AFB"/>
    <w:rsid w:val="009C1CA4"/>
    <w:rsid w:val="009C2B1A"/>
    <w:rsid w:val="009C3074"/>
    <w:rsid w:val="009C4034"/>
    <w:rsid w:val="009C49A6"/>
    <w:rsid w:val="009C58A2"/>
    <w:rsid w:val="009C5AA9"/>
    <w:rsid w:val="009C6198"/>
    <w:rsid w:val="009C64B2"/>
    <w:rsid w:val="009C6862"/>
    <w:rsid w:val="009C699E"/>
    <w:rsid w:val="009C6E6F"/>
    <w:rsid w:val="009C7006"/>
    <w:rsid w:val="009C7251"/>
    <w:rsid w:val="009C76C1"/>
    <w:rsid w:val="009D0155"/>
    <w:rsid w:val="009D059F"/>
    <w:rsid w:val="009D06CA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3805"/>
    <w:rsid w:val="009D3D4D"/>
    <w:rsid w:val="009D455D"/>
    <w:rsid w:val="009D4724"/>
    <w:rsid w:val="009D591C"/>
    <w:rsid w:val="009D6D1B"/>
    <w:rsid w:val="009E0168"/>
    <w:rsid w:val="009E0574"/>
    <w:rsid w:val="009E0E4F"/>
    <w:rsid w:val="009E10DC"/>
    <w:rsid w:val="009E1453"/>
    <w:rsid w:val="009E1BBE"/>
    <w:rsid w:val="009E2E77"/>
    <w:rsid w:val="009E2E91"/>
    <w:rsid w:val="009E318A"/>
    <w:rsid w:val="009E32E5"/>
    <w:rsid w:val="009E373E"/>
    <w:rsid w:val="009E4AE7"/>
    <w:rsid w:val="009E6B87"/>
    <w:rsid w:val="009E7672"/>
    <w:rsid w:val="009E7937"/>
    <w:rsid w:val="009E7DC2"/>
    <w:rsid w:val="009F06D5"/>
    <w:rsid w:val="009F0771"/>
    <w:rsid w:val="009F07AE"/>
    <w:rsid w:val="009F0ECC"/>
    <w:rsid w:val="009F1845"/>
    <w:rsid w:val="009F2576"/>
    <w:rsid w:val="009F3DD7"/>
    <w:rsid w:val="009F49F4"/>
    <w:rsid w:val="009F4BA5"/>
    <w:rsid w:val="009F6545"/>
    <w:rsid w:val="00A0030E"/>
    <w:rsid w:val="00A00C1D"/>
    <w:rsid w:val="00A01091"/>
    <w:rsid w:val="00A01285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529A"/>
    <w:rsid w:val="00A059B8"/>
    <w:rsid w:val="00A060D4"/>
    <w:rsid w:val="00A06260"/>
    <w:rsid w:val="00A06651"/>
    <w:rsid w:val="00A06C33"/>
    <w:rsid w:val="00A06D63"/>
    <w:rsid w:val="00A06EA4"/>
    <w:rsid w:val="00A07058"/>
    <w:rsid w:val="00A07104"/>
    <w:rsid w:val="00A07956"/>
    <w:rsid w:val="00A113BB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923"/>
    <w:rsid w:val="00A16EC3"/>
    <w:rsid w:val="00A170A9"/>
    <w:rsid w:val="00A17ABC"/>
    <w:rsid w:val="00A17D7F"/>
    <w:rsid w:val="00A20B50"/>
    <w:rsid w:val="00A220D8"/>
    <w:rsid w:val="00A22444"/>
    <w:rsid w:val="00A22465"/>
    <w:rsid w:val="00A225D2"/>
    <w:rsid w:val="00A22777"/>
    <w:rsid w:val="00A22A1C"/>
    <w:rsid w:val="00A23FCB"/>
    <w:rsid w:val="00A24C54"/>
    <w:rsid w:val="00A253C7"/>
    <w:rsid w:val="00A261D4"/>
    <w:rsid w:val="00A26484"/>
    <w:rsid w:val="00A26CBF"/>
    <w:rsid w:val="00A279E6"/>
    <w:rsid w:val="00A27B55"/>
    <w:rsid w:val="00A30023"/>
    <w:rsid w:val="00A31272"/>
    <w:rsid w:val="00A32444"/>
    <w:rsid w:val="00A32CF1"/>
    <w:rsid w:val="00A32D3E"/>
    <w:rsid w:val="00A32D85"/>
    <w:rsid w:val="00A32E29"/>
    <w:rsid w:val="00A32F14"/>
    <w:rsid w:val="00A33030"/>
    <w:rsid w:val="00A338E9"/>
    <w:rsid w:val="00A33CED"/>
    <w:rsid w:val="00A348BA"/>
    <w:rsid w:val="00A360ED"/>
    <w:rsid w:val="00A365F4"/>
    <w:rsid w:val="00A36CF8"/>
    <w:rsid w:val="00A371BC"/>
    <w:rsid w:val="00A37D14"/>
    <w:rsid w:val="00A40A97"/>
    <w:rsid w:val="00A40D99"/>
    <w:rsid w:val="00A4161F"/>
    <w:rsid w:val="00A41633"/>
    <w:rsid w:val="00A41653"/>
    <w:rsid w:val="00A425C2"/>
    <w:rsid w:val="00A43BC4"/>
    <w:rsid w:val="00A440C8"/>
    <w:rsid w:val="00A4448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23E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6BB"/>
    <w:rsid w:val="00A63CC4"/>
    <w:rsid w:val="00A64343"/>
    <w:rsid w:val="00A64ECB"/>
    <w:rsid w:val="00A658B0"/>
    <w:rsid w:val="00A65C41"/>
    <w:rsid w:val="00A665B9"/>
    <w:rsid w:val="00A66778"/>
    <w:rsid w:val="00A66DDD"/>
    <w:rsid w:val="00A66F9A"/>
    <w:rsid w:val="00A67698"/>
    <w:rsid w:val="00A70DA1"/>
    <w:rsid w:val="00A71000"/>
    <w:rsid w:val="00A713D0"/>
    <w:rsid w:val="00A717DE"/>
    <w:rsid w:val="00A71E4C"/>
    <w:rsid w:val="00A72F83"/>
    <w:rsid w:val="00A73769"/>
    <w:rsid w:val="00A73A61"/>
    <w:rsid w:val="00A74227"/>
    <w:rsid w:val="00A748C7"/>
    <w:rsid w:val="00A75291"/>
    <w:rsid w:val="00A75BC8"/>
    <w:rsid w:val="00A77320"/>
    <w:rsid w:val="00A77626"/>
    <w:rsid w:val="00A777DB"/>
    <w:rsid w:val="00A7781D"/>
    <w:rsid w:val="00A77C47"/>
    <w:rsid w:val="00A77F7C"/>
    <w:rsid w:val="00A77FC3"/>
    <w:rsid w:val="00A800A1"/>
    <w:rsid w:val="00A80FF5"/>
    <w:rsid w:val="00A81107"/>
    <w:rsid w:val="00A81235"/>
    <w:rsid w:val="00A82660"/>
    <w:rsid w:val="00A82991"/>
    <w:rsid w:val="00A835CC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1478"/>
    <w:rsid w:val="00A92527"/>
    <w:rsid w:val="00A929FA"/>
    <w:rsid w:val="00A92B19"/>
    <w:rsid w:val="00A92B92"/>
    <w:rsid w:val="00A9340E"/>
    <w:rsid w:val="00A936E1"/>
    <w:rsid w:val="00A93918"/>
    <w:rsid w:val="00A97A0E"/>
    <w:rsid w:val="00AA0A84"/>
    <w:rsid w:val="00AA0B2B"/>
    <w:rsid w:val="00AA0B5F"/>
    <w:rsid w:val="00AA2F43"/>
    <w:rsid w:val="00AA33A8"/>
    <w:rsid w:val="00AA35CC"/>
    <w:rsid w:val="00AA3889"/>
    <w:rsid w:val="00AA3A3D"/>
    <w:rsid w:val="00AA4800"/>
    <w:rsid w:val="00AA4B14"/>
    <w:rsid w:val="00AA4E79"/>
    <w:rsid w:val="00AA59FE"/>
    <w:rsid w:val="00AA5C62"/>
    <w:rsid w:val="00AA5FF1"/>
    <w:rsid w:val="00AA621B"/>
    <w:rsid w:val="00AA652A"/>
    <w:rsid w:val="00AA710D"/>
    <w:rsid w:val="00AA7113"/>
    <w:rsid w:val="00AA7A79"/>
    <w:rsid w:val="00AA7BB0"/>
    <w:rsid w:val="00AB0506"/>
    <w:rsid w:val="00AB0AA9"/>
    <w:rsid w:val="00AB1415"/>
    <w:rsid w:val="00AB2181"/>
    <w:rsid w:val="00AB29ED"/>
    <w:rsid w:val="00AB2C13"/>
    <w:rsid w:val="00AB2CEA"/>
    <w:rsid w:val="00AB334B"/>
    <w:rsid w:val="00AB3954"/>
    <w:rsid w:val="00AB3D3E"/>
    <w:rsid w:val="00AB3E11"/>
    <w:rsid w:val="00AB3F4B"/>
    <w:rsid w:val="00AB4BBB"/>
    <w:rsid w:val="00AB4CB8"/>
    <w:rsid w:val="00AB587B"/>
    <w:rsid w:val="00AB6123"/>
    <w:rsid w:val="00AB635D"/>
    <w:rsid w:val="00AB6D25"/>
    <w:rsid w:val="00AB7938"/>
    <w:rsid w:val="00AB7B66"/>
    <w:rsid w:val="00AB7F1C"/>
    <w:rsid w:val="00AC02E7"/>
    <w:rsid w:val="00AC0C7B"/>
    <w:rsid w:val="00AC10DF"/>
    <w:rsid w:val="00AC1770"/>
    <w:rsid w:val="00AC1942"/>
    <w:rsid w:val="00AC1F5F"/>
    <w:rsid w:val="00AC3031"/>
    <w:rsid w:val="00AC3371"/>
    <w:rsid w:val="00AC3742"/>
    <w:rsid w:val="00AC3E26"/>
    <w:rsid w:val="00AC40AE"/>
    <w:rsid w:val="00AC4C4A"/>
    <w:rsid w:val="00AC538B"/>
    <w:rsid w:val="00AC5B14"/>
    <w:rsid w:val="00AC5BAA"/>
    <w:rsid w:val="00AC60C7"/>
    <w:rsid w:val="00AC6387"/>
    <w:rsid w:val="00AC675E"/>
    <w:rsid w:val="00AC6D6A"/>
    <w:rsid w:val="00AC6EEF"/>
    <w:rsid w:val="00AD015B"/>
    <w:rsid w:val="00AD0323"/>
    <w:rsid w:val="00AD06AD"/>
    <w:rsid w:val="00AD0E41"/>
    <w:rsid w:val="00AD1310"/>
    <w:rsid w:val="00AD26A9"/>
    <w:rsid w:val="00AD2DC1"/>
    <w:rsid w:val="00AD3E2E"/>
    <w:rsid w:val="00AD444C"/>
    <w:rsid w:val="00AD456D"/>
    <w:rsid w:val="00AD48CD"/>
    <w:rsid w:val="00AD4B17"/>
    <w:rsid w:val="00AD5123"/>
    <w:rsid w:val="00AD6249"/>
    <w:rsid w:val="00AD73F6"/>
    <w:rsid w:val="00AD797D"/>
    <w:rsid w:val="00AE01A0"/>
    <w:rsid w:val="00AE1EED"/>
    <w:rsid w:val="00AE2532"/>
    <w:rsid w:val="00AE2718"/>
    <w:rsid w:val="00AE2B13"/>
    <w:rsid w:val="00AE2D4B"/>
    <w:rsid w:val="00AE2DDB"/>
    <w:rsid w:val="00AE37EF"/>
    <w:rsid w:val="00AE41AE"/>
    <w:rsid w:val="00AE47F0"/>
    <w:rsid w:val="00AE4D7F"/>
    <w:rsid w:val="00AE4F99"/>
    <w:rsid w:val="00AE626C"/>
    <w:rsid w:val="00AE62AB"/>
    <w:rsid w:val="00AE6F15"/>
    <w:rsid w:val="00AE7282"/>
    <w:rsid w:val="00AE771B"/>
    <w:rsid w:val="00AE7949"/>
    <w:rsid w:val="00AE7B3F"/>
    <w:rsid w:val="00AE7D3D"/>
    <w:rsid w:val="00AF01B2"/>
    <w:rsid w:val="00AF02BF"/>
    <w:rsid w:val="00AF06E1"/>
    <w:rsid w:val="00AF0ADC"/>
    <w:rsid w:val="00AF0E4D"/>
    <w:rsid w:val="00AF15C6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18"/>
    <w:rsid w:val="00B010FE"/>
    <w:rsid w:val="00B01136"/>
    <w:rsid w:val="00B01155"/>
    <w:rsid w:val="00B012DD"/>
    <w:rsid w:val="00B01533"/>
    <w:rsid w:val="00B02064"/>
    <w:rsid w:val="00B02FCE"/>
    <w:rsid w:val="00B03638"/>
    <w:rsid w:val="00B0366F"/>
    <w:rsid w:val="00B039AE"/>
    <w:rsid w:val="00B04175"/>
    <w:rsid w:val="00B04968"/>
    <w:rsid w:val="00B05438"/>
    <w:rsid w:val="00B06227"/>
    <w:rsid w:val="00B10211"/>
    <w:rsid w:val="00B10A8D"/>
    <w:rsid w:val="00B125DF"/>
    <w:rsid w:val="00B12CC4"/>
    <w:rsid w:val="00B1362B"/>
    <w:rsid w:val="00B138C0"/>
    <w:rsid w:val="00B13C74"/>
    <w:rsid w:val="00B14952"/>
    <w:rsid w:val="00B14AF6"/>
    <w:rsid w:val="00B152C9"/>
    <w:rsid w:val="00B15EB5"/>
    <w:rsid w:val="00B164A8"/>
    <w:rsid w:val="00B168D2"/>
    <w:rsid w:val="00B1691A"/>
    <w:rsid w:val="00B16A9B"/>
    <w:rsid w:val="00B171BA"/>
    <w:rsid w:val="00B17E1B"/>
    <w:rsid w:val="00B201EE"/>
    <w:rsid w:val="00B2134B"/>
    <w:rsid w:val="00B2194A"/>
    <w:rsid w:val="00B2215B"/>
    <w:rsid w:val="00B22542"/>
    <w:rsid w:val="00B22545"/>
    <w:rsid w:val="00B2279B"/>
    <w:rsid w:val="00B228F5"/>
    <w:rsid w:val="00B22BA1"/>
    <w:rsid w:val="00B22DFE"/>
    <w:rsid w:val="00B23CBD"/>
    <w:rsid w:val="00B23EBD"/>
    <w:rsid w:val="00B240EB"/>
    <w:rsid w:val="00B2462B"/>
    <w:rsid w:val="00B24E99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4EB"/>
    <w:rsid w:val="00B32639"/>
    <w:rsid w:val="00B3264E"/>
    <w:rsid w:val="00B32B58"/>
    <w:rsid w:val="00B331B5"/>
    <w:rsid w:val="00B339BF"/>
    <w:rsid w:val="00B34AE4"/>
    <w:rsid w:val="00B34CDC"/>
    <w:rsid w:val="00B34D33"/>
    <w:rsid w:val="00B3506F"/>
    <w:rsid w:val="00B3556C"/>
    <w:rsid w:val="00B371B6"/>
    <w:rsid w:val="00B40010"/>
    <w:rsid w:val="00B41619"/>
    <w:rsid w:val="00B41969"/>
    <w:rsid w:val="00B41AC9"/>
    <w:rsid w:val="00B428D2"/>
    <w:rsid w:val="00B4311B"/>
    <w:rsid w:val="00B4375E"/>
    <w:rsid w:val="00B438BA"/>
    <w:rsid w:val="00B43ACD"/>
    <w:rsid w:val="00B43F1A"/>
    <w:rsid w:val="00B4405E"/>
    <w:rsid w:val="00B440B8"/>
    <w:rsid w:val="00B4459D"/>
    <w:rsid w:val="00B44E67"/>
    <w:rsid w:val="00B4565C"/>
    <w:rsid w:val="00B45D46"/>
    <w:rsid w:val="00B45D95"/>
    <w:rsid w:val="00B462A1"/>
    <w:rsid w:val="00B47C5B"/>
    <w:rsid w:val="00B47D3F"/>
    <w:rsid w:val="00B51A57"/>
    <w:rsid w:val="00B52112"/>
    <w:rsid w:val="00B52937"/>
    <w:rsid w:val="00B52BD8"/>
    <w:rsid w:val="00B531D3"/>
    <w:rsid w:val="00B53C69"/>
    <w:rsid w:val="00B549B4"/>
    <w:rsid w:val="00B54BE8"/>
    <w:rsid w:val="00B5567E"/>
    <w:rsid w:val="00B5572E"/>
    <w:rsid w:val="00B57AAA"/>
    <w:rsid w:val="00B57AFF"/>
    <w:rsid w:val="00B61114"/>
    <w:rsid w:val="00B61380"/>
    <w:rsid w:val="00B61461"/>
    <w:rsid w:val="00B61BEC"/>
    <w:rsid w:val="00B624E9"/>
    <w:rsid w:val="00B62871"/>
    <w:rsid w:val="00B6292F"/>
    <w:rsid w:val="00B62CFE"/>
    <w:rsid w:val="00B63352"/>
    <w:rsid w:val="00B63556"/>
    <w:rsid w:val="00B6361C"/>
    <w:rsid w:val="00B64845"/>
    <w:rsid w:val="00B64C85"/>
    <w:rsid w:val="00B6525E"/>
    <w:rsid w:val="00B653AB"/>
    <w:rsid w:val="00B65F9E"/>
    <w:rsid w:val="00B66281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0BA3"/>
    <w:rsid w:val="00B71225"/>
    <w:rsid w:val="00B71475"/>
    <w:rsid w:val="00B71855"/>
    <w:rsid w:val="00B71B74"/>
    <w:rsid w:val="00B71CA0"/>
    <w:rsid w:val="00B7235F"/>
    <w:rsid w:val="00B72E2F"/>
    <w:rsid w:val="00B73612"/>
    <w:rsid w:val="00B7424B"/>
    <w:rsid w:val="00B74623"/>
    <w:rsid w:val="00B74EC0"/>
    <w:rsid w:val="00B759DD"/>
    <w:rsid w:val="00B761C1"/>
    <w:rsid w:val="00B761FC"/>
    <w:rsid w:val="00B76E7A"/>
    <w:rsid w:val="00B76F27"/>
    <w:rsid w:val="00B7774E"/>
    <w:rsid w:val="00B77EB8"/>
    <w:rsid w:val="00B80A5A"/>
    <w:rsid w:val="00B811A9"/>
    <w:rsid w:val="00B81DD0"/>
    <w:rsid w:val="00B823A7"/>
    <w:rsid w:val="00B82758"/>
    <w:rsid w:val="00B82845"/>
    <w:rsid w:val="00B82BB2"/>
    <w:rsid w:val="00B82C01"/>
    <w:rsid w:val="00B82FBE"/>
    <w:rsid w:val="00B83046"/>
    <w:rsid w:val="00B83116"/>
    <w:rsid w:val="00B838E8"/>
    <w:rsid w:val="00B8394F"/>
    <w:rsid w:val="00B83FC5"/>
    <w:rsid w:val="00B85AD5"/>
    <w:rsid w:val="00B85B0E"/>
    <w:rsid w:val="00B8679E"/>
    <w:rsid w:val="00B86A70"/>
    <w:rsid w:val="00B86DC4"/>
    <w:rsid w:val="00B8784D"/>
    <w:rsid w:val="00B87889"/>
    <w:rsid w:val="00B87B0F"/>
    <w:rsid w:val="00B90EAE"/>
    <w:rsid w:val="00B912B9"/>
    <w:rsid w:val="00B914E9"/>
    <w:rsid w:val="00B92916"/>
    <w:rsid w:val="00B946BB"/>
    <w:rsid w:val="00B95145"/>
    <w:rsid w:val="00B956EE"/>
    <w:rsid w:val="00B96047"/>
    <w:rsid w:val="00B96C90"/>
    <w:rsid w:val="00B96CD5"/>
    <w:rsid w:val="00B97998"/>
    <w:rsid w:val="00BA013C"/>
    <w:rsid w:val="00BA07CF"/>
    <w:rsid w:val="00BA0C2D"/>
    <w:rsid w:val="00BA0E78"/>
    <w:rsid w:val="00BA1744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65"/>
    <w:rsid w:val="00BB226D"/>
    <w:rsid w:val="00BB254F"/>
    <w:rsid w:val="00BB29F8"/>
    <w:rsid w:val="00BB2D24"/>
    <w:rsid w:val="00BB2DF3"/>
    <w:rsid w:val="00BB2FC1"/>
    <w:rsid w:val="00BB3829"/>
    <w:rsid w:val="00BB3B7F"/>
    <w:rsid w:val="00BB4747"/>
    <w:rsid w:val="00BB624C"/>
    <w:rsid w:val="00BB768F"/>
    <w:rsid w:val="00BB7D28"/>
    <w:rsid w:val="00BC01E2"/>
    <w:rsid w:val="00BC022B"/>
    <w:rsid w:val="00BC0E53"/>
    <w:rsid w:val="00BC1B23"/>
    <w:rsid w:val="00BC1F7C"/>
    <w:rsid w:val="00BC2405"/>
    <w:rsid w:val="00BC27E7"/>
    <w:rsid w:val="00BC29BD"/>
    <w:rsid w:val="00BC3E9C"/>
    <w:rsid w:val="00BC4B00"/>
    <w:rsid w:val="00BC54E6"/>
    <w:rsid w:val="00BC56C8"/>
    <w:rsid w:val="00BC5D4E"/>
    <w:rsid w:val="00BC6015"/>
    <w:rsid w:val="00BC6C2E"/>
    <w:rsid w:val="00BD0207"/>
    <w:rsid w:val="00BD0860"/>
    <w:rsid w:val="00BD17B7"/>
    <w:rsid w:val="00BD214B"/>
    <w:rsid w:val="00BD23B3"/>
    <w:rsid w:val="00BD2DDA"/>
    <w:rsid w:val="00BD34B6"/>
    <w:rsid w:val="00BD3AA2"/>
    <w:rsid w:val="00BD3AD5"/>
    <w:rsid w:val="00BD4ABF"/>
    <w:rsid w:val="00BD4B70"/>
    <w:rsid w:val="00BD4E33"/>
    <w:rsid w:val="00BD5271"/>
    <w:rsid w:val="00BD5BC3"/>
    <w:rsid w:val="00BD5E10"/>
    <w:rsid w:val="00BD60C7"/>
    <w:rsid w:val="00BD6478"/>
    <w:rsid w:val="00BE094A"/>
    <w:rsid w:val="00BE0956"/>
    <w:rsid w:val="00BE131C"/>
    <w:rsid w:val="00BE1FB4"/>
    <w:rsid w:val="00BE2638"/>
    <w:rsid w:val="00BE2C8D"/>
    <w:rsid w:val="00BE2CAE"/>
    <w:rsid w:val="00BE2E0F"/>
    <w:rsid w:val="00BE306B"/>
    <w:rsid w:val="00BE34A5"/>
    <w:rsid w:val="00BE3A55"/>
    <w:rsid w:val="00BE453A"/>
    <w:rsid w:val="00BE455E"/>
    <w:rsid w:val="00BE4579"/>
    <w:rsid w:val="00BE4777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EA9"/>
    <w:rsid w:val="00BF0FB3"/>
    <w:rsid w:val="00BF1B86"/>
    <w:rsid w:val="00BF1E98"/>
    <w:rsid w:val="00BF2127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328"/>
    <w:rsid w:val="00BF664B"/>
    <w:rsid w:val="00BF6BD9"/>
    <w:rsid w:val="00BF6FE5"/>
    <w:rsid w:val="00BF7284"/>
    <w:rsid w:val="00BF741A"/>
    <w:rsid w:val="00BF75C9"/>
    <w:rsid w:val="00C009C4"/>
    <w:rsid w:val="00C00A6E"/>
    <w:rsid w:val="00C00BF5"/>
    <w:rsid w:val="00C0125E"/>
    <w:rsid w:val="00C013E6"/>
    <w:rsid w:val="00C01489"/>
    <w:rsid w:val="00C01726"/>
    <w:rsid w:val="00C030DE"/>
    <w:rsid w:val="00C0379E"/>
    <w:rsid w:val="00C041B3"/>
    <w:rsid w:val="00C04FC2"/>
    <w:rsid w:val="00C05487"/>
    <w:rsid w:val="00C0592A"/>
    <w:rsid w:val="00C06780"/>
    <w:rsid w:val="00C06950"/>
    <w:rsid w:val="00C06A88"/>
    <w:rsid w:val="00C073B6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3DA5"/>
    <w:rsid w:val="00C13E2F"/>
    <w:rsid w:val="00C14256"/>
    <w:rsid w:val="00C1563E"/>
    <w:rsid w:val="00C159A9"/>
    <w:rsid w:val="00C161B1"/>
    <w:rsid w:val="00C169AE"/>
    <w:rsid w:val="00C169FC"/>
    <w:rsid w:val="00C16C0B"/>
    <w:rsid w:val="00C16DB6"/>
    <w:rsid w:val="00C201ED"/>
    <w:rsid w:val="00C20462"/>
    <w:rsid w:val="00C218F1"/>
    <w:rsid w:val="00C22105"/>
    <w:rsid w:val="00C2254F"/>
    <w:rsid w:val="00C2359C"/>
    <w:rsid w:val="00C239CB"/>
    <w:rsid w:val="00C244FC"/>
    <w:rsid w:val="00C24635"/>
    <w:rsid w:val="00C247EE"/>
    <w:rsid w:val="00C24978"/>
    <w:rsid w:val="00C24A0A"/>
    <w:rsid w:val="00C24BE6"/>
    <w:rsid w:val="00C24EF2"/>
    <w:rsid w:val="00C27117"/>
    <w:rsid w:val="00C27632"/>
    <w:rsid w:val="00C27FC3"/>
    <w:rsid w:val="00C306BF"/>
    <w:rsid w:val="00C30BC5"/>
    <w:rsid w:val="00C30F20"/>
    <w:rsid w:val="00C3217A"/>
    <w:rsid w:val="00C326CF"/>
    <w:rsid w:val="00C3328F"/>
    <w:rsid w:val="00C33916"/>
    <w:rsid w:val="00C34183"/>
    <w:rsid w:val="00C34AB0"/>
    <w:rsid w:val="00C35562"/>
    <w:rsid w:val="00C3566A"/>
    <w:rsid w:val="00C35AB8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D1C"/>
    <w:rsid w:val="00C43E0B"/>
    <w:rsid w:val="00C44507"/>
    <w:rsid w:val="00C44D94"/>
    <w:rsid w:val="00C44E36"/>
    <w:rsid w:val="00C4523F"/>
    <w:rsid w:val="00C4577D"/>
    <w:rsid w:val="00C4726F"/>
    <w:rsid w:val="00C4735E"/>
    <w:rsid w:val="00C47A6B"/>
    <w:rsid w:val="00C47D32"/>
    <w:rsid w:val="00C508EB"/>
    <w:rsid w:val="00C50BAD"/>
    <w:rsid w:val="00C51B9B"/>
    <w:rsid w:val="00C52068"/>
    <w:rsid w:val="00C52F89"/>
    <w:rsid w:val="00C53CB4"/>
    <w:rsid w:val="00C540DF"/>
    <w:rsid w:val="00C541F8"/>
    <w:rsid w:val="00C55277"/>
    <w:rsid w:val="00C55544"/>
    <w:rsid w:val="00C556B4"/>
    <w:rsid w:val="00C55816"/>
    <w:rsid w:val="00C55BC6"/>
    <w:rsid w:val="00C571D6"/>
    <w:rsid w:val="00C57244"/>
    <w:rsid w:val="00C6025E"/>
    <w:rsid w:val="00C60379"/>
    <w:rsid w:val="00C61370"/>
    <w:rsid w:val="00C6164F"/>
    <w:rsid w:val="00C61FD7"/>
    <w:rsid w:val="00C61FFB"/>
    <w:rsid w:val="00C62133"/>
    <w:rsid w:val="00C6218D"/>
    <w:rsid w:val="00C62478"/>
    <w:rsid w:val="00C62D1C"/>
    <w:rsid w:val="00C62E3A"/>
    <w:rsid w:val="00C63697"/>
    <w:rsid w:val="00C63F1E"/>
    <w:rsid w:val="00C64334"/>
    <w:rsid w:val="00C64A37"/>
    <w:rsid w:val="00C653D8"/>
    <w:rsid w:val="00C657B4"/>
    <w:rsid w:val="00C65F09"/>
    <w:rsid w:val="00C65F93"/>
    <w:rsid w:val="00C70479"/>
    <w:rsid w:val="00C7064B"/>
    <w:rsid w:val="00C711F3"/>
    <w:rsid w:val="00C7158E"/>
    <w:rsid w:val="00C7163F"/>
    <w:rsid w:val="00C7190F"/>
    <w:rsid w:val="00C71BA2"/>
    <w:rsid w:val="00C7250B"/>
    <w:rsid w:val="00C7260C"/>
    <w:rsid w:val="00C72C69"/>
    <w:rsid w:val="00C72CC9"/>
    <w:rsid w:val="00C730F3"/>
    <w:rsid w:val="00C73465"/>
    <w:rsid w:val="00C7346B"/>
    <w:rsid w:val="00C73AFD"/>
    <w:rsid w:val="00C73F50"/>
    <w:rsid w:val="00C74027"/>
    <w:rsid w:val="00C747A4"/>
    <w:rsid w:val="00C74800"/>
    <w:rsid w:val="00C7493B"/>
    <w:rsid w:val="00C754CD"/>
    <w:rsid w:val="00C755C5"/>
    <w:rsid w:val="00C76782"/>
    <w:rsid w:val="00C7712E"/>
    <w:rsid w:val="00C771B7"/>
    <w:rsid w:val="00C77353"/>
    <w:rsid w:val="00C7784E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5A66"/>
    <w:rsid w:val="00C85D5C"/>
    <w:rsid w:val="00C86E7B"/>
    <w:rsid w:val="00C90019"/>
    <w:rsid w:val="00C90962"/>
    <w:rsid w:val="00C91687"/>
    <w:rsid w:val="00C9221A"/>
    <w:rsid w:val="00C924A8"/>
    <w:rsid w:val="00C9276F"/>
    <w:rsid w:val="00C93210"/>
    <w:rsid w:val="00C93F22"/>
    <w:rsid w:val="00C944C4"/>
    <w:rsid w:val="00C945FE"/>
    <w:rsid w:val="00C954FE"/>
    <w:rsid w:val="00C960D0"/>
    <w:rsid w:val="00C9611F"/>
    <w:rsid w:val="00C9674F"/>
    <w:rsid w:val="00C96EAC"/>
    <w:rsid w:val="00C96FAA"/>
    <w:rsid w:val="00C97538"/>
    <w:rsid w:val="00C97606"/>
    <w:rsid w:val="00C97A04"/>
    <w:rsid w:val="00CA0A3A"/>
    <w:rsid w:val="00CA107B"/>
    <w:rsid w:val="00CA1341"/>
    <w:rsid w:val="00CA156E"/>
    <w:rsid w:val="00CA1A19"/>
    <w:rsid w:val="00CA1AEA"/>
    <w:rsid w:val="00CA1EDE"/>
    <w:rsid w:val="00CA42A5"/>
    <w:rsid w:val="00CA484D"/>
    <w:rsid w:val="00CA4896"/>
    <w:rsid w:val="00CA4983"/>
    <w:rsid w:val="00CA5A25"/>
    <w:rsid w:val="00CA625F"/>
    <w:rsid w:val="00CA6462"/>
    <w:rsid w:val="00CA7B7B"/>
    <w:rsid w:val="00CA7C87"/>
    <w:rsid w:val="00CB1C25"/>
    <w:rsid w:val="00CB218B"/>
    <w:rsid w:val="00CB30D1"/>
    <w:rsid w:val="00CB31CA"/>
    <w:rsid w:val="00CB37B0"/>
    <w:rsid w:val="00CB3A91"/>
    <w:rsid w:val="00CB3D13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6C82"/>
    <w:rsid w:val="00CB6F15"/>
    <w:rsid w:val="00CB7376"/>
    <w:rsid w:val="00CB7CF5"/>
    <w:rsid w:val="00CB7DD8"/>
    <w:rsid w:val="00CC0730"/>
    <w:rsid w:val="00CC1DB6"/>
    <w:rsid w:val="00CC278C"/>
    <w:rsid w:val="00CC2B65"/>
    <w:rsid w:val="00CC2D3B"/>
    <w:rsid w:val="00CC3015"/>
    <w:rsid w:val="00CC3151"/>
    <w:rsid w:val="00CC3C03"/>
    <w:rsid w:val="00CC4753"/>
    <w:rsid w:val="00CC4B73"/>
    <w:rsid w:val="00CC4FCC"/>
    <w:rsid w:val="00CC5227"/>
    <w:rsid w:val="00CC5707"/>
    <w:rsid w:val="00CC5AB4"/>
    <w:rsid w:val="00CC5BE7"/>
    <w:rsid w:val="00CC6050"/>
    <w:rsid w:val="00CC66C8"/>
    <w:rsid w:val="00CC739E"/>
    <w:rsid w:val="00CD06A3"/>
    <w:rsid w:val="00CD0936"/>
    <w:rsid w:val="00CD0A2B"/>
    <w:rsid w:val="00CD0E08"/>
    <w:rsid w:val="00CD103D"/>
    <w:rsid w:val="00CD26D8"/>
    <w:rsid w:val="00CD32BE"/>
    <w:rsid w:val="00CD3671"/>
    <w:rsid w:val="00CD42CE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7FA"/>
    <w:rsid w:val="00CE1D79"/>
    <w:rsid w:val="00CE20CE"/>
    <w:rsid w:val="00CE233B"/>
    <w:rsid w:val="00CE2392"/>
    <w:rsid w:val="00CE2CEB"/>
    <w:rsid w:val="00CE315A"/>
    <w:rsid w:val="00CE337F"/>
    <w:rsid w:val="00CE4744"/>
    <w:rsid w:val="00CE49B8"/>
    <w:rsid w:val="00CE4D83"/>
    <w:rsid w:val="00CE5A42"/>
    <w:rsid w:val="00CE66FD"/>
    <w:rsid w:val="00CE7825"/>
    <w:rsid w:val="00CE7CE8"/>
    <w:rsid w:val="00CE7F75"/>
    <w:rsid w:val="00CF01FB"/>
    <w:rsid w:val="00CF0476"/>
    <w:rsid w:val="00CF04B4"/>
    <w:rsid w:val="00CF10FB"/>
    <w:rsid w:val="00CF11C0"/>
    <w:rsid w:val="00CF2979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CF7D33"/>
    <w:rsid w:val="00D00EEF"/>
    <w:rsid w:val="00D0153F"/>
    <w:rsid w:val="00D016AF"/>
    <w:rsid w:val="00D01C08"/>
    <w:rsid w:val="00D01E21"/>
    <w:rsid w:val="00D025F3"/>
    <w:rsid w:val="00D02743"/>
    <w:rsid w:val="00D029D0"/>
    <w:rsid w:val="00D03832"/>
    <w:rsid w:val="00D03930"/>
    <w:rsid w:val="00D05D30"/>
    <w:rsid w:val="00D05FA7"/>
    <w:rsid w:val="00D06BDE"/>
    <w:rsid w:val="00D075C5"/>
    <w:rsid w:val="00D10042"/>
    <w:rsid w:val="00D10426"/>
    <w:rsid w:val="00D108EE"/>
    <w:rsid w:val="00D11189"/>
    <w:rsid w:val="00D11AA1"/>
    <w:rsid w:val="00D11E5F"/>
    <w:rsid w:val="00D122F8"/>
    <w:rsid w:val="00D123D0"/>
    <w:rsid w:val="00D1283C"/>
    <w:rsid w:val="00D1323D"/>
    <w:rsid w:val="00D144A6"/>
    <w:rsid w:val="00D16972"/>
    <w:rsid w:val="00D16EF1"/>
    <w:rsid w:val="00D204C5"/>
    <w:rsid w:val="00D20536"/>
    <w:rsid w:val="00D20E75"/>
    <w:rsid w:val="00D21103"/>
    <w:rsid w:val="00D215E4"/>
    <w:rsid w:val="00D217FB"/>
    <w:rsid w:val="00D21D57"/>
    <w:rsid w:val="00D21ED7"/>
    <w:rsid w:val="00D24024"/>
    <w:rsid w:val="00D24364"/>
    <w:rsid w:val="00D248E2"/>
    <w:rsid w:val="00D254E8"/>
    <w:rsid w:val="00D258FC"/>
    <w:rsid w:val="00D25AF1"/>
    <w:rsid w:val="00D25D23"/>
    <w:rsid w:val="00D261A2"/>
    <w:rsid w:val="00D265FD"/>
    <w:rsid w:val="00D26ACA"/>
    <w:rsid w:val="00D26B46"/>
    <w:rsid w:val="00D27D2A"/>
    <w:rsid w:val="00D3013E"/>
    <w:rsid w:val="00D30839"/>
    <w:rsid w:val="00D30E8F"/>
    <w:rsid w:val="00D30F92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6D1"/>
    <w:rsid w:val="00D33863"/>
    <w:rsid w:val="00D338F8"/>
    <w:rsid w:val="00D34617"/>
    <w:rsid w:val="00D3563B"/>
    <w:rsid w:val="00D35ABF"/>
    <w:rsid w:val="00D3621D"/>
    <w:rsid w:val="00D36A5E"/>
    <w:rsid w:val="00D36D4A"/>
    <w:rsid w:val="00D36D8E"/>
    <w:rsid w:val="00D36FC0"/>
    <w:rsid w:val="00D37BB9"/>
    <w:rsid w:val="00D37E99"/>
    <w:rsid w:val="00D401E4"/>
    <w:rsid w:val="00D40CAD"/>
    <w:rsid w:val="00D40CBF"/>
    <w:rsid w:val="00D413CF"/>
    <w:rsid w:val="00D41F03"/>
    <w:rsid w:val="00D424F8"/>
    <w:rsid w:val="00D42AFD"/>
    <w:rsid w:val="00D42BF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415"/>
    <w:rsid w:val="00D529FC"/>
    <w:rsid w:val="00D5347D"/>
    <w:rsid w:val="00D53829"/>
    <w:rsid w:val="00D53948"/>
    <w:rsid w:val="00D53CB6"/>
    <w:rsid w:val="00D53FE1"/>
    <w:rsid w:val="00D54087"/>
    <w:rsid w:val="00D540E8"/>
    <w:rsid w:val="00D54900"/>
    <w:rsid w:val="00D54F80"/>
    <w:rsid w:val="00D55103"/>
    <w:rsid w:val="00D55142"/>
    <w:rsid w:val="00D5632E"/>
    <w:rsid w:val="00D5637B"/>
    <w:rsid w:val="00D56B64"/>
    <w:rsid w:val="00D56FC6"/>
    <w:rsid w:val="00D57132"/>
    <w:rsid w:val="00D57156"/>
    <w:rsid w:val="00D57E5B"/>
    <w:rsid w:val="00D57E8A"/>
    <w:rsid w:val="00D60B39"/>
    <w:rsid w:val="00D60C1F"/>
    <w:rsid w:val="00D60E14"/>
    <w:rsid w:val="00D616D2"/>
    <w:rsid w:val="00D61B6D"/>
    <w:rsid w:val="00D61EA7"/>
    <w:rsid w:val="00D61F51"/>
    <w:rsid w:val="00D61F90"/>
    <w:rsid w:val="00D624AA"/>
    <w:rsid w:val="00D628EB"/>
    <w:rsid w:val="00D62FA8"/>
    <w:rsid w:val="00D63074"/>
    <w:rsid w:val="00D63B5F"/>
    <w:rsid w:val="00D63BB9"/>
    <w:rsid w:val="00D63D5A"/>
    <w:rsid w:val="00D643D6"/>
    <w:rsid w:val="00D65270"/>
    <w:rsid w:val="00D65656"/>
    <w:rsid w:val="00D65740"/>
    <w:rsid w:val="00D664AF"/>
    <w:rsid w:val="00D666D4"/>
    <w:rsid w:val="00D66C25"/>
    <w:rsid w:val="00D66EF5"/>
    <w:rsid w:val="00D6738D"/>
    <w:rsid w:val="00D675F9"/>
    <w:rsid w:val="00D67A09"/>
    <w:rsid w:val="00D67AEF"/>
    <w:rsid w:val="00D703C8"/>
    <w:rsid w:val="00D70951"/>
    <w:rsid w:val="00D70C64"/>
    <w:rsid w:val="00D70EF7"/>
    <w:rsid w:val="00D71B51"/>
    <w:rsid w:val="00D72229"/>
    <w:rsid w:val="00D7255C"/>
    <w:rsid w:val="00D72668"/>
    <w:rsid w:val="00D726EE"/>
    <w:rsid w:val="00D72E71"/>
    <w:rsid w:val="00D72FC1"/>
    <w:rsid w:val="00D73481"/>
    <w:rsid w:val="00D73A6D"/>
    <w:rsid w:val="00D74A4C"/>
    <w:rsid w:val="00D74CBE"/>
    <w:rsid w:val="00D755E5"/>
    <w:rsid w:val="00D75611"/>
    <w:rsid w:val="00D7578B"/>
    <w:rsid w:val="00D758A2"/>
    <w:rsid w:val="00D75A73"/>
    <w:rsid w:val="00D75A91"/>
    <w:rsid w:val="00D760A8"/>
    <w:rsid w:val="00D76525"/>
    <w:rsid w:val="00D76589"/>
    <w:rsid w:val="00D7696A"/>
    <w:rsid w:val="00D76B69"/>
    <w:rsid w:val="00D76FDB"/>
    <w:rsid w:val="00D770E1"/>
    <w:rsid w:val="00D7722F"/>
    <w:rsid w:val="00D776B2"/>
    <w:rsid w:val="00D77BAE"/>
    <w:rsid w:val="00D803EB"/>
    <w:rsid w:val="00D811D2"/>
    <w:rsid w:val="00D81632"/>
    <w:rsid w:val="00D81A44"/>
    <w:rsid w:val="00D82A72"/>
    <w:rsid w:val="00D82C75"/>
    <w:rsid w:val="00D82D6C"/>
    <w:rsid w:val="00D8397C"/>
    <w:rsid w:val="00D83CF3"/>
    <w:rsid w:val="00D84257"/>
    <w:rsid w:val="00D843C9"/>
    <w:rsid w:val="00D84472"/>
    <w:rsid w:val="00D844EE"/>
    <w:rsid w:val="00D84A46"/>
    <w:rsid w:val="00D85184"/>
    <w:rsid w:val="00D85353"/>
    <w:rsid w:val="00D85549"/>
    <w:rsid w:val="00D858BA"/>
    <w:rsid w:val="00D85B20"/>
    <w:rsid w:val="00D85E8D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13BF"/>
    <w:rsid w:val="00D915FC"/>
    <w:rsid w:val="00D92021"/>
    <w:rsid w:val="00D92979"/>
    <w:rsid w:val="00D92F43"/>
    <w:rsid w:val="00D930AF"/>
    <w:rsid w:val="00D94EED"/>
    <w:rsid w:val="00D956AD"/>
    <w:rsid w:val="00D95C37"/>
    <w:rsid w:val="00D96026"/>
    <w:rsid w:val="00D96C20"/>
    <w:rsid w:val="00D97161"/>
    <w:rsid w:val="00D971AF"/>
    <w:rsid w:val="00DA04E4"/>
    <w:rsid w:val="00DA0A8C"/>
    <w:rsid w:val="00DA0B4D"/>
    <w:rsid w:val="00DA0D81"/>
    <w:rsid w:val="00DA0E43"/>
    <w:rsid w:val="00DA1E2C"/>
    <w:rsid w:val="00DA23FC"/>
    <w:rsid w:val="00DA2EBC"/>
    <w:rsid w:val="00DA367D"/>
    <w:rsid w:val="00DA3D35"/>
    <w:rsid w:val="00DA4A9F"/>
    <w:rsid w:val="00DA4AAD"/>
    <w:rsid w:val="00DA4C3C"/>
    <w:rsid w:val="00DA4E15"/>
    <w:rsid w:val="00DA5307"/>
    <w:rsid w:val="00DA551C"/>
    <w:rsid w:val="00DA5A1F"/>
    <w:rsid w:val="00DA5AE7"/>
    <w:rsid w:val="00DA5C0C"/>
    <w:rsid w:val="00DA5E01"/>
    <w:rsid w:val="00DA60F9"/>
    <w:rsid w:val="00DA6D4B"/>
    <w:rsid w:val="00DA7C1D"/>
    <w:rsid w:val="00DA7CE5"/>
    <w:rsid w:val="00DA7FF7"/>
    <w:rsid w:val="00DB0907"/>
    <w:rsid w:val="00DB0AE0"/>
    <w:rsid w:val="00DB147A"/>
    <w:rsid w:val="00DB1B7A"/>
    <w:rsid w:val="00DB1DFF"/>
    <w:rsid w:val="00DB30C8"/>
    <w:rsid w:val="00DB3274"/>
    <w:rsid w:val="00DB345B"/>
    <w:rsid w:val="00DB350A"/>
    <w:rsid w:val="00DB36DA"/>
    <w:rsid w:val="00DB3CD9"/>
    <w:rsid w:val="00DB3FDE"/>
    <w:rsid w:val="00DB4087"/>
    <w:rsid w:val="00DB4443"/>
    <w:rsid w:val="00DB51B4"/>
    <w:rsid w:val="00DB5226"/>
    <w:rsid w:val="00DB550C"/>
    <w:rsid w:val="00DB576F"/>
    <w:rsid w:val="00DB57CE"/>
    <w:rsid w:val="00DB599D"/>
    <w:rsid w:val="00DB5A91"/>
    <w:rsid w:val="00DB6B1F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B35"/>
    <w:rsid w:val="00DC3E22"/>
    <w:rsid w:val="00DC42F7"/>
    <w:rsid w:val="00DC4CFA"/>
    <w:rsid w:val="00DC51C8"/>
    <w:rsid w:val="00DC6708"/>
    <w:rsid w:val="00DC6875"/>
    <w:rsid w:val="00DC6D94"/>
    <w:rsid w:val="00DC7339"/>
    <w:rsid w:val="00DC75F5"/>
    <w:rsid w:val="00DC77B1"/>
    <w:rsid w:val="00DC79B6"/>
    <w:rsid w:val="00DC7A1B"/>
    <w:rsid w:val="00DC7B2E"/>
    <w:rsid w:val="00DD01CB"/>
    <w:rsid w:val="00DD1023"/>
    <w:rsid w:val="00DD10AE"/>
    <w:rsid w:val="00DD14FD"/>
    <w:rsid w:val="00DD19F7"/>
    <w:rsid w:val="00DD2291"/>
    <w:rsid w:val="00DD2521"/>
    <w:rsid w:val="00DD326E"/>
    <w:rsid w:val="00DD35CA"/>
    <w:rsid w:val="00DD38C9"/>
    <w:rsid w:val="00DD3956"/>
    <w:rsid w:val="00DD50E3"/>
    <w:rsid w:val="00DD52CE"/>
    <w:rsid w:val="00DD62F2"/>
    <w:rsid w:val="00DD6945"/>
    <w:rsid w:val="00DD6CCB"/>
    <w:rsid w:val="00DD7814"/>
    <w:rsid w:val="00DD795A"/>
    <w:rsid w:val="00DE0624"/>
    <w:rsid w:val="00DE08D5"/>
    <w:rsid w:val="00DE113C"/>
    <w:rsid w:val="00DE146B"/>
    <w:rsid w:val="00DE2558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E7F8F"/>
    <w:rsid w:val="00DF0103"/>
    <w:rsid w:val="00DF0A00"/>
    <w:rsid w:val="00DF0DE3"/>
    <w:rsid w:val="00DF0E85"/>
    <w:rsid w:val="00DF0F35"/>
    <w:rsid w:val="00DF1833"/>
    <w:rsid w:val="00DF1B85"/>
    <w:rsid w:val="00DF1BC8"/>
    <w:rsid w:val="00DF232B"/>
    <w:rsid w:val="00DF27F7"/>
    <w:rsid w:val="00DF2827"/>
    <w:rsid w:val="00DF2D14"/>
    <w:rsid w:val="00DF3210"/>
    <w:rsid w:val="00DF382B"/>
    <w:rsid w:val="00DF3C45"/>
    <w:rsid w:val="00DF42EA"/>
    <w:rsid w:val="00DF45C5"/>
    <w:rsid w:val="00DF476C"/>
    <w:rsid w:val="00DF5ACF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2A48"/>
    <w:rsid w:val="00E03530"/>
    <w:rsid w:val="00E03D47"/>
    <w:rsid w:val="00E045BD"/>
    <w:rsid w:val="00E04C02"/>
    <w:rsid w:val="00E04CC8"/>
    <w:rsid w:val="00E0528D"/>
    <w:rsid w:val="00E05459"/>
    <w:rsid w:val="00E05981"/>
    <w:rsid w:val="00E05995"/>
    <w:rsid w:val="00E065C3"/>
    <w:rsid w:val="00E0675A"/>
    <w:rsid w:val="00E074F0"/>
    <w:rsid w:val="00E07AF0"/>
    <w:rsid w:val="00E07D8A"/>
    <w:rsid w:val="00E07F69"/>
    <w:rsid w:val="00E10CAC"/>
    <w:rsid w:val="00E120F5"/>
    <w:rsid w:val="00E12495"/>
    <w:rsid w:val="00E12594"/>
    <w:rsid w:val="00E12BE0"/>
    <w:rsid w:val="00E13852"/>
    <w:rsid w:val="00E13C45"/>
    <w:rsid w:val="00E13DDA"/>
    <w:rsid w:val="00E143C8"/>
    <w:rsid w:val="00E14A8F"/>
    <w:rsid w:val="00E152BC"/>
    <w:rsid w:val="00E15EB5"/>
    <w:rsid w:val="00E16BFC"/>
    <w:rsid w:val="00E1776D"/>
    <w:rsid w:val="00E178F3"/>
    <w:rsid w:val="00E17B77"/>
    <w:rsid w:val="00E218D1"/>
    <w:rsid w:val="00E2195F"/>
    <w:rsid w:val="00E22213"/>
    <w:rsid w:val="00E22C96"/>
    <w:rsid w:val="00E2333A"/>
    <w:rsid w:val="00E23551"/>
    <w:rsid w:val="00E23DD6"/>
    <w:rsid w:val="00E25847"/>
    <w:rsid w:val="00E25BB5"/>
    <w:rsid w:val="00E26184"/>
    <w:rsid w:val="00E276FB"/>
    <w:rsid w:val="00E276FE"/>
    <w:rsid w:val="00E27999"/>
    <w:rsid w:val="00E27C40"/>
    <w:rsid w:val="00E300CE"/>
    <w:rsid w:val="00E3062A"/>
    <w:rsid w:val="00E31D33"/>
    <w:rsid w:val="00E32061"/>
    <w:rsid w:val="00E32A88"/>
    <w:rsid w:val="00E32E22"/>
    <w:rsid w:val="00E334A4"/>
    <w:rsid w:val="00E33D36"/>
    <w:rsid w:val="00E33FC7"/>
    <w:rsid w:val="00E34213"/>
    <w:rsid w:val="00E34E11"/>
    <w:rsid w:val="00E352B8"/>
    <w:rsid w:val="00E35BFF"/>
    <w:rsid w:val="00E35D65"/>
    <w:rsid w:val="00E368E1"/>
    <w:rsid w:val="00E370F3"/>
    <w:rsid w:val="00E37869"/>
    <w:rsid w:val="00E37F2F"/>
    <w:rsid w:val="00E4066E"/>
    <w:rsid w:val="00E40A17"/>
    <w:rsid w:val="00E412F9"/>
    <w:rsid w:val="00E4162A"/>
    <w:rsid w:val="00E41A33"/>
    <w:rsid w:val="00E426C0"/>
    <w:rsid w:val="00E426CD"/>
    <w:rsid w:val="00E42C3E"/>
    <w:rsid w:val="00E42FF9"/>
    <w:rsid w:val="00E43767"/>
    <w:rsid w:val="00E437E6"/>
    <w:rsid w:val="00E43880"/>
    <w:rsid w:val="00E43F09"/>
    <w:rsid w:val="00E43FD8"/>
    <w:rsid w:val="00E444EA"/>
    <w:rsid w:val="00E4471B"/>
    <w:rsid w:val="00E44C0F"/>
    <w:rsid w:val="00E44D60"/>
    <w:rsid w:val="00E44E82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969"/>
    <w:rsid w:val="00E47B2B"/>
    <w:rsid w:val="00E47D5C"/>
    <w:rsid w:val="00E504A0"/>
    <w:rsid w:val="00E50EF9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43D"/>
    <w:rsid w:val="00E556C9"/>
    <w:rsid w:val="00E56790"/>
    <w:rsid w:val="00E568CE"/>
    <w:rsid w:val="00E56AD2"/>
    <w:rsid w:val="00E574EE"/>
    <w:rsid w:val="00E57675"/>
    <w:rsid w:val="00E61241"/>
    <w:rsid w:val="00E6159F"/>
    <w:rsid w:val="00E632B8"/>
    <w:rsid w:val="00E63CA1"/>
    <w:rsid w:val="00E6419C"/>
    <w:rsid w:val="00E642E7"/>
    <w:rsid w:val="00E64DA9"/>
    <w:rsid w:val="00E650BE"/>
    <w:rsid w:val="00E66357"/>
    <w:rsid w:val="00E66518"/>
    <w:rsid w:val="00E66845"/>
    <w:rsid w:val="00E66D4B"/>
    <w:rsid w:val="00E671A2"/>
    <w:rsid w:val="00E672A4"/>
    <w:rsid w:val="00E67DB1"/>
    <w:rsid w:val="00E67DDA"/>
    <w:rsid w:val="00E67DF0"/>
    <w:rsid w:val="00E67E20"/>
    <w:rsid w:val="00E702AA"/>
    <w:rsid w:val="00E703EA"/>
    <w:rsid w:val="00E71042"/>
    <w:rsid w:val="00E711C8"/>
    <w:rsid w:val="00E712EC"/>
    <w:rsid w:val="00E7275E"/>
    <w:rsid w:val="00E730C1"/>
    <w:rsid w:val="00E7386B"/>
    <w:rsid w:val="00E74453"/>
    <w:rsid w:val="00E74489"/>
    <w:rsid w:val="00E74B84"/>
    <w:rsid w:val="00E753C2"/>
    <w:rsid w:val="00E753E2"/>
    <w:rsid w:val="00E75D1A"/>
    <w:rsid w:val="00E75FE7"/>
    <w:rsid w:val="00E76611"/>
    <w:rsid w:val="00E76913"/>
    <w:rsid w:val="00E76D26"/>
    <w:rsid w:val="00E77B46"/>
    <w:rsid w:val="00E805BC"/>
    <w:rsid w:val="00E80633"/>
    <w:rsid w:val="00E80B8D"/>
    <w:rsid w:val="00E80F43"/>
    <w:rsid w:val="00E8114D"/>
    <w:rsid w:val="00E816F6"/>
    <w:rsid w:val="00E81D1F"/>
    <w:rsid w:val="00E82B4A"/>
    <w:rsid w:val="00E8342D"/>
    <w:rsid w:val="00E83942"/>
    <w:rsid w:val="00E83F5E"/>
    <w:rsid w:val="00E84777"/>
    <w:rsid w:val="00E84888"/>
    <w:rsid w:val="00E84AA3"/>
    <w:rsid w:val="00E84EBA"/>
    <w:rsid w:val="00E854AF"/>
    <w:rsid w:val="00E86479"/>
    <w:rsid w:val="00E864D2"/>
    <w:rsid w:val="00E86624"/>
    <w:rsid w:val="00E86D8E"/>
    <w:rsid w:val="00E86E65"/>
    <w:rsid w:val="00E86F1C"/>
    <w:rsid w:val="00E87E3C"/>
    <w:rsid w:val="00E90C23"/>
    <w:rsid w:val="00E91653"/>
    <w:rsid w:val="00E91CDA"/>
    <w:rsid w:val="00E920B2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96"/>
    <w:rsid w:val="00E953DA"/>
    <w:rsid w:val="00E95ADB"/>
    <w:rsid w:val="00E95C4B"/>
    <w:rsid w:val="00E95F93"/>
    <w:rsid w:val="00E96C9D"/>
    <w:rsid w:val="00E96E40"/>
    <w:rsid w:val="00E973D3"/>
    <w:rsid w:val="00E9781B"/>
    <w:rsid w:val="00E97A14"/>
    <w:rsid w:val="00E97D7F"/>
    <w:rsid w:val="00EA01F1"/>
    <w:rsid w:val="00EA104A"/>
    <w:rsid w:val="00EA1273"/>
    <w:rsid w:val="00EA1C88"/>
    <w:rsid w:val="00EA2D61"/>
    <w:rsid w:val="00EA33DF"/>
    <w:rsid w:val="00EA3475"/>
    <w:rsid w:val="00EA3B8C"/>
    <w:rsid w:val="00EA3FD6"/>
    <w:rsid w:val="00EA42E9"/>
    <w:rsid w:val="00EA436E"/>
    <w:rsid w:val="00EA45ED"/>
    <w:rsid w:val="00EA462E"/>
    <w:rsid w:val="00EA4D98"/>
    <w:rsid w:val="00EA5C0F"/>
    <w:rsid w:val="00EA67D3"/>
    <w:rsid w:val="00EA749F"/>
    <w:rsid w:val="00EA7598"/>
    <w:rsid w:val="00EA7714"/>
    <w:rsid w:val="00EA7DAD"/>
    <w:rsid w:val="00EA7E40"/>
    <w:rsid w:val="00EB1390"/>
    <w:rsid w:val="00EB1552"/>
    <w:rsid w:val="00EB1A56"/>
    <w:rsid w:val="00EB26A3"/>
    <w:rsid w:val="00EB2C71"/>
    <w:rsid w:val="00EB2DA3"/>
    <w:rsid w:val="00EB34D8"/>
    <w:rsid w:val="00EB38A2"/>
    <w:rsid w:val="00EB39EC"/>
    <w:rsid w:val="00EB3C40"/>
    <w:rsid w:val="00EB4340"/>
    <w:rsid w:val="00EB4C43"/>
    <w:rsid w:val="00EB4F9C"/>
    <w:rsid w:val="00EB5312"/>
    <w:rsid w:val="00EB56DC"/>
    <w:rsid w:val="00EB7E13"/>
    <w:rsid w:val="00EC027D"/>
    <w:rsid w:val="00EC061C"/>
    <w:rsid w:val="00EC0E35"/>
    <w:rsid w:val="00EC155C"/>
    <w:rsid w:val="00EC1596"/>
    <w:rsid w:val="00EC16C1"/>
    <w:rsid w:val="00EC18F5"/>
    <w:rsid w:val="00EC2752"/>
    <w:rsid w:val="00EC2D4C"/>
    <w:rsid w:val="00EC3104"/>
    <w:rsid w:val="00EC3988"/>
    <w:rsid w:val="00EC3AD5"/>
    <w:rsid w:val="00EC4B30"/>
    <w:rsid w:val="00EC4D3D"/>
    <w:rsid w:val="00EC53E1"/>
    <w:rsid w:val="00EC5989"/>
    <w:rsid w:val="00EC61F8"/>
    <w:rsid w:val="00EC62A3"/>
    <w:rsid w:val="00EC6420"/>
    <w:rsid w:val="00EC67B5"/>
    <w:rsid w:val="00EC6CFA"/>
    <w:rsid w:val="00EC7FCC"/>
    <w:rsid w:val="00ED0279"/>
    <w:rsid w:val="00ED11AB"/>
    <w:rsid w:val="00ED13F7"/>
    <w:rsid w:val="00ED3151"/>
    <w:rsid w:val="00ED32B4"/>
    <w:rsid w:val="00ED3542"/>
    <w:rsid w:val="00ED4FDD"/>
    <w:rsid w:val="00ED55C0"/>
    <w:rsid w:val="00ED5908"/>
    <w:rsid w:val="00ED62C2"/>
    <w:rsid w:val="00ED65C0"/>
    <w:rsid w:val="00ED670D"/>
    <w:rsid w:val="00ED682B"/>
    <w:rsid w:val="00ED6C0B"/>
    <w:rsid w:val="00ED7179"/>
    <w:rsid w:val="00ED7E87"/>
    <w:rsid w:val="00ED7F34"/>
    <w:rsid w:val="00EE027D"/>
    <w:rsid w:val="00EE095C"/>
    <w:rsid w:val="00EE176B"/>
    <w:rsid w:val="00EE1C2B"/>
    <w:rsid w:val="00EE1C4E"/>
    <w:rsid w:val="00EE251A"/>
    <w:rsid w:val="00EE2641"/>
    <w:rsid w:val="00EE28E2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17AC"/>
    <w:rsid w:val="00EF1E6D"/>
    <w:rsid w:val="00EF2275"/>
    <w:rsid w:val="00EF320D"/>
    <w:rsid w:val="00EF3C9B"/>
    <w:rsid w:val="00EF4006"/>
    <w:rsid w:val="00EF47A0"/>
    <w:rsid w:val="00EF58D7"/>
    <w:rsid w:val="00EF5CE1"/>
    <w:rsid w:val="00EF5E9D"/>
    <w:rsid w:val="00EF686D"/>
    <w:rsid w:val="00EF78CA"/>
    <w:rsid w:val="00EF7B65"/>
    <w:rsid w:val="00EF7B92"/>
    <w:rsid w:val="00F00196"/>
    <w:rsid w:val="00F001A8"/>
    <w:rsid w:val="00F00526"/>
    <w:rsid w:val="00F00806"/>
    <w:rsid w:val="00F02198"/>
    <w:rsid w:val="00F02279"/>
    <w:rsid w:val="00F036BD"/>
    <w:rsid w:val="00F037A4"/>
    <w:rsid w:val="00F037E7"/>
    <w:rsid w:val="00F03AE0"/>
    <w:rsid w:val="00F03FEA"/>
    <w:rsid w:val="00F04FC6"/>
    <w:rsid w:val="00F05545"/>
    <w:rsid w:val="00F060DC"/>
    <w:rsid w:val="00F06959"/>
    <w:rsid w:val="00F072F9"/>
    <w:rsid w:val="00F073D0"/>
    <w:rsid w:val="00F10C4B"/>
    <w:rsid w:val="00F11006"/>
    <w:rsid w:val="00F11B41"/>
    <w:rsid w:val="00F121A7"/>
    <w:rsid w:val="00F1268D"/>
    <w:rsid w:val="00F12E36"/>
    <w:rsid w:val="00F12F43"/>
    <w:rsid w:val="00F13D23"/>
    <w:rsid w:val="00F15007"/>
    <w:rsid w:val="00F15FE1"/>
    <w:rsid w:val="00F161BA"/>
    <w:rsid w:val="00F16D68"/>
    <w:rsid w:val="00F17264"/>
    <w:rsid w:val="00F17791"/>
    <w:rsid w:val="00F20C16"/>
    <w:rsid w:val="00F214B1"/>
    <w:rsid w:val="00F21675"/>
    <w:rsid w:val="00F21B3D"/>
    <w:rsid w:val="00F22774"/>
    <w:rsid w:val="00F229C7"/>
    <w:rsid w:val="00F22C60"/>
    <w:rsid w:val="00F2468F"/>
    <w:rsid w:val="00F2486B"/>
    <w:rsid w:val="00F24F3A"/>
    <w:rsid w:val="00F25162"/>
    <w:rsid w:val="00F25231"/>
    <w:rsid w:val="00F25C61"/>
    <w:rsid w:val="00F25DA4"/>
    <w:rsid w:val="00F2665F"/>
    <w:rsid w:val="00F268B4"/>
    <w:rsid w:val="00F277F4"/>
    <w:rsid w:val="00F2793F"/>
    <w:rsid w:val="00F27C89"/>
    <w:rsid w:val="00F27C8F"/>
    <w:rsid w:val="00F3044E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2F9"/>
    <w:rsid w:val="00F34114"/>
    <w:rsid w:val="00F3419A"/>
    <w:rsid w:val="00F34287"/>
    <w:rsid w:val="00F351F8"/>
    <w:rsid w:val="00F3552A"/>
    <w:rsid w:val="00F355B9"/>
    <w:rsid w:val="00F36117"/>
    <w:rsid w:val="00F366C2"/>
    <w:rsid w:val="00F37172"/>
    <w:rsid w:val="00F37559"/>
    <w:rsid w:val="00F40A51"/>
    <w:rsid w:val="00F40C43"/>
    <w:rsid w:val="00F40EA9"/>
    <w:rsid w:val="00F41266"/>
    <w:rsid w:val="00F413EA"/>
    <w:rsid w:val="00F41469"/>
    <w:rsid w:val="00F4166A"/>
    <w:rsid w:val="00F41A2A"/>
    <w:rsid w:val="00F4242D"/>
    <w:rsid w:val="00F42C84"/>
    <w:rsid w:val="00F42D94"/>
    <w:rsid w:val="00F42E0E"/>
    <w:rsid w:val="00F43225"/>
    <w:rsid w:val="00F43FA4"/>
    <w:rsid w:val="00F44337"/>
    <w:rsid w:val="00F4477E"/>
    <w:rsid w:val="00F44F3A"/>
    <w:rsid w:val="00F4558B"/>
    <w:rsid w:val="00F4561B"/>
    <w:rsid w:val="00F45A61"/>
    <w:rsid w:val="00F45B00"/>
    <w:rsid w:val="00F46373"/>
    <w:rsid w:val="00F4666A"/>
    <w:rsid w:val="00F46B4F"/>
    <w:rsid w:val="00F5043B"/>
    <w:rsid w:val="00F51922"/>
    <w:rsid w:val="00F52711"/>
    <w:rsid w:val="00F52B89"/>
    <w:rsid w:val="00F533FF"/>
    <w:rsid w:val="00F53E18"/>
    <w:rsid w:val="00F53E67"/>
    <w:rsid w:val="00F53EA6"/>
    <w:rsid w:val="00F53F9B"/>
    <w:rsid w:val="00F54D0D"/>
    <w:rsid w:val="00F54FDE"/>
    <w:rsid w:val="00F550DC"/>
    <w:rsid w:val="00F556FC"/>
    <w:rsid w:val="00F55C9E"/>
    <w:rsid w:val="00F5619A"/>
    <w:rsid w:val="00F5668E"/>
    <w:rsid w:val="00F56A3E"/>
    <w:rsid w:val="00F57AE0"/>
    <w:rsid w:val="00F57C0C"/>
    <w:rsid w:val="00F60BD6"/>
    <w:rsid w:val="00F60EF6"/>
    <w:rsid w:val="00F6110C"/>
    <w:rsid w:val="00F61119"/>
    <w:rsid w:val="00F61A90"/>
    <w:rsid w:val="00F6272F"/>
    <w:rsid w:val="00F62FFD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67EFC"/>
    <w:rsid w:val="00F71BCA"/>
    <w:rsid w:val="00F71BDD"/>
    <w:rsid w:val="00F720E6"/>
    <w:rsid w:val="00F721CD"/>
    <w:rsid w:val="00F7265E"/>
    <w:rsid w:val="00F72B80"/>
    <w:rsid w:val="00F72C70"/>
    <w:rsid w:val="00F72CC6"/>
    <w:rsid w:val="00F735E5"/>
    <w:rsid w:val="00F73919"/>
    <w:rsid w:val="00F73B32"/>
    <w:rsid w:val="00F74656"/>
    <w:rsid w:val="00F749DA"/>
    <w:rsid w:val="00F74B8C"/>
    <w:rsid w:val="00F74FA7"/>
    <w:rsid w:val="00F74FC1"/>
    <w:rsid w:val="00F75833"/>
    <w:rsid w:val="00F75B48"/>
    <w:rsid w:val="00F75CFF"/>
    <w:rsid w:val="00F76212"/>
    <w:rsid w:val="00F7680C"/>
    <w:rsid w:val="00F7753D"/>
    <w:rsid w:val="00F77788"/>
    <w:rsid w:val="00F77932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3EEF"/>
    <w:rsid w:val="00F8419B"/>
    <w:rsid w:val="00F842AF"/>
    <w:rsid w:val="00F849B5"/>
    <w:rsid w:val="00F84F3D"/>
    <w:rsid w:val="00F851C0"/>
    <w:rsid w:val="00F86024"/>
    <w:rsid w:val="00F8603C"/>
    <w:rsid w:val="00F8611A"/>
    <w:rsid w:val="00F867A1"/>
    <w:rsid w:val="00F86954"/>
    <w:rsid w:val="00F870A2"/>
    <w:rsid w:val="00F872C2"/>
    <w:rsid w:val="00F90052"/>
    <w:rsid w:val="00F90614"/>
    <w:rsid w:val="00F9080E"/>
    <w:rsid w:val="00F90DD2"/>
    <w:rsid w:val="00F90EEE"/>
    <w:rsid w:val="00F91250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1F55"/>
    <w:rsid w:val="00FA21B5"/>
    <w:rsid w:val="00FA4270"/>
    <w:rsid w:val="00FA4353"/>
    <w:rsid w:val="00FA43B7"/>
    <w:rsid w:val="00FA4B72"/>
    <w:rsid w:val="00FA4C74"/>
    <w:rsid w:val="00FA4CE5"/>
    <w:rsid w:val="00FA505A"/>
    <w:rsid w:val="00FA5128"/>
    <w:rsid w:val="00FA5ABE"/>
    <w:rsid w:val="00FA5FEA"/>
    <w:rsid w:val="00FA606C"/>
    <w:rsid w:val="00FA64A6"/>
    <w:rsid w:val="00FA6705"/>
    <w:rsid w:val="00FA6760"/>
    <w:rsid w:val="00FA6B49"/>
    <w:rsid w:val="00FA6BFE"/>
    <w:rsid w:val="00FA6F17"/>
    <w:rsid w:val="00FA7182"/>
    <w:rsid w:val="00FA785A"/>
    <w:rsid w:val="00FA7A4C"/>
    <w:rsid w:val="00FA7D6C"/>
    <w:rsid w:val="00FB034E"/>
    <w:rsid w:val="00FB06DC"/>
    <w:rsid w:val="00FB0970"/>
    <w:rsid w:val="00FB1722"/>
    <w:rsid w:val="00FB1B6A"/>
    <w:rsid w:val="00FB1B6C"/>
    <w:rsid w:val="00FB24AF"/>
    <w:rsid w:val="00FB2572"/>
    <w:rsid w:val="00FB3380"/>
    <w:rsid w:val="00FB367C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1C71"/>
    <w:rsid w:val="00FC25E0"/>
    <w:rsid w:val="00FC289B"/>
    <w:rsid w:val="00FC2A1C"/>
    <w:rsid w:val="00FC2AED"/>
    <w:rsid w:val="00FC31D0"/>
    <w:rsid w:val="00FC3AF2"/>
    <w:rsid w:val="00FC3BAA"/>
    <w:rsid w:val="00FC3D48"/>
    <w:rsid w:val="00FC472C"/>
    <w:rsid w:val="00FC48BE"/>
    <w:rsid w:val="00FC4A03"/>
    <w:rsid w:val="00FC4BDC"/>
    <w:rsid w:val="00FC4E9B"/>
    <w:rsid w:val="00FC58E0"/>
    <w:rsid w:val="00FC5F26"/>
    <w:rsid w:val="00FC666F"/>
    <w:rsid w:val="00FC6D31"/>
    <w:rsid w:val="00FC6E6B"/>
    <w:rsid w:val="00FC76E2"/>
    <w:rsid w:val="00FD0303"/>
    <w:rsid w:val="00FD054F"/>
    <w:rsid w:val="00FD077C"/>
    <w:rsid w:val="00FD098D"/>
    <w:rsid w:val="00FD0A15"/>
    <w:rsid w:val="00FD1343"/>
    <w:rsid w:val="00FD179A"/>
    <w:rsid w:val="00FD3248"/>
    <w:rsid w:val="00FD330B"/>
    <w:rsid w:val="00FD3C4C"/>
    <w:rsid w:val="00FD471F"/>
    <w:rsid w:val="00FD4FED"/>
    <w:rsid w:val="00FD5142"/>
    <w:rsid w:val="00FD51B5"/>
    <w:rsid w:val="00FD5BC1"/>
    <w:rsid w:val="00FD5C34"/>
    <w:rsid w:val="00FD6D55"/>
    <w:rsid w:val="00FD6F1D"/>
    <w:rsid w:val="00FD7781"/>
    <w:rsid w:val="00FD78A9"/>
    <w:rsid w:val="00FD7B34"/>
    <w:rsid w:val="00FE039E"/>
    <w:rsid w:val="00FE0980"/>
    <w:rsid w:val="00FE1003"/>
    <w:rsid w:val="00FE118A"/>
    <w:rsid w:val="00FE20DF"/>
    <w:rsid w:val="00FE2EED"/>
    <w:rsid w:val="00FE3108"/>
    <w:rsid w:val="00FE36D9"/>
    <w:rsid w:val="00FE4DAA"/>
    <w:rsid w:val="00FE5DE4"/>
    <w:rsid w:val="00FE753B"/>
    <w:rsid w:val="00FE7B6A"/>
    <w:rsid w:val="00FE7F37"/>
    <w:rsid w:val="00FF02BE"/>
    <w:rsid w:val="00FF0DDD"/>
    <w:rsid w:val="00FF1983"/>
    <w:rsid w:val="00FF1E88"/>
    <w:rsid w:val="00FF2719"/>
    <w:rsid w:val="00FF31E2"/>
    <w:rsid w:val="00FF356A"/>
    <w:rsid w:val="00FF41ED"/>
    <w:rsid w:val="00FF493F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06E582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529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en/topics/prices-trade/prices/prices-in-the-national-economy-in-2019,2,16.html" TargetMode="External"/><Relationship Id="rId32" Type="http://schemas.openxmlformats.org/officeDocument/2006/relationships/hyperlink" Target="https://stat.gov.pl/en/topics/prices-trade/prices/prices-in-the-national-economy-in-2019,2,16.html" TargetMode="External"/><Relationship Id="rId37" Type="http://schemas.openxmlformats.org/officeDocument/2006/relationships/hyperlink" Target="https://stat.gov.pl/metainformacje/slownik-pojec/pojecia-stosowane-w-statystyce-publicznej/529,pojecie.html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28" Type="http://schemas.openxmlformats.org/officeDocument/2006/relationships/hyperlink" Target="https://stat.gov.pl/metainformacje/slownik-pojec/pojecia-stosowane-w-statystyce-publicznej/3234,pojecie.html" TargetMode="External"/><Relationship Id="rId36" Type="http://schemas.openxmlformats.org/officeDocument/2006/relationships/hyperlink" Target="https://stat.gov.pl/metainformacje/slownik-pojec/pojecia-stosowane-w-statystyce-publicznej/3234,pojecie.html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s://stat.gov.pl/metainformacje/slownik-pojec/pojecia-stosowane-w-statystyce-publicznej/2331,pojecie.html" TargetMode="External"/><Relationship Id="rId30" Type="http://schemas.openxmlformats.org/officeDocument/2006/relationships/hyperlink" Target="http://stat.gov.pl/metainformacje/slownik-pojec/pojecia-stosowane-w-statystyce-publicznej/1718,pojecie.html" TargetMode="External"/><Relationship Id="rId35" Type="http://schemas.openxmlformats.org/officeDocument/2006/relationships/hyperlink" Target="https://stat.gov.pl/metainformacje/slownik-pojec/pojecia-stosowane-w-statystyce-publicznej/2331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660783269083904E-2"/>
          <c:y val="8.631622660070716E-2"/>
          <c:w val="0.94644028449363815"/>
          <c:h val="0.6808124790852756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7D-4E99-A241-B1D30D3A96CF}"/>
                </c:ext>
              </c:extLst>
            </c:dLbl>
            <c:dLbl>
              <c:idx val="1"/>
              <c:layout>
                <c:manualLayout>
                  <c:x val="-4.1486283888948733E-2"/>
                  <c:y val="-5.080743148180552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47D-4E99-A241-B1D30D3A96CF}"/>
                </c:ext>
              </c:extLst>
            </c:dLbl>
            <c:dLbl>
              <c:idx val="2"/>
              <c:layout>
                <c:manualLayout>
                  <c:x val="-7.0079456442213722E-2"/>
                  <c:y val="3.1074752019633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7D-4E99-A241-B1D30D3A96CF}"/>
                </c:ext>
              </c:extLst>
            </c:dLbl>
            <c:dLbl>
              <c:idx val="3"/>
              <c:layout>
                <c:manualLayout>
                  <c:x val="-4.5168778231785646E-2"/>
                  <c:y val="4.259824131568787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788977401216655E-2"/>
                      <c:h val="8.7872652282101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47D-4E99-A241-B1D30D3A96CF}"/>
                </c:ext>
              </c:extLst>
            </c:dLbl>
            <c:dLbl>
              <c:idx val="4"/>
              <c:layout>
                <c:manualLayout>
                  <c:x val="-2.7107079451325893E-2"/>
                  <c:y val="3.61254843144605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7D-4E99-A241-B1D30D3A96CF}"/>
                </c:ext>
              </c:extLst>
            </c:dLbl>
            <c:dLbl>
              <c:idx val="5"/>
              <c:layout>
                <c:manualLayout>
                  <c:x val="-3.9916730210411581E-2"/>
                  <c:y val="-4.4431105280938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7D-4E99-A241-B1D30D3A96CF}"/>
                </c:ext>
              </c:extLst>
            </c:dLbl>
            <c:dLbl>
              <c:idx val="6"/>
              <c:layout>
                <c:manualLayout>
                  <c:x val="-4.0830225524613691E-2"/>
                  <c:y val="4.20429264523751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7D-4E99-A241-B1D30D3A96CF}"/>
                </c:ext>
              </c:extLst>
            </c:dLbl>
            <c:dLbl>
              <c:idx val="7"/>
              <c:layout>
                <c:manualLayout>
                  <c:x val="-2.6425764879335276E-2"/>
                  <c:y val="2.6958995913055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7D-4E99-A241-B1D30D3A96CF}"/>
                </c:ext>
              </c:extLst>
            </c:dLbl>
            <c:dLbl>
              <c:idx val="8"/>
              <c:layout>
                <c:manualLayout>
                  <c:x val="-4.0832038285983807E-2"/>
                  <c:y val="-3.83047204244810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7D-4E99-A241-B1D30D3A96CF}"/>
                </c:ext>
              </c:extLst>
            </c:dLbl>
            <c:dLbl>
              <c:idx val="9"/>
              <c:layout>
                <c:manualLayout>
                  <c:x val="-4.1254327696582625E-2"/>
                  <c:y val="-4.81905052927095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47D-4E99-A241-B1D30D3A96CF}"/>
                </c:ext>
              </c:extLst>
            </c:dLbl>
            <c:dLbl>
              <c:idx val="10"/>
              <c:layout>
                <c:manualLayout>
                  <c:x val="-3.6626389581129744E-2"/>
                  <c:y val="3.92327284484044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7D-4E99-A241-B1D30D3A96CF}"/>
                </c:ext>
              </c:extLst>
            </c:dLbl>
            <c:dLbl>
              <c:idx val="11"/>
              <c:layout>
                <c:manualLayout>
                  <c:x val="-5.3532665142003451E-2"/>
                  <c:y val="-3.67181375055390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47D-4E99-A241-B1D30D3A96CF}"/>
                </c:ext>
              </c:extLst>
            </c:dLbl>
            <c:dLbl>
              <c:idx val="12"/>
              <c:layout>
                <c:manualLayout>
                  <c:x val="-5.2887190270806794E-2"/>
                  <c:y val="-3.67140471077478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7D-4E99-A241-B1D30D3A96CF}"/>
                </c:ext>
              </c:extLst>
            </c:dLbl>
            <c:dLbl>
              <c:idx val="13"/>
              <c:layout>
                <c:manualLayout>
                  <c:x val="-4.6469483712196891E-2"/>
                  <c:y val="-4.46516912658644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47D-4E99-A241-B1D30D3A96CF}"/>
                </c:ext>
              </c:extLst>
            </c:dLbl>
            <c:dLbl>
              <c:idx val="14"/>
              <c:layout>
                <c:manualLayout>
                  <c:x val="-3.5788999864212488E-2"/>
                  <c:y val="-3.76947829178797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47D-4E99-A241-B1D30D3A96CF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47D-4E99-A241-B1D30D3A96CF}"/>
                </c:ext>
              </c:extLst>
            </c:dLbl>
            <c:dLbl>
              <c:idx val="16"/>
              <c:layout>
                <c:manualLayout>
                  <c:x val="-4.2379822553788346E-2"/>
                  <c:y val="-3.412888588242597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047D-4E99-A241-B1D30D3A96CF}"/>
                </c:ext>
              </c:extLst>
            </c:dLbl>
            <c:dLbl>
              <c:idx val="17"/>
              <c:layout>
                <c:manualLayout>
                  <c:x val="-1.2532220022204827E-2"/>
                  <c:y val="-4.439354171637636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341519444572348E-2"/>
                      <c:h val="8.09539936540190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47D-4E99-A241-B1D30D3A96CF}"/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047D-4E99-A241-B1D30D3A96CF}"/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047D-4E99-A241-B1D30D3A96CF}"/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047D-4E99-A241-B1D30D3A96CF}"/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047D-4E99-A241-B1D30D3A96CF}"/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047D-4E99-A241-B1D30D3A96CF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047D-4E99-A241-B1D30D3A96CF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47D-4E99-A241-B1D30D3A96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wskaźnik!$A$16:$A$33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wskaźnik!$B$16:$B$33</c:f>
              <c:numCache>
                <c:formatCode>0.0</c:formatCode>
                <c:ptCount val="18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047D-4E99-A241-B1D30D3A96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1509440"/>
        <c:axId val="541508896"/>
        <c:extLst/>
      </c:lineChart>
      <c:catAx>
        <c:axId val="54150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54150889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41508896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4991441287230388E-3"/>
              <c:y val="2.716933110633897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54150944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231561915909555E-2"/>
          <c:y val="8.7801488582043188E-2"/>
          <c:w val="0.90752374466654895"/>
          <c:h val="0.7193844414946342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776034618702826E-2"/>
                  <c:y val="-5.00650462170489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5F-4633-AE28-D077AFD9E79B}"/>
                </c:ext>
              </c:extLst>
            </c:dLbl>
            <c:dLbl>
              <c:idx val="1"/>
              <c:layout>
                <c:manualLayout>
                  <c:x val="-3.772707776213418E-2"/>
                  <c:y val="-5.40139728910698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5F-4633-AE28-D077AFD9E79B}"/>
                </c:ext>
              </c:extLst>
            </c:dLbl>
            <c:dLbl>
              <c:idx val="2"/>
              <c:layout>
                <c:manualLayout>
                  <c:x val="-2.5354545658836922E-2"/>
                  <c:y val="-5.4994864772338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5F-4633-AE28-D077AFD9E79B}"/>
                </c:ext>
              </c:extLst>
            </c:dLbl>
            <c:dLbl>
              <c:idx val="3"/>
              <c:layout>
                <c:manualLayout>
                  <c:x val="-5.7991603264506961E-2"/>
                  <c:y val="5.24650360733893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5F-4633-AE28-D077AFD9E79B}"/>
                </c:ext>
              </c:extLst>
            </c:dLbl>
            <c:dLbl>
              <c:idx val="4"/>
              <c:layout>
                <c:manualLayout>
                  <c:x val="-4.2496626747813661E-2"/>
                  <c:y val="5.14623353240265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5F-4633-AE28-D077AFD9E79B}"/>
                </c:ext>
              </c:extLst>
            </c:dLbl>
            <c:dLbl>
              <c:idx val="5"/>
              <c:layout>
                <c:manualLayout>
                  <c:x val="-2.9871919703754597E-2"/>
                  <c:y val="4.33676958083800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5F-4633-AE28-D077AFD9E79B}"/>
                </c:ext>
              </c:extLst>
            </c:dLbl>
            <c:dLbl>
              <c:idx val="6"/>
              <c:layout>
                <c:manualLayout>
                  <c:x val="-3.631954493093744E-2"/>
                  <c:y val="5.83640813014315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5F-4633-AE28-D077AFD9E79B}"/>
                </c:ext>
              </c:extLst>
            </c:dLbl>
            <c:dLbl>
              <c:idx val="7"/>
              <c:layout>
                <c:manualLayout>
                  <c:x val="-3.6310032204240748E-2"/>
                  <c:y val="4.8492031674769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5F-4633-AE28-D077AFD9E79B}"/>
                </c:ext>
              </c:extLst>
            </c:dLbl>
            <c:dLbl>
              <c:idx val="8"/>
              <c:layout>
                <c:manualLayout>
                  <c:x val="-4.098415914911005E-2"/>
                  <c:y val="5.25390847883143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5F-4633-AE28-D077AFD9E79B}"/>
                </c:ext>
              </c:extLst>
            </c:dLbl>
            <c:dLbl>
              <c:idx val="9"/>
              <c:layout>
                <c:manualLayout>
                  <c:x val="-3.9114092622030631E-2"/>
                  <c:y val="4.31085244779185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5F-4633-AE28-D077AFD9E79B}"/>
                </c:ext>
              </c:extLst>
            </c:dLbl>
            <c:dLbl>
              <c:idx val="10"/>
              <c:layout>
                <c:manualLayout>
                  <c:x val="-4.3741188264111323E-2"/>
                  <c:y val="5.4159027223046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F5F-4633-AE28-D077AFD9E79B}"/>
                </c:ext>
              </c:extLst>
            </c:dLbl>
            <c:dLbl>
              <c:idx val="11"/>
              <c:layout>
                <c:manualLayout>
                  <c:x val="-4.0412977909961283E-2"/>
                  <c:y val="4.78988677139995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F5F-4633-AE28-D077AFD9E79B}"/>
                </c:ext>
              </c:extLst>
            </c:dLbl>
            <c:dLbl>
              <c:idx val="12"/>
              <c:layout>
                <c:manualLayout>
                  <c:x val="-2.76343853841697E-2"/>
                  <c:y val="3.78946834544232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F5F-4633-AE28-D077AFD9E79B}"/>
                </c:ext>
              </c:extLst>
            </c:dLbl>
            <c:dLbl>
              <c:idx val="13"/>
              <c:layout>
                <c:manualLayout>
                  <c:x val="-5.521464240595695E-2"/>
                  <c:y val="-3.84399051567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F5F-4633-AE28-D077AFD9E79B}"/>
                </c:ext>
              </c:extLst>
            </c:dLbl>
            <c:dLbl>
              <c:idx val="14"/>
              <c:layout>
                <c:manualLayout>
                  <c:x val="-4.6518930759663235E-2"/>
                  <c:y val="-5.02308950511621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F5F-4633-AE28-D077AFD9E79B}"/>
                </c:ext>
              </c:extLst>
            </c:dLbl>
            <c:dLbl>
              <c:idx val="15"/>
              <c:layout>
                <c:manualLayout>
                  <c:x val="-5.973621705277906E-2"/>
                  <c:y val="-5.3270442643944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F5F-4633-AE28-D077AFD9E79B}"/>
                </c:ext>
              </c:extLst>
            </c:dLbl>
            <c:dLbl>
              <c:idx val="16"/>
              <c:layout>
                <c:manualLayout>
                  <c:x val="-5.2629964249877627E-2"/>
                  <c:y val="-4.782000076077446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16.0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730486676508783E-2"/>
                      <c:h val="9.55411008406557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9F5F-4633-AE28-D077AFD9E79B}"/>
                </c:ext>
              </c:extLst>
            </c:dLbl>
            <c:dLbl>
              <c:idx val="17"/>
              <c:layout>
                <c:manualLayout>
                  <c:x val="-2.4715362000521744E-3"/>
                  <c:y val="-5.30716269162006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F5F-4633-AE28-D077AFD9E79B}"/>
                </c:ext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9F5F-4633-AE28-D077AFD9E79B}"/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F5F-4633-AE28-D077AFD9E79B}"/>
                </c:ext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F5F-4633-AE28-D077AFD9E79B}"/>
                </c:ext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9F5F-4633-AE28-D077AFD9E79B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F5F-4633-AE28-D077AFD9E79B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9F5F-4633-AE28-D077AFD9E79B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F5F-4633-AE28-D077AFD9E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wskaźnik!$A$16:$A$33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wskaźnik!$B$16:$B$33</c:f>
              <c:numCache>
                <c:formatCode>0.0</c:formatCode>
                <c:ptCount val="18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9F5F-4633-AE28-D077AFD9E7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1501280"/>
        <c:axId val="541501824"/>
        <c:extLst/>
      </c:lineChart>
      <c:catAx>
        <c:axId val="54150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54150182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41501824"/>
        <c:scaling>
          <c:orientation val="minMax"/>
          <c:max val="1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0564224669831637E-2"/>
              <c:y val="2.7169792181774379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541501280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'pszenica i zyto'!$B$17:$B$34</c:f>
              <c:numCache>
                <c:formatCode>0.00</c:formatCode>
                <c:ptCount val="18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BF-4C25-B46E-F5261DE86A1A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'pszenica i zyto'!$C$17:$C$34</c:f>
              <c:numCache>
                <c:formatCode>0.00</c:formatCode>
                <c:ptCount val="18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BF-4C25-B46E-F5261DE86A1A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'pszenica i zyto'!$D$17:$D$34</c:f>
              <c:numCache>
                <c:formatCode>0.00</c:formatCode>
                <c:ptCount val="18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BF-4C25-B46E-F5261DE86A1A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'pszenica i zyto'!$E$17:$E$34</c:f>
              <c:numCache>
                <c:formatCode>0.00</c:formatCode>
                <c:ptCount val="18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9BF-4C25-B46E-F5261DE86A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1507264"/>
        <c:axId val="541505632"/>
      </c:lineChart>
      <c:dateAx>
        <c:axId val="54150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1505632"/>
        <c:crosses val="autoZero"/>
        <c:auto val="0"/>
        <c:lblOffset val="100"/>
        <c:baseTimeUnit val="days"/>
      </c:dateAx>
      <c:valAx>
        <c:axId val="541505632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4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4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1507264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699144749763431E-2"/>
          <c:y val="7.1242549846844472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'ziemniaki 4'!$B$17:$B$34</c:f>
              <c:numCache>
                <c:formatCode>0.00</c:formatCode>
                <c:ptCount val="18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52-4D4E-9452-FBC98B32EB37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'ziemniaki 4'!$C$17:$C$34</c:f>
              <c:numCache>
                <c:formatCode>0.00</c:formatCode>
                <c:ptCount val="18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52-4D4E-9452-FBC98B32E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1500192"/>
        <c:axId val="541511072"/>
        <c:extLst/>
      </c:lineChart>
      <c:catAx>
        <c:axId val="54150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15110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1511072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4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4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150019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'bydło_trzoda 5'!$B$17:$B$34</c:f>
              <c:numCache>
                <c:formatCode>0.00</c:formatCode>
                <c:ptCount val="18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65-4793-B525-DABBC76ACE13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'bydło_trzoda 5'!$C$17:$C$34</c:f>
              <c:numCache>
                <c:formatCode>0.00</c:formatCode>
                <c:ptCount val="18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65-4793-B525-DABBC76ACE13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'bydło_trzoda 5'!$D$17:$D$34</c:f>
              <c:numCache>
                <c:formatCode>0.00</c:formatCode>
                <c:ptCount val="18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665-4793-B525-DABBC76ACE13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'bydło_trzoda 5'!$E$17:$E$34</c:f>
              <c:numCache>
                <c:formatCode>0.00</c:formatCode>
                <c:ptCount val="18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665-4793-B525-DABBC76AC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1507808"/>
        <c:axId val="541512160"/>
      </c:lineChart>
      <c:catAx>
        <c:axId val="54150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80" baseline="0"/>
            </a:pPr>
            <a:endParaRPr lang="pl-PL"/>
          </a:p>
        </c:txPr>
        <c:crossAx val="541512160"/>
        <c:crosses val="autoZero"/>
        <c:auto val="1"/>
        <c:lblAlgn val="ctr"/>
        <c:lblOffset val="100"/>
        <c:noMultiLvlLbl val="0"/>
      </c:catAx>
      <c:valAx>
        <c:axId val="541512160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40" b="0" baseline="0"/>
                </a:pPr>
                <a:r>
                  <a:rPr lang="pl-PL" sz="84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80" baseline="0"/>
            </a:pPr>
            <a:endParaRPr lang="pl-PL"/>
          </a:p>
        </c:txPr>
        <c:crossAx val="5415078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989621369846425E-2"/>
          <c:y val="0.87738491534546781"/>
          <c:w val="0.90891480699535099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4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71868280317693E-2"/>
          <c:y val="7.3393368932332143E-2"/>
          <c:w val="0.87983238800244801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'drób_mleko 6'!$B$17:$B$34</c:f>
              <c:numCache>
                <c:formatCode>0.00</c:formatCode>
                <c:ptCount val="18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8B-4FBA-B0FC-079F61822F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1509984"/>
        <c:axId val="541496928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'drób_mleko 6'!$C$17:$C$34</c:f>
              <c:numCache>
                <c:formatCode>General</c:formatCode>
                <c:ptCount val="18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8B-4FBA-B0FC-079F61822F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1506176"/>
        <c:axId val="541510528"/>
        <c:extLst/>
      </c:lineChart>
      <c:catAx>
        <c:axId val="54150998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1496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149692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8.1126222858506319E-4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1509984"/>
        <c:crosses val="autoZero"/>
        <c:crossBetween val="between"/>
        <c:majorUnit val="1"/>
      </c:valAx>
      <c:catAx>
        <c:axId val="541506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41510528"/>
        <c:crosses val="autoZero"/>
        <c:auto val="0"/>
        <c:lblAlgn val="ctr"/>
        <c:lblOffset val="100"/>
        <c:noMultiLvlLbl val="0"/>
      </c:catAx>
      <c:valAx>
        <c:axId val="541510528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1506176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4128660655982525"/>
          <c:y val="0.91131496062992123"/>
          <c:w val="0.72679224877477899"/>
          <c:h val="5.3935695538057743E-2"/>
        </c:manualLayout>
      </c:layout>
      <c:overlay val="0"/>
      <c:txPr>
        <a:bodyPr/>
        <a:lstStyle/>
        <a:p>
          <a:pPr>
            <a:defRPr sz="84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00A3-99DE-483A-8331-F5D4A843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Prices of agricultural products in June 2021</dc:title>
  <dc:subject>Prices of agricultural products</dc:subject>
  <dc:creator>Statistics Poland</dc:creator>
  <cp:keywords>market prices; procurement prices</cp:keywords>
  <cp:lastPrinted>2021-07-20T06:42:00Z</cp:lastPrinted>
  <dcterms:created xsi:type="dcterms:W3CDTF">2021-07-19T12:49:00Z</dcterms:created>
  <dcterms:modified xsi:type="dcterms:W3CDTF">2021-07-20T06:42:00Z</dcterms:modified>
  <cp:category>Prices</cp:category>
</cp:coreProperties>
</file>