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D11D4" w:rsidRDefault="00C16D56" w:rsidP="00685123">
      <w:pPr>
        <w:pStyle w:val="tytuinformacji"/>
      </w:pPr>
      <w:bookmarkStart w:id="0" w:name="_GoBack"/>
      <w:bookmarkEnd w:id="0"/>
      <w:r>
        <w:rPr>
          <w:lang w:val="en-GB"/>
        </w:rPr>
        <w:t>Consumer price indices in November</w:t>
      </w:r>
      <w:r w:rsidRPr="00920E23">
        <w:rPr>
          <w:lang w:val="en-GB"/>
        </w:rPr>
        <w:t xml:space="preserve"> 2021</w:t>
      </w:r>
    </w:p>
    <w:p w:rsidR="00AD4947" w:rsidRPr="00FD11D4" w:rsidRDefault="00AD4947" w:rsidP="00AD4947">
      <w:pPr>
        <w:pStyle w:val="tytuinformacji"/>
        <w:rPr>
          <w:sz w:val="32"/>
          <w:szCs w:val="32"/>
        </w:rPr>
      </w:pPr>
    </w:p>
    <w:p w:rsidR="00C16D56" w:rsidRPr="00490EBB" w:rsidRDefault="00C16D56" w:rsidP="00C16D56">
      <w:pPr>
        <w:pStyle w:val="LID"/>
        <w:spacing w:after="0"/>
        <w:rPr>
          <w:lang w:val="en-GB" w:eastAsia="en-GB"/>
        </w:rPr>
      </w:pPr>
      <w:r w:rsidRPr="00FD11D4"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05D07E7" wp14:editId="6C05030E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AC" w:rsidRPr="00D72F40" w:rsidRDefault="00D05DAC" w:rsidP="00C16D56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5BF9D1C" wp14:editId="42FAF5B1">
                                  <wp:extent cx="334645" cy="334645"/>
                                  <wp:effectExtent l="19050" t="0" r="8255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2F40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7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8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D05DAC" w:rsidRPr="000A0BA9" w:rsidRDefault="00D05DAC" w:rsidP="00C16D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C3D2C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AC3D2C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  <w:p w:rsidR="00D05DAC" w:rsidRPr="00D72F40" w:rsidRDefault="00D05DAC" w:rsidP="00C16D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D07E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6526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D05DAC" w:rsidRPr="00D72F40" w:rsidRDefault="00D05DAC" w:rsidP="00C16D56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5BF9D1C" wp14:editId="42FAF5B1">
                            <wp:extent cx="334645" cy="334645"/>
                            <wp:effectExtent l="19050" t="0" r="8255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2F40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7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8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D05DAC" w:rsidRPr="000A0BA9" w:rsidRDefault="00D05DAC" w:rsidP="00C16D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C3D2C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AC3D2C">
                        <w:rPr>
                          <w:lang w:val="en-GB"/>
                        </w:rPr>
                        <w:t>the previous year</w:t>
                      </w:r>
                    </w:p>
                    <w:p w:rsidR="00D05DAC" w:rsidRPr="00D72F40" w:rsidRDefault="00D05DAC" w:rsidP="00C16D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 w:val="0"/>
          <w:lang w:val="en-GB" w:eastAsia="en-GB"/>
        </w:rPr>
        <w:t>C</w:t>
      </w:r>
      <w:r w:rsidRPr="00490EBB">
        <w:rPr>
          <w:noProof w:val="0"/>
          <w:lang w:val="en-GB" w:eastAsia="en-GB"/>
        </w:rPr>
        <w:t xml:space="preserve">onsumer prices in </w:t>
      </w:r>
      <w:r w:rsidR="00E16C02">
        <w:rPr>
          <w:noProof w:val="0"/>
          <w:lang w:val="en-GB" w:eastAsia="en-GB"/>
        </w:rPr>
        <w:t>November</w:t>
      </w:r>
      <w:r w:rsidRPr="00490EBB">
        <w:rPr>
          <w:lang w:val="en-GB" w:eastAsia="en-GB"/>
        </w:rPr>
        <w:t xml:space="preserve"> 2021, </w:t>
      </w:r>
      <w:r w:rsidRPr="00490EBB">
        <w:rPr>
          <w:noProof w:val="0"/>
          <w:lang w:val="en-GB" w:eastAsia="en-GB"/>
        </w:rPr>
        <w:t xml:space="preserve">compared with the corresponding month of the previous year, </w:t>
      </w:r>
      <w:r w:rsidRPr="00490EBB">
        <w:rPr>
          <w:noProof w:val="0"/>
          <w:lang w:val="en-GB" w:eastAsia="en-GB"/>
        </w:rPr>
        <w:br/>
        <w:t>increased by</w:t>
      </w:r>
      <w:r w:rsidRPr="00490EBB">
        <w:rPr>
          <w:lang w:val="en-GB" w:eastAsia="en-GB"/>
        </w:rPr>
        <w:t xml:space="preserve"> </w:t>
      </w:r>
      <w:r>
        <w:rPr>
          <w:lang w:val="en-GB" w:eastAsia="en-GB"/>
        </w:rPr>
        <w:t>7</w:t>
      </w:r>
      <w:r w:rsidRPr="00490EBB">
        <w:rPr>
          <w:lang w:val="en-GB" w:eastAsia="en-GB"/>
        </w:rPr>
        <w:t>,8</w:t>
      </w:r>
      <w:r w:rsidR="00E16C02">
        <w:rPr>
          <w:lang w:val="en-GB" w:eastAsia="en-GB"/>
        </w:rPr>
        <w:t>%</w:t>
      </w:r>
      <w:r>
        <w:rPr>
          <w:lang w:val="en-GB" w:eastAsia="en-GB"/>
        </w:rPr>
        <w:t xml:space="preserve"> </w:t>
      </w:r>
      <w:r w:rsidRPr="00831EB0">
        <w:rPr>
          <w:lang w:val="en-GB" w:eastAsia="en-GB"/>
        </w:rPr>
        <w:t>(w</w:t>
      </w:r>
      <w:r w:rsidRPr="00831EB0">
        <w:rPr>
          <w:noProof w:val="0"/>
          <w:lang w:val="en-GB"/>
        </w:rPr>
        <w:t>ith an</w:t>
      </w:r>
      <w:r>
        <w:rPr>
          <w:noProof w:val="0"/>
          <w:lang w:val="en-GB"/>
        </w:rPr>
        <w:t xml:space="preserve"> increase of prices </w:t>
      </w:r>
      <w:r>
        <w:rPr>
          <w:noProof w:val="0"/>
          <w:lang w:val="en-GB"/>
        </w:rPr>
        <w:br/>
        <w:t>of goods</w:t>
      </w:r>
      <w:r w:rsidRPr="00831EB0">
        <w:rPr>
          <w:lang w:val="en-GB"/>
        </w:rPr>
        <w:t xml:space="preserve"> by</w:t>
      </w:r>
      <w:r w:rsidRPr="00831EB0">
        <w:rPr>
          <w:lang w:val="en-GB" w:eastAsia="en-GB"/>
        </w:rPr>
        <w:t xml:space="preserve"> </w:t>
      </w:r>
      <w:r>
        <w:rPr>
          <w:lang w:val="en-GB" w:eastAsia="en-GB"/>
        </w:rPr>
        <w:t>8</w:t>
      </w:r>
      <w:r w:rsidRPr="00831EB0">
        <w:rPr>
          <w:lang w:val="en-GB" w:eastAsia="en-GB"/>
        </w:rPr>
        <w:t>,</w:t>
      </w:r>
      <w:r>
        <w:rPr>
          <w:lang w:val="en-GB" w:eastAsia="en-GB"/>
        </w:rPr>
        <w:t>1</w:t>
      </w:r>
      <w:r w:rsidRPr="00831EB0">
        <w:rPr>
          <w:lang w:val="en-GB" w:eastAsia="en-GB"/>
        </w:rPr>
        <w:t xml:space="preserve">% </w:t>
      </w:r>
      <w:r>
        <w:rPr>
          <w:lang w:val="en-GB" w:eastAsia="en-GB"/>
        </w:rPr>
        <w:t>and services</w:t>
      </w:r>
      <w:r w:rsidR="005F0477">
        <w:rPr>
          <w:lang w:val="en-GB" w:eastAsia="en-GB"/>
        </w:rPr>
        <w:t xml:space="preserve"> by 6</w:t>
      </w:r>
      <w:r w:rsidRPr="00831EB0">
        <w:rPr>
          <w:lang w:val="en-GB" w:eastAsia="en-GB"/>
        </w:rPr>
        <w:t>,6%).</w:t>
      </w:r>
    </w:p>
    <w:p w:rsidR="00370D51" w:rsidRPr="009E5ADA" w:rsidRDefault="00C16D56" w:rsidP="00C16D56">
      <w:pPr>
        <w:pStyle w:val="LID"/>
        <w:spacing w:before="0" w:after="0"/>
        <w:rPr>
          <w:lang w:eastAsia="en-GB"/>
        </w:rPr>
      </w:pPr>
      <w:r w:rsidRPr="00363324">
        <w:rPr>
          <w:noProof w:val="0"/>
          <w:lang w:val="en-GB" w:eastAsia="en-GB"/>
        </w:rPr>
        <w:t xml:space="preserve">As related to the previous month consumer prices </w:t>
      </w:r>
      <w:r>
        <w:rPr>
          <w:noProof w:val="0"/>
          <w:lang w:val="en-GB" w:eastAsia="en-GB"/>
        </w:rPr>
        <w:br/>
      </w:r>
      <w:r w:rsidRPr="00363324">
        <w:rPr>
          <w:noProof w:val="0"/>
          <w:lang w:val="en-GB" w:eastAsia="en-GB"/>
        </w:rPr>
        <w:t>increased by</w:t>
      </w:r>
      <w:r w:rsidRPr="00363324">
        <w:rPr>
          <w:noProof w:val="0"/>
          <w:lang w:val="en-GB"/>
        </w:rPr>
        <w:t xml:space="preserve"> </w:t>
      </w:r>
      <w:r w:rsidR="005F0477">
        <w:rPr>
          <w:lang w:val="en-GB" w:eastAsia="en-GB"/>
        </w:rPr>
        <w:t>1,0</w:t>
      </w:r>
      <w:r w:rsidRPr="00363324">
        <w:rPr>
          <w:lang w:val="en-GB" w:eastAsia="en-GB"/>
        </w:rPr>
        <w:t>% (</w:t>
      </w:r>
      <w:r w:rsidRPr="00363324">
        <w:rPr>
          <w:noProof w:val="0"/>
          <w:lang w:val="en-GB"/>
        </w:rPr>
        <w:t xml:space="preserve">of which goods by </w:t>
      </w:r>
      <w:r w:rsidR="005F0477">
        <w:rPr>
          <w:lang w:val="en-GB" w:eastAsia="en-GB"/>
        </w:rPr>
        <w:t>1,2% and services by 0,4</w:t>
      </w:r>
      <w:r w:rsidRPr="00363324">
        <w:rPr>
          <w:lang w:val="en-GB" w:eastAsia="en-GB"/>
        </w:rPr>
        <w:t>%).</w:t>
      </w:r>
    </w:p>
    <w:p w:rsidR="00370D51" w:rsidRPr="00FD11D4" w:rsidRDefault="00370D51" w:rsidP="00370D51">
      <w:pPr>
        <w:pStyle w:val="LID"/>
        <w:spacing w:before="0" w:after="0"/>
      </w:pPr>
    </w:p>
    <w:p w:rsidR="00370D51" w:rsidRPr="00FD11D4" w:rsidRDefault="00370D51" w:rsidP="00370D51">
      <w:pPr>
        <w:pStyle w:val="LID"/>
        <w:spacing w:before="0" w:after="0"/>
      </w:pPr>
    </w:p>
    <w:p w:rsidR="009E3F12" w:rsidRPr="00FD11D4" w:rsidRDefault="009E3F12" w:rsidP="00164CEA">
      <w:pPr>
        <w:spacing w:before="0" w:after="100"/>
        <w:rPr>
          <w:highlight w:val="yellow"/>
        </w:rPr>
      </w:pPr>
    </w:p>
    <w:p w:rsidR="00C27D75" w:rsidRPr="00FD11D4" w:rsidRDefault="005F0477" w:rsidP="00260F39">
      <w:pPr>
        <w:pStyle w:val="tytuwykresu"/>
        <w:spacing w:after="0"/>
        <w:rPr>
          <w:bCs/>
          <w:shd w:val="clear" w:color="auto" w:fill="FFFFFF"/>
        </w:rPr>
      </w:pPr>
      <w:r w:rsidRPr="00831EB0">
        <w:rPr>
          <w:lang w:val="en-GB"/>
        </w:rPr>
        <w:t xml:space="preserve">Table 1. Consumer price indices in </w:t>
      </w:r>
      <w:r>
        <w:rPr>
          <w:lang w:val="en-GB"/>
        </w:rPr>
        <w:t>November</w:t>
      </w:r>
      <w:r w:rsidRPr="00831EB0">
        <w:rPr>
          <w:lang w:val="en-GB"/>
        </w:rPr>
        <w:t xml:space="preserve"> 2021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00"/>
        <w:gridCol w:w="970"/>
        <w:gridCol w:w="969"/>
        <w:gridCol w:w="971"/>
        <w:gridCol w:w="1103"/>
        <w:gridCol w:w="1170"/>
      </w:tblGrid>
      <w:tr w:rsidR="00260F39" w:rsidRPr="00FD11D4" w:rsidTr="00DB220F">
        <w:trPr>
          <w:cantSplit/>
          <w:trHeight w:val="367"/>
        </w:trPr>
        <w:tc>
          <w:tcPr>
            <w:tcW w:w="3100" w:type="dxa"/>
            <w:vMerge w:val="restart"/>
            <w:vAlign w:val="center"/>
          </w:tcPr>
          <w:p w:rsidR="00260F39" w:rsidRPr="00FD11D4" w:rsidRDefault="00DB220F" w:rsidP="00AF6AEA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10" w:type="dxa"/>
            <w:gridSpan w:val="3"/>
            <w:vAlign w:val="center"/>
          </w:tcPr>
          <w:p w:rsidR="00260F39" w:rsidRPr="00FD11D4" w:rsidRDefault="00D35A8F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103" w:type="dxa"/>
          </w:tcPr>
          <w:p w:rsidR="00260F39" w:rsidRPr="00FD11D4" w:rsidRDefault="00D35A8F" w:rsidP="004A5B48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01-11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170" w:type="dxa"/>
            <w:vMerge w:val="restart"/>
            <w:vAlign w:val="center"/>
          </w:tcPr>
          <w:p w:rsidR="00DB220F" w:rsidRPr="00DB220F" w:rsidRDefault="00DB220F" w:rsidP="00DB220F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4"/>
                <w:szCs w:val="14"/>
                <w:lang w:eastAsia="pl-PL"/>
              </w:rPr>
            </w:pPr>
            <w:r w:rsidRPr="00DB220F">
              <w:rPr>
                <w:rFonts w:eastAsia="Times New Roman" w:cs="Arial"/>
                <w:bCs/>
                <w:color w:val="000000" w:themeColor="text1"/>
                <w:sz w:val="14"/>
                <w:szCs w:val="14"/>
                <w:lang w:eastAsia="pl-PL"/>
              </w:rPr>
              <w:t>CONTRIBUTION OF CHANGES</w:t>
            </w:r>
          </w:p>
          <w:p w:rsidR="00260F39" w:rsidRPr="00FD11D4" w:rsidRDefault="00D05DAC" w:rsidP="00DB220F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4"/>
                <w:szCs w:val="14"/>
                <w:lang w:eastAsia="pl-PL"/>
              </w:rPr>
              <w:t>10</w:t>
            </w:r>
            <w:r w:rsidR="00DB220F" w:rsidRPr="00DB220F">
              <w:rPr>
                <w:rFonts w:eastAsia="Times New Roman" w:cs="Arial"/>
                <w:bCs/>
                <w:color w:val="000000" w:themeColor="text1"/>
                <w:sz w:val="14"/>
                <w:szCs w:val="14"/>
                <w:lang w:eastAsia="pl-PL"/>
              </w:rPr>
              <w:t xml:space="preserve"> 2021=</w:t>
            </w:r>
            <w:r w:rsidR="00DB220F" w:rsidRPr="00DB220F">
              <w:rPr>
                <w:rFonts w:eastAsia="Times New Roman" w:cs="Arial"/>
                <w:bCs/>
                <w:color w:val="000000" w:themeColor="text1"/>
                <w:sz w:val="14"/>
                <w:szCs w:val="14"/>
                <w:lang w:eastAsia="pl-PL"/>
              </w:rPr>
              <w:br/>
              <w:t>=100</w:t>
            </w:r>
          </w:p>
        </w:tc>
      </w:tr>
      <w:tr w:rsidR="00260F39" w:rsidRPr="00FD11D4" w:rsidTr="00DB220F">
        <w:trPr>
          <w:cantSplit/>
          <w:trHeight w:val="57"/>
        </w:trPr>
        <w:tc>
          <w:tcPr>
            <w:tcW w:w="310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70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D35A8F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69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71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D35A8F" w:rsidP="004A5B48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0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D35A8F" w:rsidP="007B3BF3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01-11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B220F" w:rsidRPr="00133BA4" w:rsidRDefault="00DB220F" w:rsidP="00DB220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B220F" w:rsidRDefault="00DB220F" w:rsidP="00DB220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8526A5">
              <w:rPr>
                <w:b/>
              </w:rPr>
              <w:t>107,8</w:t>
            </w:r>
          </w:p>
        </w:tc>
        <w:tc>
          <w:tcPr>
            <w:tcW w:w="96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B220F" w:rsidRDefault="00DB220F" w:rsidP="00DB220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8526A5">
              <w:rPr>
                <w:b/>
              </w:rPr>
              <w:t>107,6</w:t>
            </w:r>
          </w:p>
        </w:tc>
        <w:tc>
          <w:tcPr>
            <w:tcW w:w="97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B220F" w:rsidRDefault="00DB220F" w:rsidP="00DB220F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8526A5">
              <w:rPr>
                <w:b/>
              </w:rPr>
              <w:t>101,0</w:t>
            </w:r>
          </w:p>
        </w:tc>
        <w:tc>
          <w:tcPr>
            <w:tcW w:w="110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  <w:rPr>
                <w:b/>
              </w:rPr>
            </w:pPr>
            <w:r w:rsidRPr="008526A5">
              <w:rPr>
                <w:b/>
              </w:rPr>
              <w:t>104,8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B220F" w:rsidRPr="00FD11D4" w:rsidRDefault="00DB220F" w:rsidP="00DB220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106,4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106,4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101,3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102,7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05DAC" w:rsidP="00DB220F">
            <w:pPr>
              <w:jc w:val="right"/>
            </w:pPr>
            <w:r w:rsidRPr="00D23C2A">
              <w:t>0,36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102,2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102,3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100,2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102,0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0,01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101,9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103,4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100,0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99,5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0,00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110,7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110,5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101,8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107,0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0,35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105,4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105,4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100,2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103,2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0,01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103,1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103,1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100,0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103,3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0,00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124,1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121,7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101,7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113,6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0,17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104,7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105,4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99,7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105,5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-0,02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105,7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105,4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100,7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105,0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0,04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104,4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104,4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100,1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105,1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0,00</w:t>
            </w:r>
          </w:p>
        </w:tc>
      </w:tr>
      <w:tr w:rsidR="00DB220F" w:rsidRPr="00FD11D4" w:rsidTr="00DB220F">
        <w:trPr>
          <w:cantSplit/>
          <w:trHeight w:val="57"/>
        </w:trPr>
        <w:tc>
          <w:tcPr>
            <w:tcW w:w="310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133BA4" w:rsidRDefault="00DB220F" w:rsidP="00DB220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107,6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107,6</w:t>
            </w:r>
          </w:p>
        </w:tc>
        <w:tc>
          <w:tcPr>
            <w:tcW w:w="97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101,1</w:t>
            </w:r>
          </w:p>
        </w:tc>
        <w:tc>
          <w:tcPr>
            <w:tcW w:w="110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105,9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0,05</w:t>
            </w:r>
          </w:p>
        </w:tc>
      </w:tr>
      <w:tr w:rsidR="00DB220F" w:rsidRPr="00FD11D4" w:rsidTr="00DB220F">
        <w:trPr>
          <w:cantSplit/>
          <w:trHeight w:val="445"/>
        </w:trPr>
        <w:tc>
          <w:tcPr>
            <w:tcW w:w="3100" w:type="dxa"/>
            <w:tcBorders>
              <w:top w:val="single" w:sz="4" w:space="0" w:color="212492"/>
              <w:bottom w:val="nil"/>
            </w:tcBorders>
            <w:vAlign w:val="center"/>
          </w:tcPr>
          <w:p w:rsidR="00DB220F" w:rsidRPr="00133BA4" w:rsidRDefault="00DB220F" w:rsidP="00DB220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70" w:type="dxa"/>
            <w:tcBorders>
              <w:top w:val="single" w:sz="4" w:space="0" w:color="212492"/>
              <w:bottom w:val="nil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102,6</w:t>
            </w:r>
          </w:p>
        </w:tc>
        <w:tc>
          <w:tcPr>
            <w:tcW w:w="969" w:type="dxa"/>
            <w:tcBorders>
              <w:top w:val="single" w:sz="4" w:space="0" w:color="212492"/>
              <w:bottom w:val="nil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102,9</w:t>
            </w:r>
          </w:p>
        </w:tc>
        <w:tc>
          <w:tcPr>
            <w:tcW w:w="971" w:type="dxa"/>
            <w:tcBorders>
              <w:top w:val="single" w:sz="4" w:space="0" w:color="212492"/>
              <w:bottom w:val="nil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100,6</w:t>
            </w:r>
          </w:p>
        </w:tc>
        <w:tc>
          <w:tcPr>
            <w:tcW w:w="1103" w:type="dxa"/>
            <w:tcBorders>
              <w:top w:val="single" w:sz="4" w:space="0" w:color="212492"/>
              <w:bottom w:val="nil"/>
            </w:tcBorders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102,1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DB220F" w:rsidRPr="008526A5" w:rsidRDefault="00DB220F" w:rsidP="00DB220F">
            <w:pPr>
              <w:jc w:val="right"/>
            </w:pPr>
            <w:r w:rsidRPr="008526A5">
              <w:t>0,03</w:t>
            </w:r>
          </w:p>
        </w:tc>
      </w:tr>
    </w:tbl>
    <w:p w:rsidR="00DB220F" w:rsidRPr="00B66B66" w:rsidRDefault="00DB220F" w:rsidP="00DB220F">
      <w:pPr>
        <w:pStyle w:val="Nagwek1"/>
        <w:spacing w:before="480" w:line="240" w:lineRule="exact"/>
        <w:rPr>
          <w:lang w:val="en-GB"/>
        </w:rPr>
      </w:pPr>
      <w:r w:rsidRPr="00133BA4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DB220F" w:rsidRPr="006479D4" w:rsidRDefault="00DB220F" w:rsidP="00DB220F">
      <w:pPr>
        <w:spacing w:before="0" w:after="0"/>
        <w:rPr>
          <w:lang w:val="en-GB"/>
        </w:rPr>
      </w:pPr>
      <w:r>
        <w:rPr>
          <w:lang w:val="en-GB"/>
        </w:rPr>
        <w:t>In November</w:t>
      </w:r>
      <w:r w:rsidRPr="006479D4">
        <w:rPr>
          <w:lang w:val="en-GB"/>
        </w:rPr>
        <w:t xml:space="preserve"> of the current year, compared with the previous month, the highest contribution to the total consumer price index came from higher prices related to Dwelling (by </w:t>
      </w:r>
      <w:r w:rsidR="00066D81">
        <w:rPr>
          <w:lang w:val="en-GB"/>
        </w:rPr>
        <w:t>1,4</w:t>
      </w:r>
      <w:r w:rsidRPr="006479D4">
        <w:rPr>
          <w:lang w:val="en-GB"/>
        </w:rPr>
        <w:t>%)</w:t>
      </w:r>
      <w:r>
        <w:rPr>
          <w:lang w:val="en-GB"/>
        </w:rPr>
        <w:t xml:space="preserve">, </w:t>
      </w:r>
      <w:r w:rsidR="00066D81">
        <w:rPr>
          <w:lang w:val="en-GB"/>
        </w:rPr>
        <w:t>Food</w:t>
      </w:r>
      <w:r w:rsidRPr="006479D4">
        <w:rPr>
          <w:lang w:val="en-GB"/>
        </w:rPr>
        <w:t xml:space="preserve"> (by</w:t>
      </w:r>
      <w:r w:rsidR="00200E85">
        <w:rPr>
          <w:lang w:val="en-GB"/>
        </w:rPr>
        <w:t xml:space="preserve"> 1,5</w:t>
      </w:r>
      <w:r w:rsidRPr="006479D4">
        <w:rPr>
          <w:lang w:val="en-GB"/>
        </w:rPr>
        <w:t>%)</w:t>
      </w:r>
      <w:r w:rsidR="00066D81">
        <w:rPr>
          <w:lang w:val="en-GB"/>
        </w:rPr>
        <w:t xml:space="preserve"> and Transport (by 1,7</w:t>
      </w:r>
      <w:r>
        <w:rPr>
          <w:lang w:val="en-GB"/>
        </w:rPr>
        <w:t xml:space="preserve">%) </w:t>
      </w:r>
      <w:r w:rsidRPr="006479D4">
        <w:rPr>
          <w:lang w:val="en-GB"/>
        </w:rPr>
        <w:t>which increased the index by 0,</w:t>
      </w:r>
      <w:r w:rsidR="00066D81">
        <w:rPr>
          <w:lang w:val="en-GB"/>
        </w:rPr>
        <w:t>36</w:t>
      </w:r>
      <w:r w:rsidRPr="006479D4">
        <w:rPr>
          <w:lang w:val="en-GB"/>
        </w:rPr>
        <w:t xml:space="preserve"> p</w:t>
      </w:r>
      <w:r>
        <w:rPr>
          <w:lang w:val="en-GB"/>
        </w:rPr>
        <w:t>p,</w:t>
      </w:r>
      <w:r w:rsidRPr="006479D4">
        <w:rPr>
          <w:lang w:val="en-GB"/>
        </w:rPr>
        <w:t xml:space="preserve"> 0,</w:t>
      </w:r>
      <w:r w:rsidR="00066D81">
        <w:rPr>
          <w:lang w:val="en-GB"/>
        </w:rPr>
        <w:t>35</w:t>
      </w:r>
      <w:r w:rsidRPr="006479D4">
        <w:rPr>
          <w:lang w:val="en-GB"/>
        </w:rPr>
        <w:t xml:space="preserve"> p</w:t>
      </w:r>
      <w:r w:rsidR="00D05DAC">
        <w:rPr>
          <w:lang w:val="en-GB"/>
        </w:rPr>
        <w:t>p and by </w:t>
      </w:r>
      <w:r w:rsidR="00066D81">
        <w:rPr>
          <w:lang w:val="en-GB"/>
        </w:rPr>
        <w:t>0,17</w:t>
      </w:r>
      <w:r>
        <w:rPr>
          <w:lang w:val="en-GB"/>
        </w:rPr>
        <w:t xml:space="preserve"> pp,</w:t>
      </w:r>
      <w:r w:rsidRPr="006479D4">
        <w:rPr>
          <w:lang w:val="en-GB"/>
        </w:rPr>
        <w:t xml:space="preserve"> respectively. Lower prices </w:t>
      </w:r>
      <w:r>
        <w:rPr>
          <w:lang w:val="en-GB"/>
        </w:rPr>
        <w:t xml:space="preserve">related to </w:t>
      </w:r>
      <w:r w:rsidRPr="00671902">
        <w:rPr>
          <w:lang w:val="en-GB"/>
        </w:rPr>
        <w:t>Communication</w:t>
      </w:r>
      <w:r w:rsidRPr="006479D4">
        <w:rPr>
          <w:lang w:val="en-GB"/>
        </w:rPr>
        <w:t xml:space="preserve"> (by 0,3</w:t>
      </w:r>
      <w:r>
        <w:rPr>
          <w:lang w:val="en-GB"/>
        </w:rPr>
        <w:t>%)</w:t>
      </w:r>
      <w:r w:rsidRPr="006479D4">
        <w:rPr>
          <w:lang w:val="en-GB"/>
        </w:rPr>
        <w:t xml:space="preserve"> decreased the index by </w:t>
      </w:r>
      <w:r>
        <w:rPr>
          <w:lang w:val="en-GB"/>
        </w:rPr>
        <w:t>0,02</w:t>
      </w:r>
      <w:r w:rsidRPr="006479D4">
        <w:rPr>
          <w:lang w:val="en-GB"/>
        </w:rPr>
        <w:t xml:space="preserve"> pp</w:t>
      </w:r>
      <w:r>
        <w:rPr>
          <w:lang w:val="en-GB"/>
        </w:rPr>
        <w:t>.</w:t>
      </w:r>
    </w:p>
    <w:p w:rsidR="00DB220F" w:rsidRPr="006479D4" w:rsidRDefault="00DB220F" w:rsidP="00DB220F">
      <w:pPr>
        <w:spacing w:before="0" w:after="0"/>
        <w:rPr>
          <w:b/>
          <w:sz w:val="18"/>
          <w:lang w:val="en-GB"/>
        </w:rPr>
      </w:pPr>
      <w:r w:rsidRPr="006479D4">
        <w:rPr>
          <w:color w:val="000000" w:themeColor="text1"/>
          <w:lang w:val="en-GB"/>
        </w:rPr>
        <w:t>Compared with the corresponding month of the previous year, higher prices related to </w:t>
      </w:r>
      <w:r w:rsidRPr="006479D4">
        <w:rPr>
          <w:lang w:val="en-GB"/>
        </w:rPr>
        <w:t>Dwelling (by </w:t>
      </w:r>
      <w:r w:rsidR="00066D81">
        <w:rPr>
          <w:lang w:val="en-GB"/>
        </w:rPr>
        <w:t>9,5</w:t>
      </w:r>
      <w:r w:rsidRPr="006479D4">
        <w:rPr>
          <w:lang w:val="en-GB"/>
        </w:rPr>
        <w:t>%)</w:t>
      </w:r>
      <w:r>
        <w:rPr>
          <w:lang w:val="en-GB"/>
        </w:rPr>
        <w:t xml:space="preserve">, </w:t>
      </w:r>
      <w:r w:rsidRPr="006479D4">
        <w:rPr>
          <w:lang w:val="en-GB"/>
        </w:rPr>
        <w:t>Transport (by</w:t>
      </w:r>
      <w:r w:rsidR="00066D81">
        <w:rPr>
          <w:lang w:val="en-GB"/>
        </w:rPr>
        <w:t xml:space="preserve"> 24</w:t>
      </w:r>
      <w:r>
        <w:rPr>
          <w:lang w:val="en-GB"/>
        </w:rPr>
        <w:t>,1</w:t>
      </w:r>
      <w:r w:rsidRPr="006479D4">
        <w:rPr>
          <w:lang w:val="en-GB"/>
        </w:rPr>
        <w:t>%)</w:t>
      </w:r>
      <w:r w:rsidR="00066D81">
        <w:rPr>
          <w:lang w:val="en-GB"/>
        </w:rPr>
        <w:t xml:space="preserve"> and Food (by 6,3</w:t>
      </w:r>
      <w:r>
        <w:rPr>
          <w:lang w:val="en-GB"/>
        </w:rPr>
        <w:t>%)</w:t>
      </w:r>
      <w:r w:rsidR="00D05DAC">
        <w:rPr>
          <w:lang w:val="en-GB"/>
        </w:rPr>
        <w:t xml:space="preserve"> increased the consumer price </w:t>
      </w:r>
      <w:r w:rsidRPr="006479D4">
        <w:rPr>
          <w:lang w:val="en-GB"/>
        </w:rPr>
        <w:t xml:space="preserve">index by </w:t>
      </w:r>
      <w:r>
        <w:rPr>
          <w:lang w:val="en-GB"/>
        </w:rPr>
        <w:t>2</w:t>
      </w:r>
      <w:r w:rsidRPr="006479D4">
        <w:rPr>
          <w:lang w:val="en-GB"/>
        </w:rPr>
        <w:t>,</w:t>
      </w:r>
      <w:r w:rsidR="00066D81">
        <w:rPr>
          <w:lang w:val="en-GB"/>
        </w:rPr>
        <w:t>38</w:t>
      </w:r>
      <w:r w:rsidRPr="006479D4">
        <w:rPr>
          <w:lang w:val="en-GB"/>
        </w:rPr>
        <w:t xml:space="preserve"> pp</w:t>
      </w:r>
      <w:r>
        <w:rPr>
          <w:lang w:val="en-GB"/>
        </w:rPr>
        <w:t>,</w:t>
      </w:r>
      <w:r w:rsidRPr="006479D4">
        <w:rPr>
          <w:lang w:val="en-GB"/>
        </w:rPr>
        <w:t xml:space="preserve"> </w:t>
      </w:r>
      <w:r w:rsidR="00066D81">
        <w:rPr>
          <w:lang w:val="en-GB"/>
        </w:rPr>
        <w:t>2</w:t>
      </w:r>
      <w:r w:rsidRPr="006479D4">
        <w:rPr>
          <w:lang w:val="en-GB"/>
        </w:rPr>
        <w:t>,</w:t>
      </w:r>
      <w:r w:rsidR="00066D81">
        <w:rPr>
          <w:lang w:val="en-GB"/>
        </w:rPr>
        <w:t>12</w:t>
      </w:r>
      <w:r w:rsidRPr="006479D4">
        <w:rPr>
          <w:lang w:val="en-GB"/>
        </w:rPr>
        <w:t> p</w:t>
      </w:r>
      <w:r w:rsidR="00200E85">
        <w:rPr>
          <w:lang w:val="en-GB"/>
        </w:rPr>
        <w:t>p and 1,56</w:t>
      </w:r>
      <w:r>
        <w:rPr>
          <w:lang w:val="en-GB"/>
        </w:rPr>
        <w:t xml:space="preserve"> pp,</w:t>
      </w:r>
      <w:r w:rsidRPr="006479D4">
        <w:rPr>
          <w:lang w:val="en-GB"/>
        </w:rPr>
        <w:t xml:space="preserve"> respectively. </w:t>
      </w:r>
    </w:p>
    <w:p w:rsidR="00934246" w:rsidRPr="00FD11D4" w:rsidRDefault="00934246" w:rsidP="00934246">
      <w:pPr>
        <w:spacing w:before="0" w:after="0"/>
        <w:rPr>
          <w:b/>
          <w:spacing w:val="-2"/>
          <w:sz w:val="18"/>
        </w:rPr>
      </w:pPr>
    </w:p>
    <w:p w:rsidR="001D1175" w:rsidRDefault="001D1175" w:rsidP="0080551D">
      <w:pPr>
        <w:pStyle w:val="tytuwykresu"/>
        <w:ind w:left="794" w:hanging="794"/>
      </w:pPr>
    </w:p>
    <w:p w:rsidR="00F24CE7" w:rsidRPr="00FE1BBD" w:rsidRDefault="00D05DAC" w:rsidP="00F24CE7">
      <w:pPr>
        <w:pStyle w:val="tytuwykresu"/>
        <w:ind w:left="635" w:hanging="635"/>
        <w:rPr>
          <w:noProof/>
          <w:lang w:val="en-GB" w:eastAsia="en-GB"/>
        </w:rPr>
      </w:pPr>
      <w:r>
        <w:rPr>
          <w:noProof/>
          <w:lang w:eastAsia="pl-PL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391693</wp:posOffset>
            </wp:positionV>
            <wp:extent cx="5122545" cy="261683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CE7" w:rsidRPr="00133BA4">
        <w:rPr>
          <w:noProof/>
          <w:lang w:val="en-GB" w:eastAsia="en-GB"/>
        </w:rPr>
        <w:t xml:space="preserve">Chart 1. Contribution of price changes of </w:t>
      </w:r>
      <w:r w:rsidR="00F24CE7" w:rsidRPr="00C441AB">
        <w:rPr>
          <w:noProof/>
          <w:lang w:val="en-GB" w:eastAsia="en-GB"/>
        </w:rPr>
        <w:t xml:space="preserve">selected groups of consumer goods and services </w:t>
      </w:r>
      <w:r w:rsidR="00F24CE7">
        <w:rPr>
          <w:noProof/>
          <w:lang w:val="en-GB" w:eastAsia="en-GB"/>
        </w:rPr>
        <w:br/>
        <w:t>in November</w:t>
      </w:r>
      <w:r w:rsidR="00F24CE7" w:rsidRPr="00C441AB">
        <w:rPr>
          <w:noProof/>
          <w:lang w:val="en-GB" w:eastAsia="en-GB"/>
        </w:rPr>
        <w:t xml:space="preserve"> 2021 (change in pp compared with the previous period)</w:t>
      </w:r>
    </w:p>
    <w:p w:rsidR="00A07F00" w:rsidRDefault="00A07F00" w:rsidP="0080551D">
      <w:pPr>
        <w:pStyle w:val="tytuwykresu"/>
        <w:ind w:left="794" w:hanging="794"/>
        <w:rPr>
          <w:shd w:val="clear" w:color="auto" w:fill="FFFFFF"/>
        </w:rPr>
      </w:pPr>
    </w:p>
    <w:p w:rsidR="00A55B73" w:rsidRPr="00FD11D4" w:rsidRDefault="00A55B73" w:rsidP="00234969">
      <w:pPr>
        <w:spacing w:before="0" w:after="160"/>
        <w:rPr>
          <w:b/>
          <w:spacing w:val="-2"/>
          <w:sz w:val="18"/>
        </w:rPr>
      </w:pPr>
    </w:p>
    <w:p w:rsidR="00A55B73" w:rsidRPr="00FD11D4" w:rsidRDefault="00F24CE7" w:rsidP="00590926">
      <w:pPr>
        <w:spacing w:before="0" w:after="160" w:line="259" w:lineRule="auto"/>
        <w:ind w:left="822" w:hanging="822"/>
        <w:rPr>
          <w:b/>
          <w:spacing w:val="-2"/>
          <w:sz w:val="18"/>
        </w:rPr>
      </w:pPr>
      <w:r w:rsidRPr="00133BA4">
        <w:rPr>
          <w:noProof/>
          <w:lang w:eastAsia="pl-PL"/>
        </w:rPr>
        <w:drawing>
          <wp:anchor distT="0" distB="0" distL="114300" distR="114300" simplePos="0" relativeHeight="251664896" behindDoc="0" locked="0" layoutInCell="1" allowOverlap="1" wp14:anchorId="3B5CB7B8" wp14:editId="6F00DCD1">
            <wp:simplePos x="0" y="0"/>
            <wp:positionH relativeFrom="column">
              <wp:posOffset>0</wp:posOffset>
            </wp:positionH>
            <wp:positionV relativeFrom="paragraph">
              <wp:posOffset>451473</wp:posOffset>
            </wp:positionV>
            <wp:extent cx="5120640" cy="3247390"/>
            <wp:effectExtent l="0" t="0" r="381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BA4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Pr="00133BA4">
        <w:rPr>
          <w:noProof/>
          <w:lang w:val="en-GB" w:eastAsia="en-GB"/>
        </w:rPr>
        <w:t xml:space="preserve"> </w:t>
      </w:r>
      <w:r w:rsidRPr="00133BA4">
        <w:rPr>
          <w:b/>
          <w:spacing w:val="-2"/>
          <w:sz w:val="18"/>
          <w:lang w:val="en-GB"/>
        </w:rPr>
        <w:t>2021</w:t>
      </w:r>
      <w:r w:rsidR="005F4399" w:rsidRPr="008544D0">
        <w:rPr>
          <w:b/>
          <w:spacing w:val="-2"/>
          <w:sz w:val="18"/>
        </w:rPr>
        <w:t>.</w:t>
      </w:r>
    </w:p>
    <w:p w:rsidR="009C30CD" w:rsidRDefault="009C30CD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3A440F" w:rsidRDefault="00CC5EDC" w:rsidP="00F161AC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233680</wp:posOffset>
            </wp:positionV>
            <wp:extent cx="5122545" cy="258254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F24CE7" w:rsidRPr="00133BA4">
        <w:rPr>
          <w:lang w:val="en-GB"/>
        </w:rPr>
        <w:t>Chart 3.</w:t>
      </w:r>
      <w:r w:rsidR="00F24CE7" w:rsidRPr="00133BA4">
        <w:rPr>
          <w:shd w:val="clear" w:color="auto" w:fill="FFFFFF"/>
          <w:lang w:val="en-GB"/>
        </w:rPr>
        <w:t xml:space="preserve"> Changes in consumer prices as related to </w:t>
      </w:r>
      <w:r w:rsidR="00F24CE7" w:rsidRPr="00133BA4">
        <w:rPr>
          <w:lang w:val="en-GB"/>
        </w:rPr>
        <w:t>the previous period (in</w:t>
      </w:r>
      <w:r w:rsidR="00F24CE7" w:rsidRPr="00133BA4">
        <w:rPr>
          <w:shd w:val="clear" w:color="auto" w:fill="FFFFFF"/>
          <w:lang w:val="en-GB"/>
        </w:rPr>
        <w:t xml:space="preserve"> %)</w:t>
      </w:r>
    </w:p>
    <w:p w:rsidR="006715EE" w:rsidRPr="00FD11D4" w:rsidRDefault="006715EE" w:rsidP="00D4654D">
      <w:pPr>
        <w:pStyle w:val="tytuwykresu"/>
      </w:pPr>
    </w:p>
    <w:p w:rsidR="00034160" w:rsidRDefault="00EC2527" w:rsidP="00751D7D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-139314</wp:posOffset>
            </wp:positionH>
            <wp:positionV relativeFrom="paragraph">
              <wp:posOffset>404274</wp:posOffset>
            </wp:positionV>
            <wp:extent cx="5122545" cy="253428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E3F12" w:rsidRPr="00FD11D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43392" behindDoc="1" locked="0" layoutInCell="1" allowOverlap="1" wp14:anchorId="2BED9E02" wp14:editId="55D38CA4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DAC" w:rsidRPr="004F4BA0" w:rsidRDefault="00D05DAC" w:rsidP="00F24CE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November</w:t>
                            </w: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2021 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consumer price index 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was above the upper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band for devia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tions from inflation target determined by the Monetary Policy Council (2,5% +/- 1 pp)</w:t>
                            </w:r>
                          </w:p>
                          <w:p w:rsidR="00D05DAC" w:rsidRPr="00F96C68" w:rsidRDefault="00D05DAC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9E02" id="Text Box 25" o:spid="_x0000_s1027" type="#_x0000_t202" style="position:absolute;left:0;text-align:left;margin-left:415pt;margin-top:320.25pt;width:135.85pt;height:107.7pt;z-index:-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D05DAC" w:rsidRPr="004F4BA0" w:rsidRDefault="00D05DAC" w:rsidP="00F24CE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November</w:t>
                      </w: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2021 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consumer price index 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was above the upper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band for devia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tions from inflation target determined by the Monetary Policy Council (2,5% +/- 1 pp)</w:t>
                      </w:r>
                    </w:p>
                    <w:p w:rsidR="00D05DAC" w:rsidRPr="00F96C68" w:rsidRDefault="00D05DAC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24CE7" w:rsidRPr="00133BA4">
        <w:rPr>
          <w:lang w:val="en-GB"/>
        </w:rPr>
        <w:t>Chart 4.</w:t>
      </w:r>
      <w:r w:rsidR="00F24CE7" w:rsidRPr="00133BA4">
        <w:rPr>
          <w:shd w:val="clear" w:color="auto" w:fill="FFFFFF"/>
          <w:lang w:val="en-GB"/>
        </w:rPr>
        <w:t xml:space="preserve"> Changes in c</w:t>
      </w:r>
      <w:r w:rsidR="00F24CE7" w:rsidRPr="00133BA4">
        <w:rPr>
          <w:spacing w:val="-4"/>
          <w:lang w:val="en-GB"/>
        </w:rPr>
        <w:t>onsumer prices</w:t>
      </w:r>
      <w:r w:rsidR="00F24CE7" w:rsidRPr="00133BA4">
        <w:rPr>
          <w:spacing w:val="-4"/>
          <w:shd w:val="clear" w:color="auto" w:fill="FFFFFF"/>
          <w:lang w:val="en-GB"/>
        </w:rPr>
        <w:t xml:space="preserve"> as related to the </w:t>
      </w:r>
      <w:r w:rsidR="00F24CE7" w:rsidRPr="00133BA4">
        <w:rPr>
          <w:spacing w:val="-4"/>
          <w:lang w:val="en-GB"/>
        </w:rPr>
        <w:t>corresponding period of the previous year</w:t>
      </w:r>
      <w:r w:rsidR="00F24CE7" w:rsidRPr="00133BA4">
        <w:rPr>
          <w:spacing w:val="-4"/>
          <w:shd w:val="clear" w:color="auto" w:fill="FFFFFF"/>
          <w:lang w:val="en-GB"/>
        </w:rPr>
        <w:t xml:space="preserve"> (in %)</w:t>
      </w:r>
    </w:p>
    <w:p w:rsidR="00367ACC" w:rsidRPr="00FD11D4" w:rsidRDefault="00367ACC" w:rsidP="006233B9">
      <w:pPr>
        <w:rPr>
          <w:sz w:val="18"/>
          <w:highlight w:val="yellow"/>
        </w:rPr>
      </w:pPr>
    </w:p>
    <w:p w:rsidR="00E01E27" w:rsidRDefault="00916C2A" w:rsidP="008434BA">
      <w:pPr>
        <w:pStyle w:val="tytuwykresu"/>
        <w:ind w:left="794" w:hanging="794"/>
        <w:rPr>
          <w:bCs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556260</wp:posOffset>
            </wp:positionV>
            <wp:extent cx="5122545" cy="247142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66B" w:rsidRPr="00B3466B">
        <w:rPr>
          <w:lang w:val="en-GB"/>
        </w:rPr>
        <w:t xml:space="preserve"> </w:t>
      </w:r>
      <w:r w:rsidR="00B3466B" w:rsidRPr="00133BA4">
        <w:rPr>
          <w:lang w:val="en-GB"/>
        </w:rPr>
        <w:t>Chart 5.</w:t>
      </w:r>
      <w:r w:rsidR="00B3466B" w:rsidRPr="00133BA4">
        <w:rPr>
          <w:shd w:val="clear" w:color="auto" w:fill="FFFFFF"/>
          <w:lang w:val="en-GB"/>
        </w:rPr>
        <w:t xml:space="preserve"> Changes in prices according to c</w:t>
      </w:r>
      <w:r w:rsidR="00B3466B" w:rsidRPr="00133BA4">
        <w:rPr>
          <w:bCs/>
          <w:shd w:val="clear" w:color="auto" w:fill="FFFFFF"/>
          <w:lang w:val="en-GB"/>
        </w:rPr>
        <w:t xml:space="preserve">onsumer price index (CPI) and harmonised index of </w:t>
      </w:r>
      <w:r w:rsidR="00B3466B" w:rsidRPr="00133BA4">
        <w:rPr>
          <w:bCs/>
          <w:shd w:val="clear" w:color="auto" w:fill="FFFFFF"/>
          <w:lang w:val="en-GB"/>
        </w:rPr>
        <w:br/>
        <w:t>consumer prices (HICP) as related to the corresponding period of the previous year (in %)</w:t>
      </w:r>
    </w:p>
    <w:p w:rsidR="00916C2A" w:rsidRPr="00FD11D4" w:rsidRDefault="00916C2A" w:rsidP="008434BA">
      <w:pPr>
        <w:pStyle w:val="tytuwykresu"/>
        <w:ind w:left="794" w:hanging="794"/>
        <w:rPr>
          <w:bCs/>
          <w:shd w:val="clear" w:color="auto" w:fill="FFFFFF"/>
        </w:rPr>
      </w:pPr>
    </w:p>
    <w:p w:rsidR="00516A50" w:rsidRPr="00FD11D4" w:rsidRDefault="00820461" w:rsidP="00AA451B">
      <w:pPr>
        <w:pStyle w:val="tytuwykresu"/>
        <w:rPr>
          <w:bCs/>
          <w:shd w:val="clear" w:color="auto" w:fill="FFFFFF"/>
        </w:rPr>
      </w:pPr>
      <w:r w:rsidRPr="00FD11D4">
        <w:rPr>
          <w:highlight w:val="yellow"/>
        </w:rPr>
        <w:br w:type="page"/>
      </w:r>
      <w:r w:rsidR="00B3466B" w:rsidRPr="00133BA4">
        <w:rPr>
          <w:lang w:val="en-GB"/>
        </w:rPr>
        <w:lastRenderedPageBreak/>
        <w:t>Table 2.</w:t>
      </w:r>
      <w:r w:rsidR="00B3466B" w:rsidRPr="00133BA4">
        <w:rPr>
          <w:shd w:val="clear" w:color="auto" w:fill="FFFFFF"/>
          <w:lang w:val="en-GB"/>
        </w:rPr>
        <w:t xml:space="preserve"> </w:t>
      </w:r>
      <w:r w:rsidR="00B3466B" w:rsidRPr="00133BA4">
        <w:rPr>
          <w:bCs/>
          <w:shd w:val="clear" w:color="auto" w:fill="FFFFFF"/>
          <w:lang w:val="en-GB"/>
        </w:rPr>
        <w:t>Consumer price indices</w:t>
      </w:r>
      <w:r w:rsidR="00B3466B">
        <w:rPr>
          <w:bCs/>
          <w:shd w:val="clear" w:color="auto" w:fill="FFFFFF"/>
          <w:lang w:val="en-GB"/>
        </w:rPr>
        <w:t xml:space="preserve"> in November</w:t>
      </w:r>
      <w:r w:rsidR="00B3466B" w:rsidRPr="004F4BA0">
        <w:rPr>
          <w:bCs/>
          <w:shd w:val="clear" w:color="auto" w:fill="FFFFFF"/>
          <w:lang w:val="en-GB"/>
        </w:rPr>
        <w:t xml:space="preserve"> </w:t>
      </w:r>
      <w:r w:rsidR="00B3466B" w:rsidRPr="004F4BA0">
        <w:rPr>
          <w:lang w:val="en-GB"/>
        </w:rPr>
        <w:t>2021</w:t>
      </w:r>
    </w:p>
    <w:p w:rsidR="00DE775D" w:rsidRPr="00FD11D4" w:rsidRDefault="00DE775D" w:rsidP="00BA3BDE">
      <w:pPr>
        <w:pStyle w:val="LID"/>
        <w:spacing w:before="60" w:after="60"/>
        <w:rPr>
          <w:bCs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FD11D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B3466B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CC03C3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  <w:r w:rsidR="00F70C4A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CC03C3"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B86E2F" w:rsidRPr="00FD11D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CC03C3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CC03C3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CC03C3">
              <w:rPr>
                <w:rFonts w:eastAsia="Times New Roman" w:cs="Calibri"/>
                <w:sz w:val="16"/>
                <w:szCs w:val="16"/>
                <w:lang w:eastAsia="pl-PL"/>
              </w:rPr>
              <w:t>11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D23C2A" w:rsidRPr="00FD11D4" w:rsidTr="00883071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FD11D4" w:rsidRDefault="00D23C2A" w:rsidP="00D23C2A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31EB0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D23C2A" w:rsidRPr="00FD11D4" w:rsidTr="00883071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D23C2A" w:rsidRPr="00831EB0" w:rsidRDefault="00D23C2A" w:rsidP="00D23C2A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D23C2A" w:rsidRPr="00FD11D4" w:rsidTr="00D23C2A">
        <w:trPr>
          <w:trHeight w:val="1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D23C2A" w:rsidRPr="00FD11D4" w:rsidTr="00D23C2A">
        <w:trPr>
          <w:trHeight w:val="2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113,0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D23C2A" w:rsidRPr="00FD11D4" w:rsidTr="00D23C2A">
        <w:trPr>
          <w:trHeight w:val="2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883071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D23C2A" w:rsidRPr="00FD11D4" w:rsidTr="00883071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,7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D23C2A" w:rsidRPr="00FD11D4" w:rsidTr="00D23C2A">
        <w:trPr>
          <w:trHeight w:val="19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</w:tr>
      <w:tr w:rsidR="00D23C2A" w:rsidRPr="00FD11D4" w:rsidTr="00883071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D23C2A" w:rsidRPr="00FD11D4" w:rsidTr="00D23C2A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D23C2A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D23C2A" w:rsidRPr="00FD11D4" w:rsidTr="00D23C2A">
        <w:trPr>
          <w:trHeight w:val="17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125,8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</w:tr>
      <w:tr w:rsidR="00D23C2A" w:rsidRPr="00FD11D4" w:rsidTr="00CC03C3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D23C2A" w:rsidRPr="00FD11D4" w:rsidTr="00CC03C3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D23C2A" w:rsidRPr="00FD11D4" w:rsidTr="00CC03C3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D23C2A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D23C2A" w:rsidRPr="00FD11D4" w:rsidTr="00D23C2A">
        <w:trPr>
          <w:trHeight w:val="156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D23C2A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D23C2A" w:rsidRPr="00FD11D4" w:rsidTr="00D23C2A">
        <w:trPr>
          <w:trHeight w:val="2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</w:tr>
      <w:tr w:rsidR="00D23C2A" w:rsidRPr="00FD11D4" w:rsidTr="00D23C2A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121,0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118,7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121,4</w:t>
            </w:r>
          </w:p>
        </w:tc>
      </w:tr>
      <w:tr w:rsidR="00D23C2A" w:rsidRPr="00FD11D4" w:rsidTr="00CC03C3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127,2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83071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8307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D23C2A" w:rsidRPr="00FD11D4" w:rsidTr="00D23C2A">
        <w:trPr>
          <w:trHeight w:val="277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91,9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D23C2A" w:rsidRPr="00FD11D4" w:rsidTr="00D23C2A">
        <w:trPr>
          <w:trHeight w:val="21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D23C2A" w:rsidRPr="00FD11D4" w:rsidTr="00CC03C3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</w:tr>
      <w:tr w:rsidR="00D23C2A" w:rsidRPr="00FD11D4" w:rsidTr="00D23C2A">
        <w:trPr>
          <w:trHeight w:val="212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</w:tr>
      <w:tr w:rsidR="00D23C2A" w:rsidRPr="00FD11D4" w:rsidTr="00CC03C3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D23C2A" w:rsidRPr="00FD11D4" w:rsidTr="00D23C2A">
        <w:trPr>
          <w:trHeight w:val="2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D23C2A" w:rsidRPr="00FD11D4" w:rsidTr="00D23C2A">
        <w:trPr>
          <w:trHeight w:val="21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D23C2A" w:rsidRPr="00FD11D4" w:rsidTr="00CC03C3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D23C2A" w:rsidRPr="00FD11D4" w:rsidTr="00CC03C3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D23C2A" w:rsidRPr="00FD11D4" w:rsidTr="00CC03C3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D23C2A" w:rsidRPr="00FD11D4" w:rsidTr="00D23C2A">
        <w:trPr>
          <w:trHeight w:val="27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831EB0" w:rsidRDefault="00D23C2A" w:rsidP="00D23C2A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3C2A" w:rsidRPr="00CC03C3" w:rsidRDefault="00D23C2A" w:rsidP="00D23C2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CC03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116,6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9F5CBC" w:rsidRPr="00FD11D4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eastAsia="pl-PL"/>
        </w:rPr>
      </w:pPr>
    </w:p>
    <w:p w:rsidR="00427F11" w:rsidRPr="00133BA4" w:rsidRDefault="00427F11" w:rsidP="00427F11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sz w:val="19"/>
          <w:szCs w:val="19"/>
        </w:rPr>
      </w:pPr>
      <w:r w:rsidRPr="00133BA4">
        <w:rPr>
          <w:rFonts w:ascii="Fira Sans" w:hAnsi="Fira Sans"/>
          <w:color w:val="222222"/>
          <w:sz w:val="19"/>
          <w:szCs w:val="19"/>
        </w:rPr>
        <w:t xml:space="preserve">The guidelines in the context of the COVID-19 pandemic crisis recommended by Eurostat concerning consumer price indices and weighting system are presented under the link </w:t>
      </w:r>
      <w:hyperlink r:id="rId17" w:history="1">
        <w:r w:rsidRPr="00133BA4">
          <w:rPr>
            <w:rStyle w:val="Hipercze"/>
            <w:rFonts w:ascii="Fira Sans" w:hAnsi="Fira Sans"/>
            <w:sz w:val="19"/>
            <w:szCs w:val="19"/>
          </w:rPr>
          <w:t>https://stat.gov.pl/obszary-tematyczne/ceny-handel/wskazniki-cen/wytyczne-dotyczace-opracowania-hicp-w-kontekscie-kryzysu-zwiazanego-z-covid-19,19,1.html</w:t>
        </w:r>
      </w:hyperlink>
    </w:p>
    <w:p w:rsidR="00427F11" w:rsidRPr="00133BA4" w:rsidRDefault="00427F11" w:rsidP="00427F11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427F11" w:rsidRPr="00133BA4" w:rsidRDefault="00427F11" w:rsidP="00427F11">
      <w:pPr>
        <w:spacing w:before="0" w:after="160" w:line="259" w:lineRule="auto"/>
        <w:rPr>
          <w:color w:val="222222"/>
          <w:szCs w:val="19"/>
          <w:lang w:val="en-GB"/>
        </w:rPr>
      </w:pPr>
    </w:p>
    <w:p w:rsidR="00427F11" w:rsidRDefault="00427F11" w:rsidP="00427F11">
      <w:pPr>
        <w:spacing w:before="0" w:after="160" w:line="259" w:lineRule="auto"/>
        <w:rPr>
          <w:color w:val="222222"/>
          <w:szCs w:val="19"/>
          <w:lang w:val="en-GB"/>
        </w:rPr>
      </w:pPr>
    </w:p>
    <w:p w:rsidR="00427F11" w:rsidRPr="00810D6F" w:rsidRDefault="00427F11" w:rsidP="00427F11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427F11" w:rsidRPr="00810D6F" w:rsidSect="00EF7B3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33BA4">
        <w:rPr>
          <w:color w:val="222222"/>
          <w:szCs w:val="19"/>
          <w:lang w:val="en-GB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0470AA" w:rsidRPr="00FD11D4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427F11" w:rsidRPr="00720CFD" w:rsidTr="00877C5E">
        <w:trPr>
          <w:trHeight w:val="1912"/>
        </w:trPr>
        <w:tc>
          <w:tcPr>
            <w:tcW w:w="4356" w:type="dxa"/>
          </w:tcPr>
          <w:p w:rsidR="00427F11" w:rsidRPr="00133BA4" w:rsidRDefault="00427F11" w:rsidP="00427F1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427F11" w:rsidRPr="00133BA4" w:rsidRDefault="00427F11" w:rsidP="00427F1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427F11" w:rsidRPr="00133BA4" w:rsidRDefault="00427F11" w:rsidP="00427F1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427F11" w:rsidRPr="00133BA4" w:rsidRDefault="00427F11" w:rsidP="00427F1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427F11" w:rsidRPr="00133BA4" w:rsidRDefault="00427F11" w:rsidP="00427F1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427F11" w:rsidRPr="00133BA4" w:rsidRDefault="00427F11" w:rsidP="00427F1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427F11" w:rsidRPr="00133BA4" w:rsidRDefault="00427F11" w:rsidP="00427F1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33BA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33BA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427F11" w:rsidRPr="00133BA4" w:rsidRDefault="00427F11" w:rsidP="00427F1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427F11" w:rsidRPr="00133BA4" w:rsidRDefault="00427F11" w:rsidP="00427F1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427F11" w:rsidRPr="00810D6F" w:rsidRDefault="00427F11" w:rsidP="00427F11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427F11" w:rsidRPr="00720CFD" w:rsidTr="00877C5E">
        <w:trPr>
          <w:trHeight w:val="610"/>
        </w:trPr>
        <w:tc>
          <w:tcPr>
            <w:tcW w:w="2721" w:type="pct"/>
            <w:vMerge w:val="restart"/>
          </w:tcPr>
          <w:p w:rsidR="00427F11" w:rsidRPr="00133BA4" w:rsidRDefault="00427F11" w:rsidP="00427F11">
            <w:pPr>
              <w:spacing w:before="240"/>
              <w:rPr>
                <w:b/>
                <w:sz w:val="20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Press Office</w:t>
            </w:r>
          </w:p>
          <w:p w:rsidR="00427F11" w:rsidRPr="00133BA4" w:rsidRDefault="00427F11" w:rsidP="00427F11">
            <w:pPr>
              <w:rPr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33BA4">
              <w:rPr>
                <w:sz w:val="20"/>
                <w:lang w:val="en-GB"/>
              </w:rPr>
              <w:t xml:space="preserve">608 34 91, 608 38 04 </w:t>
            </w:r>
          </w:p>
          <w:p w:rsidR="00427F11" w:rsidRPr="00133BA4" w:rsidRDefault="00427F11" w:rsidP="00427F11">
            <w:pPr>
              <w:rPr>
                <w:sz w:val="18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e-mail:</w:t>
            </w:r>
            <w:r w:rsidRPr="00133BA4">
              <w:rPr>
                <w:sz w:val="20"/>
                <w:lang w:val="en-GB"/>
              </w:rPr>
              <w:t xml:space="preserve"> </w:t>
            </w:r>
            <w:hyperlink r:id="rId22" w:history="1">
              <w:r w:rsidRPr="00133BA4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427F11" w:rsidRPr="00133BA4" w:rsidRDefault="00427F11" w:rsidP="00427F11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8992" behindDoc="0" locked="0" layoutInCell="1" allowOverlap="1" wp14:anchorId="4B2A7EEA" wp14:editId="3853B5D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427F11" w:rsidRPr="00133BA4" w:rsidRDefault="00451C83" w:rsidP="00427F11">
            <w:pPr>
              <w:rPr>
                <w:color w:val="000000" w:themeColor="text1"/>
                <w:sz w:val="18"/>
                <w:lang w:val="en-GB"/>
              </w:rPr>
            </w:pPr>
            <w:hyperlink r:id="rId24" w:history="1">
              <w:r w:rsidR="00427F11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427F11" w:rsidRPr="00FD11D4" w:rsidTr="00877C5E">
        <w:trPr>
          <w:trHeight w:val="436"/>
        </w:trPr>
        <w:tc>
          <w:tcPr>
            <w:tcW w:w="2721" w:type="pct"/>
            <w:vMerge/>
            <w:vAlign w:val="center"/>
          </w:tcPr>
          <w:p w:rsidR="00427F11" w:rsidRPr="00810D6F" w:rsidRDefault="00427F11" w:rsidP="00427F11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427F11" w:rsidRPr="00810D6F" w:rsidRDefault="00427F11" w:rsidP="00427F11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1040" behindDoc="0" locked="0" layoutInCell="1" allowOverlap="1" wp14:anchorId="7E74DDD6" wp14:editId="646F52E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427F11" w:rsidRPr="00FD11D4" w:rsidRDefault="00451C83" w:rsidP="00427F11">
            <w:pPr>
              <w:rPr>
                <w:sz w:val="18"/>
              </w:rPr>
            </w:pPr>
            <w:hyperlink r:id="rId26" w:history="1">
              <w:r w:rsidR="00427F11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427F11" w:rsidRPr="00FD11D4" w:rsidTr="00877C5E">
        <w:trPr>
          <w:trHeight w:val="436"/>
        </w:trPr>
        <w:tc>
          <w:tcPr>
            <w:tcW w:w="2721" w:type="pct"/>
            <w:vMerge/>
            <w:vAlign w:val="center"/>
          </w:tcPr>
          <w:p w:rsidR="00427F11" w:rsidRPr="00FD11D4" w:rsidRDefault="00427F11" w:rsidP="00427F1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427F11" w:rsidRPr="00FD11D4" w:rsidRDefault="00427F11" w:rsidP="00427F11">
            <w:pPr>
              <w:rPr>
                <w:sz w:val="18"/>
              </w:rPr>
            </w:pPr>
            <w:r w:rsidRPr="00133B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3088" behindDoc="0" locked="0" layoutInCell="1" allowOverlap="1" wp14:anchorId="1DCD356D" wp14:editId="64875C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427F11" w:rsidRPr="00FD11D4" w:rsidRDefault="00451C83" w:rsidP="00427F11">
            <w:pPr>
              <w:rPr>
                <w:sz w:val="20"/>
              </w:rPr>
            </w:pPr>
            <w:hyperlink r:id="rId28" w:history="1">
              <w:r w:rsidR="00427F11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427F11" w:rsidRPr="00FD11D4" w:rsidRDefault="00427F11" w:rsidP="00427F11">
      <w:pPr>
        <w:rPr>
          <w:sz w:val="18"/>
        </w:rPr>
      </w:pPr>
      <w:r w:rsidRPr="00FD11D4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37F78CA2" wp14:editId="2EDAE7C9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DAC" w:rsidRDefault="00D05DAC" w:rsidP="00427F11">
                            <w:pPr>
                              <w:rPr>
                                <w:b/>
                              </w:rPr>
                            </w:pPr>
                          </w:p>
                          <w:p w:rsidR="00D05DAC" w:rsidRPr="00941435" w:rsidRDefault="00D05DAC" w:rsidP="00427F11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D05DAC" w:rsidRPr="00941435" w:rsidRDefault="00451C83" w:rsidP="00427F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D05DAC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D05DAC" w:rsidRPr="00941435" w:rsidRDefault="00451C83" w:rsidP="00427F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D05DAC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D05DAC" w:rsidRPr="00941435" w:rsidRDefault="00D05DAC" w:rsidP="00427F1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05DAC" w:rsidRPr="00941435" w:rsidRDefault="00D05DAC" w:rsidP="00427F1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D05DAC" w:rsidRPr="00941435" w:rsidRDefault="00451C83" w:rsidP="00427F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D05DAC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D05DAC" w:rsidRPr="00941435" w:rsidRDefault="00451C83" w:rsidP="00427F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D05DAC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D05DAC" w:rsidRPr="00941435" w:rsidRDefault="00451C83" w:rsidP="00427F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D05DAC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D05DAC" w:rsidRPr="00941435" w:rsidRDefault="00451C83" w:rsidP="00427F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D05DAC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D05DAC" w:rsidRPr="00941435" w:rsidRDefault="00451C83" w:rsidP="00427F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D05DAC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D05DAC" w:rsidRPr="00941435" w:rsidRDefault="00D05DAC" w:rsidP="00427F1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05DAC" w:rsidRPr="00941435" w:rsidRDefault="00D05DAC" w:rsidP="00427F1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D05DAC" w:rsidRPr="00941435" w:rsidRDefault="00451C83" w:rsidP="00427F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D05DAC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D05DAC" w:rsidRPr="00566A43" w:rsidRDefault="00451C83" w:rsidP="00427F1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D05DAC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78CA2" id="_x0000_s1028" type="#_x0000_t202" style="position:absolute;margin-left:1.5pt;margin-top:34.7pt;width:516.5pt;height:349.8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D05DAC" w:rsidRDefault="00D05DAC" w:rsidP="00427F11">
                      <w:pPr>
                        <w:rPr>
                          <w:b/>
                        </w:rPr>
                      </w:pPr>
                    </w:p>
                    <w:p w:rsidR="00D05DAC" w:rsidRPr="00941435" w:rsidRDefault="00D05DAC" w:rsidP="00427F11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D05DAC" w:rsidRPr="00941435" w:rsidRDefault="00451C83" w:rsidP="00427F1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D05DAC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D05DAC" w:rsidRPr="00941435" w:rsidRDefault="00451C83" w:rsidP="00427F1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D05DAC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D05DAC" w:rsidRPr="00941435" w:rsidRDefault="00D05DAC" w:rsidP="00427F1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05DAC" w:rsidRPr="00941435" w:rsidRDefault="00D05DAC" w:rsidP="00427F1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D05DAC" w:rsidRPr="00941435" w:rsidRDefault="00451C83" w:rsidP="00427F1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D05DAC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D05DAC" w:rsidRPr="00941435" w:rsidRDefault="00451C83" w:rsidP="00427F1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D05DAC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D05DAC" w:rsidRPr="00941435" w:rsidRDefault="00451C83" w:rsidP="00427F1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D05DAC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D05DAC" w:rsidRPr="00941435" w:rsidRDefault="00451C83" w:rsidP="00427F1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D05DAC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D05DAC" w:rsidRPr="00941435" w:rsidRDefault="00451C83" w:rsidP="00427F1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D05DAC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D05DAC" w:rsidRPr="00941435" w:rsidRDefault="00D05DAC" w:rsidP="00427F1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05DAC" w:rsidRPr="00941435" w:rsidRDefault="00D05DAC" w:rsidP="00427F1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D05DAC" w:rsidRPr="00941435" w:rsidRDefault="00451C83" w:rsidP="00427F1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="00D05DAC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D05DAC" w:rsidRPr="00566A43" w:rsidRDefault="00451C83" w:rsidP="00427F1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D05DAC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FD11D4" w:rsidRDefault="00D261A2" w:rsidP="00E76D26">
      <w:pPr>
        <w:rPr>
          <w:sz w:val="18"/>
        </w:rPr>
      </w:pPr>
    </w:p>
    <w:sectPr w:rsidR="00D261A2" w:rsidRPr="00FD11D4" w:rsidSect="00EF7B36">
      <w:headerReference w:type="default" r:id="rId47"/>
      <w:footerReference w:type="default" r:id="rId48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83" w:rsidRDefault="00451C83" w:rsidP="000662E2">
      <w:pPr>
        <w:spacing w:after="0" w:line="240" w:lineRule="auto"/>
      </w:pPr>
      <w:r>
        <w:separator/>
      </w:r>
    </w:p>
  </w:endnote>
  <w:endnote w:type="continuationSeparator" w:id="0">
    <w:p w:rsidR="00451C83" w:rsidRDefault="00451C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13465"/>
      <w:docPartObj>
        <w:docPartGallery w:val="Page Numbers (Bottom of Page)"/>
        <w:docPartUnique/>
      </w:docPartObj>
    </w:sdtPr>
    <w:sdtEndPr/>
    <w:sdtContent>
      <w:p w:rsidR="00D05DAC" w:rsidRDefault="00D05DA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957311"/>
      <w:docPartObj>
        <w:docPartGallery w:val="Page Numbers (Bottom of Page)"/>
        <w:docPartUnique/>
      </w:docPartObj>
    </w:sdtPr>
    <w:sdtEndPr/>
    <w:sdtContent>
      <w:p w:rsidR="00D05DAC" w:rsidRDefault="00D05DA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D05DAC" w:rsidRDefault="00D05DA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5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C83" w:rsidRDefault="00451C83" w:rsidP="000662E2">
      <w:pPr>
        <w:spacing w:after="0" w:line="240" w:lineRule="auto"/>
      </w:pPr>
      <w:r>
        <w:separator/>
      </w:r>
    </w:p>
  </w:footnote>
  <w:footnote w:type="continuationSeparator" w:id="0">
    <w:p w:rsidR="00451C83" w:rsidRDefault="00451C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DAC" w:rsidRDefault="00D05D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86B4872" wp14:editId="56C71E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B787B4" id="Prostokąt 24" o:spid="_x0000_s1026" style="position:absolute;margin-left:410.6pt;margin-top:-14.05pt;width:147.6pt;height:1785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D05DAC" w:rsidRDefault="00D05D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DAC" w:rsidRDefault="00D05DAC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FE7DDDF" wp14:editId="6D378169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72B783" id="Prostokąt 10" o:spid="_x0000_s1026" style="position:absolute;margin-left:409.95pt;margin-top:39.05pt;width:147.4pt;height:78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C8B57" wp14:editId="302A353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05DAC" w:rsidRPr="003C6C8D" w:rsidRDefault="00D05DA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F0097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C8B57" id="Schemat blokowy: opóźnienie 6" o:spid="_x0000_s1029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05DAC" w:rsidRPr="003C6C8D" w:rsidRDefault="00D05DA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F0097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474F32" wp14:editId="70B62C6B">
          <wp:extent cx="1865630" cy="709295"/>
          <wp:effectExtent l="0" t="0" r="0" b="0"/>
          <wp:docPr id="20" name="Obraz 2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D05DAC" w:rsidRDefault="00D05DA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D2FD5C" wp14:editId="144E68E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5DAC" w:rsidRPr="00C97596" w:rsidRDefault="00D05DA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15.12.2021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2FD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D05DAC" w:rsidRPr="00C97596" w:rsidRDefault="00D05DA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15.12.2021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DAC" w:rsidRDefault="00D05DAC">
    <w:pPr>
      <w:pStyle w:val="Nagwek"/>
    </w:pPr>
  </w:p>
  <w:p w:rsidR="00D05DAC" w:rsidRDefault="00D05D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" o:bullet="t">
        <v:imagedata r:id="rId1" o:title=""/>
      </v:shape>
    </w:pict>
  </w:numPicBullet>
  <w:numPicBullet w:numPicBulletId="1">
    <w:pict>
      <v:shape id="_x0000_i1029" type="#_x0000_t75" style="width:123.95pt;height:124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4B46"/>
    <w:rsid w:val="000152F5"/>
    <w:rsid w:val="0002205C"/>
    <w:rsid w:val="000220AE"/>
    <w:rsid w:val="00023ACA"/>
    <w:rsid w:val="000260CE"/>
    <w:rsid w:val="00034160"/>
    <w:rsid w:val="0004015D"/>
    <w:rsid w:val="0004582E"/>
    <w:rsid w:val="0004646A"/>
    <w:rsid w:val="000470AA"/>
    <w:rsid w:val="00047AB1"/>
    <w:rsid w:val="00050FFF"/>
    <w:rsid w:val="000539AA"/>
    <w:rsid w:val="00057CA1"/>
    <w:rsid w:val="0006044B"/>
    <w:rsid w:val="000662E2"/>
    <w:rsid w:val="00066883"/>
    <w:rsid w:val="00066C18"/>
    <w:rsid w:val="00066D81"/>
    <w:rsid w:val="00074DD8"/>
    <w:rsid w:val="000769B6"/>
    <w:rsid w:val="000800B4"/>
    <w:rsid w:val="000806F7"/>
    <w:rsid w:val="00090214"/>
    <w:rsid w:val="0009317E"/>
    <w:rsid w:val="00095882"/>
    <w:rsid w:val="00097840"/>
    <w:rsid w:val="000A057E"/>
    <w:rsid w:val="000A4BF7"/>
    <w:rsid w:val="000A5355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0F710F"/>
    <w:rsid w:val="001011C3"/>
    <w:rsid w:val="00110D87"/>
    <w:rsid w:val="001149A1"/>
    <w:rsid w:val="00114DB9"/>
    <w:rsid w:val="00116087"/>
    <w:rsid w:val="001163D3"/>
    <w:rsid w:val="001179CF"/>
    <w:rsid w:val="00130296"/>
    <w:rsid w:val="001317AE"/>
    <w:rsid w:val="00132297"/>
    <w:rsid w:val="0013305E"/>
    <w:rsid w:val="001335DA"/>
    <w:rsid w:val="00135B65"/>
    <w:rsid w:val="00142037"/>
    <w:rsid w:val="001423B6"/>
    <w:rsid w:val="001448A7"/>
    <w:rsid w:val="00146621"/>
    <w:rsid w:val="001539C9"/>
    <w:rsid w:val="001600F9"/>
    <w:rsid w:val="00161CD3"/>
    <w:rsid w:val="00162325"/>
    <w:rsid w:val="00164CEA"/>
    <w:rsid w:val="001660CA"/>
    <w:rsid w:val="00170D13"/>
    <w:rsid w:val="00174616"/>
    <w:rsid w:val="001859B7"/>
    <w:rsid w:val="001951DA"/>
    <w:rsid w:val="001A2CB5"/>
    <w:rsid w:val="001A4B7F"/>
    <w:rsid w:val="001A78D0"/>
    <w:rsid w:val="001B0E45"/>
    <w:rsid w:val="001B3CA7"/>
    <w:rsid w:val="001C3269"/>
    <w:rsid w:val="001C53BA"/>
    <w:rsid w:val="001C585D"/>
    <w:rsid w:val="001D0172"/>
    <w:rsid w:val="001D1175"/>
    <w:rsid w:val="001D1DB4"/>
    <w:rsid w:val="001D5C9E"/>
    <w:rsid w:val="001D669C"/>
    <w:rsid w:val="001E1D94"/>
    <w:rsid w:val="001E3F14"/>
    <w:rsid w:val="001E764C"/>
    <w:rsid w:val="001E7DBB"/>
    <w:rsid w:val="001F25B6"/>
    <w:rsid w:val="001F284F"/>
    <w:rsid w:val="001F60D1"/>
    <w:rsid w:val="001F6707"/>
    <w:rsid w:val="0020009D"/>
    <w:rsid w:val="00200E85"/>
    <w:rsid w:val="00201740"/>
    <w:rsid w:val="002069C0"/>
    <w:rsid w:val="00206F09"/>
    <w:rsid w:val="002133F1"/>
    <w:rsid w:val="002147B5"/>
    <w:rsid w:val="00220482"/>
    <w:rsid w:val="0022272D"/>
    <w:rsid w:val="0022312E"/>
    <w:rsid w:val="00234969"/>
    <w:rsid w:val="00236165"/>
    <w:rsid w:val="002412BC"/>
    <w:rsid w:val="00247B43"/>
    <w:rsid w:val="002574F9"/>
    <w:rsid w:val="00260F39"/>
    <w:rsid w:val="00262B61"/>
    <w:rsid w:val="0026302B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1747"/>
    <w:rsid w:val="002926DF"/>
    <w:rsid w:val="00292DBF"/>
    <w:rsid w:val="002965B0"/>
    <w:rsid w:val="00296697"/>
    <w:rsid w:val="002A2C38"/>
    <w:rsid w:val="002A36C0"/>
    <w:rsid w:val="002A4D80"/>
    <w:rsid w:val="002A7E9B"/>
    <w:rsid w:val="002B0472"/>
    <w:rsid w:val="002B6B12"/>
    <w:rsid w:val="002B79E0"/>
    <w:rsid w:val="002C4289"/>
    <w:rsid w:val="002C4659"/>
    <w:rsid w:val="002C6053"/>
    <w:rsid w:val="002C7E57"/>
    <w:rsid w:val="002D0020"/>
    <w:rsid w:val="002D0170"/>
    <w:rsid w:val="002D24A5"/>
    <w:rsid w:val="002D554A"/>
    <w:rsid w:val="002E454C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0E70"/>
    <w:rsid w:val="00322EDD"/>
    <w:rsid w:val="00327D10"/>
    <w:rsid w:val="00331616"/>
    <w:rsid w:val="00332320"/>
    <w:rsid w:val="003417F1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2411"/>
    <w:rsid w:val="00372E66"/>
    <w:rsid w:val="00373882"/>
    <w:rsid w:val="003751B5"/>
    <w:rsid w:val="003766F2"/>
    <w:rsid w:val="003843DB"/>
    <w:rsid w:val="00384BFA"/>
    <w:rsid w:val="003901AC"/>
    <w:rsid w:val="0039174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A7048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60EB"/>
    <w:rsid w:val="003F7FE6"/>
    <w:rsid w:val="00400193"/>
    <w:rsid w:val="00407024"/>
    <w:rsid w:val="004212E7"/>
    <w:rsid w:val="00421B30"/>
    <w:rsid w:val="004227D5"/>
    <w:rsid w:val="0042446D"/>
    <w:rsid w:val="00427BF8"/>
    <w:rsid w:val="00427F11"/>
    <w:rsid w:val="00430B36"/>
    <w:rsid w:val="00430B3C"/>
    <w:rsid w:val="00431C02"/>
    <w:rsid w:val="00431C08"/>
    <w:rsid w:val="00432D34"/>
    <w:rsid w:val="00437395"/>
    <w:rsid w:val="00443C00"/>
    <w:rsid w:val="00445047"/>
    <w:rsid w:val="00445F90"/>
    <w:rsid w:val="00450616"/>
    <w:rsid w:val="00451C83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67DDF"/>
    <w:rsid w:val="00470F75"/>
    <w:rsid w:val="004733F6"/>
    <w:rsid w:val="00474E69"/>
    <w:rsid w:val="00477F80"/>
    <w:rsid w:val="00491B74"/>
    <w:rsid w:val="00493217"/>
    <w:rsid w:val="004957AB"/>
    <w:rsid w:val="0049621B"/>
    <w:rsid w:val="0049705B"/>
    <w:rsid w:val="004A5B48"/>
    <w:rsid w:val="004B2EAB"/>
    <w:rsid w:val="004C1895"/>
    <w:rsid w:val="004C4610"/>
    <w:rsid w:val="004C6D40"/>
    <w:rsid w:val="004C7FCB"/>
    <w:rsid w:val="004E1912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21A2"/>
    <w:rsid w:val="00552484"/>
    <w:rsid w:val="00556BF8"/>
    <w:rsid w:val="00556CF1"/>
    <w:rsid w:val="00562A3A"/>
    <w:rsid w:val="00564C34"/>
    <w:rsid w:val="00564DC8"/>
    <w:rsid w:val="00566A43"/>
    <w:rsid w:val="00571BA5"/>
    <w:rsid w:val="005762A7"/>
    <w:rsid w:val="0058676C"/>
    <w:rsid w:val="005877DE"/>
    <w:rsid w:val="00590926"/>
    <w:rsid w:val="005916D7"/>
    <w:rsid w:val="00593CF4"/>
    <w:rsid w:val="005965E9"/>
    <w:rsid w:val="005A047A"/>
    <w:rsid w:val="005A2784"/>
    <w:rsid w:val="005A698C"/>
    <w:rsid w:val="005B388D"/>
    <w:rsid w:val="005C1AF8"/>
    <w:rsid w:val="005C5EF8"/>
    <w:rsid w:val="005D1BCF"/>
    <w:rsid w:val="005D1C04"/>
    <w:rsid w:val="005D470D"/>
    <w:rsid w:val="005E0799"/>
    <w:rsid w:val="005E2757"/>
    <w:rsid w:val="005E782A"/>
    <w:rsid w:val="005F0477"/>
    <w:rsid w:val="005F4399"/>
    <w:rsid w:val="005F5A80"/>
    <w:rsid w:val="006044FF"/>
    <w:rsid w:val="00605951"/>
    <w:rsid w:val="00607CC5"/>
    <w:rsid w:val="00612A16"/>
    <w:rsid w:val="006149F0"/>
    <w:rsid w:val="00615A26"/>
    <w:rsid w:val="006233B9"/>
    <w:rsid w:val="00631666"/>
    <w:rsid w:val="00631DAD"/>
    <w:rsid w:val="00633014"/>
    <w:rsid w:val="0063437B"/>
    <w:rsid w:val="00635568"/>
    <w:rsid w:val="00643286"/>
    <w:rsid w:val="006476FF"/>
    <w:rsid w:val="0066542B"/>
    <w:rsid w:val="0066616C"/>
    <w:rsid w:val="006673CA"/>
    <w:rsid w:val="006715EE"/>
    <w:rsid w:val="00673C26"/>
    <w:rsid w:val="0067430E"/>
    <w:rsid w:val="00674A8B"/>
    <w:rsid w:val="006812AF"/>
    <w:rsid w:val="00682537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251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6E1F27"/>
    <w:rsid w:val="00701C5E"/>
    <w:rsid w:val="007034D7"/>
    <w:rsid w:val="00704D66"/>
    <w:rsid w:val="007059D5"/>
    <w:rsid w:val="007162EB"/>
    <w:rsid w:val="007211B1"/>
    <w:rsid w:val="00722B4A"/>
    <w:rsid w:val="007239D2"/>
    <w:rsid w:val="0072400B"/>
    <w:rsid w:val="00724688"/>
    <w:rsid w:val="007259AF"/>
    <w:rsid w:val="00732168"/>
    <w:rsid w:val="0073223D"/>
    <w:rsid w:val="007324D0"/>
    <w:rsid w:val="007324DB"/>
    <w:rsid w:val="00733D55"/>
    <w:rsid w:val="007364D7"/>
    <w:rsid w:val="00746187"/>
    <w:rsid w:val="00751D7D"/>
    <w:rsid w:val="00752A67"/>
    <w:rsid w:val="00753C31"/>
    <w:rsid w:val="00761070"/>
    <w:rsid w:val="007624DC"/>
    <w:rsid w:val="0076254F"/>
    <w:rsid w:val="00777CA3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3BF3"/>
    <w:rsid w:val="007B4A2D"/>
    <w:rsid w:val="007B74D8"/>
    <w:rsid w:val="007C161B"/>
    <w:rsid w:val="007D3319"/>
    <w:rsid w:val="007D335D"/>
    <w:rsid w:val="007E184E"/>
    <w:rsid w:val="007E1C44"/>
    <w:rsid w:val="007E3314"/>
    <w:rsid w:val="007E4B03"/>
    <w:rsid w:val="007F324B"/>
    <w:rsid w:val="007F4D36"/>
    <w:rsid w:val="00802A9A"/>
    <w:rsid w:val="0080551D"/>
    <w:rsid w:val="0080553C"/>
    <w:rsid w:val="00805B46"/>
    <w:rsid w:val="008153B3"/>
    <w:rsid w:val="00820461"/>
    <w:rsid w:val="00820B10"/>
    <w:rsid w:val="00822548"/>
    <w:rsid w:val="0082498D"/>
    <w:rsid w:val="00825DC2"/>
    <w:rsid w:val="00831172"/>
    <w:rsid w:val="00834AD3"/>
    <w:rsid w:val="008362A4"/>
    <w:rsid w:val="008378E7"/>
    <w:rsid w:val="0083798B"/>
    <w:rsid w:val="008434BA"/>
    <w:rsid w:val="00843795"/>
    <w:rsid w:val="0084421C"/>
    <w:rsid w:val="00847F0F"/>
    <w:rsid w:val="00852448"/>
    <w:rsid w:val="008526A5"/>
    <w:rsid w:val="00854143"/>
    <w:rsid w:val="008544D0"/>
    <w:rsid w:val="008552EE"/>
    <w:rsid w:val="00860006"/>
    <w:rsid w:val="00861173"/>
    <w:rsid w:val="00862B46"/>
    <w:rsid w:val="00874A1E"/>
    <w:rsid w:val="00877C5E"/>
    <w:rsid w:val="0088258A"/>
    <w:rsid w:val="00883071"/>
    <w:rsid w:val="008832C4"/>
    <w:rsid w:val="00883763"/>
    <w:rsid w:val="008850FF"/>
    <w:rsid w:val="00886332"/>
    <w:rsid w:val="00891A48"/>
    <w:rsid w:val="00895E58"/>
    <w:rsid w:val="00897D11"/>
    <w:rsid w:val="008A26D9"/>
    <w:rsid w:val="008A78B9"/>
    <w:rsid w:val="008A7FA1"/>
    <w:rsid w:val="008B0AF7"/>
    <w:rsid w:val="008B22DF"/>
    <w:rsid w:val="008B4AE0"/>
    <w:rsid w:val="008B7301"/>
    <w:rsid w:val="008C0C29"/>
    <w:rsid w:val="008C7A01"/>
    <w:rsid w:val="008D368B"/>
    <w:rsid w:val="008D6D8B"/>
    <w:rsid w:val="008E5CBF"/>
    <w:rsid w:val="008F07F6"/>
    <w:rsid w:val="008F3638"/>
    <w:rsid w:val="008F4441"/>
    <w:rsid w:val="008F557F"/>
    <w:rsid w:val="008F6F31"/>
    <w:rsid w:val="008F74DF"/>
    <w:rsid w:val="008F7D3F"/>
    <w:rsid w:val="009011AC"/>
    <w:rsid w:val="00905229"/>
    <w:rsid w:val="009127BA"/>
    <w:rsid w:val="00912A0C"/>
    <w:rsid w:val="00916782"/>
    <w:rsid w:val="00916C2A"/>
    <w:rsid w:val="00917264"/>
    <w:rsid w:val="0091773F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5EE"/>
    <w:rsid w:val="00953676"/>
    <w:rsid w:val="00953726"/>
    <w:rsid w:val="009555D4"/>
    <w:rsid w:val="00956380"/>
    <w:rsid w:val="00957624"/>
    <w:rsid w:val="009630F7"/>
    <w:rsid w:val="00964D8C"/>
    <w:rsid w:val="009661AB"/>
    <w:rsid w:val="009705EE"/>
    <w:rsid w:val="00971217"/>
    <w:rsid w:val="009740F2"/>
    <w:rsid w:val="00977927"/>
    <w:rsid w:val="0098135C"/>
    <w:rsid w:val="0098156A"/>
    <w:rsid w:val="00984363"/>
    <w:rsid w:val="0098788B"/>
    <w:rsid w:val="00990133"/>
    <w:rsid w:val="00991BAC"/>
    <w:rsid w:val="009927CE"/>
    <w:rsid w:val="00996132"/>
    <w:rsid w:val="009963D7"/>
    <w:rsid w:val="009A1431"/>
    <w:rsid w:val="009A2155"/>
    <w:rsid w:val="009A3154"/>
    <w:rsid w:val="009A4F1C"/>
    <w:rsid w:val="009A6EA0"/>
    <w:rsid w:val="009B1399"/>
    <w:rsid w:val="009B2E0E"/>
    <w:rsid w:val="009B746F"/>
    <w:rsid w:val="009B76FA"/>
    <w:rsid w:val="009C1335"/>
    <w:rsid w:val="009C1AB2"/>
    <w:rsid w:val="009C2037"/>
    <w:rsid w:val="009C30CD"/>
    <w:rsid w:val="009C3469"/>
    <w:rsid w:val="009C375D"/>
    <w:rsid w:val="009C50CF"/>
    <w:rsid w:val="009C5407"/>
    <w:rsid w:val="009C55D4"/>
    <w:rsid w:val="009C7251"/>
    <w:rsid w:val="009E1FE1"/>
    <w:rsid w:val="009E2E91"/>
    <w:rsid w:val="009E3BF4"/>
    <w:rsid w:val="009E3F12"/>
    <w:rsid w:val="009E3FA7"/>
    <w:rsid w:val="009E410D"/>
    <w:rsid w:val="009E5ADA"/>
    <w:rsid w:val="009E79F7"/>
    <w:rsid w:val="009F0CD2"/>
    <w:rsid w:val="009F5461"/>
    <w:rsid w:val="009F5815"/>
    <w:rsid w:val="009F5CBC"/>
    <w:rsid w:val="00A03DB9"/>
    <w:rsid w:val="00A04E4F"/>
    <w:rsid w:val="00A070C6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54C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70EBF"/>
    <w:rsid w:val="00A712C4"/>
    <w:rsid w:val="00A810F9"/>
    <w:rsid w:val="00A86ECC"/>
    <w:rsid w:val="00A86FCC"/>
    <w:rsid w:val="00A93892"/>
    <w:rsid w:val="00AA0891"/>
    <w:rsid w:val="00AA13BD"/>
    <w:rsid w:val="00AA451B"/>
    <w:rsid w:val="00AA710D"/>
    <w:rsid w:val="00AB6D25"/>
    <w:rsid w:val="00AC264A"/>
    <w:rsid w:val="00AC3E42"/>
    <w:rsid w:val="00AD0B4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1D28"/>
    <w:rsid w:val="00AF6AEA"/>
    <w:rsid w:val="00AF7617"/>
    <w:rsid w:val="00B040AC"/>
    <w:rsid w:val="00B05BC8"/>
    <w:rsid w:val="00B06265"/>
    <w:rsid w:val="00B11B69"/>
    <w:rsid w:val="00B14952"/>
    <w:rsid w:val="00B210CA"/>
    <w:rsid w:val="00B25DCD"/>
    <w:rsid w:val="00B31E5A"/>
    <w:rsid w:val="00B322EC"/>
    <w:rsid w:val="00B32730"/>
    <w:rsid w:val="00B3466B"/>
    <w:rsid w:val="00B37F5A"/>
    <w:rsid w:val="00B40DD0"/>
    <w:rsid w:val="00B5056F"/>
    <w:rsid w:val="00B50A80"/>
    <w:rsid w:val="00B51B1A"/>
    <w:rsid w:val="00B605DE"/>
    <w:rsid w:val="00B609CE"/>
    <w:rsid w:val="00B63C9E"/>
    <w:rsid w:val="00B653AB"/>
    <w:rsid w:val="00B65F9E"/>
    <w:rsid w:val="00B66B19"/>
    <w:rsid w:val="00B70FDA"/>
    <w:rsid w:val="00B74022"/>
    <w:rsid w:val="00B853EC"/>
    <w:rsid w:val="00B86E2F"/>
    <w:rsid w:val="00B914E9"/>
    <w:rsid w:val="00B93713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3BDE"/>
    <w:rsid w:val="00BA5A42"/>
    <w:rsid w:val="00BA7A76"/>
    <w:rsid w:val="00BB4773"/>
    <w:rsid w:val="00BB4F09"/>
    <w:rsid w:val="00BB63A9"/>
    <w:rsid w:val="00BC1505"/>
    <w:rsid w:val="00BC17C7"/>
    <w:rsid w:val="00BC50F0"/>
    <w:rsid w:val="00BD4CA6"/>
    <w:rsid w:val="00BD4E33"/>
    <w:rsid w:val="00BD71BA"/>
    <w:rsid w:val="00BE09A5"/>
    <w:rsid w:val="00BE4B65"/>
    <w:rsid w:val="00C00EDA"/>
    <w:rsid w:val="00C030DE"/>
    <w:rsid w:val="00C07C7D"/>
    <w:rsid w:val="00C11EFD"/>
    <w:rsid w:val="00C16D56"/>
    <w:rsid w:val="00C22105"/>
    <w:rsid w:val="00C23F3B"/>
    <w:rsid w:val="00C244B6"/>
    <w:rsid w:val="00C27D75"/>
    <w:rsid w:val="00C3702F"/>
    <w:rsid w:val="00C4500A"/>
    <w:rsid w:val="00C45479"/>
    <w:rsid w:val="00C55C91"/>
    <w:rsid w:val="00C56E95"/>
    <w:rsid w:val="00C62E44"/>
    <w:rsid w:val="00C64A37"/>
    <w:rsid w:val="00C64C70"/>
    <w:rsid w:val="00C662A5"/>
    <w:rsid w:val="00C7158E"/>
    <w:rsid w:val="00C72186"/>
    <w:rsid w:val="00C7218F"/>
    <w:rsid w:val="00C7250B"/>
    <w:rsid w:val="00C7346B"/>
    <w:rsid w:val="00C73B5E"/>
    <w:rsid w:val="00C77C0E"/>
    <w:rsid w:val="00C8000E"/>
    <w:rsid w:val="00C83D7C"/>
    <w:rsid w:val="00C91687"/>
    <w:rsid w:val="00C924A8"/>
    <w:rsid w:val="00C92AF8"/>
    <w:rsid w:val="00C945FE"/>
    <w:rsid w:val="00C950B4"/>
    <w:rsid w:val="00C96FAA"/>
    <w:rsid w:val="00C97A04"/>
    <w:rsid w:val="00CA107B"/>
    <w:rsid w:val="00CA37A0"/>
    <w:rsid w:val="00CA484D"/>
    <w:rsid w:val="00CA4FB6"/>
    <w:rsid w:val="00CA5FC4"/>
    <w:rsid w:val="00CB565C"/>
    <w:rsid w:val="00CC03C3"/>
    <w:rsid w:val="00CC0BBE"/>
    <w:rsid w:val="00CC5EDC"/>
    <w:rsid w:val="00CC739E"/>
    <w:rsid w:val="00CD1E2E"/>
    <w:rsid w:val="00CD2371"/>
    <w:rsid w:val="00CD32D0"/>
    <w:rsid w:val="00CD58B7"/>
    <w:rsid w:val="00CD77D9"/>
    <w:rsid w:val="00CD7CB6"/>
    <w:rsid w:val="00CD7D5E"/>
    <w:rsid w:val="00CE019A"/>
    <w:rsid w:val="00CE52F0"/>
    <w:rsid w:val="00CF031B"/>
    <w:rsid w:val="00CF08EF"/>
    <w:rsid w:val="00CF3F64"/>
    <w:rsid w:val="00CF4099"/>
    <w:rsid w:val="00CF4349"/>
    <w:rsid w:val="00CF4C96"/>
    <w:rsid w:val="00D00796"/>
    <w:rsid w:val="00D02D2C"/>
    <w:rsid w:val="00D03342"/>
    <w:rsid w:val="00D05DAC"/>
    <w:rsid w:val="00D066F3"/>
    <w:rsid w:val="00D076D6"/>
    <w:rsid w:val="00D11CF3"/>
    <w:rsid w:val="00D20C21"/>
    <w:rsid w:val="00D23C2A"/>
    <w:rsid w:val="00D23F61"/>
    <w:rsid w:val="00D261A2"/>
    <w:rsid w:val="00D27CD4"/>
    <w:rsid w:val="00D329DC"/>
    <w:rsid w:val="00D3418B"/>
    <w:rsid w:val="00D35A8F"/>
    <w:rsid w:val="00D372FB"/>
    <w:rsid w:val="00D37A41"/>
    <w:rsid w:val="00D4654D"/>
    <w:rsid w:val="00D538E4"/>
    <w:rsid w:val="00D616D2"/>
    <w:rsid w:val="00D63B5F"/>
    <w:rsid w:val="00D7066F"/>
    <w:rsid w:val="00D70EF7"/>
    <w:rsid w:val="00D815F5"/>
    <w:rsid w:val="00D8397C"/>
    <w:rsid w:val="00D83D64"/>
    <w:rsid w:val="00D83F2F"/>
    <w:rsid w:val="00D84DE7"/>
    <w:rsid w:val="00D94EED"/>
    <w:rsid w:val="00D96026"/>
    <w:rsid w:val="00DA0243"/>
    <w:rsid w:val="00DA2264"/>
    <w:rsid w:val="00DA433C"/>
    <w:rsid w:val="00DA4531"/>
    <w:rsid w:val="00DA5DA2"/>
    <w:rsid w:val="00DA7C1C"/>
    <w:rsid w:val="00DB0D53"/>
    <w:rsid w:val="00DB147A"/>
    <w:rsid w:val="00DB1B7A"/>
    <w:rsid w:val="00DB220F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DF74D8"/>
    <w:rsid w:val="00E01436"/>
    <w:rsid w:val="00E01E27"/>
    <w:rsid w:val="00E045BD"/>
    <w:rsid w:val="00E07B73"/>
    <w:rsid w:val="00E16C02"/>
    <w:rsid w:val="00E17A9F"/>
    <w:rsid w:val="00E17B77"/>
    <w:rsid w:val="00E22635"/>
    <w:rsid w:val="00E23337"/>
    <w:rsid w:val="00E23761"/>
    <w:rsid w:val="00E259EA"/>
    <w:rsid w:val="00E27E85"/>
    <w:rsid w:val="00E303FF"/>
    <w:rsid w:val="00E30793"/>
    <w:rsid w:val="00E32061"/>
    <w:rsid w:val="00E37F13"/>
    <w:rsid w:val="00E4151F"/>
    <w:rsid w:val="00E41FCF"/>
    <w:rsid w:val="00E42FF9"/>
    <w:rsid w:val="00E4714C"/>
    <w:rsid w:val="00E51AEB"/>
    <w:rsid w:val="00E522A7"/>
    <w:rsid w:val="00E54452"/>
    <w:rsid w:val="00E616DF"/>
    <w:rsid w:val="00E664C5"/>
    <w:rsid w:val="00E66A5B"/>
    <w:rsid w:val="00E671A2"/>
    <w:rsid w:val="00E67C66"/>
    <w:rsid w:val="00E70563"/>
    <w:rsid w:val="00E70D5C"/>
    <w:rsid w:val="00E76D26"/>
    <w:rsid w:val="00E87FB4"/>
    <w:rsid w:val="00E95BE5"/>
    <w:rsid w:val="00E9681A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C2527"/>
    <w:rsid w:val="00ED24F1"/>
    <w:rsid w:val="00ED55C0"/>
    <w:rsid w:val="00ED63E8"/>
    <w:rsid w:val="00ED682B"/>
    <w:rsid w:val="00ED75FA"/>
    <w:rsid w:val="00EE41D5"/>
    <w:rsid w:val="00EE696D"/>
    <w:rsid w:val="00EF6301"/>
    <w:rsid w:val="00EF7B36"/>
    <w:rsid w:val="00F027A2"/>
    <w:rsid w:val="00F037A4"/>
    <w:rsid w:val="00F04C11"/>
    <w:rsid w:val="00F0593C"/>
    <w:rsid w:val="00F06F36"/>
    <w:rsid w:val="00F07B22"/>
    <w:rsid w:val="00F12FEC"/>
    <w:rsid w:val="00F161AC"/>
    <w:rsid w:val="00F1770E"/>
    <w:rsid w:val="00F20A4B"/>
    <w:rsid w:val="00F24CE7"/>
    <w:rsid w:val="00F26013"/>
    <w:rsid w:val="00F27C8F"/>
    <w:rsid w:val="00F30A0C"/>
    <w:rsid w:val="00F32749"/>
    <w:rsid w:val="00F3314D"/>
    <w:rsid w:val="00F34A33"/>
    <w:rsid w:val="00F37172"/>
    <w:rsid w:val="00F42DB8"/>
    <w:rsid w:val="00F4477E"/>
    <w:rsid w:val="00F455A2"/>
    <w:rsid w:val="00F45717"/>
    <w:rsid w:val="00F479EB"/>
    <w:rsid w:val="00F52335"/>
    <w:rsid w:val="00F65EEC"/>
    <w:rsid w:val="00F6637E"/>
    <w:rsid w:val="00F67D8F"/>
    <w:rsid w:val="00F70C4A"/>
    <w:rsid w:val="00F739B3"/>
    <w:rsid w:val="00F7414E"/>
    <w:rsid w:val="00F74897"/>
    <w:rsid w:val="00F74B10"/>
    <w:rsid w:val="00F74FFC"/>
    <w:rsid w:val="00F75C6D"/>
    <w:rsid w:val="00F80247"/>
    <w:rsid w:val="00F802BE"/>
    <w:rsid w:val="00F80E93"/>
    <w:rsid w:val="00F81CC7"/>
    <w:rsid w:val="00F823A8"/>
    <w:rsid w:val="00F86024"/>
    <w:rsid w:val="00F8611A"/>
    <w:rsid w:val="00F86C02"/>
    <w:rsid w:val="00F90A0D"/>
    <w:rsid w:val="00F90BB1"/>
    <w:rsid w:val="00F92824"/>
    <w:rsid w:val="00F93CA3"/>
    <w:rsid w:val="00F96C68"/>
    <w:rsid w:val="00FA4663"/>
    <w:rsid w:val="00FA4EC6"/>
    <w:rsid w:val="00FA5128"/>
    <w:rsid w:val="00FB2277"/>
    <w:rsid w:val="00FB42D4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ED4A3-E4A9-4628-A836-FEA0A202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s://twitter.com/StatPoland" TargetMode="External"/><Relationship Id="rId39" Type="http://schemas.openxmlformats.org/officeDocument/2006/relationships/hyperlink" Target="http://stat.gov.pl/en/latest-statistical-news/news-releases/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s://bdl.stat.gov.pl/BDL/start?lang=en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hyperlink" Target="http://stat.gov.pl/en/latest-statistical-news/communications-and-announcements/" TargetMode="External"/><Relationship Id="rId11" Type="http://schemas.openxmlformats.org/officeDocument/2006/relationships/image" Target="media/image3.emf"/><Relationship Id="rId24" Type="http://schemas.openxmlformats.org/officeDocument/2006/relationships/hyperlink" Target="https://stat.gov.pl/en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swaid.stat.gov.pl/EN/SitePagesDBW/Ceny.aspx" TargetMode="External"/><Relationship Id="rId45" Type="http://schemas.openxmlformats.org/officeDocument/2006/relationships/hyperlink" Target="http://stat.gov.pl/en/metainformations/glossary/terms-used-in-official-statistics/711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s://www.facebook.com/GlownyUrzadStatystyczny/" TargetMode="External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topics/prices-trade/pr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-indices/" TargetMode="Externa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communications-and-announcements/" TargetMode="External"/><Relationship Id="rId46" Type="http://schemas.openxmlformats.org/officeDocument/2006/relationships/hyperlink" Target="http://stat.gov.pl/en/metainformations/glossary/terms-used-in-official-statistics/32,term.html" TargetMode="External"/><Relationship Id="rId20" Type="http://schemas.openxmlformats.org/officeDocument/2006/relationships/header" Target="header2.xm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WPŁYWY!$A$52:$A$64</c:f>
              <c:strCache>
                <c:ptCount val="13"/>
                <c:pt idx="0">
                  <c:v>Fruit</c:v>
                </c:pt>
                <c:pt idx="1">
                  <c:v>Telephone and telefax services</c:v>
                </c:pt>
                <c:pt idx="2">
                  <c:v>Package holidays</c:v>
                </c:pt>
                <c:pt idx="3">
                  <c:v>Purchase of vehicles</c:v>
                </c:pt>
                <c:pt idx="4">
                  <c:v>Personal care</c:v>
                </c:pt>
                <c:pt idx="5">
                  <c:v>Catering services</c:v>
                </c:pt>
                <c:pt idx="6">
                  <c:v>Meat</c:v>
                </c:pt>
                <c:pt idx="7">
                  <c:v>Oils and fats</c:v>
                </c:pt>
                <c:pt idx="8">
                  <c:v>Milk, cheese and eggs</c:v>
                </c:pt>
                <c:pt idx="9">
                  <c:v>Bread and cereals</c:v>
                </c:pt>
                <c:pt idx="10">
                  <c:v>Vegetables</c:v>
                </c:pt>
                <c:pt idx="11">
                  <c:v>Fuels for personal transport equipment</c:v>
                </c:pt>
                <c:pt idx="12">
                  <c:v>Electricity, gas and other fuels</c:v>
                </c:pt>
              </c:strCache>
            </c:strRef>
          </c:cat>
          <c:val>
            <c:numRef>
              <c:f>WPŁYWY!$C$52:$C$64</c:f>
              <c:numCache>
                <c:formatCode>0.00</c:formatCode>
                <c:ptCount val="13"/>
                <c:pt idx="0">
                  <c:v>-0.02</c:v>
                </c:pt>
                <c:pt idx="1">
                  <c:v>-0.02</c:v>
                </c:pt>
                <c:pt idx="2">
                  <c:v>0.02</c:v>
                </c:pt>
                <c:pt idx="3">
                  <c:v>0.02</c:v>
                </c:pt>
                <c:pt idx="4">
                  <c:v>0.02</c:v>
                </c:pt>
                <c:pt idx="5">
                  <c:v>0.05</c:v>
                </c:pt>
                <c:pt idx="6">
                  <c:v>0.05</c:v>
                </c:pt>
                <c:pt idx="7">
                  <c:v>0.06</c:v>
                </c:pt>
                <c:pt idx="8">
                  <c:v>0.06</c:v>
                </c:pt>
                <c:pt idx="9">
                  <c:v>0.06</c:v>
                </c:pt>
                <c:pt idx="10">
                  <c:v>0.11</c:v>
                </c:pt>
                <c:pt idx="11">
                  <c:v>0.15</c:v>
                </c:pt>
                <c:pt idx="12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59876112"/>
        <c:axId val="-1806309936"/>
      </c:barChart>
      <c:catAx>
        <c:axId val="-175987611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806309936"/>
        <c:crossesAt val="0"/>
        <c:auto val="1"/>
        <c:lblAlgn val="ctr"/>
        <c:lblOffset val="200"/>
        <c:tickMarkSkip val="1"/>
        <c:noMultiLvlLbl val="0"/>
      </c:catAx>
      <c:valAx>
        <c:axId val="-1806309936"/>
        <c:scaling>
          <c:orientation val="minMax"/>
          <c:max val="0.35000000000000003"/>
          <c:min val="-5.000000000000001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759876112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806299600"/>
        <c:axId val="-1806300144"/>
      </c:barChart>
      <c:catAx>
        <c:axId val="-1806299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1806300144"/>
        <c:crosses val="autoZero"/>
        <c:auto val="0"/>
        <c:lblAlgn val="ctr"/>
        <c:lblOffset val="100"/>
        <c:noMultiLvlLbl val="0"/>
      </c:catAx>
      <c:valAx>
        <c:axId val="-1806300144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18062996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3430980108523E-2"/>
                  <c:y val="-8.624825511268967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892698740829886E-2"/>
                  <c:y val="-1.6086709368306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44626412851088E-2"/>
                  <c:y val="-3.9472672932216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4217903405436161E-3"/>
                  <c:y val="-3.44346371505627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815919625889084E-2"/>
                  <c:y val="-3.6952695887196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314333988281306E-2"/>
                  <c:y val="-2.6304672329039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0273604233833078E-2"/>
                  <c:y val="-4.76042043797886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031667032657629E-2"/>
                  <c:y val="4.08879373150708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4481102655028101E-2"/>
                  <c:y val="-3.762799873767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31307387245988E-2"/>
                  <c:y val="-4.02142073032609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'M-1'!$B$50:$B$72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'M-1'!$C$50:$C$72</c:f>
              <c:numCache>
                <c:formatCode>0.0</c:formatCode>
                <c:ptCount val="23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  <c:pt idx="20">
                  <c:v>0.7</c:v>
                </c:pt>
                <c:pt idx="21">
                  <c:v>1.1000000000000001</c:v>
                </c:pt>
                <c:pt idx="22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06313200"/>
        <c:axId val="-1806308304"/>
      </c:lineChart>
      <c:dateAx>
        <c:axId val="-180631320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806308304"/>
        <c:crossesAt val="0"/>
        <c:auto val="0"/>
        <c:lblOffset val="100"/>
        <c:baseTimeUnit val="days"/>
      </c:dateAx>
      <c:valAx>
        <c:axId val="-1806308304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806313200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0"/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0769841942E-2"/>
                  <c:y val="-3.0530899247716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895546061576822E-2"/>
                  <c:y val="-3.0188790921305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57386709145552E-2"/>
                  <c:y val="8.45682312762771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471166187900766E-2"/>
                  <c:y val="1.8993522827937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129413211596967E-2"/>
                  <c:y val="3.8530788762905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708955216596441E-2"/>
                  <c:y val="2.74310111135882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063112183494774E-2"/>
                  <c:y val="2.2579149543164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38624062842E-2"/>
                  <c:y val="3.24312380020399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9779835999488533E-2"/>
                  <c:y val="3.3083887565920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794689944158619E-2"/>
                  <c:y val="-3.1463509431654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0813617552900757E-2"/>
                  <c:y val="-1.28386559709399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047643310112472E-2"/>
                  <c:y val="-1.957159514419254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417030011449387E-2"/>
                  <c:y val="-6.3351201620970017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anchor="t" anchorCtr="0"/>
                <a:lstStyle/>
                <a:p>
                  <a:pPr>
                    <a:defRPr sz="800">
                      <a:latin typeface="Fira Sans" pitchFamily="34" charset="0"/>
                      <a:ea typeface="Fira Sans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7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7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(+FE)'!$B$50:$B$72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'M-12 (+FE)'!$C$50:$C$72</c:f>
              <c:numCache>
                <c:formatCode>0.0</c:formatCode>
                <c:ptCount val="23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06302320"/>
        <c:axId val="-1806312112"/>
      </c:lineChart>
      <c:dateAx>
        <c:axId val="-18063023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806312112"/>
        <c:crossesAt val="0"/>
        <c:auto val="0"/>
        <c:lblOffset val="100"/>
        <c:baseTimeUnit val="days"/>
      </c:dateAx>
      <c:valAx>
        <c:axId val="-180631211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8063023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m-12'!$B$51:$B$73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'CPI_HICP m-12'!$C$51:$C$73</c:f>
              <c:numCache>
                <c:formatCode>0.0</c:formatCode>
                <c:ptCount val="23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m-12'!$B$51:$B$73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'CPI_HICP m-12'!$E$51:$E$72</c:f>
              <c:numCache>
                <c:formatCode>0.0</c:formatCode>
                <c:ptCount val="22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  <c:pt idx="19">
                  <c:v>5</c:v>
                </c:pt>
                <c:pt idx="20">
                  <c:v>5.6</c:v>
                </c:pt>
                <c:pt idx="21">
                  <c:v>6.4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69429664"/>
        <c:axId val="-1969425856"/>
      </c:lineChart>
      <c:catAx>
        <c:axId val="-196942966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96942585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969425856"/>
        <c:scaling>
          <c:orientation val="minMax"/>
          <c:max val="8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969429664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20572293645"/>
          <c:y val="0.57775246619352427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0.92366</cdr:y>
    </cdr:from>
    <cdr:to>
      <cdr:x>0.51844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7" y="2385391"/>
          <a:ext cx="2300590" cy="1768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0.51844</cdr:x>
      <cdr:y>0.92058</cdr:y>
    </cdr:from>
    <cdr:to>
      <cdr:x>0.93035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655737" y="2377441"/>
          <a:ext cx="2110024" cy="182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0.51674</cdr:x>
      <cdr:y>0.86653</cdr:y>
    </cdr:from>
    <cdr:to>
      <cdr:x>0.51674</cdr:x>
      <cdr:y>0.93756</cdr:y>
    </cdr:to>
    <cdr:cxnSp macro="">
      <cdr:nvCxnSpPr>
        <cdr:cNvPr id="6" name="Łącznik prosty 5"/>
        <cdr:cNvCxnSpPr/>
      </cdr:nvCxnSpPr>
      <cdr:spPr bwMode="auto">
        <a:xfrm xmlns:a="http://schemas.openxmlformats.org/drawingml/2006/main">
          <a:off x="2647009" y="2237853"/>
          <a:ext cx="0" cy="183438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0.06855</cdr:x>
      <cdr:y>0.62926</cdr:y>
    </cdr:from>
    <cdr:to>
      <cdr:x>0.92823</cdr:x>
      <cdr:y>0.62926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129" y="1594713"/>
          <a:ext cx="4403751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0.92556</cdr:y>
    </cdr:from>
    <cdr:to>
      <cdr:x>0.51999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2" y="2345635"/>
          <a:ext cx="2306236" cy="188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0.323</cdr:x>
      <cdr:y>0.46649</cdr:y>
    </cdr:from>
    <cdr:to>
      <cdr:x>0.63293</cdr:x>
      <cdr:y>0.56415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654587" y="1182215"/>
          <a:ext cx="1587600" cy="247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0.32388</cdr:x>
      <cdr:y>0.71281</cdr:y>
    </cdr:from>
    <cdr:to>
      <cdr:x>0.63381</cdr:x>
      <cdr:y>0.77984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659079" y="1806470"/>
          <a:ext cx="1587630" cy="1698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0.70617</cdr:x>
      <cdr:y>0.56359</cdr:y>
    </cdr:from>
    <cdr:to>
      <cdr:x>0.89768</cdr:x>
      <cdr:y>0.64444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17377" y="1428286"/>
          <a:ext cx="981019" cy="2048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0.51844</cdr:x>
      <cdr:y>0.9287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655736" y="2353586"/>
          <a:ext cx="2101213" cy="1806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0.06961</cdr:x>
      <cdr:y>0.72162</cdr:y>
    </cdr:from>
    <cdr:to>
      <cdr:x>0.92667</cdr:x>
      <cdr:y>0.72441</cdr:y>
    </cdr:to>
    <cdr:sp macro="" textlink="">
      <cdr:nvSpPr>
        <cdr:cNvPr id="12" name="Łącznik prosty 11"/>
        <cdr:cNvSpPr/>
      </cdr:nvSpPr>
      <cdr:spPr bwMode="auto">
        <a:xfrm xmlns:a="http://schemas.openxmlformats.org/drawingml/2006/main" flipV="1">
          <a:off x="356582" y="1828791"/>
          <a:ext cx="4390328" cy="707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0.5164</cdr:x>
      <cdr:y>0.86721</cdr:y>
    </cdr:from>
    <cdr:to>
      <cdr:x>0.5164</cdr:x>
      <cdr:y>0.9396</cdr:y>
    </cdr:to>
    <cdr:cxnSp macro="">
      <cdr:nvCxnSpPr>
        <cdr:cNvPr id="20" name="Łącznik prosty 19"/>
        <cdr:cNvCxnSpPr/>
      </cdr:nvCxnSpPr>
      <cdr:spPr bwMode="auto">
        <a:xfrm xmlns:a="http://schemas.openxmlformats.org/drawingml/2006/main">
          <a:off x="2645272" y="2197764"/>
          <a:ext cx="0" cy="183453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0.0714</cdr:x>
      <cdr:y>0.52902</cdr:y>
    </cdr:from>
    <cdr:to>
      <cdr:x>0.9263</cdr:x>
      <cdr:y>0.53077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65750" y="1340686"/>
          <a:ext cx="4379245" cy="44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0.91693</cdr:y>
    </cdr:from>
    <cdr:to>
      <cdr:x>0.51844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66121"/>
          <a:ext cx="2322053" cy="181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0.51689</cdr:x>
      <cdr:y>0.91693</cdr:y>
    </cdr:from>
    <cdr:to>
      <cdr:x>0.93133</cdr:x>
      <cdr:y>1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2647786" y="2266121"/>
          <a:ext cx="2122998" cy="20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  <cdr:relSizeAnchor xmlns:cdr="http://schemas.openxmlformats.org/drawingml/2006/chartDrawing">
    <cdr:from>
      <cdr:x>0.517</cdr:x>
      <cdr:y>0.85191</cdr:y>
    </cdr:from>
    <cdr:to>
      <cdr:x>0.517</cdr:x>
      <cdr:y>0.92614</cdr:y>
    </cdr:to>
    <cdr:cxnSp macro="">
      <cdr:nvCxnSpPr>
        <cdr:cNvPr id="8" name="Łącznik prosty 7"/>
        <cdr:cNvCxnSpPr/>
      </cdr:nvCxnSpPr>
      <cdr:spPr bwMode="auto">
        <a:xfrm xmlns:a="http://schemas.openxmlformats.org/drawingml/2006/main">
          <a:off x="2648374" y="2105433"/>
          <a:ext cx="0" cy="183457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AC7DE-DFF8-4E69-B7A3-D0B2ABB4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indices in November 2021</dc:title>
  <dc:subject/>
  <dc:creator>Statistics Poland</dc:creator>
  <cp:keywords/>
  <dc:description/>
  <cp:lastModifiedBy>Putkowska Beata</cp:lastModifiedBy>
  <cp:revision>3</cp:revision>
  <cp:lastPrinted>2021-06-14T12:53:00Z</cp:lastPrinted>
  <dcterms:created xsi:type="dcterms:W3CDTF">2021-08-11T14:12:00Z</dcterms:created>
  <dcterms:modified xsi:type="dcterms:W3CDTF">2021-12-15T07:59:00Z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