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831EB0" w:rsidRDefault="00DE478E" w:rsidP="00596A32">
      <w:pPr>
        <w:pStyle w:val="tytuinformacji"/>
        <w:tabs>
          <w:tab w:val="right" w:pos="8067"/>
        </w:tabs>
        <w:rPr>
          <w:lang w:val="en-GB"/>
        </w:rPr>
      </w:pPr>
      <w:r w:rsidRPr="00831EB0">
        <w:rPr>
          <w:lang w:val="en-GB"/>
        </w:rPr>
        <w:t>Consumer price indices in September</w:t>
      </w:r>
      <w:r w:rsidR="00920E23" w:rsidRPr="00831EB0">
        <w:rPr>
          <w:lang w:val="en-GB"/>
        </w:rPr>
        <w:t xml:space="preserve"> 2021</w:t>
      </w:r>
      <w:r w:rsidR="00596A32" w:rsidRPr="00831EB0">
        <w:rPr>
          <w:lang w:val="en-GB"/>
        </w:rPr>
        <w:tab/>
      </w:r>
    </w:p>
    <w:p w:rsidR="00AD4947" w:rsidRPr="00831EB0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831EB0" w:rsidRDefault="009E3F12" w:rsidP="00B37F5A">
      <w:pPr>
        <w:pStyle w:val="LID"/>
        <w:spacing w:after="0"/>
        <w:rPr>
          <w:lang w:val="en-GB" w:eastAsia="en-GB"/>
        </w:rPr>
      </w:pPr>
      <w:r w:rsidRPr="00831EB0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0AEE7D34" wp14:editId="7A45E81D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DF4" w:rsidRPr="00D72F40" w:rsidRDefault="00D72DF4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7FF43953" wp14:editId="57481EE9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5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9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%</w:t>
                            </w:r>
                          </w:p>
                          <w:p w:rsidR="00D72DF4" w:rsidRPr="000A0BA9" w:rsidRDefault="00D72DF4" w:rsidP="00D72F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D72DF4" w:rsidRPr="00D72F40" w:rsidRDefault="00D72DF4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D72DF4" w:rsidRPr="00D72F40" w:rsidRDefault="00D72DF4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7FF43953" wp14:editId="57481EE9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5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9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%</w:t>
                      </w:r>
                    </w:p>
                    <w:p w:rsidR="00D72DF4" w:rsidRPr="000A0BA9" w:rsidRDefault="00D72DF4" w:rsidP="00D72F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D72DF4" w:rsidRPr="00D72F40" w:rsidRDefault="00D72DF4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78E" w:rsidRPr="00831EB0">
        <w:rPr>
          <w:noProof w:val="0"/>
          <w:lang w:val="en-GB" w:eastAsia="en-GB"/>
        </w:rPr>
        <w:t>Consumer prices in September</w:t>
      </w:r>
      <w:r w:rsidR="00B50A80" w:rsidRPr="00831EB0">
        <w:rPr>
          <w:lang w:val="en-GB" w:eastAsia="en-GB"/>
        </w:rPr>
        <w:t xml:space="preserve"> </w:t>
      </w:r>
      <w:r w:rsidR="007C161B" w:rsidRPr="00831EB0">
        <w:rPr>
          <w:lang w:val="en-GB" w:eastAsia="en-GB"/>
        </w:rPr>
        <w:t>2021</w:t>
      </w:r>
      <w:r w:rsidR="00D72F40" w:rsidRPr="00831EB0">
        <w:rPr>
          <w:lang w:val="en-GB" w:eastAsia="en-GB"/>
        </w:rPr>
        <w:t xml:space="preserve">, </w:t>
      </w:r>
      <w:r w:rsidR="00D72F40" w:rsidRPr="00831EB0">
        <w:rPr>
          <w:noProof w:val="0"/>
          <w:lang w:val="en-GB" w:eastAsia="en-GB"/>
        </w:rPr>
        <w:t>compared with the corresponding month of the prev</w:t>
      </w:r>
      <w:r w:rsidR="00D72F40" w:rsidRPr="00831EB0">
        <w:rPr>
          <w:noProof w:val="0"/>
          <w:lang w:val="en-GB" w:eastAsia="en-GB"/>
        </w:rPr>
        <w:t>i</w:t>
      </w:r>
      <w:r w:rsidR="00D72F40" w:rsidRPr="00831EB0">
        <w:rPr>
          <w:noProof w:val="0"/>
          <w:lang w:val="en-GB" w:eastAsia="en-GB"/>
        </w:rPr>
        <w:t xml:space="preserve">ous year, </w:t>
      </w:r>
      <w:r w:rsidR="00D72F40" w:rsidRPr="00831EB0">
        <w:rPr>
          <w:noProof w:val="0"/>
          <w:lang w:val="en-GB" w:eastAsia="en-GB"/>
        </w:rPr>
        <w:br/>
        <w:t>increased by</w:t>
      </w:r>
      <w:r w:rsidR="00BC50F0" w:rsidRPr="00831EB0">
        <w:rPr>
          <w:lang w:val="en-GB" w:eastAsia="en-GB"/>
        </w:rPr>
        <w:t xml:space="preserve"> </w:t>
      </w:r>
      <w:r w:rsidR="00DE478E" w:rsidRPr="00831EB0">
        <w:rPr>
          <w:lang w:val="en-GB" w:eastAsia="en-GB"/>
        </w:rPr>
        <w:t>5,9</w:t>
      </w:r>
      <w:r w:rsidR="00B37F5A" w:rsidRPr="00831EB0">
        <w:rPr>
          <w:lang w:val="en-GB" w:eastAsia="en-GB"/>
        </w:rPr>
        <w:t>% (</w:t>
      </w:r>
      <w:r w:rsidR="00D72F40" w:rsidRPr="00831EB0">
        <w:rPr>
          <w:lang w:val="en-GB" w:eastAsia="en-GB"/>
        </w:rPr>
        <w:t>w</w:t>
      </w:r>
      <w:r w:rsidR="00D72F40" w:rsidRPr="00831EB0">
        <w:rPr>
          <w:noProof w:val="0"/>
          <w:lang w:val="en-GB"/>
        </w:rPr>
        <w:t xml:space="preserve">ith an increase of prices </w:t>
      </w:r>
      <w:r w:rsidR="00D72F40" w:rsidRPr="00831EB0">
        <w:rPr>
          <w:noProof w:val="0"/>
          <w:lang w:val="en-GB"/>
        </w:rPr>
        <w:br/>
        <w:t>of services</w:t>
      </w:r>
      <w:r w:rsidR="00D72F40" w:rsidRPr="00831EB0">
        <w:rPr>
          <w:lang w:val="en-GB"/>
        </w:rPr>
        <w:t xml:space="preserve"> by</w:t>
      </w:r>
      <w:r w:rsidR="00D72F40" w:rsidRPr="00831EB0">
        <w:rPr>
          <w:lang w:val="en-GB" w:eastAsia="en-GB"/>
        </w:rPr>
        <w:t xml:space="preserve"> </w:t>
      </w:r>
      <w:r w:rsidR="005C5EF8" w:rsidRPr="00831EB0">
        <w:rPr>
          <w:lang w:val="en-GB" w:eastAsia="en-GB"/>
        </w:rPr>
        <w:t>6,</w:t>
      </w:r>
      <w:r w:rsidR="00596A32" w:rsidRPr="00831EB0">
        <w:rPr>
          <w:lang w:val="en-GB" w:eastAsia="en-GB"/>
        </w:rPr>
        <w:t>6</w:t>
      </w:r>
      <w:r w:rsidR="009A1431" w:rsidRPr="00831EB0">
        <w:rPr>
          <w:lang w:val="en-GB" w:eastAsia="en-GB"/>
        </w:rPr>
        <w:t xml:space="preserve">% </w:t>
      </w:r>
      <w:r w:rsidR="00D72F40" w:rsidRPr="00831EB0">
        <w:rPr>
          <w:lang w:val="en-GB" w:eastAsia="en-GB"/>
        </w:rPr>
        <w:t xml:space="preserve">and goods by </w:t>
      </w:r>
      <w:r w:rsidR="00DE478E" w:rsidRPr="00831EB0">
        <w:rPr>
          <w:lang w:val="en-GB" w:eastAsia="en-GB"/>
        </w:rPr>
        <w:t>5,6</w:t>
      </w:r>
      <w:r w:rsidR="00B37F5A" w:rsidRPr="00831EB0">
        <w:rPr>
          <w:lang w:val="en-GB" w:eastAsia="en-GB"/>
        </w:rPr>
        <w:t>%).</w:t>
      </w:r>
    </w:p>
    <w:p w:rsidR="00370D51" w:rsidRPr="00831EB0" w:rsidRDefault="00D72F40" w:rsidP="00B37F5A">
      <w:pPr>
        <w:pStyle w:val="LID"/>
        <w:spacing w:before="0" w:after="0"/>
        <w:rPr>
          <w:lang w:val="en-GB" w:eastAsia="en-GB"/>
        </w:rPr>
      </w:pPr>
      <w:r w:rsidRPr="00831EB0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831EB0">
        <w:rPr>
          <w:noProof w:val="0"/>
          <w:spacing w:val="-4"/>
          <w:lang w:val="en-GB" w:eastAsia="en-GB"/>
        </w:rPr>
        <w:br/>
        <w:t>increased by</w:t>
      </w:r>
      <w:r w:rsidRPr="00831EB0">
        <w:rPr>
          <w:noProof w:val="0"/>
          <w:lang w:val="en-GB"/>
        </w:rPr>
        <w:t xml:space="preserve"> </w:t>
      </w:r>
      <w:r w:rsidR="00DE478E" w:rsidRPr="00831EB0">
        <w:rPr>
          <w:lang w:val="en-GB" w:eastAsia="en-GB"/>
        </w:rPr>
        <w:t>0,7</w:t>
      </w:r>
      <w:r w:rsidR="00496B80" w:rsidRPr="00831EB0">
        <w:rPr>
          <w:lang w:val="en-GB" w:eastAsia="en-GB"/>
        </w:rPr>
        <w:t>% (</w:t>
      </w:r>
      <w:r w:rsidR="00496B80" w:rsidRPr="00831EB0">
        <w:rPr>
          <w:noProof w:val="0"/>
          <w:lang w:val="en-GB"/>
        </w:rPr>
        <w:t xml:space="preserve">of which services by </w:t>
      </w:r>
      <w:r w:rsidR="00DE478E" w:rsidRPr="00831EB0">
        <w:rPr>
          <w:lang w:val="en-GB" w:eastAsia="en-GB"/>
        </w:rPr>
        <w:t>0,8</w:t>
      </w:r>
      <w:r w:rsidR="00496B80" w:rsidRPr="00831EB0">
        <w:rPr>
          <w:lang w:val="en-GB" w:eastAsia="en-GB"/>
        </w:rPr>
        <w:t xml:space="preserve">% and goods by </w:t>
      </w:r>
      <w:r w:rsidR="00DE478E" w:rsidRPr="00831EB0">
        <w:rPr>
          <w:lang w:val="en-GB" w:eastAsia="en-GB"/>
        </w:rPr>
        <w:t>0,6</w:t>
      </w:r>
      <w:r w:rsidR="00496B80" w:rsidRPr="00831EB0">
        <w:rPr>
          <w:lang w:val="en-GB" w:eastAsia="en-GB"/>
        </w:rPr>
        <w:t>%).</w:t>
      </w:r>
    </w:p>
    <w:p w:rsidR="00370D51" w:rsidRPr="00831EB0" w:rsidRDefault="00370D51" w:rsidP="00370D51">
      <w:pPr>
        <w:pStyle w:val="LID"/>
        <w:spacing w:before="0" w:after="0"/>
        <w:rPr>
          <w:lang w:val="en-GB"/>
        </w:rPr>
      </w:pPr>
    </w:p>
    <w:p w:rsidR="00370D51" w:rsidRPr="00831EB0" w:rsidRDefault="00370D51" w:rsidP="00370D51">
      <w:pPr>
        <w:pStyle w:val="LID"/>
        <w:spacing w:before="0" w:after="0"/>
        <w:rPr>
          <w:lang w:val="en-GB"/>
        </w:rPr>
      </w:pPr>
    </w:p>
    <w:p w:rsidR="009E3F12" w:rsidRPr="00831EB0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831EB0" w:rsidRDefault="00B66B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31EB0">
        <w:rPr>
          <w:lang w:val="en-GB"/>
        </w:rPr>
        <w:t xml:space="preserve">Table 1. Consumer price indices in </w:t>
      </w:r>
      <w:r w:rsidR="00DE478E" w:rsidRPr="00831EB0">
        <w:rPr>
          <w:lang w:val="en-GB"/>
        </w:rPr>
        <w:t>September</w:t>
      </w:r>
      <w:r w:rsidRPr="00831EB0">
        <w:rPr>
          <w:lang w:val="en-GB"/>
        </w:rPr>
        <w:t xml:space="preserve"> </w:t>
      </w:r>
      <w:r w:rsidR="007C161B" w:rsidRPr="00831EB0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01"/>
        <w:gridCol w:w="823"/>
        <w:gridCol w:w="823"/>
        <w:gridCol w:w="821"/>
        <w:gridCol w:w="763"/>
        <w:gridCol w:w="762"/>
        <w:gridCol w:w="1020"/>
        <w:gridCol w:w="1170"/>
      </w:tblGrid>
      <w:tr w:rsidR="00D968DA" w:rsidRPr="00831EB0" w:rsidTr="00D968DA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D968DA" w:rsidRPr="00831EB0" w:rsidRDefault="000F71C2" w:rsidP="00D968DA">
            <w:pPr>
              <w:keepNext/>
              <w:tabs>
                <w:tab w:val="right" w:leader="dot" w:pos="4139"/>
              </w:tabs>
              <w:spacing w:before="6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51" w:type="dxa"/>
            <w:gridSpan w:val="3"/>
            <w:vAlign w:val="center"/>
          </w:tcPr>
          <w:p w:rsidR="00D968DA" w:rsidRPr="00831EB0" w:rsidRDefault="00D968DA" w:rsidP="00D968DA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09 2021</w:t>
            </w:r>
          </w:p>
        </w:tc>
        <w:tc>
          <w:tcPr>
            <w:tcW w:w="1559" w:type="dxa"/>
            <w:gridSpan w:val="2"/>
          </w:tcPr>
          <w:p w:rsidR="00D968DA" w:rsidRPr="00831EB0" w:rsidRDefault="000F71C2" w:rsidP="000F71C2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Q3 </w:t>
            </w:r>
            <w:r w:rsidR="00D968DA"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2021</w:t>
            </w:r>
          </w:p>
        </w:tc>
        <w:tc>
          <w:tcPr>
            <w:tcW w:w="1083" w:type="dxa"/>
          </w:tcPr>
          <w:p w:rsidR="00D968DA" w:rsidRPr="00831EB0" w:rsidRDefault="00D968DA" w:rsidP="00D968D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01-09 2021</w:t>
            </w:r>
          </w:p>
        </w:tc>
        <w:tc>
          <w:tcPr>
            <w:tcW w:w="855" w:type="dxa"/>
            <w:vMerge w:val="restart"/>
            <w:vAlign w:val="center"/>
          </w:tcPr>
          <w:p w:rsidR="00D968DA" w:rsidRPr="00831EB0" w:rsidRDefault="00D968DA" w:rsidP="00D968DA">
            <w:pPr>
              <w:keepNext/>
              <w:tabs>
                <w:tab w:val="right" w:leader="dot" w:pos="4139"/>
              </w:tabs>
              <w:spacing w:before="60" w:after="6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val="en-GB" w:eastAsia="pl-PL"/>
              </w:rPr>
            </w:pPr>
            <w:r w:rsidRPr="00831EB0">
              <w:rPr>
                <w:rFonts w:eastAsia="Times New Roman" w:cs="Arial"/>
                <w:bCs/>
                <w:color w:val="000000" w:themeColor="text1"/>
                <w:sz w:val="14"/>
                <w:szCs w:val="14"/>
                <w:lang w:val="en-GB" w:eastAsia="pl-PL"/>
              </w:rPr>
              <w:t>CONTRIBUTION OF CHANGES</w:t>
            </w:r>
          </w:p>
          <w:p w:rsidR="00D968DA" w:rsidRPr="00831EB0" w:rsidRDefault="00D968DA" w:rsidP="00D968DA">
            <w:pPr>
              <w:keepNext/>
              <w:tabs>
                <w:tab w:val="right" w:leader="dot" w:pos="4139"/>
              </w:tabs>
              <w:spacing w:before="6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08 2021=</w:t>
            </w:r>
            <w:r w:rsidRPr="00831EB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D968DA" w:rsidRPr="00831EB0" w:rsidTr="00D968DA">
        <w:trPr>
          <w:cantSplit/>
          <w:trHeight w:val="588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09 2020=</w:t>
            </w: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 2020=</w:t>
            </w: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08 2021=</w:t>
            </w:r>
            <w:r w:rsidRPr="00831EB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779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ED4446" w:rsidP="00ED444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Q3 </w:t>
            </w:r>
            <w:r w:rsidR="00D968DA"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2020</w:t>
            </w:r>
          </w:p>
        </w:tc>
        <w:tc>
          <w:tcPr>
            <w:tcW w:w="780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ED4446" w:rsidP="00ED444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Q2</w:t>
            </w:r>
            <w:r w:rsidR="00D968DA"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2021</w:t>
            </w:r>
          </w:p>
        </w:tc>
        <w:tc>
          <w:tcPr>
            <w:tcW w:w="1083" w:type="dxa"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01-09 2020=</w:t>
            </w: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5" w:type="dxa"/>
            <w:vMerge/>
            <w:tcBorders>
              <w:bottom w:val="single" w:sz="12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b/>
                <w:lang w:val="en-GB"/>
              </w:rPr>
            </w:pPr>
            <w:r w:rsidRPr="00831EB0">
              <w:rPr>
                <w:b/>
                <w:lang w:val="en-GB"/>
              </w:rPr>
              <w:t>105,9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b/>
                <w:lang w:val="en-GB"/>
              </w:rPr>
            </w:pPr>
            <w:r w:rsidRPr="00831EB0">
              <w:rPr>
                <w:b/>
                <w:lang w:val="en-GB"/>
              </w:rPr>
              <w:t>105,5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831EB0">
              <w:rPr>
                <w:b/>
                <w:lang w:val="en-GB"/>
              </w:rPr>
              <w:t>100,7</w:t>
            </w:r>
          </w:p>
        </w:tc>
        <w:tc>
          <w:tcPr>
            <w:tcW w:w="77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b/>
                <w:lang w:val="en-GB"/>
              </w:rPr>
            </w:pPr>
            <w:r w:rsidRPr="00831EB0">
              <w:rPr>
                <w:b/>
                <w:lang w:val="en-GB"/>
              </w:rPr>
              <w:t>105,4</w:t>
            </w:r>
          </w:p>
        </w:tc>
        <w:tc>
          <w:tcPr>
            <w:tcW w:w="78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b/>
                <w:lang w:val="en-GB"/>
              </w:rPr>
            </w:pPr>
            <w:r w:rsidRPr="00831EB0">
              <w:rPr>
                <w:b/>
                <w:lang w:val="en-GB"/>
              </w:rPr>
              <w:t>101,0</w:t>
            </w:r>
          </w:p>
        </w:tc>
        <w:tc>
          <w:tcPr>
            <w:tcW w:w="108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rFonts w:ascii="Calibri" w:hAnsi="Calibri" w:cs="Calibri"/>
                <w:color w:val="000000"/>
                <w:sz w:val="22"/>
                <w:lang w:val="en-GB"/>
              </w:rPr>
            </w:pPr>
            <w:r w:rsidRPr="00831EB0">
              <w:rPr>
                <w:b/>
                <w:lang w:val="en-GB"/>
              </w:rPr>
              <w:t>104,2</w:t>
            </w:r>
          </w:p>
        </w:tc>
        <w:tc>
          <w:tcPr>
            <w:tcW w:w="85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831EB0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831EB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99,8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0,03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831EB0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100,4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0,01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103,1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99,9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97,1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99,1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0,12</w:t>
            </w:r>
          </w:p>
        </w:tc>
      </w:tr>
      <w:tr w:rsidR="00D968DA" w:rsidRPr="00831EB0" w:rsidTr="005D33D6">
        <w:trPr>
          <w:cantSplit/>
          <w:trHeight w:val="553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</w:t>
            </w:r>
            <w:r w:rsidRPr="00831EB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</w:t>
            </w:r>
            <w:r w:rsidRPr="00831EB0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ty, gas and other fuels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106,4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100,6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106,8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106,4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0,13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100,7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103,5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102,7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0,04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100,4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103,0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101,3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103,3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0,02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101,2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118,3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111,5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0,12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102,3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104,4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100,6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0,12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100,0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105,4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105,0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0,00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102,0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104,6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100,8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105,2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0,02</w:t>
            </w:r>
          </w:p>
        </w:tc>
      </w:tr>
      <w:tr w:rsidR="00D968DA" w:rsidRPr="00831EB0" w:rsidTr="00D968DA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100,8</w:t>
            </w:r>
          </w:p>
        </w:tc>
        <w:tc>
          <w:tcPr>
            <w:tcW w:w="7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106,6</w:t>
            </w:r>
          </w:p>
        </w:tc>
        <w:tc>
          <w:tcPr>
            <w:tcW w:w="78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102,7</w:t>
            </w:r>
          </w:p>
        </w:tc>
        <w:tc>
          <w:tcPr>
            <w:tcW w:w="108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105,5</w:t>
            </w:r>
          </w:p>
        </w:tc>
        <w:tc>
          <w:tcPr>
            <w:tcW w:w="85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0,04</w:t>
            </w:r>
          </w:p>
        </w:tc>
      </w:tr>
      <w:tr w:rsidR="00D968DA" w:rsidRPr="00831EB0" w:rsidTr="00D968DA">
        <w:trPr>
          <w:cantSplit/>
          <w:trHeight w:val="445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100,3</w:t>
            </w:r>
          </w:p>
        </w:tc>
        <w:tc>
          <w:tcPr>
            <w:tcW w:w="779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101,9</w:t>
            </w:r>
          </w:p>
        </w:tc>
        <w:tc>
          <w:tcPr>
            <w:tcW w:w="780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101,0</w:t>
            </w:r>
          </w:p>
        </w:tc>
        <w:tc>
          <w:tcPr>
            <w:tcW w:w="1083" w:type="dxa"/>
            <w:tcBorders>
              <w:top w:val="single" w:sz="4" w:space="0" w:color="212492"/>
              <w:bottom w:val="nil"/>
            </w:tcBorders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102,0</w:t>
            </w:r>
          </w:p>
        </w:tc>
        <w:tc>
          <w:tcPr>
            <w:tcW w:w="855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D968DA" w:rsidRPr="00831EB0" w:rsidRDefault="00D968DA" w:rsidP="00D968DA">
            <w:pPr>
              <w:spacing w:line="200" w:lineRule="exact"/>
              <w:jc w:val="right"/>
              <w:rPr>
                <w:lang w:val="en-GB"/>
              </w:rPr>
            </w:pPr>
            <w:r w:rsidRPr="00831EB0">
              <w:rPr>
                <w:lang w:val="en-GB"/>
              </w:rPr>
              <w:t>0,02</w:t>
            </w:r>
          </w:p>
        </w:tc>
      </w:tr>
    </w:tbl>
    <w:p w:rsidR="00D968DA" w:rsidRPr="00831EB0" w:rsidRDefault="00D968DA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  <w:r w:rsidRPr="00831EB0">
        <w:rPr>
          <w:shd w:val="clear" w:color="auto" w:fill="FFFFFF"/>
          <w:lang w:val="en-GB"/>
        </w:rPr>
        <w:br w:type="page"/>
      </w:r>
    </w:p>
    <w:p w:rsidR="00A07F00" w:rsidRPr="00831EB0" w:rsidRDefault="00B66B66" w:rsidP="00E37F13">
      <w:pPr>
        <w:pStyle w:val="Nagwek1"/>
        <w:spacing w:before="480" w:line="240" w:lineRule="exact"/>
        <w:rPr>
          <w:lang w:val="en-GB"/>
        </w:rPr>
      </w:pPr>
      <w:r w:rsidRPr="00831EB0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831EB0" w:rsidRDefault="00596A32" w:rsidP="00C23F3B">
      <w:pPr>
        <w:spacing w:before="0" w:after="0"/>
        <w:rPr>
          <w:lang w:val="en-GB"/>
        </w:rPr>
      </w:pPr>
      <w:r w:rsidRPr="00831EB0">
        <w:rPr>
          <w:lang w:val="en-GB"/>
        </w:rPr>
        <w:t xml:space="preserve">In </w:t>
      </w:r>
      <w:r w:rsidR="00DE478E" w:rsidRPr="00831EB0">
        <w:rPr>
          <w:lang w:val="en-GB"/>
        </w:rPr>
        <w:t>September</w:t>
      </w:r>
      <w:r w:rsidR="00B66B66" w:rsidRPr="00831EB0">
        <w:rPr>
          <w:lang w:val="en-GB"/>
        </w:rPr>
        <w:t xml:space="preserve"> of the current year, compared with the previous month, the highest contrib</w:t>
      </w:r>
      <w:r w:rsidR="00B66B66" w:rsidRPr="00831EB0">
        <w:rPr>
          <w:lang w:val="en-GB"/>
        </w:rPr>
        <w:t>u</w:t>
      </w:r>
      <w:r w:rsidR="00B66B66" w:rsidRPr="00831EB0">
        <w:rPr>
          <w:lang w:val="en-GB"/>
        </w:rPr>
        <w:t>tion to the total consumer price i</w:t>
      </w:r>
      <w:r w:rsidR="00AD17A6" w:rsidRPr="00831EB0">
        <w:rPr>
          <w:lang w:val="en-GB"/>
        </w:rPr>
        <w:t xml:space="preserve">ndex came from higher prices related to </w:t>
      </w:r>
      <w:r w:rsidRPr="00831EB0">
        <w:rPr>
          <w:lang w:val="en-GB"/>
        </w:rPr>
        <w:t>Dwelling</w:t>
      </w:r>
      <w:r w:rsidR="00DF5C74" w:rsidRPr="00831EB0">
        <w:rPr>
          <w:lang w:val="en-GB"/>
        </w:rPr>
        <w:t xml:space="preserve"> </w:t>
      </w:r>
      <w:r w:rsidR="00C662A5" w:rsidRPr="00831EB0">
        <w:rPr>
          <w:lang w:val="en-GB"/>
        </w:rPr>
        <w:t>(</w:t>
      </w:r>
      <w:r w:rsidR="00B66B66" w:rsidRPr="00831EB0">
        <w:rPr>
          <w:lang w:val="en-GB"/>
        </w:rPr>
        <w:t>by</w:t>
      </w:r>
      <w:r w:rsidR="0022312E" w:rsidRPr="00831EB0">
        <w:rPr>
          <w:lang w:val="en-GB"/>
        </w:rPr>
        <w:t xml:space="preserve"> </w:t>
      </w:r>
      <w:r w:rsidR="00DE478E" w:rsidRPr="00831EB0">
        <w:rPr>
          <w:lang w:val="en-GB"/>
        </w:rPr>
        <w:t>0,7</w:t>
      </w:r>
      <w:r w:rsidR="0022312E" w:rsidRPr="00831EB0">
        <w:rPr>
          <w:lang w:val="en-GB"/>
        </w:rPr>
        <w:t>%)</w:t>
      </w:r>
      <w:r w:rsidR="0096673F" w:rsidRPr="00831EB0">
        <w:rPr>
          <w:lang w:val="en-GB"/>
        </w:rPr>
        <w:t xml:space="preserve">, </w:t>
      </w:r>
      <w:r w:rsidRPr="00831EB0">
        <w:rPr>
          <w:lang w:val="en-GB"/>
        </w:rPr>
        <w:t>Transport</w:t>
      </w:r>
      <w:r w:rsidR="00B66B66" w:rsidRPr="00831EB0">
        <w:rPr>
          <w:lang w:val="en-GB"/>
        </w:rPr>
        <w:t xml:space="preserve"> (by</w:t>
      </w:r>
      <w:r w:rsidRPr="00831EB0">
        <w:rPr>
          <w:lang w:val="en-GB"/>
        </w:rPr>
        <w:t xml:space="preserve"> 1</w:t>
      </w:r>
      <w:r w:rsidR="00D329DC" w:rsidRPr="00831EB0">
        <w:rPr>
          <w:lang w:val="en-GB"/>
        </w:rPr>
        <w:t>,</w:t>
      </w:r>
      <w:r w:rsidR="00DE478E" w:rsidRPr="00831EB0">
        <w:rPr>
          <w:lang w:val="en-GB"/>
        </w:rPr>
        <w:t>2</w:t>
      </w:r>
      <w:r w:rsidR="00DF5C74" w:rsidRPr="00831EB0">
        <w:rPr>
          <w:lang w:val="en-GB"/>
        </w:rPr>
        <w:t>%)</w:t>
      </w:r>
      <w:r w:rsidR="00A07F00" w:rsidRPr="00831EB0">
        <w:rPr>
          <w:lang w:val="en-GB"/>
        </w:rPr>
        <w:t>,</w:t>
      </w:r>
      <w:r w:rsidR="0096673F" w:rsidRPr="00831EB0">
        <w:rPr>
          <w:lang w:val="en-GB"/>
        </w:rPr>
        <w:t xml:space="preserve"> Clothing and footwear</w:t>
      </w:r>
      <w:r w:rsidR="0096673F" w:rsidRPr="00831EB0">
        <w:rPr>
          <w:spacing w:val="-4"/>
          <w:lang w:val="en-GB"/>
        </w:rPr>
        <w:t xml:space="preserve"> (by 3,1%) and Communication (by 2,3%) </w:t>
      </w:r>
      <w:r w:rsidR="00B66B66" w:rsidRPr="00831EB0">
        <w:rPr>
          <w:lang w:val="en-GB"/>
        </w:rPr>
        <w:t xml:space="preserve">which </w:t>
      </w:r>
      <w:r w:rsidR="00D72DF4">
        <w:rPr>
          <w:lang w:val="en-GB"/>
        </w:rPr>
        <w:br/>
      </w:r>
      <w:r w:rsidR="00B66B66" w:rsidRPr="00831EB0">
        <w:rPr>
          <w:lang w:val="en-GB"/>
        </w:rPr>
        <w:t>i</w:t>
      </w:r>
      <w:r w:rsidR="00B66B66" w:rsidRPr="00831EB0">
        <w:rPr>
          <w:lang w:val="en-GB"/>
        </w:rPr>
        <w:t>n</w:t>
      </w:r>
      <w:r w:rsidR="00B66B66" w:rsidRPr="00831EB0">
        <w:rPr>
          <w:lang w:val="en-GB"/>
        </w:rPr>
        <w:t xml:space="preserve">creased the index by </w:t>
      </w:r>
      <w:r w:rsidR="00CF4349" w:rsidRPr="00831EB0">
        <w:rPr>
          <w:lang w:val="en-GB"/>
        </w:rPr>
        <w:t>0,</w:t>
      </w:r>
      <w:r w:rsidR="00DE478E" w:rsidRPr="00831EB0">
        <w:rPr>
          <w:lang w:val="en-GB"/>
        </w:rPr>
        <w:t>17</w:t>
      </w:r>
      <w:r w:rsidR="00393E03" w:rsidRPr="00831EB0">
        <w:rPr>
          <w:lang w:val="en-GB"/>
        </w:rPr>
        <w:t xml:space="preserve"> </w:t>
      </w:r>
      <w:r w:rsidR="00A07F00" w:rsidRPr="00831EB0">
        <w:rPr>
          <w:lang w:val="en-GB"/>
        </w:rPr>
        <w:t>p</w:t>
      </w:r>
      <w:r w:rsidR="00B66B66" w:rsidRPr="00831EB0">
        <w:rPr>
          <w:lang w:val="en-GB"/>
        </w:rPr>
        <w:t>p and</w:t>
      </w:r>
      <w:r w:rsidR="009B093A" w:rsidRPr="00831EB0">
        <w:rPr>
          <w:lang w:val="en-GB"/>
        </w:rPr>
        <w:t xml:space="preserve"> </w:t>
      </w:r>
      <w:r w:rsidR="00432D34" w:rsidRPr="00831EB0">
        <w:rPr>
          <w:lang w:val="en-GB"/>
        </w:rPr>
        <w:t>0,</w:t>
      </w:r>
      <w:r w:rsidR="00DE478E" w:rsidRPr="00831EB0">
        <w:rPr>
          <w:lang w:val="en-GB"/>
        </w:rPr>
        <w:t>12</w:t>
      </w:r>
      <w:r w:rsidR="00393E03" w:rsidRPr="00831EB0">
        <w:rPr>
          <w:lang w:val="en-GB"/>
        </w:rPr>
        <w:t xml:space="preserve"> p</w:t>
      </w:r>
      <w:r w:rsidR="00B66B66" w:rsidRPr="00831EB0">
        <w:rPr>
          <w:lang w:val="en-GB"/>
        </w:rPr>
        <w:t>p</w:t>
      </w:r>
      <w:r w:rsidR="00965D02" w:rsidRPr="00831EB0">
        <w:rPr>
          <w:lang w:val="en-GB"/>
        </w:rPr>
        <w:t xml:space="preserve"> each</w:t>
      </w:r>
      <w:r w:rsidR="00B66B66" w:rsidRPr="00831EB0">
        <w:rPr>
          <w:lang w:val="en-GB"/>
        </w:rPr>
        <w:t>, respectively</w:t>
      </w:r>
      <w:r w:rsidR="00A07F00" w:rsidRPr="00831EB0">
        <w:rPr>
          <w:lang w:val="en-GB"/>
        </w:rPr>
        <w:t>.</w:t>
      </w:r>
      <w:r w:rsidR="00DA2264" w:rsidRPr="00831EB0">
        <w:rPr>
          <w:lang w:val="en-GB"/>
        </w:rPr>
        <w:t xml:space="preserve"> </w:t>
      </w:r>
    </w:p>
    <w:p w:rsidR="00934246" w:rsidRPr="00831EB0" w:rsidRDefault="00980F01" w:rsidP="00934246">
      <w:pPr>
        <w:spacing w:before="0" w:after="0"/>
        <w:rPr>
          <w:b/>
          <w:sz w:val="18"/>
          <w:lang w:val="en-GB"/>
        </w:rPr>
      </w:pPr>
      <w:r w:rsidRPr="00831EB0">
        <w:rPr>
          <w:color w:val="000000" w:themeColor="text1"/>
          <w:lang w:val="en-GB"/>
        </w:rPr>
        <w:t>Compared with the corresponding month of the previ</w:t>
      </w:r>
      <w:r w:rsidR="006479D4" w:rsidRPr="00831EB0">
        <w:rPr>
          <w:color w:val="000000" w:themeColor="text1"/>
          <w:lang w:val="en-GB"/>
        </w:rPr>
        <w:t xml:space="preserve">ous year, higher prices related </w:t>
      </w:r>
      <w:r w:rsidRPr="00831EB0">
        <w:rPr>
          <w:color w:val="000000" w:themeColor="text1"/>
          <w:lang w:val="en-GB"/>
        </w:rPr>
        <w:t>to </w:t>
      </w:r>
      <w:r w:rsidRPr="00831EB0">
        <w:rPr>
          <w:lang w:val="en-GB"/>
        </w:rPr>
        <w:t>Transport</w:t>
      </w:r>
      <w:r w:rsidR="00AF7617" w:rsidRPr="00831EB0">
        <w:rPr>
          <w:lang w:val="en-GB"/>
        </w:rPr>
        <w:t xml:space="preserve"> </w:t>
      </w:r>
      <w:r w:rsidRPr="00831EB0">
        <w:rPr>
          <w:lang w:val="en-GB"/>
        </w:rPr>
        <w:t>(by</w:t>
      </w:r>
      <w:r w:rsidR="00A07F00" w:rsidRPr="00831EB0">
        <w:rPr>
          <w:lang w:val="en-GB"/>
        </w:rPr>
        <w:t> </w:t>
      </w:r>
      <w:r w:rsidR="00DE478E" w:rsidRPr="00831EB0">
        <w:rPr>
          <w:lang w:val="en-GB"/>
        </w:rPr>
        <w:t>18,5</w:t>
      </w:r>
      <w:r w:rsidR="00674A8B" w:rsidRPr="00831EB0">
        <w:rPr>
          <w:lang w:val="en-GB"/>
        </w:rPr>
        <w:t>%)</w:t>
      </w:r>
      <w:r w:rsidR="00841BBF" w:rsidRPr="00831EB0">
        <w:rPr>
          <w:lang w:val="en-GB"/>
        </w:rPr>
        <w:t>,</w:t>
      </w:r>
      <w:r w:rsidRPr="00831EB0">
        <w:rPr>
          <w:lang w:val="en-GB"/>
        </w:rPr>
        <w:t xml:space="preserve"> Dwelling (by</w:t>
      </w:r>
      <w:r w:rsidR="00DE478E" w:rsidRPr="00831EB0">
        <w:rPr>
          <w:lang w:val="en-GB"/>
        </w:rPr>
        <w:t xml:space="preserve"> 6,4</w:t>
      </w:r>
      <w:r w:rsidR="003A0271" w:rsidRPr="00831EB0">
        <w:rPr>
          <w:lang w:val="en-GB"/>
        </w:rPr>
        <w:t>%)</w:t>
      </w:r>
      <w:r w:rsidR="00841BBF" w:rsidRPr="00831EB0">
        <w:rPr>
          <w:lang w:val="en-GB"/>
        </w:rPr>
        <w:t xml:space="preserve"> and Food (by 4,2%) </w:t>
      </w:r>
      <w:r w:rsidR="00831EB0">
        <w:rPr>
          <w:lang w:val="en-GB"/>
        </w:rPr>
        <w:t>increased the consumer price </w:t>
      </w:r>
      <w:r w:rsidR="001A7E22" w:rsidRPr="00831EB0">
        <w:rPr>
          <w:lang w:val="en-GB"/>
        </w:rPr>
        <w:t xml:space="preserve">index by </w:t>
      </w:r>
      <w:r w:rsidR="003A4977" w:rsidRPr="00831EB0">
        <w:rPr>
          <w:lang w:val="en-GB"/>
        </w:rPr>
        <w:t>1,</w:t>
      </w:r>
      <w:r w:rsidR="00DE478E" w:rsidRPr="00831EB0">
        <w:rPr>
          <w:lang w:val="en-GB"/>
        </w:rPr>
        <w:t>65</w:t>
      </w:r>
      <w:r w:rsidR="001A7E22" w:rsidRPr="00831EB0">
        <w:rPr>
          <w:lang w:val="en-GB"/>
        </w:rPr>
        <w:t xml:space="preserve"> p</w:t>
      </w:r>
      <w:r w:rsidR="00A07F00" w:rsidRPr="00831EB0">
        <w:rPr>
          <w:lang w:val="en-GB"/>
        </w:rPr>
        <w:t>p</w:t>
      </w:r>
      <w:r w:rsidR="00841BBF" w:rsidRPr="00831EB0">
        <w:rPr>
          <w:lang w:val="en-GB"/>
        </w:rPr>
        <w:t xml:space="preserve">, </w:t>
      </w:r>
      <w:r w:rsidR="00445F90" w:rsidRPr="00831EB0">
        <w:rPr>
          <w:lang w:val="en-GB"/>
        </w:rPr>
        <w:t>1,</w:t>
      </w:r>
      <w:r w:rsidR="00DE478E" w:rsidRPr="00831EB0">
        <w:rPr>
          <w:lang w:val="en-GB"/>
        </w:rPr>
        <w:t>60</w:t>
      </w:r>
      <w:r w:rsidR="0066616C" w:rsidRPr="00831EB0">
        <w:rPr>
          <w:lang w:val="en-GB"/>
        </w:rPr>
        <w:t> </w:t>
      </w:r>
      <w:r w:rsidR="003A0271" w:rsidRPr="00831EB0">
        <w:rPr>
          <w:lang w:val="en-GB"/>
        </w:rPr>
        <w:t>p</w:t>
      </w:r>
      <w:r w:rsidR="001A7E22" w:rsidRPr="00831EB0">
        <w:rPr>
          <w:lang w:val="en-GB"/>
        </w:rPr>
        <w:t>p</w:t>
      </w:r>
      <w:r w:rsidR="00841BBF" w:rsidRPr="00831EB0">
        <w:rPr>
          <w:lang w:val="en-GB"/>
        </w:rPr>
        <w:t xml:space="preserve"> and 1,03 pp</w:t>
      </w:r>
      <w:r w:rsidR="001A7E22" w:rsidRPr="00831EB0">
        <w:rPr>
          <w:lang w:val="en-GB"/>
        </w:rPr>
        <w:t>, respectively</w:t>
      </w:r>
      <w:r w:rsidR="003A0271" w:rsidRPr="00831EB0">
        <w:rPr>
          <w:lang w:val="en-GB"/>
        </w:rPr>
        <w:t>.</w:t>
      </w:r>
      <w:r w:rsidR="00F6055C" w:rsidRPr="00831EB0">
        <w:rPr>
          <w:lang w:val="en-GB"/>
        </w:rPr>
        <w:t xml:space="preserve"> </w:t>
      </w:r>
    </w:p>
    <w:p w:rsidR="009F17CE" w:rsidRPr="00831EB0" w:rsidRDefault="009F17CE" w:rsidP="0080551D">
      <w:pPr>
        <w:pStyle w:val="tytuwykresu"/>
        <w:ind w:left="794" w:hanging="794"/>
        <w:rPr>
          <w:noProof/>
          <w:lang w:val="en-GB" w:eastAsia="en-GB"/>
        </w:rPr>
      </w:pPr>
    </w:p>
    <w:p w:rsidR="004831DF" w:rsidRPr="00831EB0" w:rsidRDefault="004831DF" w:rsidP="0080551D">
      <w:pPr>
        <w:pStyle w:val="tytuwykresu"/>
        <w:ind w:left="794" w:hanging="794"/>
        <w:rPr>
          <w:noProof/>
          <w:lang w:val="en-GB" w:eastAsia="en-GB"/>
        </w:rPr>
      </w:pPr>
    </w:p>
    <w:p w:rsidR="00832644" w:rsidRPr="00831EB0" w:rsidRDefault="00D42185" w:rsidP="006A2E8C">
      <w:pPr>
        <w:pStyle w:val="tytuwykresu"/>
        <w:ind w:left="635" w:hanging="635"/>
        <w:rPr>
          <w:noProof/>
          <w:lang w:val="en-GB" w:eastAsia="en-GB"/>
        </w:rPr>
      </w:pPr>
      <w:r w:rsidRPr="00831EB0">
        <w:rPr>
          <w:noProof/>
          <w:lang w:val="en-GB" w:eastAsia="en-GB"/>
        </w:rPr>
        <w:drawing>
          <wp:anchor distT="0" distB="0" distL="114300" distR="114300" simplePos="0" relativeHeight="251785216" behindDoc="0" locked="0" layoutInCell="1" allowOverlap="1" wp14:anchorId="66E69186" wp14:editId="3669BE96">
            <wp:simplePos x="0" y="0"/>
            <wp:positionH relativeFrom="column">
              <wp:posOffset>3810</wp:posOffset>
            </wp:positionH>
            <wp:positionV relativeFrom="paragraph">
              <wp:posOffset>458470</wp:posOffset>
            </wp:positionV>
            <wp:extent cx="5122545" cy="2410460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831EB0">
        <w:rPr>
          <w:noProof/>
          <w:lang w:val="en-GB" w:eastAsia="en-GB"/>
        </w:rPr>
        <w:t xml:space="preserve">Chart 1. Contribution of price changes of selected groups of consumer goods and services </w:t>
      </w:r>
      <w:r w:rsidR="007379EB" w:rsidRPr="00831EB0">
        <w:rPr>
          <w:noProof/>
          <w:lang w:val="en-GB" w:eastAsia="en-GB"/>
        </w:rPr>
        <w:br/>
      </w:r>
      <w:r w:rsidR="00C825E7" w:rsidRPr="00831EB0">
        <w:rPr>
          <w:noProof/>
          <w:lang w:val="en-GB" w:eastAsia="en-GB"/>
        </w:rPr>
        <w:t>in September</w:t>
      </w:r>
      <w:r w:rsidR="001A7E22" w:rsidRPr="00831EB0">
        <w:rPr>
          <w:noProof/>
          <w:lang w:val="en-GB" w:eastAsia="en-GB"/>
        </w:rPr>
        <w:t xml:space="preserve"> 2021 (change in pp compared with the previous period)</w:t>
      </w:r>
    </w:p>
    <w:p w:rsidR="009F17CE" w:rsidRPr="00831EB0" w:rsidRDefault="009F17CE" w:rsidP="00FE1BB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566BAF" w:rsidRPr="00831EB0" w:rsidRDefault="00566BAF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831EB0" w:rsidRDefault="002919A5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831EB0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11C15278" wp14:editId="40856E21">
            <wp:simplePos x="0" y="0"/>
            <wp:positionH relativeFrom="column">
              <wp:posOffset>1905</wp:posOffset>
            </wp:positionH>
            <wp:positionV relativeFrom="paragraph">
              <wp:posOffset>389890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831EB0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1A7E22" w:rsidRPr="00831EB0">
        <w:rPr>
          <w:noProof/>
          <w:lang w:val="en-GB" w:eastAsia="en-GB"/>
        </w:rPr>
        <w:t xml:space="preserve"> </w:t>
      </w:r>
      <w:r w:rsidR="001A7E22" w:rsidRPr="00831EB0">
        <w:rPr>
          <w:b/>
          <w:spacing w:val="-2"/>
          <w:sz w:val="18"/>
          <w:lang w:val="en-GB"/>
        </w:rPr>
        <w:t>2021</w:t>
      </w:r>
    </w:p>
    <w:p w:rsidR="0022272D" w:rsidRPr="00831EB0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831EB0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831EB0">
        <w:rPr>
          <w:lang w:val="en-GB"/>
        </w:rPr>
        <w:br w:type="page"/>
      </w:r>
    </w:p>
    <w:p w:rsidR="003A440F" w:rsidRPr="00831EB0" w:rsidRDefault="00C825E7" w:rsidP="00C27D75">
      <w:pPr>
        <w:pStyle w:val="tytuwykresu"/>
        <w:rPr>
          <w:shd w:val="clear" w:color="auto" w:fill="FFFFFF"/>
          <w:lang w:val="en-GB"/>
        </w:rPr>
      </w:pPr>
      <w:r w:rsidRPr="00831EB0">
        <w:rPr>
          <w:noProof/>
          <w:lang w:val="en-GB" w:eastAsia="en-GB"/>
        </w:rPr>
        <w:lastRenderedPageBreak/>
        <w:drawing>
          <wp:anchor distT="0" distB="0" distL="114300" distR="114300" simplePos="0" relativeHeight="251660800" behindDoc="0" locked="0" layoutInCell="1" allowOverlap="1" wp14:anchorId="59DECC17" wp14:editId="534881F8">
            <wp:simplePos x="0" y="0"/>
            <wp:positionH relativeFrom="column">
              <wp:posOffset>-87782</wp:posOffset>
            </wp:positionH>
            <wp:positionV relativeFrom="paragraph">
              <wp:posOffset>292532</wp:posOffset>
            </wp:positionV>
            <wp:extent cx="5122545" cy="2522220"/>
            <wp:effectExtent l="0" t="0" r="1905" b="1143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A7E22" w:rsidRPr="00831EB0">
        <w:rPr>
          <w:lang w:val="en-GB"/>
        </w:rPr>
        <w:t>Chart 3.</w:t>
      </w:r>
      <w:r w:rsidR="001A7E22" w:rsidRPr="00831EB0">
        <w:rPr>
          <w:shd w:val="clear" w:color="auto" w:fill="FFFFFF"/>
          <w:lang w:val="en-GB"/>
        </w:rPr>
        <w:t xml:space="preserve"> Changes in consumer prices as related to </w:t>
      </w:r>
      <w:r w:rsidR="001A7E22" w:rsidRPr="00831EB0">
        <w:rPr>
          <w:lang w:val="en-GB"/>
        </w:rPr>
        <w:t>the previous period (in</w:t>
      </w:r>
      <w:r w:rsidR="001A7E22" w:rsidRPr="00831EB0">
        <w:rPr>
          <w:shd w:val="clear" w:color="auto" w:fill="FFFFFF"/>
          <w:lang w:val="en-GB"/>
        </w:rPr>
        <w:t xml:space="preserve"> %)</w:t>
      </w:r>
    </w:p>
    <w:p w:rsidR="006715EE" w:rsidRPr="00831EB0" w:rsidRDefault="00C825E7" w:rsidP="00D4654D">
      <w:pPr>
        <w:pStyle w:val="tytuwykresu"/>
        <w:rPr>
          <w:lang w:val="en-GB"/>
        </w:rPr>
      </w:pPr>
      <w:r w:rsidRPr="00831EB0">
        <w:rPr>
          <w:noProof/>
          <w:lang w:val="en-GB" w:eastAsia="en-GB"/>
        </w:rPr>
        <w:drawing>
          <wp:anchor distT="0" distB="0" distL="114300" distR="114300" simplePos="0" relativeHeight="251662848" behindDoc="0" locked="0" layoutInCell="1" allowOverlap="1" wp14:anchorId="1FAEEB5A" wp14:editId="14879086">
            <wp:simplePos x="0" y="0"/>
            <wp:positionH relativeFrom="column">
              <wp:posOffset>-67945</wp:posOffset>
            </wp:positionH>
            <wp:positionV relativeFrom="paragraph">
              <wp:posOffset>3061970</wp:posOffset>
            </wp:positionV>
            <wp:extent cx="5122545" cy="2602865"/>
            <wp:effectExtent l="0" t="0" r="0" b="6985"/>
            <wp:wrapSquare wrapText="bothSides"/>
            <wp:docPr id="36" name="Wykres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034160" w:rsidRPr="00831EB0" w:rsidRDefault="009E3F12" w:rsidP="00751D7D">
      <w:pPr>
        <w:pStyle w:val="tytuwykresu"/>
        <w:ind w:left="794" w:hanging="794"/>
        <w:rPr>
          <w:shd w:val="clear" w:color="auto" w:fill="FFFFFF"/>
          <w:lang w:val="en-GB"/>
        </w:rPr>
      </w:pPr>
      <w:r w:rsidRPr="00831EB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0560" behindDoc="1" locked="0" layoutInCell="1" allowOverlap="1" wp14:anchorId="2FC01A54" wp14:editId="77BEE473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DF4" w:rsidRPr="004F4BA0" w:rsidRDefault="00D72DF4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September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co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D72DF4" w:rsidRPr="004F4BA0" w:rsidRDefault="00D72DF4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September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co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7E22" w:rsidRPr="00831EB0">
        <w:rPr>
          <w:lang w:val="en-GB"/>
        </w:rPr>
        <w:t>Chart 4.</w:t>
      </w:r>
      <w:r w:rsidR="001A7E22" w:rsidRPr="00831EB0">
        <w:rPr>
          <w:shd w:val="clear" w:color="auto" w:fill="FFFFFF"/>
          <w:lang w:val="en-GB"/>
        </w:rPr>
        <w:t xml:space="preserve"> Changes in c</w:t>
      </w:r>
      <w:r w:rsidR="001A7E22" w:rsidRPr="00831EB0">
        <w:rPr>
          <w:spacing w:val="-4"/>
          <w:lang w:val="en-GB"/>
        </w:rPr>
        <w:t>onsumer prices</w:t>
      </w:r>
      <w:r w:rsidR="001A7E22" w:rsidRPr="00831EB0">
        <w:rPr>
          <w:spacing w:val="-4"/>
          <w:shd w:val="clear" w:color="auto" w:fill="FFFFFF"/>
          <w:lang w:val="en-GB"/>
        </w:rPr>
        <w:t xml:space="preserve"> as rela</w:t>
      </w:r>
      <w:bookmarkStart w:id="0" w:name="_GoBack"/>
      <w:bookmarkEnd w:id="0"/>
      <w:r w:rsidR="001A7E22" w:rsidRPr="00831EB0">
        <w:rPr>
          <w:spacing w:val="-4"/>
          <w:shd w:val="clear" w:color="auto" w:fill="FFFFFF"/>
          <w:lang w:val="en-GB"/>
        </w:rPr>
        <w:t xml:space="preserve">ted to the </w:t>
      </w:r>
      <w:r w:rsidR="001A7E22" w:rsidRPr="00831EB0">
        <w:rPr>
          <w:spacing w:val="-4"/>
          <w:lang w:val="en-GB"/>
        </w:rPr>
        <w:t>corresponding period of the previous year</w:t>
      </w:r>
      <w:r w:rsidR="001A7E22" w:rsidRPr="00831EB0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831EB0" w:rsidRDefault="00367ACC" w:rsidP="00FE1BBD">
      <w:pPr>
        <w:rPr>
          <w:sz w:val="18"/>
          <w:highlight w:val="yellow"/>
          <w:lang w:val="en-GB"/>
        </w:rPr>
      </w:pPr>
    </w:p>
    <w:p w:rsidR="00FE1BBD" w:rsidRPr="00831EB0" w:rsidRDefault="00CB087C" w:rsidP="005B1EA4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831EB0">
        <w:rPr>
          <w:noProof/>
          <w:lang w:val="en-GB" w:eastAsia="en-GB"/>
        </w:rPr>
        <w:drawing>
          <wp:anchor distT="0" distB="0" distL="114300" distR="114300" simplePos="0" relativeHeight="251663872" behindDoc="0" locked="0" layoutInCell="1" allowOverlap="1" wp14:anchorId="714F0B1B" wp14:editId="006A0A44">
            <wp:simplePos x="0" y="0"/>
            <wp:positionH relativeFrom="column">
              <wp:posOffset>-84608</wp:posOffset>
            </wp:positionH>
            <wp:positionV relativeFrom="paragraph">
              <wp:posOffset>402361</wp:posOffset>
            </wp:positionV>
            <wp:extent cx="5122545" cy="2471420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BA0" w:rsidRPr="00831EB0">
        <w:rPr>
          <w:lang w:val="en-GB"/>
        </w:rPr>
        <w:t>Chart 5.</w:t>
      </w:r>
      <w:r w:rsidR="004F4BA0" w:rsidRPr="00831EB0">
        <w:rPr>
          <w:shd w:val="clear" w:color="auto" w:fill="FFFFFF"/>
          <w:lang w:val="en-GB"/>
        </w:rPr>
        <w:t xml:space="preserve"> Changes in prices according to c</w:t>
      </w:r>
      <w:r w:rsidR="004F4BA0" w:rsidRPr="00831EB0">
        <w:rPr>
          <w:bCs/>
          <w:shd w:val="clear" w:color="auto" w:fill="FFFFFF"/>
          <w:lang w:val="en-GB"/>
        </w:rPr>
        <w:t xml:space="preserve">onsumer price index (CPI) and harmonised index of </w:t>
      </w:r>
      <w:r w:rsidR="004F4BA0" w:rsidRPr="00831EB0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DE775D" w:rsidRPr="00831EB0" w:rsidRDefault="006479D4" w:rsidP="004F4BA0">
      <w:pPr>
        <w:pStyle w:val="tytuwykresu"/>
        <w:rPr>
          <w:bCs/>
          <w:shd w:val="clear" w:color="auto" w:fill="FFFFFF"/>
          <w:lang w:val="en-GB"/>
        </w:rPr>
      </w:pPr>
      <w:r w:rsidRPr="00831EB0">
        <w:rPr>
          <w:highlight w:val="yellow"/>
          <w:lang w:val="en-GB"/>
        </w:rPr>
        <w:t xml:space="preserve"> </w:t>
      </w:r>
      <w:r w:rsidR="00820461" w:rsidRPr="00831EB0">
        <w:rPr>
          <w:highlight w:val="yellow"/>
          <w:lang w:val="en-GB"/>
        </w:rPr>
        <w:br w:type="page"/>
      </w:r>
      <w:r w:rsidR="004F4BA0" w:rsidRPr="00831EB0">
        <w:rPr>
          <w:lang w:val="en-GB"/>
        </w:rPr>
        <w:t>Table 2.</w:t>
      </w:r>
      <w:r w:rsidR="004F4BA0" w:rsidRPr="00831EB0">
        <w:rPr>
          <w:shd w:val="clear" w:color="auto" w:fill="FFFFFF"/>
          <w:lang w:val="en-GB"/>
        </w:rPr>
        <w:t xml:space="preserve"> </w:t>
      </w:r>
      <w:r w:rsidR="004F4BA0" w:rsidRPr="00831EB0">
        <w:rPr>
          <w:bCs/>
          <w:shd w:val="clear" w:color="auto" w:fill="FFFFFF"/>
          <w:lang w:val="en-GB"/>
        </w:rPr>
        <w:t>Consumer price indices</w:t>
      </w:r>
      <w:r w:rsidR="00CB087C" w:rsidRPr="00831EB0">
        <w:rPr>
          <w:bCs/>
          <w:shd w:val="clear" w:color="auto" w:fill="FFFFFF"/>
          <w:lang w:val="en-GB"/>
        </w:rPr>
        <w:t xml:space="preserve"> in September</w:t>
      </w:r>
      <w:r w:rsidR="004F4BA0" w:rsidRPr="00831EB0">
        <w:rPr>
          <w:bCs/>
          <w:shd w:val="clear" w:color="auto" w:fill="FFFFFF"/>
          <w:lang w:val="en-GB"/>
        </w:rPr>
        <w:t xml:space="preserve"> </w:t>
      </w:r>
      <w:r w:rsidR="00751D7D" w:rsidRPr="00831EB0">
        <w:rPr>
          <w:lang w:val="en-GB"/>
        </w:rPr>
        <w:t>2021</w:t>
      </w: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851"/>
        <w:gridCol w:w="850"/>
        <w:gridCol w:w="638"/>
        <w:gridCol w:w="638"/>
        <w:gridCol w:w="1134"/>
      </w:tblGrid>
      <w:tr w:rsidR="00D968DA" w:rsidRPr="00831EB0" w:rsidTr="00D968DA">
        <w:trPr>
          <w:trHeight w:val="315"/>
          <w:tblHeader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D968DA" w:rsidRPr="00831EB0" w:rsidRDefault="003F7252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>09 2021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D968DA" w:rsidRPr="00831EB0" w:rsidRDefault="00ED4446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Q3 2021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>01-09 2021</w:t>
            </w:r>
          </w:p>
        </w:tc>
      </w:tr>
      <w:tr w:rsidR="00D968DA" w:rsidRPr="00831EB0" w:rsidTr="00D968DA">
        <w:trPr>
          <w:trHeight w:val="465"/>
          <w:tblHeader/>
        </w:trPr>
        <w:tc>
          <w:tcPr>
            <w:tcW w:w="3261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>09 2020=</w:t>
            </w: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>12 2020=</w:t>
            </w: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>08 2021=</w:t>
            </w: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D968DA" w:rsidRPr="00831EB0" w:rsidRDefault="00ED4446" w:rsidP="00ED444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Q3</w:t>
            </w:r>
            <w:r w:rsidR="00D968DA"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D968DA" w:rsidRPr="00831EB0" w:rsidRDefault="00ED4446" w:rsidP="003F7252">
            <w:pPr>
              <w:keepNext/>
              <w:tabs>
                <w:tab w:val="right" w:leader="dot" w:pos="4139"/>
              </w:tabs>
              <w:spacing w:before="0" w:after="4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Q2</w:t>
            </w:r>
            <w:r w:rsidR="00D968DA" w:rsidRPr="00831EB0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D968DA" w:rsidRPr="00831EB0" w:rsidRDefault="00D968DA" w:rsidP="00D968D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t xml:space="preserve">01-09 2020= </w:t>
            </w:r>
            <w:r w:rsidRPr="00831EB0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</w:tr>
      <w:tr w:rsidR="00A377DB" w:rsidRPr="00831EB0" w:rsidTr="00D968DA">
        <w:trPr>
          <w:trHeight w:val="456"/>
        </w:trPr>
        <w:tc>
          <w:tcPr>
            <w:tcW w:w="326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638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A377DB" w:rsidRPr="00831EB0" w:rsidTr="00D968DA">
        <w:trPr>
          <w:trHeight w:val="453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A377DB" w:rsidRPr="00831EB0" w:rsidRDefault="00A377DB" w:rsidP="00D906E9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95,7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63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A377DB" w:rsidRPr="00831EB0" w:rsidTr="00D968DA">
        <w:trPr>
          <w:trHeight w:val="476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i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lar milk-based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ALCOHOLIC BEVERAGES AND 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</w:tr>
      <w:tr w:rsidR="00A377DB" w:rsidRPr="00831EB0" w:rsidTr="00C279ED">
        <w:trPr>
          <w:trHeight w:val="207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A377DB" w:rsidRPr="00831EB0" w:rsidTr="00D968DA">
        <w:trPr>
          <w:trHeight w:val="36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</w:tr>
      <w:tr w:rsidR="00A377DB" w:rsidRPr="00831EB0" w:rsidTr="00C279ED">
        <w:trPr>
          <w:trHeight w:val="219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110,1</w:t>
            </w:r>
          </w:p>
        </w:tc>
      </w:tr>
      <w:tr w:rsidR="00A377DB" w:rsidRPr="00831EB0" w:rsidTr="00D968DA">
        <w:trPr>
          <w:trHeight w:val="20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A377DB" w:rsidRPr="00831EB0" w:rsidTr="00D968DA">
        <w:trPr>
          <w:trHeight w:val="26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A377DB" w:rsidRPr="00831EB0" w:rsidTr="00D968DA">
        <w:trPr>
          <w:trHeight w:val="259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A377DB" w:rsidRPr="00831EB0" w:rsidTr="00D968DA">
        <w:trPr>
          <w:trHeight w:val="43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</w:tr>
      <w:tr w:rsidR="00A377DB" w:rsidRPr="00831EB0" w:rsidTr="00D750A5">
        <w:trPr>
          <w:trHeight w:val="270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C279ED">
        <w:trPr>
          <w:trHeight w:val="302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A377DB" w:rsidRPr="00831EB0" w:rsidTr="00D968DA">
        <w:trPr>
          <w:trHeight w:val="272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A377DB" w:rsidRPr="00831EB0" w:rsidTr="00D968DA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A377DB" w:rsidRPr="00831EB0" w:rsidTr="00C279ED">
        <w:trPr>
          <w:trHeight w:val="28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111,5</w:t>
            </w:r>
          </w:p>
        </w:tc>
      </w:tr>
      <w:tr w:rsidR="00A377DB" w:rsidRPr="00831EB0" w:rsidTr="00C279ED">
        <w:trPr>
          <w:trHeight w:val="27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115,1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119,0</w:t>
            </w:r>
          </w:p>
        </w:tc>
      </w:tr>
      <w:tr w:rsidR="00A377DB" w:rsidRPr="00831EB0" w:rsidTr="00D968DA">
        <w:trPr>
          <w:trHeight w:val="46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130,4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109,8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532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mation processing equipment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A377DB" w:rsidRPr="00831EB0" w:rsidTr="00D968DA">
        <w:trPr>
          <w:trHeight w:val="300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111,1</w:t>
            </w:r>
          </w:p>
        </w:tc>
      </w:tr>
      <w:tr w:rsidR="00A377DB" w:rsidRPr="00831EB0" w:rsidTr="00D968DA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97,7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109,8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A377DB" w:rsidRPr="00831EB0" w:rsidTr="00D968DA">
        <w:trPr>
          <w:trHeight w:val="434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108,1</w:t>
            </w:r>
          </w:p>
        </w:tc>
      </w:tr>
      <w:tr w:rsidR="00A377DB" w:rsidRPr="00831EB0" w:rsidTr="00D968DA">
        <w:trPr>
          <w:trHeight w:val="398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</w:t>
            </w: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l</w:t>
            </w:r>
            <w:r w:rsidRPr="00831EB0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ness, esoteric products and beauty products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1134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</w:tr>
      <w:tr w:rsidR="00A377DB" w:rsidRPr="00831EB0" w:rsidTr="00D968DA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single" w:sz="8" w:space="0" w:color="212492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</w:tr>
      <w:tr w:rsidR="00A377DB" w:rsidRPr="00831EB0" w:rsidTr="00D968DA">
        <w:trPr>
          <w:trHeight w:val="450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06E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31EB0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638" w:type="dxa"/>
            <w:tcBorders>
              <w:top w:val="single" w:sz="8" w:space="0" w:color="212492"/>
              <w:left w:val="nil"/>
              <w:bottom w:val="nil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638" w:type="dxa"/>
            <w:tcBorders>
              <w:top w:val="single" w:sz="8" w:space="0" w:color="212492"/>
              <w:left w:val="single" w:sz="8" w:space="0" w:color="001D77"/>
              <w:bottom w:val="nil"/>
              <w:right w:val="single" w:sz="8" w:space="0" w:color="001D77"/>
            </w:tcBorders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single" w:sz="8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377DB" w:rsidRPr="00831EB0" w:rsidRDefault="00A377DB" w:rsidP="00D968D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31EB0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120,1</w:t>
            </w:r>
          </w:p>
        </w:tc>
      </w:tr>
    </w:tbl>
    <w:p w:rsidR="00D968DA" w:rsidRPr="00831EB0" w:rsidRDefault="00D968DA">
      <w:pPr>
        <w:spacing w:before="0" w:after="160" w:line="259" w:lineRule="auto"/>
        <w:rPr>
          <w:b/>
          <w:bCs/>
          <w:noProof/>
          <w:sz w:val="18"/>
          <w:szCs w:val="19"/>
          <w:shd w:val="clear" w:color="auto" w:fill="FFFFFF"/>
          <w:lang w:val="en-GB" w:eastAsia="pl-PL"/>
        </w:rPr>
      </w:pPr>
    </w:p>
    <w:p w:rsidR="00A377DB" w:rsidRPr="00831EB0" w:rsidRDefault="00A377DB" w:rsidP="00810D6F">
      <w:pPr>
        <w:pStyle w:val="NormalnyWeb"/>
        <w:spacing w:before="120" w:beforeAutospacing="0" w:after="0" w:afterAutospacing="0"/>
        <w:rPr>
          <w:rFonts w:ascii="Fira Sans" w:hAnsi="Fira Sans"/>
          <w:color w:val="222222"/>
          <w:sz w:val="19"/>
          <w:szCs w:val="19"/>
        </w:rPr>
      </w:pPr>
    </w:p>
    <w:p w:rsidR="00810D6F" w:rsidRPr="00831EB0" w:rsidRDefault="00810D6F" w:rsidP="00810D6F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831EB0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8" w:history="1">
        <w:r w:rsidRPr="00831EB0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38624F" w:rsidRPr="00831EB0" w:rsidRDefault="0038624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D750A5" w:rsidRPr="00831EB0" w:rsidRDefault="00D750A5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831EB0" w:rsidRDefault="00810D6F" w:rsidP="00810D6F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831EB0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831EB0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831EB0">
        <w:rPr>
          <w:color w:val="222222"/>
          <w:szCs w:val="19"/>
          <w:lang w:val="en-GB"/>
        </w:rPr>
        <w:t>s</w:t>
      </w:r>
      <w:r w:rsidRPr="00831EB0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831EB0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D6F" w:rsidRPr="00D72DF4" w:rsidTr="00810D6F">
        <w:trPr>
          <w:trHeight w:val="1912"/>
        </w:trPr>
        <w:tc>
          <w:tcPr>
            <w:tcW w:w="4356" w:type="dxa"/>
          </w:tcPr>
          <w:p w:rsidR="00810D6F" w:rsidRPr="00831EB0" w:rsidRDefault="00810D6F" w:rsidP="00810D6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D6F" w:rsidRPr="00831EB0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31EB0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D6F" w:rsidRPr="00831EB0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31EB0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D6F" w:rsidRPr="00831EB0" w:rsidRDefault="00810D6F" w:rsidP="00810D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831EB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D6F" w:rsidRPr="00831EB0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31EB0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31EB0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D6F" w:rsidRPr="00831EB0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31EB0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D6F" w:rsidRPr="00831EB0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31EB0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31EB0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D6F" w:rsidRPr="00831EB0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831EB0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D6F" w:rsidRPr="00831EB0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31EB0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D6F" w:rsidRPr="00D72DF4" w:rsidTr="00496B80">
        <w:trPr>
          <w:trHeight w:val="610"/>
        </w:trPr>
        <w:tc>
          <w:tcPr>
            <w:tcW w:w="2721" w:type="pct"/>
            <w:vMerge w:val="restart"/>
          </w:tcPr>
          <w:p w:rsidR="00810D6F" w:rsidRPr="00831EB0" w:rsidRDefault="00810D6F" w:rsidP="00496B80">
            <w:pPr>
              <w:spacing w:before="240"/>
              <w:rPr>
                <w:b/>
                <w:sz w:val="20"/>
                <w:lang w:val="en-GB"/>
              </w:rPr>
            </w:pPr>
            <w:r w:rsidRPr="00831EB0">
              <w:rPr>
                <w:b/>
                <w:sz w:val="20"/>
                <w:lang w:val="en-GB"/>
              </w:rPr>
              <w:t>Press Office</w:t>
            </w:r>
          </w:p>
          <w:p w:rsidR="00810D6F" w:rsidRPr="00831EB0" w:rsidRDefault="00810D6F" w:rsidP="00496B80">
            <w:pPr>
              <w:rPr>
                <w:sz w:val="20"/>
                <w:lang w:val="en-GB"/>
              </w:rPr>
            </w:pPr>
            <w:r w:rsidRPr="00831EB0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31EB0">
              <w:rPr>
                <w:sz w:val="20"/>
                <w:lang w:val="en-GB"/>
              </w:rPr>
              <w:t xml:space="preserve">608 34 91, 608 38 04 </w:t>
            </w:r>
          </w:p>
          <w:p w:rsidR="00810D6F" w:rsidRPr="00831EB0" w:rsidRDefault="00810D6F" w:rsidP="00496B80">
            <w:pPr>
              <w:rPr>
                <w:sz w:val="18"/>
                <w:lang w:val="en-GB"/>
              </w:rPr>
            </w:pPr>
            <w:r w:rsidRPr="00831EB0">
              <w:rPr>
                <w:b/>
                <w:sz w:val="20"/>
                <w:lang w:val="en-GB"/>
              </w:rPr>
              <w:t>e-mail:</w:t>
            </w:r>
            <w:r w:rsidRPr="00831EB0">
              <w:rPr>
                <w:sz w:val="20"/>
                <w:lang w:val="en-GB"/>
              </w:rPr>
              <w:t xml:space="preserve"> </w:t>
            </w:r>
            <w:hyperlink r:id="rId23" w:history="1">
              <w:r w:rsidRPr="00831EB0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10D6F" w:rsidRPr="00831EB0" w:rsidRDefault="00810D6F" w:rsidP="00496B80">
            <w:pPr>
              <w:rPr>
                <w:sz w:val="18"/>
                <w:lang w:val="en-GB"/>
              </w:rPr>
            </w:pPr>
            <w:r w:rsidRPr="00831EB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2144" behindDoc="0" locked="0" layoutInCell="1" allowOverlap="1" wp14:anchorId="7F188520" wp14:editId="6AB8263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D6F" w:rsidRPr="00831EB0" w:rsidRDefault="00D72DF4" w:rsidP="00496B80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810D6F" w:rsidRPr="00831EB0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810D6F" w:rsidRPr="00831EB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31EB0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31EB0" w:rsidRDefault="00810D6F" w:rsidP="000470AA">
            <w:pPr>
              <w:rPr>
                <w:sz w:val="18"/>
                <w:lang w:val="en-GB"/>
              </w:rPr>
            </w:pPr>
            <w:r w:rsidRPr="00831EB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3168" behindDoc="0" locked="0" layoutInCell="1" allowOverlap="1" wp14:anchorId="359E20E9" wp14:editId="0E614ED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831EB0" w:rsidRDefault="00D72DF4" w:rsidP="000470AA">
            <w:pPr>
              <w:rPr>
                <w:sz w:val="18"/>
                <w:lang w:val="en-GB"/>
              </w:rPr>
            </w:pPr>
            <w:hyperlink r:id="rId27" w:history="1">
              <w:r w:rsidR="00810D6F" w:rsidRPr="00831EB0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831EB0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810D6F" w:rsidRPr="00831EB0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31EB0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31EB0" w:rsidRDefault="00810D6F" w:rsidP="000470AA">
            <w:pPr>
              <w:rPr>
                <w:sz w:val="18"/>
                <w:lang w:val="en-GB"/>
              </w:rPr>
            </w:pPr>
            <w:r w:rsidRPr="00831EB0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4192" behindDoc="0" locked="0" layoutInCell="1" allowOverlap="1" wp14:anchorId="461A0018" wp14:editId="6E827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831EB0" w:rsidRDefault="00D72DF4" w:rsidP="000470AA">
            <w:pPr>
              <w:rPr>
                <w:sz w:val="20"/>
                <w:lang w:val="en-GB"/>
              </w:rPr>
            </w:pPr>
            <w:hyperlink r:id="rId29" w:history="1">
              <w:r w:rsidR="00810D6F" w:rsidRPr="00831EB0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D6F" w:rsidRPr="00831EB0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831EB0" w:rsidRDefault="009E3F12" w:rsidP="00E76D26">
      <w:pPr>
        <w:rPr>
          <w:sz w:val="18"/>
          <w:lang w:val="en-GB"/>
        </w:rPr>
      </w:pPr>
      <w:r w:rsidRPr="00831EB0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DA2876D" wp14:editId="7F321A5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2DF4" w:rsidRDefault="00D72DF4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D72DF4" w:rsidRPr="00941435" w:rsidRDefault="00D72DF4" w:rsidP="00810D6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72DF4" w:rsidRPr="00941435" w:rsidRDefault="00D72DF4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D72DF4" w:rsidRPr="00941435" w:rsidRDefault="00D72DF4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D72DF4" w:rsidRPr="00941435" w:rsidRDefault="00D72DF4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D72DF4" w:rsidRPr="00941435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D72DF4" w:rsidRPr="00566A43" w:rsidRDefault="00D72DF4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D72DF4" w:rsidRDefault="00D72DF4" w:rsidP="00883763">
                      <w:pPr>
                        <w:rPr>
                          <w:b/>
                        </w:rPr>
                      </w:pPr>
                    </w:p>
                    <w:p w:rsidR="00D72DF4" w:rsidRPr="00941435" w:rsidRDefault="00D72DF4" w:rsidP="00810D6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72DF4" w:rsidRPr="00941435" w:rsidRDefault="00D72DF4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D72DF4" w:rsidRPr="00941435" w:rsidRDefault="00D72DF4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D72DF4" w:rsidRPr="00941435" w:rsidRDefault="00D72DF4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D72DF4" w:rsidRPr="00941435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D72DF4" w:rsidRPr="00566A43" w:rsidRDefault="00D72DF4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31EB0" w:rsidSect="00EF7B36">
      <w:headerReference w:type="default" r:id="rId48"/>
      <w:footerReference w:type="default" r:id="rId4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F4" w:rsidRDefault="00D72DF4" w:rsidP="000662E2">
      <w:pPr>
        <w:spacing w:after="0" w:line="240" w:lineRule="auto"/>
      </w:pPr>
      <w:r>
        <w:separator/>
      </w:r>
    </w:p>
  </w:endnote>
  <w:endnote w:type="continuationSeparator" w:id="0">
    <w:p w:rsidR="00D72DF4" w:rsidRDefault="00D72D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D72DF4" w:rsidRDefault="00D72DF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5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D72DF4" w:rsidRDefault="00D72DF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D72DF4" w:rsidRDefault="00D72DF4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F4" w:rsidRDefault="00D72DF4" w:rsidP="000662E2">
      <w:pPr>
        <w:spacing w:after="0" w:line="240" w:lineRule="auto"/>
      </w:pPr>
      <w:r>
        <w:separator/>
      </w:r>
    </w:p>
  </w:footnote>
  <w:footnote w:type="continuationSeparator" w:id="0">
    <w:p w:rsidR="00D72DF4" w:rsidRDefault="00D72DF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F4" w:rsidRDefault="00D72DF4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98C497" wp14:editId="53BAD37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D72DF4" w:rsidRDefault="00D72DF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F4" w:rsidRDefault="00D72DF4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5014D6" wp14:editId="383C38F3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6188A2" wp14:editId="2DC39E3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2DF4" w:rsidRPr="003C6C8D" w:rsidRDefault="00D72DF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D72DF4" w:rsidRPr="003C6C8D" w:rsidRDefault="00D72DF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4498BADB" wp14:editId="32454378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D72DF4" w:rsidRDefault="00D72DF4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3A1941" wp14:editId="1DE7911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DF4" w:rsidRPr="00C97596" w:rsidRDefault="00D72DF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D72DF4" w:rsidRPr="00C97596" w:rsidRDefault="00D72DF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DF4" w:rsidRDefault="00D72DF4">
    <w:pPr>
      <w:pStyle w:val="Nagwek"/>
    </w:pPr>
  </w:p>
  <w:p w:rsidR="00D72DF4" w:rsidRDefault="00D72D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21D0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4E13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0F71C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06A2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A7E22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65092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9A5"/>
    <w:rsid w:val="002926DF"/>
    <w:rsid w:val="00292DBF"/>
    <w:rsid w:val="00296697"/>
    <w:rsid w:val="002A2C38"/>
    <w:rsid w:val="002A36C0"/>
    <w:rsid w:val="002A3B0B"/>
    <w:rsid w:val="002A4D80"/>
    <w:rsid w:val="002A7E9B"/>
    <w:rsid w:val="002B0472"/>
    <w:rsid w:val="002B6B12"/>
    <w:rsid w:val="002B7A2A"/>
    <w:rsid w:val="002C4289"/>
    <w:rsid w:val="002C4659"/>
    <w:rsid w:val="002D0020"/>
    <w:rsid w:val="002D0170"/>
    <w:rsid w:val="002D24A5"/>
    <w:rsid w:val="002E10E8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33C3F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17C5"/>
    <w:rsid w:val="00371B6F"/>
    <w:rsid w:val="00372411"/>
    <w:rsid w:val="00372E66"/>
    <w:rsid w:val="00373882"/>
    <w:rsid w:val="003751B5"/>
    <w:rsid w:val="003843DB"/>
    <w:rsid w:val="00384BFA"/>
    <w:rsid w:val="0038624F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A76FC"/>
    <w:rsid w:val="003B1454"/>
    <w:rsid w:val="003B18B6"/>
    <w:rsid w:val="003B4C47"/>
    <w:rsid w:val="003C59E0"/>
    <w:rsid w:val="003C61EE"/>
    <w:rsid w:val="003C6C8D"/>
    <w:rsid w:val="003D00E5"/>
    <w:rsid w:val="003D3B24"/>
    <w:rsid w:val="003D4F95"/>
    <w:rsid w:val="003D5F42"/>
    <w:rsid w:val="003D60A9"/>
    <w:rsid w:val="003F3CCF"/>
    <w:rsid w:val="003F4C97"/>
    <w:rsid w:val="003F7252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831DF"/>
    <w:rsid w:val="00491B74"/>
    <w:rsid w:val="00493217"/>
    <w:rsid w:val="004957AB"/>
    <w:rsid w:val="0049621B"/>
    <w:rsid w:val="00496B80"/>
    <w:rsid w:val="0049705B"/>
    <w:rsid w:val="004B2EAB"/>
    <w:rsid w:val="004C1895"/>
    <w:rsid w:val="004C4610"/>
    <w:rsid w:val="004C6D40"/>
    <w:rsid w:val="004F0C3C"/>
    <w:rsid w:val="004F4BA0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66BAF"/>
    <w:rsid w:val="00571BA5"/>
    <w:rsid w:val="005762A7"/>
    <w:rsid w:val="0058676C"/>
    <w:rsid w:val="005877DE"/>
    <w:rsid w:val="005916D7"/>
    <w:rsid w:val="00593CF4"/>
    <w:rsid w:val="00596A32"/>
    <w:rsid w:val="005A047A"/>
    <w:rsid w:val="005A2784"/>
    <w:rsid w:val="005A698C"/>
    <w:rsid w:val="005B1EA4"/>
    <w:rsid w:val="005C1AF8"/>
    <w:rsid w:val="005C547A"/>
    <w:rsid w:val="005C5EF8"/>
    <w:rsid w:val="005D1BCF"/>
    <w:rsid w:val="005D1C04"/>
    <w:rsid w:val="005D33D6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2628E"/>
    <w:rsid w:val="00631DAD"/>
    <w:rsid w:val="00633014"/>
    <w:rsid w:val="0063437B"/>
    <w:rsid w:val="006476FF"/>
    <w:rsid w:val="006479D4"/>
    <w:rsid w:val="0066542B"/>
    <w:rsid w:val="0066616C"/>
    <w:rsid w:val="006673CA"/>
    <w:rsid w:val="006715EE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2E8C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701C5E"/>
    <w:rsid w:val="007034D7"/>
    <w:rsid w:val="00703643"/>
    <w:rsid w:val="00705576"/>
    <w:rsid w:val="007059D5"/>
    <w:rsid w:val="007162EB"/>
    <w:rsid w:val="007211B1"/>
    <w:rsid w:val="0072400B"/>
    <w:rsid w:val="00724688"/>
    <w:rsid w:val="007324DB"/>
    <w:rsid w:val="00733D55"/>
    <w:rsid w:val="007364D7"/>
    <w:rsid w:val="007379EB"/>
    <w:rsid w:val="00746187"/>
    <w:rsid w:val="00751D7D"/>
    <w:rsid w:val="00752A67"/>
    <w:rsid w:val="00761070"/>
    <w:rsid w:val="0076254F"/>
    <w:rsid w:val="0077194A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C44"/>
    <w:rsid w:val="007E2EAA"/>
    <w:rsid w:val="007E3314"/>
    <w:rsid w:val="007E4B03"/>
    <w:rsid w:val="007F324B"/>
    <w:rsid w:val="007F4D36"/>
    <w:rsid w:val="00802A9A"/>
    <w:rsid w:val="0080551D"/>
    <w:rsid w:val="0080553C"/>
    <w:rsid w:val="00805B46"/>
    <w:rsid w:val="00810D6F"/>
    <w:rsid w:val="008153B3"/>
    <w:rsid w:val="00820461"/>
    <w:rsid w:val="00820B10"/>
    <w:rsid w:val="00823290"/>
    <w:rsid w:val="0082498D"/>
    <w:rsid w:val="00825DC2"/>
    <w:rsid w:val="00831172"/>
    <w:rsid w:val="00831EB0"/>
    <w:rsid w:val="00832644"/>
    <w:rsid w:val="00834AD3"/>
    <w:rsid w:val="008362A4"/>
    <w:rsid w:val="008378E7"/>
    <w:rsid w:val="0083798B"/>
    <w:rsid w:val="00841BBF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0E23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5D02"/>
    <w:rsid w:val="009661AB"/>
    <w:rsid w:val="0096673F"/>
    <w:rsid w:val="009705EE"/>
    <w:rsid w:val="00971217"/>
    <w:rsid w:val="00977927"/>
    <w:rsid w:val="00980F01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093A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17CE"/>
    <w:rsid w:val="009F5815"/>
    <w:rsid w:val="009F5CBC"/>
    <w:rsid w:val="00A02BE1"/>
    <w:rsid w:val="00A04E4F"/>
    <w:rsid w:val="00A07F00"/>
    <w:rsid w:val="00A12435"/>
    <w:rsid w:val="00A139F5"/>
    <w:rsid w:val="00A14D69"/>
    <w:rsid w:val="00A20EA7"/>
    <w:rsid w:val="00A2136A"/>
    <w:rsid w:val="00A34A25"/>
    <w:rsid w:val="00A34C24"/>
    <w:rsid w:val="00A35CAE"/>
    <w:rsid w:val="00A36001"/>
    <w:rsid w:val="00A365F4"/>
    <w:rsid w:val="00A377DB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54F8"/>
    <w:rsid w:val="00AB6D25"/>
    <w:rsid w:val="00AC3E42"/>
    <w:rsid w:val="00AC3E5B"/>
    <w:rsid w:val="00AD07D6"/>
    <w:rsid w:val="00AD0B46"/>
    <w:rsid w:val="00AD17A6"/>
    <w:rsid w:val="00AD4947"/>
    <w:rsid w:val="00AE20FD"/>
    <w:rsid w:val="00AE2D4B"/>
    <w:rsid w:val="00AE2FD6"/>
    <w:rsid w:val="00AE3075"/>
    <w:rsid w:val="00AE4D5B"/>
    <w:rsid w:val="00AE4F99"/>
    <w:rsid w:val="00AE6B84"/>
    <w:rsid w:val="00AE6BE7"/>
    <w:rsid w:val="00AE751C"/>
    <w:rsid w:val="00AF19E2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66B66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186"/>
    <w:rsid w:val="00C23F3B"/>
    <w:rsid w:val="00C244B6"/>
    <w:rsid w:val="00C279ED"/>
    <w:rsid w:val="00C27D75"/>
    <w:rsid w:val="00C3702F"/>
    <w:rsid w:val="00C441AB"/>
    <w:rsid w:val="00C4500A"/>
    <w:rsid w:val="00C45479"/>
    <w:rsid w:val="00C47D65"/>
    <w:rsid w:val="00C55C91"/>
    <w:rsid w:val="00C62E44"/>
    <w:rsid w:val="00C64A37"/>
    <w:rsid w:val="00C662A5"/>
    <w:rsid w:val="00C70CE0"/>
    <w:rsid w:val="00C7158E"/>
    <w:rsid w:val="00C7250B"/>
    <w:rsid w:val="00C7346B"/>
    <w:rsid w:val="00C73B5E"/>
    <w:rsid w:val="00C77C0E"/>
    <w:rsid w:val="00C8000E"/>
    <w:rsid w:val="00C825E7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087C"/>
    <w:rsid w:val="00CB565C"/>
    <w:rsid w:val="00CB655B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2185"/>
    <w:rsid w:val="00D4654D"/>
    <w:rsid w:val="00D538E4"/>
    <w:rsid w:val="00D616D2"/>
    <w:rsid w:val="00D63B5F"/>
    <w:rsid w:val="00D7066F"/>
    <w:rsid w:val="00D70EF7"/>
    <w:rsid w:val="00D72DF4"/>
    <w:rsid w:val="00D72F40"/>
    <w:rsid w:val="00D750A5"/>
    <w:rsid w:val="00D815F5"/>
    <w:rsid w:val="00D8397C"/>
    <w:rsid w:val="00D83F2F"/>
    <w:rsid w:val="00D84DE7"/>
    <w:rsid w:val="00D906E9"/>
    <w:rsid w:val="00D94EED"/>
    <w:rsid w:val="00D96026"/>
    <w:rsid w:val="00D968DA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478E"/>
    <w:rsid w:val="00DE775D"/>
    <w:rsid w:val="00DF5C74"/>
    <w:rsid w:val="00DF712D"/>
    <w:rsid w:val="00E01436"/>
    <w:rsid w:val="00E045BD"/>
    <w:rsid w:val="00E05782"/>
    <w:rsid w:val="00E17A9F"/>
    <w:rsid w:val="00E17B77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32CB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1173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4446"/>
    <w:rsid w:val="00ED55C0"/>
    <w:rsid w:val="00ED63E8"/>
    <w:rsid w:val="00ED682B"/>
    <w:rsid w:val="00EE41D5"/>
    <w:rsid w:val="00EE696D"/>
    <w:rsid w:val="00EF7B36"/>
    <w:rsid w:val="00F021A0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055C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47F7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E1BBD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communications-and-announcement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yperlink" Target="http://stat.gov.pl/en/metainformations/glossary/terms-used-in-official-statistics/32,term.html" TargetMode="External"/><Relationship Id="rId50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46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hyperlink" Target="http://stat.gov.pl/en/latest-statistical-news/news-releases/" TargetMode="External"/><Relationship Id="rId45" Type="http://schemas.openxmlformats.org/officeDocument/2006/relationships/hyperlink" Target="http://stat.gov.pl/en/topics/prices-trade/prices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4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Relationship Id="rId43" Type="http://schemas.openxmlformats.org/officeDocument/2006/relationships/hyperlink" Target="https://bdl.stat.gov.pl/BDL/start?lang=en" TargetMode="External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WPŁYWY!$A$55:$A$64</c:f>
              <c:strCache>
                <c:ptCount val="10"/>
                <c:pt idx="0">
                  <c:v>Meat</c:v>
                </c:pt>
                <c:pt idx="1">
                  <c:v>Fruit</c:v>
                </c:pt>
                <c:pt idx="2">
                  <c:v>Package holidays</c:v>
                </c:pt>
                <c:pt idx="3">
                  <c:v>Footwear</c:v>
                </c:pt>
                <c:pt idx="4">
                  <c:v>Catering services</c:v>
                </c:pt>
                <c:pt idx="5">
                  <c:v>Vegetables</c:v>
                </c:pt>
                <c:pt idx="6">
                  <c:v>Garments</c:v>
                </c:pt>
                <c:pt idx="7">
                  <c:v>Electricity, gas and other fuels</c:v>
                </c:pt>
                <c:pt idx="8">
                  <c:v>Telephone and telefax services</c:v>
                </c:pt>
                <c:pt idx="9">
                  <c:v>Fuels for personal transport equipment</c:v>
                </c:pt>
              </c:strCache>
            </c:strRef>
          </c:cat>
          <c:val>
            <c:numRef>
              <c:f>WPŁYWY!$C$55:$C$64</c:f>
              <c:numCache>
                <c:formatCode>0.00</c:formatCode>
                <c:ptCount val="10"/>
                <c:pt idx="0">
                  <c:v>-0.06</c:v>
                </c:pt>
                <c:pt idx="1">
                  <c:v>-0.04</c:v>
                </c:pt>
                <c:pt idx="2">
                  <c:v>-0.03</c:v>
                </c:pt>
                <c:pt idx="3">
                  <c:v>0.03</c:v>
                </c:pt>
                <c:pt idx="4">
                  <c:v>0.04</c:v>
                </c:pt>
                <c:pt idx="5">
                  <c:v>0.05</c:v>
                </c:pt>
                <c:pt idx="6">
                  <c:v>0.09</c:v>
                </c:pt>
                <c:pt idx="7">
                  <c:v>0.09</c:v>
                </c:pt>
                <c:pt idx="8">
                  <c:v>0.12</c:v>
                </c:pt>
                <c:pt idx="9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317120"/>
        <c:axId val="83318656"/>
      </c:barChart>
      <c:catAx>
        <c:axId val="8331712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318656"/>
        <c:crossesAt val="0"/>
        <c:auto val="1"/>
        <c:lblAlgn val="ctr"/>
        <c:lblOffset val="200"/>
        <c:tickMarkSkip val="1"/>
        <c:noMultiLvlLbl val="0"/>
      </c:catAx>
      <c:valAx>
        <c:axId val="83318656"/>
        <c:scaling>
          <c:orientation val="minMax"/>
          <c:max val="0.1500000000000000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3317120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8606208"/>
        <c:axId val="108608896"/>
      </c:barChart>
      <c:catAx>
        <c:axId val="10860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108608896"/>
        <c:crosses val="autoZero"/>
        <c:auto val="0"/>
        <c:lblAlgn val="ctr"/>
        <c:lblOffset val="100"/>
        <c:noMultiLvlLbl val="0"/>
      </c:catAx>
      <c:valAx>
        <c:axId val="10860889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86062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5294194584918237E-2"/>
                  <c:y val="-1.3542434839149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8851215557891683E-2"/>
                  <c:y val="-1.6086622102750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4.0203063125848579E-2"/>
                  <c:y val="-3.9472766055300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4217903405436161E-3"/>
                  <c:y val="-3.4434743995369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5596905444461774E-2"/>
                  <c:y val="-3.70705172427464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79305446252E-2"/>
                  <c:y val="-3.4242972116052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1.4226561377294949E-2"/>
                  <c:y val="-2.351321290446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2040664618799757E-2"/>
                  <c:y val="-2.025391744792641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31667032657629E-2"/>
                  <c:y val="4.0887937315070891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'M-1'!$C$50:$C$70</c:f>
              <c:numCache>
                <c:formatCode>0.0</c:formatCode>
                <c:ptCount val="21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  <c:pt idx="18">
                  <c:v>0.4</c:v>
                </c:pt>
                <c:pt idx="19">
                  <c:v>0.3</c:v>
                </c:pt>
                <c:pt idx="20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657280"/>
        <c:axId val="108704128"/>
      </c:lineChart>
      <c:dateAx>
        <c:axId val="1086572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704128"/>
        <c:crossesAt val="0"/>
        <c:auto val="0"/>
        <c:lblOffset val="100"/>
        <c:baseTimeUnit val="days"/>
      </c:dateAx>
      <c:valAx>
        <c:axId val="108704128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657280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7"/>
            <c:bubble3D val="0"/>
          </c:dPt>
          <c:dPt>
            <c:idx val="20"/>
            <c:bubble3D val="0"/>
          </c:dPt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1709026313734673E-2"/>
                  <c:y val="3.2442129629629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07620832355E-2"/>
                  <c:y val="2.75902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691143757735E-2"/>
                  <c:y val="4.760715596083546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3132534706869431E-2"/>
                  <c:y val="9.492232597541510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7794773978165462E-2"/>
                  <c:y val="-3.64747660813160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9.5341940651647392E-3"/>
                  <c:y val="5.327722566220580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9233489842188802E-3"/>
                  <c:y val="4.0146653317769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1.3633169360505973E-2"/>
                  <c:y val="1.735091569547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1.0813617552900757E-2"/>
                  <c:y val="-1.283865597093991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(+FE)'!$B$50:$B$70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'M-12 (+FE)'!$C$50:$C$70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812928"/>
        <c:axId val="108855680"/>
      </c:lineChart>
      <c:dateAx>
        <c:axId val="1088129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855680"/>
        <c:crossesAt val="0"/>
        <c:auto val="0"/>
        <c:lblOffset val="100"/>
        <c:baseTimeUnit val="days"/>
      </c:dateAx>
      <c:valAx>
        <c:axId val="108855680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81292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m-12'!$B$51:$B$71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'CPI_HICP m-12'!$C$51:$C$71</c:f>
              <c:numCache>
                <c:formatCode>0.0</c:formatCode>
                <c:ptCount val="21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m-12'!$B$51:$B$71</c:f>
              <c:strCache>
                <c:ptCount val="21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</c:strCache>
            </c:strRef>
          </c:cat>
          <c:val>
            <c:numRef>
              <c:f>'CPI_HICP m-12'!$E$51:$E$70</c:f>
              <c:numCache>
                <c:formatCode>0.0</c:formatCode>
                <c:ptCount val="20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  <c:pt idx="17">
                  <c:v>4.0999999999999996</c:v>
                </c:pt>
                <c:pt idx="18">
                  <c:v>4.7</c:v>
                </c:pt>
                <c:pt idx="19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913792"/>
        <c:axId val="108915328"/>
      </c:lineChart>
      <c:catAx>
        <c:axId val="10891379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9153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8915328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891379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2779652535"/>
          <c:y val="0.6499959537431921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0.06933</cdr:x>
      <cdr:y>0.9368</cdr:y>
    </cdr:from>
    <cdr:to>
      <cdr:x>0.56265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55146" y="2362809"/>
          <a:ext cx="2527043" cy="1395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0.56265</cdr:x>
      <cdr:y>0.93945</cdr:y>
    </cdr:from>
    <cdr:to>
      <cdr:x>0.92965</cdr:x>
      <cdr:y>1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2882200" y="2369488"/>
          <a:ext cx="1879974" cy="1527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0.55932</cdr:x>
      <cdr:y>0.86697</cdr:y>
    </cdr:from>
    <cdr:to>
      <cdr:x>0.55932</cdr:x>
      <cdr:y>0.93971</cdr:y>
    </cdr:to>
    <cdr:cxnSp macro="">
      <cdr:nvCxnSpPr>
        <cdr:cNvPr id="6" name="Łącznik prosty 5"/>
        <cdr:cNvCxnSpPr/>
      </cdr:nvCxnSpPr>
      <cdr:spPr bwMode="auto">
        <a:xfrm xmlns:a="http://schemas.openxmlformats.org/drawingml/2006/main">
          <a:off x="2865158" y="2186687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0.06866</cdr:x>
      <cdr:y>0.55012</cdr:y>
    </cdr:from>
    <cdr:to>
      <cdr:x>0.92777</cdr:x>
      <cdr:y>0.55067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>
          <a:off x="351692" y="1431892"/>
          <a:ext cx="4400852" cy="142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0.06913</cdr:x>
      <cdr:y>0.42441</cdr:y>
    </cdr:from>
    <cdr:to>
      <cdr:x>0.92345</cdr:x>
      <cdr:y>0.42609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4132" y="1104680"/>
          <a:ext cx="4376304" cy="437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0.92867</cdr:y>
    </cdr:from>
    <cdr:to>
      <cdr:x>0.55979</cdr:x>
      <cdr:y>0.99893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7451" y="2417195"/>
          <a:ext cx="2510098" cy="182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0.33242</cdr:x>
      <cdr:y>0.35432</cdr:y>
    </cdr:from>
    <cdr:to>
      <cdr:x>0.63346</cdr:x>
      <cdr:y>0.41819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702853" y="922248"/>
          <a:ext cx="1542091" cy="1662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0.33474</cdr:x>
      <cdr:y>0.67593</cdr:y>
    </cdr:from>
    <cdr:to>
      <cdr:x>0.63569</cdr:x>
      <cdr:y>0.74367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714728" y="1759355"/>
          <a:ext cx="1541629" cy="1763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from inflation target</a:t>
          </a:r>
          <a:endParaRPr lang="pl-PL" sz="700" b="0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0.70474</cdr:x>
      <cdr:y>0.55205</cdr:y>
    </cdr:from>
    <cdr:to>
      <cdr:x>0.89625</cdr:x>
      <cdr:y>0.61821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610062" y="1436914"/>
          <a:ext cx="981019" cy="172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0.56265</cdr:x>
      <cdr:y>0.93478</cdr:y>
    </cdr:from>
    <cdr:to>
      <cdr:x>0.92863</cdr:x>
      <cdr:y>0.99893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882200" y="2433099"/>
          <a:ext cx="1874749" cy="1669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0.55953</cdr:x>
      <cdr:y>0.86802</cdr:y>
    </cdr:from>
    <cdr:to>
      <cdr:x>0.55953</cdr:x>
      <cdr:y>0.9385</cdr:y>
    </cdr:to>
    <cdr:cxnSp macro="">
      <cdr:nvCxnSpPr>
        <cdr:cNvPr id="12" name="Łącznik prosty 11"/>
        <cdr:cNvCxnSpPr/>
      </cdr:nvCxnSpPr>
      <cdr:spPr bwMode="auto">
        <a:xfrm xmlns:a="http://schemas.openxmlformats.org/drawingml/2006/main">
          <a:off x="2866236" y="2259328"/>
          <a:ext cx="0" cy="183466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0.0712</cdr:x>
      <cdr:y>0.67621</cdr:y>
    </cdr:from>
    <cdr:to>
      <cdr:x>0.92451</cdr:x>
      <cdr:y>0.67824</cdr:y>
    </cdr:to>
    <cdr:sp macro="" textlink="">
      <cdr:nvSpPr>
        <cdr:cNvPr id="17" name="Łącznik prosty 16"/>
        <cdr:cNvSpPr/>
      </cdr:nvSpPr>
      <cdr:spPr bwMode="auto">
        <a:xfrm xmlns:a="http://schemas.openxmlformats.org/drawingml/2006/main" flipV="1">
          <a:off x="364703" y="1760087"/>
          <a:ext cx="4371150" cy="528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0.06514</cdr:x>
      <cdr:y>0.92337</cdr:y>
    </cdr:from>
    <cdr:to>
      <cdr:x>0.56122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683" y="2282023"/>
          <a:ext cx="2541192" cy="1660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0.55858</cdr:x>
      <cdr:y>0.85562</cdr:y>
    </cdr:from>
    <cdr:to>
      <cdr:x>0.55858</cdr:x>
      <cdr:y>0.92986</cdr:y>
    </cdr:to>
    <cdr:cxnSp macro="">
      <cdr:nvCxnSpPr>
        <cdr:cNvPr id="3" name="Łącznik prosty 2"/>
        <cdr:cNvCxnSpPr/>
      </cdr:nvCxnSpPr>
      <cdr:spPr bwMode="auto">
        <a:xfrm xmlns:a="http://schemas.openxmlformats.org/drawingml/2006/main">
          <a:off x="2861372" y="2114596"/>
          <a:ext cx="0" cy="183479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0.56265</cdr:x>
      <cdr:y>0.92337</cdr:y>
    </cdr:from>
    <cdr:to>
      <cdr:x>0.93537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882200" y="2282024"/>
          <a:ext cx="1909275" cy="1893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30d47203-49ec-4c8c-a442-62231931aa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C5176B-8478-4FD4-B890-A41DE4D6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2</cp:revision>
  <cp:lastPrinted>2021-06-14T12:53:00Z</cp:lastPrinted>
  <dcterms:created xsi:type="dcterms:W3CDTF">2021-10-15T07:21:00Z</dcterms:created>
  <dcterms:modified xsi:type="dcterms:W3CDTF">2021-10-15T07:29:00Z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