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123" w:rsidRPr="00920E23" w:rsidRDefault="00596A32" w:rsidP="00596A32">
      <w:pPr>
        <w:pStyle w:val="tytuinformacji"/>
        <w:tabs>
          <w:tab w:val="right" w:pos="8067"/>
        </w:tabs>
        <w:rPr>
          <w:lang w:val="en-GB"/>
        </w:rPr>
      </w:pPr>
      <w:bookmarkStart w:id="0" w:name="_GoBack"/>
      <w:bookmarkEnd w:id="0"/>
      <w:r>
        <w:rPr>
          <w:lang w:val="en-GB"/>
        </w:rPr>
        <w:t>Consumer price indices in August</w:t>
      </w:r>
      <w:r w:rsidR="00920E23" w:rsidRPr="00920E23">
        <w:rPr>
          <w:lang w:val="en-GB"/>
        </w:rPr>
        <w:t xml:space="preserve"> 2021</w:t>
      </w:r>
      <w:r>
        <w:rPr>
          <w:lang w:val="en-GB"/>
        </w:rPr>
        <w:tab/>
      </w:r>
    </w:p>
    <w:p w:rsidR="00AD4947" w:rsidRPr="00920E23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D72F40" w:rsidRDefault="009E3F12" w:rsidP="00B37F5A">
      <w:pPr>
        <w:pStyle w:val="LID"/>
        <w:spacing w:after="0"/>
        <w:rPr>
          <w:lang w:val="en-GB"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323CCC1" wp14:editId="7F72D48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DF" w:rsidRPr="00D72F40" w:rsidRDefault="004831DF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9972091" wp14:editId="75C92CCB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4831DF" w:rsidRPr="000A0BA9" w:rsidRDefault="004831DF" w:rsidP="00D72F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4831DF" w:rsidRPr="00D72F40" w:rsidRDefault="004831DF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CC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4831DF" w:rsidRPr="00D72F40" w:rsidRDefault="004831DF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9972091" wp14:editId="75C92CCB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4831DF" w:rsidRPr="000A0BA9" w:rsidRDefault="004831DF" w:rsidP="00D72F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4831DF" w:rsidRPr="00D72F40" w:rsidRDefault="004831DF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A32">
        <w:rPr>
          <w:noProof w:val="0"/>
          <w:lang w:val="en-GB" w:eastAsia="en-GB"/>
        </w:rPr>
        <w:t>Consumer prices in August</w:t>
      </w:r>
      <w:r w:rsidR="00B50A80" w:rsidRPr="00D72F40">
        <w:rPr>
          <w:lang w:val="en-GB" w:eastAsia="en-GB"/>
        </w:rPr>
        <w:t xml:space="preserve"> </w:t>
      </w:r>
      <w:r w:rsidR="007C161B" w:rsidRPr="00D72F40">
        <w:rPr>
          <w:lang w:val="en-GB" w:eastAsia="en-GB"/>
        </w:rPr>
        <w:t>2021</w:t>
      </w:r>
      <w:r w:rsidR="00D72F40" w:rsidRPr="00133BA4">
        <w:rPr>
          <w:lang w:val="en-GB" w:eastAsia="en-GB"/>
        </w:rPr>
        <w:t xml:space="preserve">, </w:t>
      </w:r>
      <w:r w:rsidR="00D72F40" w:rsidRPr="00133BA4">
        <w:rPr>
          <w:noProof w:val="0"/>
          <w:lang w:val="en-GB" w:eastAsia="en-GB"/>
        </w:rPr>
        <w:t xml:space="preserve">compared with the corresponding month of the previous year, </w:t>
      </w:r>
      <w:r w:rsidR="00D72F40" w:rsidRPr="00133BA4">
        <w:rPr>
          <w:noProof w:val="0"/>
          <w:lang w:val="en-GB" w:eastAsia="en-GB"/>
        </w:rPr>
        <w:br/>
        <w:t>increased by</w:t>
      </w:r>
      <w:r w:rsidR="00BC50F0" w:rsidRPr="00D72F40">
        <w:rPr>
          <w:lang w:val="en-GB" w:eastAsia="en-GB"/>
        </w:rPr>
        <w:t xml:space="preserve"> </w:t>
      </w:r>
      <w:r w:rsidR="00596A32">
        <w:rPr>
          <w:lang w:val="en-GB" w:eastAsia="en-GB"/>
        </w:rPr>
        <w:t>5,5</w:t>
      </w:r>
      <w:r w:rsidR="00B37F5A" w:rsidRPr="00D72F40">
        <w:rPr>
          <w:lang w:val="en-GB" w:eastAsia="en-GB"/>
        </w:rPr>
        <w:t>% (</w:t>
      </w:r>
      <w:r w:rsidR="00D72F40" w:rsidRPr="00133BA4">
        <w:rPr>
          <w:lang w:val="en-GB" w:eastAsia="en-GB"/>
        </w:rPr>
        <w:t>w</w:t>
      </w:r>
      <w:r w:rsidR="00D72F40" w:rsidRPr="00133BA4">
        <w:rPr>
          <w:noProof w:val="0"/>
          <w:lang w:val="en-GB"/>
        </w:rPr>
        <w:t xml:space="preserve">ith an increase of prices </w:t>
      </w:r>
      <w:r w:rsidR="00D72F40" w:rsidRPr="00133BA4">
        <w:rPr>
          <w:noProof w:val="0"/>
          <w:lang w:val="en-GB"/>
        </w:rPr>
        <w:br/>
        <w:t>of services</w:t>
      </w:r>
      <w:r w:rsidR="00D72F40" w:rsidRPr="00133BA4">
        <w:rPr>
          <w:lang w:val="en-GB"/>
        </w:rPr>
        <w:t xml:space="preserve"> by</w:t>
      </w:r>
      <w:r w:rsidR="00D72F40" w:rsidRPr="00133BA4">
        <w:rPr>
          <w:lang w:val="en-GB" w:eastAsia="en-GB"/>
        </w:rPr>
        <w:t xml:space="preserve"> </w:t>
      </w:r>
      <w:r w:rsidR="005C5EF8" w:rsidRPr="00D72F40">
        <w:rPr>
          <w:lang w:val="en-GB" w:eastAsia="en-GB"/>
        </w:rPr>
        <w:t>6,</w:t>
      </w:r>
      <w:r w:rsidR="00596A32">
        <w:rPr>
          <w:lang w:val="en-GB" w:eastAsia="en-GB"/>
        </w:rPr>
        <w:t>6</w:t>
      </w:r>
      <w:r w:rsidR="009A1431" w:rsidRPr="00D72F40">
        <w:rPr>
          <w:lang w:val="en-GB" w:eastAsia="en-GB"/>
        </w:rPr>
        <w:t xml:space="preserve">% </w:t>
      </w:r>
      <w:r w:rsidR="00D72F40">
        <w:rPr>
          <w:lang w:val="en-GB" w:eastAsia="en-GB"/>
        </w:rPr>
        <w:t xml:space="preserve">and goods by </w:t>
      </w:r>
      <w:r w:rsidR="00596A32">
        <w:rPr>
          <w:lang w:val="en-GB" w:eastAsia="en-GB"/>
        </w:rPr>
        <w:t>5,1</w:t>
      </w:r>
      <w:r w:rsidR="00B37F5A" w:rsidRPr="00D72F40">
        <w:rPr>
          <w:lang w:val="en-GB" w:eastAsia="en-GB"/>
        </w:rPr>
        <w:t>%).</w:t>
      </w:r>
    </w:p>
    <w:p w:rsidR="00370D51" w:rsidRPr="00D72F40" w:rsidRDefault="00D72F40" w:rsidP="00B37F5A">
      <w:pPr>
        <w:pStyle w:val="LID"/>
        <w:spacing w:before="0" w:after="0"/>
        <w:rPr>
          <w:lang w:val="en-GB" w:eastAsia="en-GB"/>
        </w:rPr>
      </w:pPr>
      <w:r w:rsidRPr="00133BA4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133BA4">
        <w:rPr>
          <w:noProof w:val="0"/>
          <w:spacing w:val="-4"/>
          <w:lang w:val="en-GB" w:eastAsia="en-GB"/>
        </w:rPr>
        <w:br/>
        <w:t>increased by</w:t>
      </w:r>
      <w:r w:rsidRPr="00133BA4">
        <w:rPr>
          <w:noProof w:val="0"/>
          <w:lang w:val="en-GB"/>
        </w:rPr>
        <w:t xml:space="preserve"> </w:t>
      </w:r>
      <w:r w:rsidR="00596A32">
        <w:rPr>
          <w:lang w:val="en-GB" w:eastAsia="en-GB"/>
        </w:rPr>
        <w:t>0,3</w:t>
      </w:r>
      <w:r w:rsidR="00496B80">
        <w:rPr>
          <w:lang w:val="en-GB" w:eastAsia="en-GB"/>
        </w:rPr>
        <w:t xml:space="preserve">% </w:t>
      </w:r>
      <w:r w:rsidR="00496B80" w:rsidRPr="00133BA4">
        <w:rPr>
          <w:lang w:val="en-GB" w:eastAsia="en-GB"/>
        </w:rPr>
        <w:t>(</w:t>
      </w:r>
      <w:r w:rsidR="00496B80">
        <w:rPr>
          <w:noProof w:val="0"/>
          <w:lang w:val="en-GB"/>
        </w:rPr>
        <w:t>of which services</w:t>
      </w:r>
      <w:r w:rsidR="00496B80" w:rsidRPr="00133BA4">
        <w:rPr>
          <w:noProof w:val="0"/>
          <w:lang w:val="en-GB"/>
        </w:rPr>
        <w:t xml:space="preserve"> by </w:t>
      </w:r>
      <w:r w:rsidR="00596A32">
        <w:rPr>
          <w:lang w:val="en-GB" w:eastAsia="en-GB"/>
        </w:rPr>
        <w:t>0,6</w:t>
      </w:r>
      <w:r w:rsidR="00496B80" w:rsidRPr="00133BA4">
        <w:rPr>
          <w:lang w:val="en-GB" w:eastAsia="en-GB"/>
        </w:rPr>
        <w:t>%</w:t>
      </w:r>
      <w:r w:rsidR="00496B80">
        <w:rPr>
          <w:lang w:val="en-GB" w:eastAsia="en-GB"/>
        </w:rPr>
        <w:t xml:space="preserve"> and goods</w:t>
      </w:r>
      <w:r w:rsidR="00496B80" w:rsidRPr="00133BA4">
        <w:rPr>
          <w:lang w:val="en-GB" w:eastAsia="en-GB"/>
        </w:rPr>
        <w:t xml:space="preserve"> by </w:t>
      </w:r>
      <w:r w:rsidR="00596A32">
        <w:rPr>
          <w:lang w:val="en-GB" w:eastAsia="en-GB"/>
        </w:rPr>
        <w:t>0,2</w:t>
      </w:r>
      <w:r w:rsidR="00496B80" w:rsidRPr="00133BA4">
        <w:rPr>
          <w:lang w:val="en-GB" w:eastAsia="en-GB"/>
        </w:rPr>
        <w:t>%).</w:t>
      </w: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9E3F12" w:rsidRPr="00D72F40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B66B66" w:rsidRDefault="00B66B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 xml:space="preserve">Table 1. Consumer price indices in </w:t>
      </w:r>
      <w:r w:rsidR="00596A32">
        <w:rPr>
          <w:lang w:val="en-GB"/>
        </w:rPr>
        <w:t>August</w:t>
      </w:r>
      <w:r>
        <w:rPr>
          <w:lang w:val="en-GB"/>
        </w:rPr>
        <w:t xml:space="preserve"> </w:t>
      </w:r>
      <w:r w:rsidR="007C161B" w:rsidRPr="00B66B66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1193"/>
        <w:gridCol w:w="1170"/>
      </w:tblGrid>
      <w:tr w:rsidR="00260F39" w:rsidRPr="00FD11D4" w:rsidTr="00333C3F">
        <w:trPr>
          <w:cantSplit/>
          <w:trHeight w:val="367"/>
        </w:trPr>
        <w:tc>
          <w:tcPr>
            <w:tcW w:w="2943" w:type="dxa"/>
            <w:vMerge w:val="restart"/>
            <w:vAlign w:val="center"/>
          </w:tcPr>
          <w:p w:rsidR="00260F39" w:rsidRPr="00FD11D4" w:rsidRDefault="00B66B6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596A32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08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93" w:type="dxa"/>
          </w:tcPr>
          <w:p w:rsidR="00260F39" w:rsidRPr="00FD11D4" w:rsidRDefault="00596A32" w:rsidP="0070364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01-08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D20C21" w:rsidRDefault="00B66B6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FD11D4" w:rsidRDefault="00596A32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07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333C3F">
        <w:trPr>
          <w:cantSplit/>
          <w:trHeight w:val="57"/>
        </w:trPr>
        <w:tc>
          <w:tcPr>
            <w:tcW w:w="2943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596A32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08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596A32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596A32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01-08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96A32" w:rsidRPr="00133BA4" w:rsidRDefault="00596A32" w:rsidP="00596A3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6A32" w:rsidRDefault="00596A32" w:rsidP="00596A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105,5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6A32" w:rsidRDefault="00596A32" w:rsidP="00596A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104,8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6A32" w:rsidRDefault="00596A32" w:rsidP="00596A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100,3</w:t>
            </w:r>
          </w:p>
        </w:tc>
        <w:tc>
          <w:tcPr>
            <w:tcW w:w="11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6A32" w:rsidRDefault="00596A32" w:rsidP="00596A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104,0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6A32" w:rsidRPr="00FD11D4" w:rsidRDefault="00596A32" w:rsidP="00596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103,9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104,4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99,8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-0,07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100,2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0,01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97,2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99,1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98,9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-0,04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106,9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100,9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106,3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0,17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103,3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102,6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99,7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102,6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-0,02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102,5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100,4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103,4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0,02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117,8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115,5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101,4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110,6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0,13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104,2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103,6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100,8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0,04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104,5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100,0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0,00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0,00</w:t>
            </w:r>
          </w:p>
        </w:tc>
      </w:tr>
      <w:tr w:rsidR="00596A32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106,6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100,6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105,3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0,03</w:t>
            </w:r>
          </w:p>
        </w:tc>
      </w:tr>
      <w:tr w:rsidR="00596A32" w:rsidRPr="00FD11D4" w:rsidTr="00333C3F">
        <w:trPr>
          <w:cantSplit/>
          <w:trHeight w:val="445"/>
        </w:trPr>
        <w:tc>
          <w:tcPr>
            <w:tcW w:w="2943" w:type="dxa"/>
            <w:tcBorders>
              <w:top w:val="single" w:sz="4" w:space="0" w:color="212492"/>
              <w:bottom w:val="nil"/>
            </w:tcBorders>
            <w:vAlign w:val="center"/>
          </w:tcPr>
          <w:p w:rsidR="00596A32" w:rsidRPr="00133BA4" w:rsidRDefault="00596A32" w:rsidP="00596A3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100,4</w:t>
            </w:r>
          </w:p>
        </w:tc>
        <w:tc>
          <w:tcPr>
            <w:tcW w:w="1193" w:type="dxa"/>
            <w:tcBorders>
              <w:top w:val="single" w:sz="4" w:space="0" w:color="212492"/>
              <w:bottom w:val="nil"/>
            </w:tcBorders>
            <w:vAlign w:val="bottom"/>
          </w:tcPr>
          <w:p w:rsidR="00596A32" w:rsidRPr="004E1912" w:rsidRDefault="00596A32" w:rsidP="00596A32">
            <w:pPr>
              <w:jc w:val="right"/>
            </w:pPr>
            <w:r w:rsidRPr="004E1912">
              <w:t>101,9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96A32" w:rsidRPr="00E70D5C" w:rsidRDefault="00596A32" w:rsidP="00596A32">
            <w:pPr>
              <w:jc w:val="right"/>
            </w:pPr>
            <w:r w:rsidRPr="00E70D5C">
              <w:t>0,02</w:t>
            </w:r>
          </w:p>
        </w:tc>
      </w:tr>
    </w:tbl>
    <w:p w:rsidR="00A07F00" w:rsidRPr="00B66B66" w:rsidRDefault="00B66B66" w:rsidP="00E37F13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6479D4" w:rsidRDefault="00596A32" w:rsidP="00C23F3B">
      <w:pPr>
        <w:spacing w:before="0" w:after="0"/>
        <w:rPr>
          <w:lang w:val="en-GB"/>
        </w:rPr>
      </w:pPr>
      <w:r w:rsidRPr="006479D4">
        <w:rPr>
          <w:lang w:val="en-GB"/>
        </w:rPr>
        <w:t>In August</w:t>
      </w:r>
      <w:r w:rsidR="00B66B66" w:rsidRPr="006479D4">
        <w:rPr>
          <w:lang w:val="en-GB"/>
        </w:rPr>
        <w:t xml:space="preserve"> of the current year, compared with the previous month, the highest contribution to the total consumer price i</w:t>
      </w:r>
      <w:r w:rsidR="00AD17A6" w:rsidRPr="006479D4">
        <w:rPr>
          <w:lang w:val="en-GB"/>
        </w:rPr>
        <w:t xml:space="preserve">ndex came from higher prices related to </w:t>
      </w:r>
      <w:r w:rsidRPr="006479D4">
        <w:rPr>
          <w:lang w:val="en-GB"/>
        </w:rPr>
        <w:t>Dwelling</w:t>
      </w:r>
      <w:r w:rsidR="00DF5C74" w:rsidRPr="006479D4">
        <w:rPr>
          <w:lang w:val="en-GB"/>
        </w:rPr>
        <w:t xml:space="preserve"> </w:t>
      </w:r>
      <w:r w:rsidR="00C662A5" w:rsidRPr="006479D4">
        <w:rPr>
          <w:lang w:val="en-GB"/>
        </w:rPr>
        <w:t>(</w:t>
      </w:r>
      <w:r w:rsidR="00B66B66" w:rsidRPr="006479D4">
        <w:rPr>
          <w:lang w:val="en-GB"/>
        </w:rPr>
        <w:t>by</w:t>
      </w:r>
      <w:r w:rsidR="0022312E" w:rsidRPr="006479D4">
        <w:rPr>
          <w:lang w:val="en-GB"/>
        </w:rPr>
        <w:t xml:space="preserve"> </w:t>
      </w:r>
      <w:r w:rsidRPr="006479D4">
        <w:rPr>
          <w:lang w:val="en-GB"/>
        </w:rPr>
        <w:t>0,6</w:t>
      </w:r>
      <w:r w:rsidR="0022312E" w:rsidRPr="006479D4">
        <w:rPr>
          <w:lang w:val="en-GB"/>
        </w:rPr>
        <w:t>%)</w:t>
      </w:r>
      <w:r w:rsidR="00EB485C" w:rsidRPr="006479D4">
        <w:rPr>
          <w:lang w:val="en-GB"/>
        </w:rPr>
        <w:t xml:space="preserve"> </w:t>
      </w:r>
      <w:r w:rsidR="006479D4">
        <w:rPr>
          <w:lang w:val="en-GB"/>
        </w:rPr>
        <w:t>and </w:t>
      </w:r>
      <w:r w:rsidRPr="006479D4">
        <w:rPr>
          <w:lang w:val="en-GB"/>
        </w:rPr>
        <w:t>Transport</w:t>
      </w:r>
      <w:r w:rsidR="00B66B66" w:rsidRPr="006479D4">
        <w:rPr>
          <w:lang w:val="en-GB"/>
        </w:rPr>
        <w:t xml:space="preserve"> (by</w:t>
      </w:r>
      <w:r w:rsidRPr="006479D4">
        <w:rPr>
          <w:lang w:val="en-GB"/>
        </w:rPr>
        <w:t xml:space="preserve"> 1</w:t>
      </w:r>
      <w:r w:rsidR="00D329DC" w:rsidRPr="006479D4">
        <w:rPr>
          <w:lang w:val="en-GB"/>
        </w:rPr>
        <w:t>,</w:t>
      </w:r>
      <w:r w:rsidRPr="006479D4">
        <w:rPr>
          <w:lang w:val="en-GB"/>
        </w:rPr>
        <w:t>4</w:t>
      </w:r>
      <w:r w:rsidR="00DF5C74" w:rsidRPr="006479D4">
        <w:rPr>
          <w:lang w:val="en-GB"/>
        </w:rPr>
        <w:t>%)</w:t>
      </w:r>
      <w:r w:rsidR="00A07F00" w:rsidRPr="006479D4">
        <w:rPr>
          <w:lang w:val="en-GB"/>
        </w:rPr>
        <w:t xml:space="preserve">, </w:t>
      </w:r>
      <w:r w:rsidR="00B66B66" w:rsidRPr="006479D4">
        <w:rPr>
          <w:lang w:val="en-GB"/>
        </w:rPr>
        <w:t xml:space="preserve">which increased the index by </w:t>
      </w:r>
      <w:r w:rsidR="00CF4349" w:rsidRPr="006479D4">
        <w:rPr>
          <w:lang w:val="en-GB"/>
        </w:rPr>
        <w:t>0,</w:t>
      </w:r>
      <w:r w:rsidRPr="006479D4">
        <w:rPr>
          <w:lang w:val="en-GB"/>
        </w:rPr>
        <w:t>15</w:t>
      </w:r>
      <w:r w:rsidR="00393E03" w:rsidRPr="006479D4">
        <w:rPr>
          <w:lang w:val="en-GB"/>
        </w:rPr>
        <w:t xml:space="preserve"> </w:t>
      </w:r>
      <w:r w:rsidR="00A07F00" w:rsidRPr="006479D4">
        <w:rPr>
          <w:lang w:val="en-GB"/>
        </w:rPr>
        <w:t>p</w:t>
      </w:r>
      <w:r w:rsidR="00B66B66" w:rsidRPr="006479D4">
        <w:rPr>
          <w:lang w:val="en-GB"/>
        </w:rPr>
        <w:t>p and</w:t>
      </w:r>
      <w:r w:rsidR="009B093A" w:rsidRPr="006479D4">
        <w:rPr>
          <w:lang w:val="en-GB"/>
        </w:rPr>
        <w:t xml:space="preserve"> </w:t>
      </w:r>
      <w:r w:rsidR="00432D34" w:rsidRPr="006479D4">
        <w:rPr>
          <w:lang w:val="en-GB"/>
        </w:rPr>
        <w:t>0,</w:t>
      </w:r>
      <w:r w:rsidR="00496B80" w:rsidRPr="006479D4">
        <w:rPr>
          <w:lang w:val="en-GB"/>
        </w:rPr>
        <w:t>13</w:t>
      </w:r>
      <w:r w:rsidR="00393E03" w:rsidRPr="006479D4">
        <w:rPr>
          <w:lang w:val="en-GB"/>
        </w:rPr>
        <w:t xml:space="preserve"> p</w:t>
      </w:r>
      <w:r w:rsidR="00B66B66" w:rsidRPr="006479D4">
        <w:rPr>
          <w:lang w:val="en-GB"/>
        </w:rPr>
        <w:t>p, respectively</w:t>
      </w:r>
      <w:r w:rsidR="00A07F00" w:rsidRPr="006479D4">
        <w:rPr>
          <w:lang w:val="en-GB"/>
        </w:rPr>
        <w:t>.</w:t>
      </w:r>
      <w:r w:rsidR="00DA2264" w:rsidRPr="006479D4">
        <w:rPr>
          <w:lang w:val="en-GB"/>
        </w:rPr>
        <w:t xml:space="preserve"> </w:t>
      </w:r>
      <w:r w:rsidR="006479D4">
        <w:rPr>
          <w:lang w:val="en-GB"/>
        </w:rPr>
        <w:br/>
      </w:r>
      <w:r w:rsidR="00B66B66" w:rsidRPr="006479D4">
        <w:rPr>
          <w:lang w:val="en-GB"/>
        </w:rPr>
        <w:t xml:space="preserve">Lower prices </w:t>
      </w:r>
      <w:r w:rsidR="00AD17A6" w:rsidRPr="006479D4">
        <w:rPr>
          <w:lang w:val="en-GB"/>
        </w:rPr>
        <w:t>of</w:t>
      </w:r>
      <w:r w:rsidR="00B66B66" w:rsidRPr="006479D4">
        <w:rPr>
          <w:lang w:val="en-GB"/>
        </w:rPr>
        <w:t xml:space="preserve"> </w:t>
      </w:r>
      <w:r w:rsidR="00F6055C" w:rsidRPr="006479D4">
        <w:rPr>
          <w:lang w:val="en-GB"/>
        </w:rPr>
        <w:t>Food</w:t>
      </w:r>
      <w:r w:rsidR="00B66B66" w:rsidRPr="006479D4">
        <w:rPr>
          <w:lang w:val="en-GB"/>
        </w:rPr>
        <w:t xml:space="preserve"> (by</w:t>
      </w:r>
      <w:r w:rsidRPr="006479D4">
        <w:rPr>
          <w:lang w:val="en-GB"/>
        </w:rPr>
        <w:t> 0,3</w:t>
      </w:r>
      <w:r w:rsidR="00DA2264" w:rsidRPr="006479D4">
        <w:rPr>
          <w:lang w:val="en-GB"/>
        </w:rPr>
        <w:t xml:space="preserve">%) </w:t>
      </w:r>
      <w:r w:rsidR="00F6055C" w:rsidRPr="006479D4">
        <w:rPr>
          <w:lang w:val="en-GB"/>
        </w:rPr>
        <w:t>and Clothing and footwear</w:t>
      </w:r>
      <w:r w:rsidR="00B66B66" w:rsidRPr="006479D4">
        <w:rPr>
          <w:lang w:val="en-GB"/>
        </w:rPr>
        <w:t xml:space="preserve"> (by</w:t>
      </w:r>
      <w:r w:rsidRPr="006479D4">
        <w:rPr>
          <w:lang w:val="en-GB"/>
        </w:rPr>
        <w:t xml:space="preserve"> 0,9</w:t>
      </w:r>
      <w:r w:rsidR="007B4A2D" w:rsidRPr="006479D4">
        <w:rPr>
          <w:lang w:val="en-GB"/>
        </w:rPr>
        <w:t xml:space="preserve">%) </w:t>
      </w:r>
      <w:r w:rsidR="00980F01" w:rsidRPr="006479D4">
        <w:rPr>
          <w:lang w:val="en-GB"/>
        </w:rPr>
        <w:t>decreased the index by</w:t>
      </w:r>
      <w:r w:rsidR="009B093A" w:rsidRPr="006479D4">
        <w:rPr>
          <w:lang w:val="en-GB"/>
        </w:rPr>
        <w:t> </w:t>
      </w:r>
      <w:r w:rsidRPr="006479D4">
        <w:rPr>
          <w:lang w:val="en-GB"/>
        </w:rPr>
        <w:t>0,08</w:t>
      </w:r>
      <w:r w:rsidR="00DA2264" w:rsidRPr="006479D4">
        <w:rPr>
          <w:lang w:val="en-GB"/>
        </w:rPr>
        <w:t xml:space="preserve"> p</w:t>
      </w:r>
      <w:r w:rsidR="00980F01" w:rsidRPr="006479D4">
        <w:rPr>
          <w:lang w:val="en-GB"/>
        </w:rPr>
        <w:t xml:space="preserve">p and </w:t>
      </w:r>
      <w:r w:rsidRPr="006479D4">
        <w:rPr>
          <w:lang w:val="en-GB"/>
        </w:rPr>
        <w:t>0,04</w:t>
      </w:r>
      <w:r w:rsidR="007B4A2D" w:rsidRPr="006479D4">
        <w:rPr>
          <w:lang w:val="en-GB"/>
        </w:rPr>
        <w:t xml:space="preserve"> p</w:t>
      </w:r>
      <w:r w:rsidR="00980F01" w:rsidRPr="006479D4">
        <w:rPr>
          <w:lang w:val="en-GB"/>
        </w:rPr>
        <w:t>p, respectively</w:t>
      </w:r>
      <w:r w:rsidR="00DA2264" w:rsidRPr="006479D4">
        <w:rPr>
          <w:lang w:val="en-GB"/>
        </w:rPr>
        <w:t>.</w:t>
      </w:r>
    </w:p>
    <w:p w:rsidR="00934246" w:rsidRPr="006479D4" w:rsidRDefault="00980F01" w:rsidP="00934246">
      <w:pPr>
        <w:spacing w:before="0" w:after="0"/>
        <w:rPr>
          <w:b/>
          <w:sz w:val="18"/>
          <w:lang w:val="en-GB"/>
        </w:rPr>
      </w:pPr>
      <w:r w:rsidRPr="006479D4">
        <w:rPr>
          <w:color w:val="000000" w:themeColor="text1"/>
          <w:lang w:val="en-GB"/>
        </w:rPr>
        <w:t>Compared with the corresponding month of the previ</w:t>
      </w:r>
      <w:r w:rsidR="006479D4" w:rsidRPr="006479D4">
        <w:rPr>
          <w:color w:val="000000" w:themeColor="text1"/>
          <w:lang w:val="en-GB"/>
        </w:rPr>
        <w:t xml:space="preserve">ous year, higher prices related </w:t>
      </w:r>
      <w:r w:rsidRPr="006479D4">
        <w:rPr>
          <w:color w:val="000000" w:themeColor="text1"/>
          <w:lang w:val="en-GB"/>
        </w:rPr>
        <w:t>to </w:t>
      </w:r>
      <w:r w:rsidRPr="006479D4">
        <w:rPr>
          <w:lang w:val="en-GB"/>
        </w:rPr>
        <w:t>Transport</w:t>
      </w:r>
      <w:r w:rsidR="00AF7617" w:rsidRPr="006479D4">
        <w:rPr>
          <w:lang w:val="en-GB"/>
        </w:rPr>
        <w:t xml:space="preserve"> </w:t>
      </w:r>
      <w:r w:rsidRPr="006479D4">
        <w:rPr>
          <w:lang w:val="en-GB"/>
        </w:rPr>
        <w:t>(by</w:t>
      </w:r>
      <w:r w:rsidR="00A07F00" w:rsidRPr="006479D4">
        <w:rPr>
          <w:lang w:val="en-GB"/>
        </w:rPr>
        <w:t> </w:t>
      </w:r>
      <w:r w:rsidR="00596A32" w:rsidRPr="006479D4">
        <w:rPr>
          <w:lang w:val="en-GB"/>
        </w:rPr>
        <w:t>17,8</w:t>
      </w:r>
      <w:r w:rsidR="00674A8B" w:rsidRPr="006479D4">
        <w:rPr>
          <w:lang w:val="en-GB"/>
        </w:rPr>
        <w:t>%)</w:t>
      </w:r>
      <w:r w:rsidRPr="006479D4">
        <w:rPr>
          <w:lang w:val="en-GB"/>
        </w:rPr>
        <w:t xml:space="preserve"> and Dwelling (by</w:t>
      </w:r>
      <w:r w:rsidR="00596A32" w:rsidRPr="006479D4">
        <w:rPr>
          <w:lang w:val="en-GB"/>
        </w:rPr>
        <w:t xml:space="preserve"> 6,1</w:t>
      </w:r>
      <w:r w:rsidR="003A0271" w:rsidRPr="006479D4">
        <w:rPr>
          <w:lang w:val="en-GB"/>
        </w:rPr>
        <w:t xml:space="preserve">%) </w:t>
      </w:r>
      <w:r w:rsidR="001A7E22" w:rsidRPr="006479D4">
        <w:rPr>
          <w:lang w:val="en-GB"/>
        </w:rPr>
        <w:t xml:space="preserve">increased the consumer price index by </w:t>
      </w:r>
      <w:r w:rsidR="003A4977" w:rsidRPr="006479D4">
        <w:rPr>
          <w:lang w:val="en-GB"/>
        </w:rPr>
        <w:t>1,</w:t>
      </w:r>
      <w:r w:rsidR="00596A32" w:rsidRPr="006479D4">
        <w:rPr>
          <w:lang w:val="en-GB"/>
        </w:rPr>
        <w:t>58</w:t>
      </w:r>
      <w:r w:rsidR="001A7E22" w:rsidRPr="006479D4">
        <w:rPr>
          <w:lang w:val="en-GB"/>
        </w:rPr>
        <w:t xml:space="preserve"> p</w:t>
      </w:r>
      <w:r w:rsidR="00A07F00" w:rsidRPr="006479D4">
        <w:rPr>
          <w:lang w:val="en-GB"/>
        </w:rPr>
        <w:t>p</w:t>
      </w:r>
      <w:r w:rsidR="001A7E22" w:rsidRPr="006479D4">
        <w:rPr>
          <w:lang w:val="en-GB"/>
        </w:rPr>
        <w:t xml:space="preserve"> and </w:t>
      </w:r>
      <w:r w:rsidR="00445F90" w:rsidRPr="006479D4">
        <w:rPr>
          <w:lang w:val="en-GB"/>
        </w:rPr>
        <w:t>1,</w:t>
      </w:r>
      <w:r w:rsidR="00596A32" w:rsidRPr="006479D4">
        <w:rPr>
          <w:lang w:val="en-GB"/>
        </w:rPr>
        <w:t>52</w:t>
      </w:r>
      <w:r w:rsidR="0066616C" w:rsidRPr="006479D4">
        <w:rPr>
          <w:lang w:val="en-GB"/>
        </w:rPr>
        <w:t> </w:t>
      </w:r>
      <w:r w:rsidR="003A0271" w:rsidRPr="006479D4">
        <w:rPr>
          <w:lang w:val="en-GB"/>
        </w:rPr>
        <w:t>p</w:t>
      </w:r>
      <w:r w:rsidR="001A7E22" w:rsidRPr="006479D4">
        <w:rPr>
          <w:lang w:val="en-GB"/>
        </w:rPr>
        <w:t>p, respectively</w:t>
      </w:r>
      <w:r w:rsidR="003A0271" w:rsidRPr="006479D4">
        <w:rPr>
          <w:lang w:val="en-GB"/>
        </w:rPr>
        <w:t>.</w:t>
      </w:r>
      <w:r w:rsidR="00F6055C" w:rsidRPr="006479D4">
        <w:rPr>
          <w:lang w:val="en-GB"/>
        </w:rPr>
        <w:t xml:space="preserve"> </w:t>
      </w:r>
    </w:p>
    <w:p w:rsidR="009F17CE" w:rsidRDefault="009F17CE" w:rsidP="0080551D">
      <w:pPr>
        <w:pStyle w:val="tytuwykresu"/>
        <w:ind w:left="794" w:hanging="794"/>
        <w:rPr>
          <w:noProof/>
          <w:lang w:val="en-GB" w:eastAsia="en-GB"/>
        </w:rPr>
      </w:pPr>
    </w:p>
    <w:p w:rsidR="004831DF" w:rsidRDefault="004831DF" w:rsidP="0080551D">
      <w:pPr>
        <w:pStyle w:val="tytuwykresu"/>
        <w:ind w:left="794" w:hanging="794"/>
        <w:rPr>
          <w:noProof/>
          <w:lang w:val="en-GB" w:eastAsia="en-GB"/>
        </w:rPr>
      </w:pPr>
    </w:p>
    <w:p w:rsidR="00832644" w:rsidRPr="00FE1BBD" w:rsidRDefault="001A7E22" w:rsidP="006A2E8C">
      <w:pPr>
        <w:pStyle w:val="tytuwykresu"/>
        <w:ind w:left="635" w:hanging="635"/>
        <w:rPr>
          <w:noProof/>
          <w:lang w:val="en-GB" w:eastAsia="en-GB"/>
        </w:rPr>
      </w:pPr>
      <w:r w:rsidRPr="00133BA4">
        <w:rPr>
          <w:noProof/>
          <w:lang w:val="en-GB" w:eastAsia="en-GB"/>
        </w:rPr>
        <w:t xml:space="preserve">Chart 1. Contribution of price changes of </w:t>
      </w:r>
      <w:r w:rsidRPr="00C441AB">
        <w:rPr>
          <w:noProof/>
          <w:lang w:val="en-GB" w:eastAsia="en-GB"/>
        </w:rPr>
        <w:t xml:space="preserve">selected groups of consumer goods and services </w:t>
      </w:r>
      <w:r w:rsidR="007379EB">
        <w:rPr>
          <w:noProof/>
          <w:lang w:val="en-GB" w:eastAsia="en-GB"/>
        </w:rPr>
        <w:br/>
      </w:r>
      <w:r w:rsidR="00E432CB">
        <w:rPr>
          <w:noProof/>
          <w:lang w:val="en-GB" w:eastAsia="en-GB"/>
        </w:rPr>
        <w:t>in August</w:t>
      </w:r>
      <w:r w:rsidRPr="00C441AB">
        <w:rPr>
          <w:noProof/>
          <w:lang w:val="en-GB" w:eastAsia="en-GB"/>
        </w:rPr>
        <w:t xml:space="preserve"> 2021 (change in pp compared with the previous period)</w:t>
      </w:r>
    </w:p>
    <w:p w:rsidR="009F17CE" w:rsidRDefault="004831DF" w:rsidP="00FE1BBD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3509676" wp14:editId="75A90F18">
            <wp:extent cx="5120640" cy="2663687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6BAF" w:rsidRDefault="00566BAF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1A7E22" w:rsidRDefault="002919A5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71B51103" wp14:editId="4A5AA5B0">
            <wp:simplePos x="0" y="0"/>
            <wp:positionH relativeFrom="column">
              <wp:posOffset>1905</wp:posOffset>
            </wp:positionH>
            <wp:positionV relativeFrom="paragraph">
              <wp:posOffset>389890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1A7E22" w:rsidRPr="00133BA4">
        <w:rPr>
          <w:noProof/>
          <w:lang w:val="en-GB" w:eastAsia="en-GB"/>
        </w:rPr>
        <w:t xml:space="preserve"> </w:t>
      </w:r>
      <w:r w:rsidR="001A7E22" w:rsidRPr="00133BA4">
        <w:rPr>
          <w:b/>
          <w:spacing w:val="-2"/>
          <w:sz w:val="18"/>
          <w:lang w:val="en-GB"/>
        </w:rPr>
        <w:t>2021</w:t>
      </w:r>
    </w:p>
    <w:p w:rsidR="0022272D" w:rsidRPr="001A7E22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1A7E22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1A7E22">
        <w:rPr>
          <w:lang w:val="en-GB"/>
        </w:rPr>
        <w:br w:type="page"/>
      </w:r>
    </w:p>
    <w:p w:rsidR="003A440F" w:rsidRDefault="005B1EA4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3120" behindDoc="0" locked="0" layoutInCell="1" allowOverlap="1" wp14:anchorId="129325AF" wp14:editId="32196EC3">
            <wp:simplePos x="0" y="0"/>
            <wp:positionH relativeFrom="column">
              <wp:posOffset>-106680</wp:posOffset>
            </wp:positionH>
            <wp:positionV relativeFrom="paragraph">
              <wp:posOffset>300355</wp:posOffset>
            </wp:positionV>
            <wp:extent cx="5122545" cy="2519045"/>
            <wp:effectExtent l="0" t="0" r="1905" b="1460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1A7E22" w:rsidRPr="00133BA4">
        <w:rPr>
          <w:lang w:val="en-GB"/>
        </w:rPr>
        <w:t>Chart 3.</w:t>
      </w:r>
      <w:r w:rsidR="001A7E22" w:rsidRPr="00133BA4">
        <w:rPr>
          <w:shd w:val="clear" w:color="auto" w:fill="FFFFFF"/>
          <w:lang w:val="en-GB"/>
        </w:rPr>
        <w:t xml:space="preserve"> Changes in consumer prices as related to </w:t>
      </w:r>
      <w:r w:rsidR="001A7E22" w:rsidRPr="00133BA4">
        <w:rPr>
          <w:lang w:val="en-GB"/>
        </w:rPr>
        <w:t>the previous period (in</w:t>
      </w:r>
      <w:r w:rsidR="001A7E22" w:rsidRPr="00133BA4">
        <w:rPr>
          <w:shd w:val="clear" w:color="auto" w:fill="FFFFFF"/>
          <w:lang w:val="en-GB"/>
        </w:rPr>
        <w:t xml:space="preserve"> %)</w:t>
      </w:r>
    </w:p>
    <w:p w:rsidR="006715EE" w:rsidRPr="001A7E22" w:rsidRDefault="006715EE" w:rsidP="00D4654D">
      <w:pPr>
        <w:pStyle w:val="tytuwykresu"/>
        <w:rPr>
          <w:lang w:val="en-GB"/>
        </w:rPr>
      </w:pPr>
    </w:p>
    <w:p w:rsidR="00034160" w:rsidRPr="001A7E22" w:rsidRDefault="005B1EA4" w:rsidP="00751D7D">
      <w:pPr>
        <w:pStyle w:val="tytuwykresu"/>
        <w:ind w:left="794" w:hanging="794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1008" behindDoc="0" locked="0" layoutInCell="1" allowOverlap="1" wp14:anchorId="14BAED8F" wp14:editId="62383BB2">
            <wp:simplePos x="0" y="0"/>
            <wp:positionH relativeFrom="column">
              <wp:posOffset>-131673</wp:posOffset>
            </wp:positionH>
            <wp:positionV relativeFrom="paragraph">
              <wp:posOffset>293345</wp:posOffset>
            </wp:positionV>
            <wp:extent cx="5122800" cy="26424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3664" behindDoc="1" locked="0" layoutInCell="1" allowOverlap="1" wp14:anchorId="22571713" wp14:editId="021CED9A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1DF" w:rsidRPr="004F4BA0" w:rsidRDefault="004831DF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August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consumer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713" id="Text Box 25" o:spid="_x0000_s1027" type="#_x0000_t202" style="position:absolute;left:0;text-align:left;margin-left:415pt;margin-top:320.25pt;width:135.85pt;height:107.7pt;z-index:-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4831DF" w:rsidRPr="004F4BA0" w:rsidRDefault="004831DF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August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consumer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7E22" w:rsidRPr="00133BA4">
        <w:rPr>
          <w:lang w:val="en-GB"/>
        </w:rPr>
        <w:t>Chart 4.</w:t>
      </w:r>
      <w:r w:rsidR="001A7E22" w:rsidRPr="00133BA4">
        <w:rPr>
          <w:shd w:val="clear" w:color="auto" w:fill="FFFFFF"/>
          <w:lang w:val="en-GB"/>
        </w:rPr>
        <w:t xml:space="preserve"> Changes in c</w:t>
      </w:r>
      <w:r w:rsidR="001A7E22" w:rsidRPr="00133BA4">
        <w:rPr>
          <w:spacing w:val="-4"/>
          <w:lang w:val="en-GB"/>
        </w:rPr>
        <w:t>onsumer prices</w:t>
      </w:r>
      <w:r w:rsidR="001A7E22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1A7E22" w:rsidRPr="00133BA4">
        <w:rPr>
          <w:spacing w:val="-4"/>
          <w:lang w:val="en-GB"/>
        </w:rPr>
        <w:t>corresponding period of the previous year</w:t>
      </w:r>
      <w:r w:rsidR="001A7E22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1A7E22" w:rsidRDefault="00367ACC" w:rsidP="00FE1BBD">
      <w:pPr>
        <w:rPr>
          <w:sz w:val="18"/>
          <w:highlight w:val="yellow"/>
          <w:lang w:val="en-GB"/>
        </w:rPr>
      </w:pPr>
    </w:p>
    <w:p w:rsidR="00FE1BBD" w:rsidRPr="004F4BA0" w:rsidRDefault="004F4BA0" w:rsidP="005B1EA4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>Chart 5.</w:t>
      </w:r>
      <w:r w:rsidRPr="00133BA4">
        <w:rPr>
          <w:shd w:val="clear" w:color="auto" w:fill="FFFFFF"/>
          <w:lang w:val="en-GB"/>
        </w:rPr>
        <w:t xml:space="preserve"> Changes in prices according to c</w:t>
      </w:r>
      <w:r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Pr="00133BA4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DE775D" w:rsidRPr="004F4BA0" w:rsidRDefault="005B1EA4" w:rsidP="004F4BA0">
      <w:pPr>
        <w:pStyle w:val="tytuwykresu"/>
        <w:rPr>
          <w:bCs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5456" behindDoc="0" locked="0" layoutInCell="1" allowOverlap="1" wp14:anchorId="2AD3DB2D" wp14:editId="1C8C29F7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122545" cy="2471420"/>
            <wp:effectExtent l="0" t="0" r="0" b="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6479D4">
        <w:rPr>
          <w:highlight w:val="yellow"/>
          <w:lang w:val="en-GB"/>
        </w:rPr>
        <w:t xml:space="preserve">  </w:t>
      </w:r>
      <w:r w:rsidR="00820461" w:rsidRPr="004F4BA0">
        <w:rPr>
          <w:highlight w:val="yellow"/>
          <w:lang w:val="en-GB"/>
        </w:rPr>
        <w:br w:type="page"/>
      </w:r>
      <w:r w:rsidR="004F4BA0" w:rsidRPr="00133BA4">
        <w:rPr>
          <w:lang w:val="en-GB"/>
        </w:rPr>
        <w:lastRenderedPageBreak/>
        <w:t>Table 2.</w:t>
      </w:r>
      <w:r w:rsidR="004F4BA0" w:rsidRPr="00133BA4">
        <w:rPr>
          <w:shd w:val="clear" w:color="auto" w:fill="FFFFFF"/>
          <w:lang w:val="en-GB"/>
        </w:rPr>
        <w:t xml:space="preserve"> </w:t>
      </w:r>
      <w:r w:rsidR="004F4BA0" w:rsidRPr="00133BA4">
        <w:rPr>
          <w:bCs/>
          <w:shd w:val="clear" w:color="auto" w:fill="FFFFFF"/>
          <w:lang w:val="en-GB"/>
        </w:rPr>
        <w:t>Consumer price indices</w:t>
      </w:r>
      <w:r>
        <w:rPr>
          <w:bCs/>
          <w:shd w:val="clear" w:color="auto" w:fill="FFFFFF"/>
          <w:lang w:val="en-GB"/>
        </w:rPr>
        <w:t xml:space="preserve"> in August</w:t>
      </w:r>
      <w:r w:rsidR="004F4BA0" w:rsidRPr="004F4BA0">
        <w:rPr>
          <w:bCs/>
          <w:shd w:val="clear" w:color="auto" w:fill="FFFFFF"/>
          <w:lang w:val="en-GB"/>
        </w:rPr>
        <w:t xml:space="preserve"> </w:t>
      </w:r>
      <w:r w:rsidR="00751D7D" w:rsidRPr="004F4BA0">
        <w:rPr>
          <w:lang w:val="en-GB"/>
        </w:rPr>
        <w:t>2021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4F4BA0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3BA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E05782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E05782"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E05782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E05782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E05782"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E05782" w:rsidRPr="00FD11D4" w:rsidTr="009661AB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E05782" w:rsidRPr="00FD11D4" w:rsidTr="009661AB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E05782" w:rsidRPr="00133BA4" w:rsidRDefault="00E05782" w:rsidP="00E05782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E05782" w:rsidRPr="00FD11D4" w:rsidTr="009661AB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8D6D8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E05782" w:rsidRPr="00FD11D4" w:rsidTr="00810D6F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E05782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E05782" w:rsidRPr="00FD11D4" w:rsidTr="00810D6F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E05782" w:rsidRPr="00FD11D4" w:rsidTr="009661AB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E05782" w:rsidRPr="00FD11D4" w:rsidTr="009661AB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E05782" w:rsidRPr="00FD11D4" w:rsidTr="009661AB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E05782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E05782" w:rsidRPr="00FD11D4" w:rsidTr="009661AB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810D6F">
        <w:trPr>
          <w:trHeight w:val="29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E05782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E05782" w:rsidRPr="00FD11D4" w:rsidTr="009661AB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E05782" w:rsidRPr="00FD11D4" w:rsidTr="00810D6F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117,8</w:t>
            </w:r>
          </w:p>
        </w:tc>
      </w:tr>
      <w:tr w:rsidR="00E05782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E66A5B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E05782" w:rsidRPr="00FD11D4" w:rsidTr="009661AB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E05782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05782" w:rsidRPr="00FD11D4" w:rsidTr="009661AB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E05782" w:rsidRPr="00FD11D4" w:rsidTr="009661AB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E05782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E05782" w:rsidRPr="00FD11D4" w:rsidTr="00810D6F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133BA4" w:rsidRDefault="00E05782" w:rsidP="00E057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5782" w:rsidRPr="009535EE" w:rsidRDefault="00E05782" w:rsidP="00E0578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122,2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810D6F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val="en-GB" w:eastAsia="pl-PL"/>
        </w:rPr>
      </w:pPr>
    </w:p>
    <w:p w:rsidR="00810D6F" w:rsidRPr="00133BA4" w:rsidRDefault="00810D6F" w:rsidP="00810D6F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7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810D6F" w:rsidRPr="00133BA4" w:rsidRDefault="00810D6F" w:rsidP="00810D6F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0D6F" w:rsidRPr="00133BA4" w:rsidRDefault="00810D6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38624F" w:rsidRDefault="0038624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810D6F" w:rsidRDefault="00810D6F" w:rsidP="00810D6F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810D6F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0470AA" w:rsidRPr="00810D6F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D6F" w:rsidRPr="004831DF" w:rsidTr="00810D6F">
        <w:trPr>
          <w:trHeight w:val="1912"/>
        </w:trPr>
        <w:tc>
          <w:tcPr>
            <w:tcW w:w="4356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10D6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D6F" w:rsidRPr="004831DF" w:rsidTr="00496B80">
        <w:trPr>
          <w:trHeight w:val="610"/>
        </w:trPr>
        <w:tc>
          <w:tcPr>
            <w:tcW w:w="2721" w:type="pct"/>
            <w:vMerge w:val="restart"/>
          </w:tcPr>
          <w:p w:rsidR="00810D6F" w:rsidRPr="00133BA4" w:rsidRDefault="00810D6F" w:rsidP="00496B80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810D6F" w:rsidRPr="00133BA4" w:rsidRDefault="00810D6F" w:rsidP="00496B80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hyperlink r:id="rId22" w:history="1">
              <w:r w:rsidRPr="00133BA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2144" behindDoc="0" locked="0" layoutInCell="1" allowOverlap="1" wp14:anchorId="4832A054" wp14:editId="593D87D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D6F" w:rsidRPr="00133BA4" w:rsidRDefault="000B0CD3" w:rsidP="00496B80">
            <w:pPr>
              <w:rPr>
                <w:color w:val="000000" w:themeColor="text1"/>
                <w:sz w:val="18"/>
                <w:lang w:val="en-GB"/>
              </w:rPr>
            </w:pPr>
            <w:hyperlink r:id="rId24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3168" behindDoc="0" locked="0" layoutInCell="1" allowOverlap="1" wp14:anchorId="2890137A" wp14:editId="3A47EBC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0B0CD3" w:rsidP="000470AA">
            <w:pPr>
              <w:rPr>
                <w:sz w:val="18"/>
              </w:rPr>
            </w:pPr>
            <w:hyperlink r:id="rId26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4192" behindDoc="0" locked="0" layoutInCell="1" allowOverlap="1" wp14:anchorId="742D6E42" wp14:editId="0DEBDDE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0B0CD3" w:rsidP="000470AA">
            <w:pPr>
              <w:rPr>
                <w:sz w:val="20"/>
              </w:rPr>
            </w:pPr>
            <w:hyperlink r:id="rId28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CADA1FE" wp14:editId="1C2C5F6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DF" w:rsidRDefault="004831DF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831DF" w:rsidRPr="00941435" w:rsidRDefault="004831DF" w:rsidP="00810D6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831DF" w:rsidRPr="00941435" w:rsidRDefault="004831D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831DF" w:rsidRPr="00941435" w:rsidRDefault="004831D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31DF" w:rsidRPr="00941435" w:rsidRDefault="004831D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831DF" w:rsidRPr="00941435" w:rsidRDefault="004831D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31DF" w:rsidRPr="00941435" w:rsidRDefault="004831D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831DF" w:rsidRPr="00941435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4831DF" w:rsidRPr="00566A43" w:rsidRDefault="000B0CD3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4831D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A1FE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4831DF" w:rsidRDefault="004831DF" w:rsidP="00883763">
                      <w:pPr>
                        <w:rPr>
                          <w:b/>
                        </w:rPr>
                      </w:pPr>
                    </w:p>
                    <w:p w:rsidR="004831DF" w:rsidRPr="00941435" w:rsidRDefault="004831DF" w:rsidP="00810D6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831DF" w:rsidRPr="00941435" w:rsidRDefault="004831D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831DF" w:rsidRPr="00941435" w:rsidRDefault="004831D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31DF" w:rsidRPr="00941435" w:rsidRDefault="004831D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831DF" w:rsidRPr="00941435" w:rsidRDefault="004831D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31DF" w:rsidRPr="00941435" w:rsidRDefault="004831D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831DF" w:rsidRPr="00941435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4831DF" w:rsidRPr="00566A43" w:rsidRDefault="000B0CD3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4831DF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CD3" w:rsidRDefault="000B0CD3" w:rsidP="000662E2">
      <w:pPr>
        <w:spacing w:after="0" w:line="240" w:lineRule="auto"/>
      </w:pPr>
      <w:r>
        <w:separator/>
      </w:r>
    </w:p>
  </w:endnote>
  <w:endnote w:type="continuationSeparator" w:id="0">
    <w:p w:rsidR="000B0CD3" w:rsidRDefault="000B0C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913465"/>
      <w:docPartObj>
        <w:docPartGallery w:val="Page Numbers (Bottom of Page)"/>
        <w:docPartUnique/>
      </w:docPartObj>
    </w:sdtPr>
    <w:sdtEndPr/>
    <w:sdtContent>
      <w:p w:rsidR="004831DF" w:rsidRDefault="004831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957311"/>
      <w:docPartObj>
        <w:docPartGallery w:val="Page Numbers (Bottom of Page)"/>
        <w:docPartUnique/>
      </w:docPartObj>
    </w:sdtPr>
    <w:sdtEndPr/>
    <w:sdtContent>
      <w:p w:rsidR="004831DF" w:rsidRDefault="004831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4831DF" w:rsidRDefault="004831D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CD3" w:rsidRDefault="000B0CD3" w:rsidP="000662E2">
      <w:pPr>
        <w:spacing w:after="0" w:line="240" w:lineRule="auto"/>
      </w:pPr>
      <w:r>
        <w:separator/>
      </w:r>
    </w:p>
  </w:footnote>
  <w:footnote w:type="continuationSeparator" w:id="0">
    <w:p w:rsidR="000B0CD3" w:rsidRDefault="000B0C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DF" w:rsidRDefault="004831DF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8BAE55" wp14:editId="38ABEC6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FEA6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4831DF" w:rsidRDefault="004831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DF" w:rsidRDefault="004831DF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9969D0" wp14:editId="367D1918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E632E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3880F6" wp14:editId="2AB85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31DF" w:rsidRPr="003C6C8D" w:rsidRDefault="004831D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880F6"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31DF" w:rsidRPr="003C6C8D" w:rsidRDefault="004831D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7CC828C5" wp14:editId="25D1078D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4831DF" w:rsidRDefault="004831DF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1B7AF9" wp14:editId="3C4978A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1DF" w:rsidRPr="00C97596" w:rsidRDefault="004831D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B7A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31DF" w:rsidRPr="00C97596" w:rsidRDefault="004831D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DF" w:rsidRDefault="004831DF">
    <w:pPr>
      <w:pStyle w:val="Nagwek"/>
    </w:pPr>
  </w:p>
  <w:p w:rsidR="004831DF" w:rsidRDefault="00483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" o:bullet="t">
        <v:imagedata r:id="rId1" o:title=""/>
      </v:shape>
    </w:pict>
  </w:numPicBullet>
  <w:numPicBullet w:numPicBulletId="1">
    <w:pict>
      <v:shape id="_x0000_i1029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94D"/>
    <w:rsid w:val="00001C5B"/>
    <w:rsid w:val="00003437"/>
    <w:rsid w:val="0000709F"/>
    <w:rsid w:val="000108B8"/>
    <w:rsid w:val="000121D0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4E13"/>
    <w:rsid w:val="000A6963"/>
    <w:rsid w:val="000A7F1A"/>
    <w:rsid w:val="000B0727"/>
    <w:rsid w:val="000B0CD3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06A2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A7E22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65092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9A5"/>
    <w:rsid w:val="002926DF"/>
    <w:rsid w:val="00292DBF"/>
    <w:rsid w:val="00296697"/>
    <w:rsid w:val="002A2C38"/>
    <w:rsid w:val="002A36C0"/>
    <w:rsid w:val="002A3B0B"/>
    <w:rsid w:val="002A4D80"/>
    <w:rsid w:val="002A7E9B"/>
    <w:rsid w:val="002B0472"/>
    <w:rsid w:val="002B6B12"/>
    <w:rsid w:val="002C4289"/>
    <w:rsid w:val="002C4659"/>
    <w:rsid w:val="002D0020"/>
    <w:rsid w:val="002D0170"/>
    <w:rsid w:val="002D24A5"/>
    <w:rsid w:val="002E10E8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33C3F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17C5"/>
    <w:rsid w:val="00371B6F"/>
    <w:rsid w:val="00372411"/>
    <w:rsid w:val="00372E66"/>
    <w:rsid w:val="00373882"/>
    <w:rsid w:val="003751B5"/>
    <w:rsid w:val="003843DB"/>
    <w:rsid w:val="00384BFA"/>
    <w:rsid w:val="0038624F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1EE"/>
    <w:rsid w:val="003C6C8D"/>
    <w:rsid w:val="003D00E5"/>
    <w:rsid w:val="003D3B24"/>
    <w:rsid w:val="003D4F95"/>
    <w:rsid w:val="003D5F42"/>
    <w:rsid w:val="003D60A9"/>
    <w:rsid w:val="003F3CCF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831DF"/>
    <w:rsid w:val="00491B74"/>
    <w:rsid w:val="00493217"/>
    <w:rsid w:val="004957AB"/>
    <w:rsid w:val="0049621B"/>
    <w:rsid w:val="00496B80"/>
    <w:rsid w:val="0049705B"/>
    <w:rsid w:val="004B2EAB"/>
    <w:rsid w:val="004C1895"/>
    <w:rsid w:val="004C4610"/>
    <w:rsid w:val="004C6D40"/>
    <w:rsid w:val="004F0C3C"/>
    <w:rsid w:val="004F4BA0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66BAF"/>
    <w:rsid w:val="00571BA5"/>
    <w:rsid w:val="005762A7"/>
    <w:rsid w:val="0058676C"/>
    <w:rsid w:val="005877DE"/>
    <w:rsid w:val="005916D7"/>
    <w:rsid w:val="00593CF4"/>
    <w:rsid w:val="00596A32"/>
    <w:rsid w:val="005A047A"/>
    <w:rsid w:val="005A2784"/>
    <w:rsid w:val="005A698C"/>
    <w:rsid w:val="005B1EA4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628E"/>
    <w:rsid w:val="00631DAD"/>
    <w:rsid w:val="00633014"/>
    <w:rsid w:val="0063437B"/>
    <w:rsid w:val="006476FF"/>
    <w:rsid w:val="006479D4"/>
    <w:rsid w:val="0066542B"/>
    <w:rsid w:val="0066616C"/>
    <w:rsid w:val="006673CA"/>
    <w:rsid w:val="006715EE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2E8C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701C5E"/>
    <w:rsid w:val="007034D7"/>
    <w:rsid w:val="00703643"/>
    <w:rsid w:val="00705576"/>
    <w:rsid w:val="007059D5"/>
    <w:rsid w:val="007162EB"/>
    <w:rsid w:val="007211B1"/>
    <w:rsid w:val="0072400B"/>
    <w:rsid w:val="00724688"/>
    <w:rsid w:val="007324DB"/>
    <w:rsid w:val="00733D55"/>
    <w:rsid w:val="007364D7"/>
    <w:rsid w:val="007379EB"/>
    <w:rsid w:val="00746187"/>
    <w:rsid w:val="00751D7D"/>
    <w:rsid w:val="00752A67"/>
    <w:rsid w:val="00761070"/>
    <w:rsid w:val="0076254F"/>
    <w:rsid w:val="0077194A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C44"/>
    <w:rsid w:val="007E2EAA"/>
    <w:rsid w:val="007E3314"/>
    <w:rsid w:val="007E4B03"/>
    <w:rsid w:val="007F324B"/>
    <w:rsid w:val="007F4D36"/>
    <w:rsid w:val="00802A9A"/>
    <w:rsid w:val="0080551D"/>
    <w:rsid w:val="0080553C"/>
    <w:rsid w:val="00805B46"/>
    <w:rsid w:val="00810D6F"/>
    <w:rsid w:val="008153B3"/>
    <w:rsid w:val="00820461"/>
    <w:rsid w:val="00820B10"/>
    <w:rsid w:val="00823290"/>
    <w:rsid w:val="0082498D"/>
    <w:rsid w:val="00825DC2"/>
    <w:rsid w:val="00831172"/>
    <w:rsid w:val="00832644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0E23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0F01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093A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17CE"/>
    <w:rsid w:val="009F5815"/>
    <w:rsid w:val="009F5CBC"/>
    <w:rsid w:val="00A02BE1"/>
    <w:rsid w:val="00A04E4F"/>
    <w:rsid w:val="00A07F00"/>
    <w:rsid w:val="00A12435"/>
    <w:rsid w:val="00A139F5"/>
    <w:rsid w:val="00A14D69"/>
    <w:rsid w:val="00A20EA7"/>
    <w:rsid w:val="00A2136A"/>
    <w:rsid w:val="00A34A25"/>
    <w:rsid w:val="00A34C24"/>
    <w:rsid w:val="00A35CAE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D07D6"/>
    <w:rsid w:val="00AD0B46"/>
    <w:rsid w:val="00AD17A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9E2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66B66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702F"/>
    <w:rsid w:val="00C441AB"/>
    <w:rsid w:val="00C4500A"/>
    <w:rsid w:val="00C45479"/>
    <w:rsid w:val="00C47D65"/>
    <w:rsid w:val="00C55C91"/>
    <w:rsid w:val="00C62E44"/>
    <w:rsid w:val="00C64A37"/>
    <w:rsid w:val="00C662A5"/>
    <w:rsid w:val="00C70CE0"/>
    <w:rsid w:val="00C7158E"/>
    <w:rsid w:val="00C7250B"/>
    <w:rsid w:val="00C7346B"/>
    <w:rsid w:val="00C73B5E"/>
    <w:rsid w:val="00C77C0E"/>
    <w:rsid w:val="00C8000E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72F40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05782"/>
    <w:rsid w:val="00E17A9F"/>
    <w:rsid w:val="00E17B77"/>
    <w:rsid w:val="00E23337"/>
    <w:rsid w:val="00E23761"/>
    <w:rsid w:val="00E23D49"/>
    <w:rsid w:val="00E259EA"/>
    <w:rsid w:val="00E27E85"/>
    <w:rsid w:val="00E30793"/>
    <w:rsid w:val="00E32061"/>
    <w:rsid w:val="00E37F13"/>
    <w:rsid w:val="00E41FCF"/>
    <w:rsid w:val="00E42FF9"/>
    <w:rsid w:val="00E432CB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1173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055C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47F7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E1BBD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EDC0FB-2448-4C87-A7DE-1B3BF9D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twitter.com/StatPoland" TargetMode="External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https://stat.gov.pl/en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5-4210-962C-F85450415726}"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5-4210-962C-F85450415726}"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5-4210-962C-F85450415726}"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5-4210-962C-F85450415726}"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5-4210-962C-F85450415726}"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5-4210-962C-F85450415726}"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5-4210-962C-F85450415726}"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5-4210-962C-F85450415726}"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5-4210-962C-F85450415726}"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5-4210-962C-F85450415726}"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5-4210-962C-F854504157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WPŁYWY!$A$60:$A$69</c:f>
              <c:strCache>
                <c:ptCount val="10"/>
                <c:pt idx="0">
                  <c:v>Vegetables</c:v>
                </c:pt>
                <c:pt idx="1">
                  <c:v>Household furniture</c:v>
                </c:pt>
                <c:pt idx="2">
                  <c:v>Garments</c:v>
                </c:pt>
                <c:pt idx="3">
                  <c:v>Meat</c:v>
                </c:pt>
                <c:pt idx="4">
                  <c:v>Insurance</c:v>
                </c:pt>
                <c:pt idx="5">
                  <c:v>Bread and cereals</c:v>
                </c:pt>
                <c:pt idx="6">
                  <c:v>Catering services</c:v>
                </c:pt>
                <c:pt idx="7">
                  <c:v>Telephone and telefax services</c:v>
                </c:pt>
                <c:pt idx="8">
                  <c:v>Fuels for personal transport equipment</c:v>
                </c:pt>
                <c:pt idx="9">
                  <c:v>Electricity, gas and other fuels</c:v>
                </c:pt>
              </c:strCache>
            </c:strRef>
          </c:cat>
          <c:val>
            <c:numRef>
              <c:f>WPŁYWY!$C$60:$C$69</c:f>
              <c:numCache>
                <c:formatCode>0.00</c:formatCode>
                <c:ptCount val="10"/>
                <c:pt idx="0">
                  <c:v>-0.13</c:v>
                </c:pt>
                <c:pt idx="1">
                  <c:v>-0.03</c:v>
                </c:pt>
                <c:pt idx="2">
                  <c:v>-0.03</c:v>
                </c:pt>
                <c:pt idx="3">
                  <c:v>-0.02</c:v>
                </c:pt>
                <c:pt idx="4">
                  <c:v>0.02</c:v>
                </c:pt>
                <c:pt idx="5">
                  <c:v>0.02</c:v>
                </c:pt>
                <c:pt idx="6">
                  <c:v>0.03</c:v>
                </c:pt>
                <c:pt idx="7">
                  <c:v>0.04</c:v>
                </c:pt>
                <c:pt idx="8">
                  <c:v>0.11</c:v>
                </c:pt>
                <c:pt idx="9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7C5-4210-962C-F854504157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610944"/>
        <c:axId val="54625024"/>
      </c:barChart>
      <c:catAx>
        <c:axId val="5461094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4625024"/>
        <c:crossesAt val="0"/>
        <c:auto val="1"/>
        <c:lblAlgn val="ctr"/>
        <c:lblOffset val="200"/>
        <c:tickMarkSkip val="1"/>
        <c:noMultiLvlLbl val="0"/>
      </c:catAx>
      <c:valAx>
        <c:axId val="54625024"/>
        <c:scaling>
          <c:orientation val="minMax"/>
          <c:max val="0.15000000000000002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4610944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2-4EE6-941E-6DDB9F1C8D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037504"/>
        <c:axId val="52040448"/>
      </c:barChart>
      <c:catAx>
        <c:axId val="5203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52040448"/>
        <c:crosses val="autoZero"/>
        <c:auto val="0"/>
        <c:lblAlgn val="ctr"/>
        <c:lblOffset val="100"/>
        <c:noMultiLvlLbl val="0"/>
      </c:catAx>
      <c:valAx>
        <c:axId val="5204044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52037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0-30BB-4C00-A102-380F21E8A2E6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01-30BB-4C00-A102-380F21E8A2E6}"/>
              </c:ext>
            </c:extLst>
          </c:dPt>
          <c:dLbls>
            <c:dLbl>
              <c:idx val="0"/>
              <c:layout>
                <c:manualLayout>
                  <c:x val="-5.5294194584918237E-2"/>
                  <c:y val="-1.3542433739770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BB-4C00-A102-380F21E8A2E6}"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BB-4C00-A102-380F21E8A2E6}"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BB-4C00-A102-380F21E8A2E6}"/>
                </c:ext>
              </c:extLst>
            </c:dLbl>
            <c:dLbl>
              <c:idx val="3"/>
              <c:layout>
                <c:manualLayout>
                  <c:x val="-5.9820069906657745E-2"/>
                  <c:y val="3.018167599229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BB-4C00-A102-380F21E8A2E6}"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BB-4C00-A102-380F21E8A2E6}"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BB-4C00-A102-380F21E8A2E6}"/>
                </c:ext>
              </c:extLst>
            </c:dLbl>
            <c:dLbl>
              <c:idx val="6"/>
              <c:layout>
                <c:manualLayout>
                  <c:x val="-3.5056988274383187E-2"/>
                  <c:y val="3.6881040235485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0BB-4C00-A102-380F21E8A2E6}"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0BB-4C00-A102-380F21E8A2E6}"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0BB-4C00-A102-380F21E8A2E6}"/>
                </c:ext>
              </c:extLst>
            </c:dLbl>
            <c:dLbl>
              <c:idx val="9"/>
              <c:layout>
                <c:manualLayout>
                  <c:x val="-3.0938332410940263E-2"/>
                  <c:y val="-3.4976747140285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0BB-4C00-A102-380F21E8A2E6}"/>
                </c:ext>
              </c:extLst>
            </c:dLbl>
            <c:dLbl>
              <c:idx val="10"/>
              <c:layout>
                <c:manualLayout>
                  <c:x val="-6.8120436228477181E-3"/>
                  <c:y val="-3.4434875121325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0BB-4C00-A102-380F21E8A2E6}"/>
                </c:ext>
              </c:extLst>
            </c:dLbl>
            <c:dLbl>
              <c:idx val="11"/>
              <c:layout>
                <c:manualLayout>
                  <c:x val="-8.2248179371777114E-2"/>
                  <c:y val="-3.6531304522150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0BB-4C00-A102-380F21E8A2E6}"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0BB-4C00-A102-380F21E8A2E6}"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0BB-4C00-A102-380F21E8A2E6}"/>
                </c:ext>
              </c:extLst>
            </c:dLbl>
            <c:dLbl>
              <c:idx val="14"/>
              <c:layout>
                <c:manualLayout>
                  <c:x val="-2.0793570383471498E-2"/>
                  <c:y val="-2.618055652042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0BB-4C00-A102-380F21E8A2E6}"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0BB-4C00-A102-380F21E8A2E6}"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0BB-4C00-A102-380F21E8A2E6}"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0BB-4C00-A102-380F21E8A2E6}"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0BB-4C00-A102-380F21E8A2E6}"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0BB-4C00-A102-380F21E8A2E6}"/>
                </c:ext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0BB-4C00-A102-380F21E8A2E6}"/>
                </c:ext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0BB-4C00-A102-380F21E8A2E6}"/>
                </c:ext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30BB-4C00-A102-380F21E8A2E6}"/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0BB-4C00-A102-380F21E8A2E6}"/>
                </c:ext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BB-4C00-A102-380F21E8A2E6}"/>
                </c:ext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BB-4C00-A102-380F21E8A2E6}"/>
                </c:ext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0BB-4C00-A102-380F21E8A2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'M-1'!$B$50:$B$69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'M-1'!$C$50:$C$69</c:f>
              <c:numCache>
                <c:formatCode>0.0</c:formatCode>
                <c:ptCount val="20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0BB-4C00-A102-380F21E8A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102272"/>
        <c:axId val="52103808"/>
      </c:lineChart>
      <c:dateAx>
        <c:axId val="521022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2103808"/>
        <c:crossesAt val="0"/>
        <c:auto val="0"/>
        <c:lblOffset val="100"/>
        <c:baseTimeUnit val="days"/>
      </c:dateAx>
      <c:valAx>
        <c:axId val="5210380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2102272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00-AA2A-4A17-84F2-6B552DE410BD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1-AA2A-4A17-84F2-6B552DE410BD}"/>
              </c:ext>
            </c:extLst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AA2A-4A17-84F2-6B552DE410BD}"/>
              </c:ext>
            </c:extLst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2A-4A17-84F2-6B552DE410BD}"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2A-4A17-84F2-6B552DE410BD}"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2A-4A17-84F2-6B552DE410BD}"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2A-4A17-84F2-6B552DE410BD}"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2A-4A17-84F2-6B552DE410BD}"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2A-4A17-84F2-6B552DE410BD}"/>
                </c:ext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2A-4A17-84F2-6B552DE410BD}"/>
                </c:ext>
              </c:extLst>
            </c:dLbl>
            <c:dLbl>
              <c:idx val="7"/>
              <c:layout>
                <c:manualLayout>
                  <c:x val="-4.9063307398958915E-2"/>
                  <c:y val="2.7683381682552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2A-4A17-84F2-6B552DE410BD}"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2A-4A17-84F2-6B552DE410BD}"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2A-4A17-84F2-6B552DE410BD}"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2A-4A17-84F2-6B552DE410BD}"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2A-4A17-84F2-6B552DE410BD}"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2A-4A17-84F2-6B552DE410BD}"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2A-4A17-84F2-6B552DE410BD}"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A2A-4A17-84F2-6B552DE410BD}"/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2A-4A17-84F2-6B552DE410BD}"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AA2A-4A17-84F2-6B552DE410BD}"/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2A-4A17-84F2-6B552DE410BD}"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A2A-4A17-84F2-6B552DE410BD}"/>
                </c:ext>
              </c:extLst>
            </c:dLbl>
            <c:dLbl>
              <c:idx val="19"/>
              <c:layout>
                <c:manualLayout>
                  <c:x val="-1.1154074490688663E-2"/>
                  <c:y val="-6.68034682496961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A2A-4A17-84F2-6B552DE410BD}"/>
                </c:ext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A2A-4A17-84F2-6B552DE410BD}"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A2A-4A17-84F2-6B552DE410BD}"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A2A-4A17-84F2-6B552DE410BD}"/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A2A-4A17-84F2-6B552DE410BD}"/>
                </c:ext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2A-4A17-84F2-6B552DE410BD}"/>
                </c:ext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AA2A-4A17-84F2-6B552DE410BD}"/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A2A-4A17-84F2-6B552DE410BD}"/>
                </c:ext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2A-4A17-84F2-6B552DE410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(+FE)'!$B$50:$B$69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'M-12 (+FE)'!$C$50:$C$69</c:f>
              <c:numCache>
                <c:formatCode>0.0</c:formatCode>
                <c:ptCount val="20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A2A-4A17-84F2-6B552DE41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515968"/>
        <c:axId val="52517504"/>
      </c:lineChart>
      <c:dateAx>
        <c:axId val="525159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2517504"/>
        <c:crossesAt val="0"/>
        <c:auto val="0"/>
        <c:lblOffset val="100"/>
        <c:baseTimeUnit val="days"/>
      </c:dateAx>
      <c:valAx>
        <c:axId val="5251750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5251596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m-12'!$B$51:$B$70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'CPI_HICP m-12'!$C$51:$C$70</c:f>
              <c:numCache>
                <c:formatCode>0.0</c:formatCode>
                <c:ptCount val="20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A5-4F41-896B-602D25E07DCA}"/>
            </c:ext>
          </c:extLst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m-12'!$B$51:$B$70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'CPI_HICP m-12'!$E$51:$E$69</c:f>
              <c:numCache>
                <c:formatCode>0.0</c:formatCode>
                <c:ptCount val="19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A5-4F41-896B-602D25E07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633600"/>
        <c:axId val="52635136"/>
      </c:lineChart>
      <c:catAx>
        <c:axId val="5263360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26351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2635136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2633600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2779652535"/>
          <c:y val="0.64999635836887293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0.93432</cdr:y>
    </cdr:from>
    <cdr:to>
      <cdr:x>0.58435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353586"/>
          <a:ext cx="2638213" cy="165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0.58208</cdr:x>
      <cdr:y>0.93116</cdr:y>
    </cdr:from>
    <cdr:to>
      <cdr:x>0.93126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981731" y="2345635"/>
          <a:ext cx="1788690" cy="1734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0.58399</cdr:x>
      <cdr:y>0.86568</cdr:y>
    </cdr:from>
    <cdr:to>
      <cdr:x>0.58399</cdr:x>
      <cdr:y>0.93585</cdr:y>
    </cdr:to>
    <cdr:cxnSp macro="">
      <cdr:nvCxnSpPr>
        <cdr:cNvPr id="7" name="Łącznik prosty 6"/>
        <cdr:cNvCxnSpPr/>
      </cdr:nvCxnSpPr>
      <cdr:spPr>
        <a:xfrm xmlns:a="http://schemas.openxmlformats.org/drawingml/2006/main">
          <a:off x="2991494" y="2180698"/>
          <a:ext cx="0" cy="176762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0.06913</cdr:x>
      <cdr:y>0.52211</cdr:y>
    </cdr:from>
    <cdr:to>
      <cdr:x>0.92761</cdr:x>
      <cdr:y>0.52411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54131" y="1379528"/>
          <a:ext cx="4397577" cy="528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0.38777</cdr:y>
    </cdr:from>
    <cdr:to>
      <cdr:x>0.9278</cdr:x>
      <cdr:y>0.38846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44067" y="1013548"/>
          <a:ext cx="4395404" cy="180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0.92687</cdr:y>
    </cdr:from>
    <cdr:to>
      <cdr:x>0.58565</cdr:x>
      <cdr:y>0.99909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49002"/>
          <a:ext cx="2642567" cy="1908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0.38085</cdr:x>
      <cdr:y>0.31792</cdr:y>
    </cdr:from>
    <cdr:to>
      <cdr:x>0.68189</cdr:x>
      <cdr:y>0.41558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946569" y="820329"/>
          <a:ext cx="1538639" cy="251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0.38534</cdr:x>
      <cdr:y>0.66151</cdr:y>
    </cdr:from>
    <cdr:to>
      <cdr:x>0.68629</cdr:x>
      <cdr:y>0.75917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978903" y="1681024"/>
          <a:ext cx="1545524" cy="2481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0.72243</cdr:x>
      <cdr:y>0.51935</cdr:y>
    </cdr:from>
    <cdr:to>
      <cdr:x>0.91394</cdr:x>
      <cdr:y>0.6002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00680" y="1372245"/>
          <a:ext cx="981019" cy="213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0.58689</cdr:x>
      <cdr:y>0.92988</cdr:y>
    </cdr:from>
    <cdr:to>
      <cdr:x>0.92863</cdr:x>
      <cdr:y>0.99909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006370" y="2456953"/>
          <a:ext cx="1750579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0.07187</cdr:x>
      <cdr:y>0.66068</cdr:y>
    </cdr:from>
    <cdr:to>
      <cdr:x>0.9273</cdr:x>
      <cdr:y>0.66293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>
          <a:off x="368135" y="1745673"/>
          <a:ext cx="4381994" cy="593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0.5835</cdr:x>
      <cdr:y>0.86879</cdr:y>
    </cdr:from>
    <cdr:to>
      <cdr:x>0.5835</cdr:x>
      <cdr:y>0.93823</cdr:y>
    </cdr:to>
    <cdr:cxnSp macro="">
      <cdr:nvCxnSpPr>
        <cdr:cNvPr id="17" name="Łącznik prosty 16"/>
        <cdr:cNvCxnSpPr/>
      </cdr:nvCxnSpPr>
      <cdr:spPr bwMode="auto">
        <a:xfrm xmlns:a="http://schemas.openxmlformats.org/drawingml/2006/main">
          <a:off x="2989009" y="2295559"/>
          <a:ext cx="0" cy="18347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0.92337</cdr:y>
    </cdr:from>
    <cdr:to>
      <cdr:x>0.5848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82024"/>
          <a:ext cx="2661981" cy="1893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0.58344</cdr:x>
      <cdr:y>0.85154</cdr:y>
    </cdr:from>
    <cdr:to>
      <cdr:x>0.58344</cdr:x>
      <cdr:y>0.92578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2988690" y="2104503"/>
          <a:ext cx="0" cy="18347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0.17479</cdr:x>
      <cdr:y>0.6128</cdr:y>
    </cdr:from>
    <cdr:to>
      <cdr:x>0.4444</cdr:x>
      <cdr:y>0.70144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895350" y="1514475"/>
          <a:ext cx="13811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0.58347</cdr:x>
      <cdr:y>0.92337</cdr:y>
    </cdr:from>
    <cdr:to>
      <cdr:x>0.93249</cdr:x>
      <cdr:y>0.99736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988851" y="2282025"/>
          <a:ext cx="1787871" cy="182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2CB92-281A-41CB-A318-15FFCED0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2021-06-14T12:53:00Z</cp:lastPrinted>
  <dcterms:created xsi:type="dcterms:W3CDTF">2021-09-15T06:35:00Z</dcterms:created>
  <dcterms:modified xsi:type="dcterms:W3CDTF">2021-09-15T06:35:00Z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