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drawings/drawing1.xml" ContentType="application/vnd.openxmlformats-officedocument.drawingml.chartshapes+xml"/>
  <Override PartName="/word/charts/chart4.xml" ContentType="application/vnd.openxmlformats-officedocument.drawingml.chart+xml"/>
  <Override PartName="/word/theme/themeOverride1.xml" ContentType="application/vnd.openxmlformats-officedocument.themeOverride+xml"/>
  <Override PartName="/word/drawings/drawing2.xml" ContentType="application/vnd.openxmlformats-officedocument.drawingml.chartshapes+xml"/>
  <Override PartName="/word/charts/chart5.xml" ContentType="application/vnd.openxmlformats-officedocument.drawingml.chart+xml"/>
  <Override PartName="/word/drawings/drawing3.xml" ContentType="application/vnd.openxmlformats-officedocument.drawingml.chartshap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123" w:rsidRPr="00EF4AEA" w:rsidRDefault="00051683" w:rsidP="00685123">
      <w:pPr>
        <w:pStyle w:val="tytuinformacji"/>
        <w:rPr>
          <w:lang w:val="en-GB"/>
        </w:rPr>
      </w:pPr>
      <w:r w:rsidRPr="00EF4AEA">
        <w:rPr>
          <w:lang w:val="en-GB"/>
        </w:rPr>
        <w:t xml:space="preserve">Consumer price indices in June </w:t>
      </w:r>
      <w:r w:rsidR="007C161B" w:rsidRPr="00EF4AEA">
        <w:rPr>
          <w:lang w:val="en-GB"/>
        </w:rPr>
        <w:t>2021</w:t>
      </w:r>
    </w:p>
    <w:p w:rsidR="00AD4947" w:rsidRPr="00EF4AEA" w:rsidRDefault="00AD4947" w:rsidP="00AD4947">
      <w:pPr>
        <w:pStyle w:val="tytuinformacji"/>
        <w:rPr>
          <w:sz w:val="32"/>
          <w:szCs w:val="32"/>
          <w:lang w:val="en-GB"/>
        </w:rPr>
      </w:pPr>
    </w:p>
    <w:p w:rsidR="00B37F5A" w:rsidRPr="00EF4AEA" w:rsidRDefault="009E3F12" w:rsidP="007D3588">
      <w:pPr>
        <w:pStyle w:val="LID"/>
        <w:tabs>
          <w:tab w:val="left" w:pos="6946"/>
        </w:tabs>
        <w:spacing w:after="0"/>
        <w:rPr>
          <w:lang w:val="en-GB" w:eastAsia="en-GB"/>
        </w:rPr>
      </w:pPr>
      <w:r w:rsidRPr="00EF4AEA">
        <w:rPr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FE691CE" wp14:editId="2B747004">
                <wp:simplePos x="0" y="0"/>
                <wp:positionH relativeFrom="margin">
                  <wp:align>left</wp:align>
                </wp:positionH>
                <wp:positionV relativeFrom="paragraph">
                  <wp:posOffset>87630</wp:posOffset>
                </wp:positionV>
                <wp:extent cx="1828800" cy="1181735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18173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7F83" w:rsidRPr="00051683" w:rsidRDefault="00677F83" w:rsidP="00D538E4">
                            <w:pPr>
                              <w:spacing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noProof/>
                                <w:color w:val="001D77"/>
                                <w:sz w:val="22"/>
                                <w:lang w:val="en-GB" w:eastAsia="en-GB"/>
                              </w:rPr>
                              <w:drawing>
                                <wp:inline distT="0" distB="0" distL="0" distR="0" wp14:anchorId="47C46FB5" wp14:editId="55FE53A3">
                                  <wp:extent cx="334645" cy="334645"/>
                                  <wp:effectExtent l="19050" t="0" r="8255" b="0"/>
                                  <wp:docPr id="2" name="Obraz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az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4645" cy="334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051683">
                              <w:rPr>
                                <w:noProof/>
                                <w:color w:val="001D77"/>
                                <w:lang w:val="en-GB" w:eastAsia="pl-PL"/>
                              </w:rPr>
                              <w:t xml:space="preserve"> </w:t>
                            </w:r>
                            <w:r w:rsidRPr="00051683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  <w:t>4.4%</w:t>
                            </w:r>
                          </w:p>
                          <w:p w:rsidR="00677F83" w:rsidRPr="00051683" w:rsidRDefault="00677F83" w:rsidP="00B37F5A">
                            <w:pPr>
                              <w:pStyle w:val="tekstnaniebieskimtle"/>
                              <w:rPr>
                                <w:color w:val="FFFFFF" w:themeColor="background1"/>
                                <w:sz w:val="18"/>
                                <w:szCs w:val="20"/>
                                <w:lang w:val="en-GB"/>
                              </w:rPr>
                            </w:pPr>
                            <w:r w:rsidRPr="00AC3D2C">
                              <w:rPr>
                                <w:lang w:val="en-GB"/>
                              </w:rPr>
                              <w:t xml:space="preserve">an increase compared </w:t>
                            </w:r>
                            <w:r>
                              <w:rPr>
                                <w:lang w:val="en-GB"/>
                              </w:rPr>
                              <w:t>with the corresponding month of </w:t>
                            </w:r>
                            <w:r w:rsidRPr="00AC3D2C">
                              <w:rPr>
                                <w:lang w:val="en-GB"/>
                              </w:rPr>
                              <w:t>the previous year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0;margin-top:6.9pt;width:2in;height:93.0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" fillcolor="#001d77" stroked="f">
                <v:textbox>
                  <w:txbxContent>
                    <w:p w:rsidR="00677F83" w:rsidRPr="00051683" w:rsidRDefault="00677F83" w:rsidP="00D538E4">
                      <w:pPr>
                        <w:spacing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noProof/>
                          <w:color w:val="001D77"/>
                          <w:sz w:val="22"/>
                          <w:lang w:val="en-GB" w:eastAsia="en-GB"/>
                        </w:rPr>
                        <w:drawing>
                          <wp:inline distT="0" distB="0" distL="0" distR="0" wp14:anchorId="47C46FB5" wp14:editId="55FE53A3">
                            <wp:extent cx="334645" cy="334645"/>
                            <wp:effectExtent l="19050" t="0" r="8255" b="0"/>
                            <wp:docPr id="2" name="Obraz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az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4645" cy="334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051683">
                        <w:rPr>
                          <w:noProof/>
                          <w:color w:val="001D77"/>
                          <w:lang w:val="en-GB" w:eastAsia="pl-PL"/>
                        </w:rPr>
                        <w:t xml:space="preserve"> </w:t>
                      </w:r>
                      <w:r w:rsidRPr="00051683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  <w:t>4.4%</w:t>
                      </w:r>
                    </w:p>
                    <w:p w:rsidR="00677F83" w:rsidRPr="00051683" w:rsidRDefault="00677F83" w:rsidP="00B37F5A">
                      <w:pPr>
                        <w:pStyle w:val="tekstnaniebieskimtle"/>
                        <w:rPr>
                          <w:color w:val="FFFFFF" w:themeColor="background1"/>
                          <w:sz w:val="18"/>
                          <w:szCs w:val="20"/>
                          <w:lang w:val="en-GB"/>
                        </w:rPr>
                      </w:pPr>
                      <w:r w:rsidRPr="00AC3D2C">
                        <w:rPr>
                          <w:lang w:val="en-GB"/>
                        </w:rPr>
                        <w:t xml:space="preserve">an increase compared </w:t>
                      </w:r>
                      <w:r>
                        <w:rPr>
                          <w:lang w:val="en-GB"/>
                        </w:rPr>
                        <w:t>with the corresponding month of </w:t>
                      </w:r>
                      <w:r w:rsidRPr="00AC3D2C">
                        <w:rPr>
                          <w:lang w:val="en-GB"/>
                        </w:rPr>
                        <w:t>the previous year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42DEB" w:rsidRPr="00EF4AEA">
        <w:rPr>
          <w:noProof w:val="0"/>
          <w:lang w:val="en-GB" w:eastAsia="en-GB"/>
        </w:rPr>
        <w:t xml:space="preserve">Consumer prices in June </w:t>
      </w:r>
      <w:r w:rsidR="007C161B" w:rsidRPr="00EF4AEA">
        <w:rPr>
          <w:lang w:val="en-GB" w:eastAsia="en-GB"/>
        </w:rPr>
        <w:t>2021</w:t>
      </w:r>
      <w:r w:rsidR="00742DEB" w:rsidRPr="00EF4AEA">
        <w:rPr>
          <w:lang w:val="en-GB" w:eastAsia="en-GB"/>
        </w:rPr>
        <w:t xml:space="preserve">, </w:t>
      </w:r>
      <w:r w:rsidR="00742DEB" w:rsidRPr="00EF4AEA">
        <w:rPr>
          <w:noProof w:val="0"/>
          <w:lang w:val="en-GB" w:eastAsia="en-GB"/>
        </w:rPr>
        <w:t xml:space="preserve">compared with the corresponding month of the previous year, </w:t>
      </w:r>
      <w:r w:rsidR="00742DEB" w:rsidRPr="00EF4AEA">
        <w:rPr>
          <w:noProof w:val="0"/>
          <w:lang w:val="en-GB" w:eastAsia="en-GB"/>
        </w:rPr>
        <w:br/>
        <w:t>increased by</w:t>
      </w:r>
      <w:r w:rsidR="00742DEB" w:rsidRPr="00EF4AEA">
        <w:rPr>
          <w:lang w:val="en-GB" w:eastAsia="en-GB"/>
        </w:rPr>
        <w:t xml:space="preserve"> </w:t>
      </w:r>
      <w:r w:rsidR="003D2A24" w:rsidRPr="00EF4AEA">
        <w:rPr>
          <w:lang w:val="en-GB" w:eastAsia="en-GB"/>
        </w:rPr>
        <w:t>4,4</w:t>
      </w:r>
      <w:r w:rsidR="00B37F5A" w:rsidRPr="00EF4AEA">
        <w:rPr>
          <w:lang w:val="en-GB" w:eastAsia="en-GB"/>
        </w:rPr>
        <w:t>% (</w:t>
      </w:r>
      <w:r w:rsidR="00742DEB" w:rsidRPr="00EF4AEA">
        <w:rPr>
          <w:lang w:val="en-GB" w:eastAsia="en-GB"/>
        </w:rPr>
        <w:t>w</w:t>
      </w:r>
      <w:r w:rsidR="00742DEB" w:rsidRPr="00EF4AEA">
        <w:rPr>
          <w:noProof w:val="0"/>
          <w:lang w:val="en-GB"/>
        </w:rPr>
        <w:t xml:space="preserve">ith an increase of prices </w:t>
      </w:r>
      <w:r w:rsidR="00742DEB" w:rsidRPr="00EF4AEA">
        <w:rPr>
          <w:noProof w:val="0"/>
          <w:lang w:val="en-GB"/>
        </w:rPr>
        <w:br/>
        <w:t>of services</w:t>
      </w:r>
      <w:r w:rsidR="00742DEB" w:rsidRPr="00EF4AEA">
        <w:rPr>
          <w:lang w:val="en-GB"/>
        </w:rPr>
        <w:t xml:space="preserve"> </w:t>
      </w:r>
      <w:r w:rsidR="00677F83" w:rsidRPr="00EF4AEA">
        <w:rPr>
          <w:lang w:val="en-GB"/>
        </w:rPr>
        <w:t xml:space="preserve">– </w:t>
      </w:r>
      <w:r w:rsidR="00742DEB" w:rsidRPr="00EF4AEA">
        <w:rPr>
          <w:lang w:val="en-GB"/>
        </w:rPr>
        <w:t>by</w:t>
      </w:r>
      <w:r w:rsidR="00742DEB" w:rsidRPr="00EF4AEA">
        <w:rPr>
          <w:lang w:val="en-GB" w:eastAsia="en-GB"/>
        </w:rPr>
        <w:t xml:space="preserve"> </w:t>
      </w:r>
      <w:r w:rsidR="005C5EF8" w:rsidRPr="00EF4AEA">
        <w:rPr>
          <w:lang w:val="en-GB" w:eastAsia="en-GB"/>
        </w:rPr>
        <w:t>6,</w:t>
      </w:r>
      <w:r w:rsidR="003D2A24" w:rsidRPr="00EF4AEA">
        <w:rPr>
          <w:lang w:val="en-GB" w:eastAsia="en-GB"/>
        </w:rPr>
        <w:t>1</w:t>
      </w:r>
      <w:r w:rsidR="009A1431" w:rsidRPr="00EF4AEA">
        <w:rPr>
          <w:lang w:val="en-GB" w:eastAsia="en-GB"/>
        </w:rPr>
        <w:t xml:space="preserve">% </w:t>
      </w:r>
      <w:r w:rsidR="00742DEB" w:rsidRPr="00EF4AEA">
        <w:rPr>
          <w:lang w:val="en-GB" w:eastAsia="en-GB"/>
        </w:rPr>
        <w:t xml:space="preserve">and goods </w:t>
      </w:r>
      <w:r w:rsidR="00677F83" w:rsidRPr="00EF4AEA">
        <w:rPr>
          <w:lang w:val="en-GB" w:eastAsia="en-GB"/>
        </w:rPr>
        <w:t xml:space="preserve">– </w:t>
      </w:r>
      <w:r w:rsidR="00742DEB" w:rsidRPr="00EF4AEA">
        <w:rPr>
          <w:lang w:val="en-GB" w:eastAsia="en-GB"/>
        </w:rPr>
        <w:t xml:space="preserve">by </w:t>
      </w:r>
      <w:r w:rsidR="004826AB" w:rsidRPr="00EF4AEA">
        <w:rPr>
          <w:lang w:val="en-GB" w:eastAsia="en-GB"/>
        </w:rPr>
        <w:t>o 3,8</w:t>
      </w:r>
      <w:r w:rsidR="00B37F5A" w:rsidRPr="00EF4AEA">
        <w:rPr>
          <w:lang w:val="en-GB" w:eastAsia="en-GB"/>
        </w:rPr>
        <w:t>%).</w:t>
      </w:r>
    </w:p>
    <w:p w:rsidR="00370D51" w:rsidRPr="00EF4AEA" w:rsidRDefault="00742DEB" w:rsidP="00B37F5A">
      <w:pPr>
        <w:pStyle w:val="LID"/>
        <w:spacing w:before="0" w:after="0"/>
        <w:rPr>
          <w:lang w:val="en-GB" w:eastAsia="en-GB"/>
        </w:rPr>
      </w:pPr>
      <w:r w:rsidRPr="00EF4AEA">
        <w:rPr>
          <w:noProof w:val="0"/>
          <w:spacing w:val="-4"/>
          <w:lang w:val="en-GB" w:eastAsia="en-GB"/>
        </w:rPr>
        <w:t xml:space="preserve">As related to the previous month consumer prices </w:t>
      </w:r>
      <w:r w:rsidRPr="00EF4AEA">
        <w:rPr>
          <w:noProof w:val="0"/>
          <w:spacing w:val="-4"/>
          <w:lang w:val="en-GB" w:eastAsia="en-GB"/>
        </w:rPr>
        <w:br/>
        <w:t>increased by</w:t>
      </w:r>
      <w:r w:rsidRPr="00EF4AEA">
        <w:rPr>
          <w:noProof w:val="0"/>
          <w:lang w:val="en-GB"/>
        </w:rPr>
        <w:t xml:space="preserve"> </w:t>
      </w:r>
      <w:r w:rsidR="004826AB" w:rsidRPr="00EF4AEA">
        <w:rPr>
          <w:lang w:val="en-GB" w:eastAsia="en-GB"/>
        </w:rPr>
        <w:t>0,1</w:t>
      </w:r>
      <w:r w:rsidR="00B37F5A" w:rsidRPr="00EF4AEA">
        <w:rPr>
          <w:lang w:val="en-GB" w:eastAsia="en-GB"/>
        </w:rPr>
        <w:t>% (</w:t>
      </w:r>
      <w:r w:rsidRPr="00EF4AEA">
        <w:rPr>
          <w:lang w:val="en-GB" w:eastAsia="en-GB"/>
        </w:rPr>
        <w:t>of which services</w:t>
      </w:r>
      <w:r w:rsidR="00266D74" w:rsidRPr="00EF4AEA">
        <w:rPr>
          <w:lang w:val="en-GB" w:eastAsia="en-GB"/>
        </w:rPr>
        <w:t xml:space="preserve"> – </w:t>
      </w:r>
      <w:r w:rsidRPr="00EF4AEA">
        <w:rPr>
          <w:lang w:val="en-GB" w:eastAsia="en-GB"/>
        </w:rPr>
        <w:t>by</w:t>
      </w:r>
      <w:r w:rsidR="00266D74" w:rsidRPr="00EF4AEA">
        <w:rPr>
          <w:lang w:val="en-GB" w:eastAsia="en-GB"/>
        </w:rPr>
        <w:t xml:space="preserve"> 0,3%;</w:t>
      </w:r>
      <w:r w:rsidR="009A1431" w:rsidRPr="00EF4AEA">
        <w:rPr>
          <w:lang w:val="en-GB" w:eastAsia="en-GB"/>
        </w:rPr>
        <w:t xml:space="preserve"> </w:t>
      </w:r>
      <w:r w:rsidR="00922059" w:rsidRPr="00EF4AEA">
        <w:rPr>
          <w:lang w:val="en-GB" w:eastAsia="en-GB"/>
        </w:rPr>
        <w:br/>
      </w:r>
      <w:r w:rsidRPr="00EF4AEA">
        <w:rPr>
          <w:lang w:val="en-GB" w:eastAsia="en-GB"/>
        </w:rPr>
        <w:t>prices of goods remained at the same level)</w:t>
      </w:r>
      <w:r w:rsidR="0066767D" w:rsidRPr="00EF4AEA">
        <w:rPr>
          <w:lang w:val="en-GB" w:eastAsia="en-GB"/>
        </w:rPr>
        <w:t>.</w:t>
      </w:r>
    </w:p>
    <w:p w:rsidR="00370D51" w:rsidRPr="00EF4AEA" w:rsidRDefault="00370D51" w:rsidP="00370D51">
      <w:pPr>
        <w:pStyle w:val="LID"/>
        <w:spacing w:before="0" w:after="0"/>
        <w:rPr>
          <w:lang w:val="en-GB"/>
        </w:rPr>
      </w:pPr>
    </w:p>
    <w:p w:rsidR="00370D51" w:rsidRPr="00EF4AEA" w:rsidRDefault="00370D51" w:rsidP="00370D51">
      <w:pPr>
        <w:pStyle w:val="LID"/>
        <w:spacing w:before="0" w:after="0"/>
        <w:rPr>
          <w:lang w:val="en-GB"/>
        </w:rPr>
      </w:pPr>
    </w:p>
    <w:p w:rsidR="009E3F12" w:rsidRPr="00EF4AEA" w:rsidRDefault="009E3F12" w:rsidP="00164CEA">
      <w:pPr>
        <w:spacing w:before="0" w:after="100"/>
        <w:rPr>
          <w:highlight w:val="yellow"/>
          <w:lang w:val="en-GB"/>
        </w:rPr>
      </w:pPr>
    </w:p>
    <w:p w:rsidR="00C27D75" w:rsidRPr="00EF4AEA" w:rsidRDefault="00922059" w:rsidP="00260F39">
      <w:pPr>
        <w:pStyle w:val="tytuwykresu"/>
        <w:spacing w:after="0"/>
        <w:rPr>
          <w:bCs/>
          <w:shd w:val="clear" w:color="auto" w:fill="FFFFFF"/>
          <w:lang w:val="en-GB"/>
        </w:rPr>
      </w:pPr>
      <w:r w:rsidRPr="00EF4AEA">
        <w:rPr>
          <w:lang w:val="en-GB"/>
        </w:rPr>
        <w:t>Table 1. Consumer price indices in June 2021</w:t>
      </w:r>
    </w:p>
    <w:tbl>
      <w:tblPr>
        <w:tblStyle w:val="Siatkatabelijasna111"/>
        <w:tblpPr w:leftFromText="141" w:rightFromText="141" w:vertAnchor="text" w:horzAnchor="margin" w:tblpY="512"/>
        <w:tblW w:w="83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951"/>
        <w:gridCol w:w="851"/>
        <w:gridCol w:w="850"/>
        <w:gridCol w:w="851"/>
        <w:gridCol w:w="850"/>
        <w:gridCol w:w="851"/>
        <w:gridCol w:w="992"/>
        <w:gridCol w:w="1134"/>
      </w:tblGrid>
      <w:tr w:rsidR="0081777E" w:rsidRPr="00EF4AEA" w:rsidTr="007D3588">
        <w:trPr>
          <w:cantSplit/>
          <w:trHeight w:val="367"/>
        </w:trPr>
        <w:tc>
          <w:tcPr>
            <w:tcW w:w="1951" w:type="dxa"/>
            <w:vMerge w:val="restart"/>
            <w:vAlign w:val="center"/>
          </w:tcPr>
          <w:p w:rsidR="005F3B2F" w:rsidRPr="00EF4AEA" w:rsidRDefault="00922059" w:rsidP="00260F39">
            <w:pPr>
              <w:keepNext/>
              <w:tabs>
                <w:tab w:val="right" w:leader="dot" w:pos="4139"/>
              </w:tabs>
              <w:spacing w:before="240" w:after="0" w:line="240" w:lineRule="auto"/>
              <w:jc w:val="center"/>
              <w:outlineLvl w:val="0"/>
              <w:rPr>
                <w:rFonts w:eastAsia="Times New Roman" w:cs="Arial"/>
                <w:b/>
                <w:color w:val="000000" w:themeColor="text1"/>
                <w:sz w:val="16"/>
                <w:szCs w:val="16"/>
                <w:lang w:val="en-GB" w:eastAsia="pl-PL"/>
              </w:rPr>
            </w:pPr>
            <w:r w:rsidRPr="00EF4AE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2552" w:type="dxa"/>
            <w:gridSpan w:val="3"/>
            <w:vAlign w:val="center"/>
          </w:tcPr>
          <w:p w:rsidR="005F3B2F" w:rsidRPr="00EF4AEA" w:rsidRDefault="005F3B2F" w:rsidP="006F16F6">
            <w:pPr>
              <w:keepNext/>
              <w:keepLines/>
              <w:spacing w:before="0" w:after="0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</w:pPr>
            <w:r w:rsidRPr="00EF4AEA">
              <w:rPr>
                <w:rFonts w:eastAsiaTheme="majorEastAsia" w:cstheme="majorBidi"/>
                <w:color w:val="000000" w:themeColor="text1"/>
                <w:sz w:val="16"/>
                <w:szCs w:val="16"/>
                <w:lang w:val="en-GB"/>
              </w:rPr>
              <w:t>06 2021</w:t>
            </w:r>
          </w:p>
        </w:tc>
        <w:tc>
          <w:tcPr>
            <w:tcW w:w="1701" w:type="dxa"/>
            <w:gridSpan w:val="2"/>
            <w:vAlign w:val="center"/>
          </w:tcPr>
          <w:p w:rsidR="005F3B2F" w:rsidRPr="00EF4AEA" w:rsidRDefault="005F3B2F" w:rsidP="006F16F6">
            <w:pPr>
              <w:keepNext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GB" w:eastAsia="pl-PL"/>
              </w:rPr>
              <w:t>04-06 2021</w:t>
            </w:r>
          </w:p>
        </w:tc>
        <w:tc>
          <w:tcPr>
            <w:tcW w:w="992" w:type="dxa"/>
            <w:vAlign w:val="center"/>
          </w:tcPr>
          <w:p w:rsidR="005F3B2F" w:rsidRPr="00EF4AEA" w:rsidRDefault="005F3B2F" w:rsidP="006F16F6">
            <w:pPr>
              <w:keepNext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GB" w:eastAsia="pl-PL"/>
              </w:rPr>
              <w:t>01-06 2021</w:t>
            </w:r>
          </w:p>
        </w:tc>
        <w:tc>
          <w:tcPr>
            <w:tcW w:w="1134" w:type="dxa"/>
            <w:vMerge w:val="restart"/>
            <w:vAlign w:val="center"/>
          </w:tcPr>
          <w:p w:rsidR="005F3B2F" w:rsidRPr="00EF4AEA" w:rsidRDefault="00922059" w:rsidP="006F16F6">
            <w:pPr>
              <w:keepNext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val="en-GB" w:eastAsia="pl-PL"/>
              </w:rPr>
            </w:pPr>
            <w:r w:rsidRPr="00EF4AEA">
              <w:rPr>
                <w:rFonts w:cs="Arial"/>
                <w:color w:val="000000" w:themeColor="text1"/>
                <w:sz w:val="14"/>
                <w:szCs w:val="14"/>
                <w:lang w:val="en-GB"/>
              </w:rPr>
              <w:t>CONTRIB</w:t>
            </w:r>
            <w:r w:rsidRPr="00EF4AEA">
              <w:rPr>
                <w:rFonts w:cs="Arial"/>
                <w:color w:val="000000" w:themeColor="text1"/>
                <w:sz w:val="14"/>
                <w:szCs w:val="14"/>
                <w:lang w:val="en-GB"/>
              </w:rPr>
              <w:t>U</w:t>
            </w:r>
            <w:r w:rsidRPr="00EF4AEA">
              <w:rPr>
                <w:rFonts w:cs="Arial"/>
                <w:color w:val="000000" w:themeColor="text1"/>
                <w:sz w:val="14"/>
                <w:szCs w:val="14"/>
                <w:lang w:val="en-GB"/>
              </w:rPr>
              <w:t>TION OF CHANGES</w:t>
            </w:r>
          </w:p>
          <w:p w:rsidR="005F3B2F" w:rsidRPr="00EF4AEA" w:rsidRDefault="005F3B2F" w:rsidP="006F16F6">
            <w:pPr>
              <w:keepNext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val="en-GB" w:eastAsia="pl-PL"/>
              </w:rPr>
              <w:t>05</w:t>
            </w:r>
            <w:r w:rsidR="00275755" w:rsidRPr="00EF4AEA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val="en-GB" w:eastAsia="pl-PL"/>
              </w:rPr>
              <w:t xml:space="preserve"> 2021=</w:t>
            </w:r>
            <w:r w:rsidRPr="00EF4AEA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val="en-GB" w:eastAsia="pl-PL"/>
              </w:rPr>
              <w:t>100</w:t>
            </w:r>
          </w:p>
        </w:tc>
      </w:tr>
      <w:tr w:rsidR="0090232D" w:rsidRPr="00EF4AEA" w:rsidTr="007D3588">
        <w:trPr>
          <w:cantSplit/>
          <w:trHeight w:val="579"/>
        </w:trPr>
        <w:tc>
          <w:tcPr>
            <w:tcW w:w="1951" w:type="dxa"/>
            <w:vMerge/>
            <w:tcBorders>
              <w:bottom w:val="single" w:sz="12" w:space="0" w:color="212492"/>
            </w:tcBorders>
            <w:vAlign w:val="center"/>
          </w:tcPr>
          <w:p w:rsidR="005F3B2F" w:rsidRPr="00EF4AEA" w:rsidRDefault="005F3B2F" w:rsidP="00260F39">
            <w:pPr>
              <w:keepNext/>
              <w:tabs>
                <w:tab w:val="right" w:leader="dot" w:pos="4139"/>
              </w:tabs>
              <w:spacing w:before="240" w:after="0" w:line="240" w:lineRule="auto"/>
              <w:jc w:val="center"/>
              <w:outlineLvl w:val="0"/>
              <w:rPr>
                <w:rFonts w:ascii="Fira Sans SemiBold" w:eastAsia="Times New Roman" w:hAnsi="Fira Sans SemiBold" w:cs="Arial"/>
                <w:b/>
                <w:bCs/>
                <w:color w:val="000000" w:themeColor="text1"/>
                <w:sz w:val="16"/>
                <w:szCs w:val="16"/>
                <w:highlight w:val="yellow"/>
                <w:lang w:val="en-GB" w:eastAsia="pl-PL"/>
              </w:rPr>
            </w:pPr>
          </w:p>
        </w:tc>
        <w:tc>
          <w:tcPr>
            <w:tcW w:w="851" w:type="dxa"/>
            <w:tcBorders>
              <w:bottom w:val="single" w:sz="12" w:space="0" w:color="212492"/>
            </w:tcBorders>
            <w:vAlign w:val="center"/>
          </w:tcPr>
          <w:p w:rsidR="005F3B2F" w:rsidRPr="00EF4AEA" w:rsidRDefault="005F3B2F" w:rsidP="006F16F6">
            <w:pPr>
              <w:keepNext/>
              <w:keepLines/>
              <w:spacing w:before="0" w:after="0"/>
              <w:jc w:val="center"/>
              <w:outlineLvl w:val="2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EF4AEA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06 2020=</w:t>
            </w:r>
            <w:r w:rsidRPr="00EF4AEA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br/>
              <w:t>=100</w:t>
            </w:r>
          </w:p>
        </w:tc>
        <w:tc>
          <w:tcPr>
            <w:tcW w:w="850" w:type="dxa"/>
            <w:tcBorders>
              <w:bottom w:val="single" w:sz="12" w:space="0" w:color="212492"/>
            </w:tcBorders>
            <w:vAlign w:val="center"/>
          </w:tcPr>
          <w:p w:rsidR="005F3B2F" w:rsidRPr="00EF4AEA" w:rsidRDefault="005F3B2F" w:rsidP="006F16F6">
            <w:pPr>
              <w:keepNext/>
              <w:keepLines/>
              <w:spacing w:before="0" w:after="0"/>
              <w:jc w:val="center"/>
              <w:outlineLvl w:val="2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EF4AEA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12 2020=</w:t>
            </w:r>
            <w:r w:rsidRPr="00EF4AEA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br/>
              <w:t>=100</w:t>
            </w:r>
          </w:p>
        </w:tc>
        <w:tc>
          <w:tcPr>
            <w:tcW w:w="851" w:type="dxa"/>
            <w:tcBorders>
              <w:bottom w:val="single" w:sz="12" w:space="0" w:color="212492"/>
            </w:tcBorders>
            <w:vAlign w:val="center"/>
          </w:tcPr>
          <w:p w:rsidR="005F3B2F" w:rsidRPr="00EF4AEA" w:rsidRDefault="005F3B2F" w:rsidP="006F16F6">
            <w:pPr>
              <w:keepNext/>
              <w:keepLines/>
              <w:spacing w:before="0" w:after="0"/>
              <w:jc w:val="center"/>
              <w:outlineLvl w:val="2"/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</w:pPr>
            <w:r w:rsidRPr="00EF4AEA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t>05 2021=</w:t>
            </w:r>
            <w:r w:rsidRPr="00EF4AEA">
              <w:rPr>
                <w:rFonts w:eastAsiaTheme="majorEastAsia" w:cstheme="majorBidi"/>
                <w:color w:val="000000" w:themeColor="text1"/>
                <w:sz w:val="15"/>
                <w:szCs w:val="15"/>
                <w:lang w:val="en-GB"/>
              </w:rPr>
              <w:br/>
              <w:t>=100</w:t>
            </w:r>
          </w:p>
        </w:tc>
        <w:tc>
          <w:tcPr>
            <w:tcW w:w="850" w:type="dxa"/>
            <w:tcBorders>
              <w:bottom w:val="single" w:sz="12" w:space="0" w:color="212492"/>
            </w:tcBorders>
            <w:vAlign w:val="center"/>
          </w:tcPr>
          <w:p w:rsidR="005F3B2F" w:rsidRPr="00EF4AEA" w:rsidRDefault="00C93255" w:rsidP="006F16F6">
            <w:pPr>
              <w:keepNext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eastAsia="Times New Roman" w:cs="Times New Roman"/>
                <w:bCs/>
                <w:color w:val="000000" w:themeColor="text1"/>
                <w:sz w:val="15"/>
                <w:szCs w:val="15"/>
                <w:lang w:val="en-GB" w:eastAsia="pl-PL"/>
              </w:rPr>
            </w:pPr>
            <w:r w:rsidRPr="00EF4AEA">
              <w:rPr>
                <w:rFonts w:eastAsia="Times New Roman" w:cs="Times New Roman"/>
                <w:bCs/>
                <w:color w:val="000000" w:themeColor="text1"/>
                <w:sz w:val="15"/>
                <w:szCs w:val="15"/>
                <w:lang w:val="en-GB" w:eastAsia="pl-PL"/>
              </w:rPr>
              <w:t>04-06</w:t>
            </w:r>
            <w:r w:rsidR="00753184" w:rsidRPr="00EF4AEA">
              <w:rPr>
                <w:rFonts w:eastAsia="Times New Roman" w:cs="Times New Roman"/>
                <w:bCs/>
                <w:color w:val="000000" w:themeColor="text1"/>
                <w:sz w:val="15"/>
                <w:szCs w:val="15"/>
                <w:lang w:val="en-GB" w:eastAsia="pl-PL"/>
              </w:rPr>
              <w:t xml:space="preserve"> </w:t>
            </w:r>
            <w:r w:rsidRPr="00EF4AEA">
              <w:rPr>
                <w:rFonts w:eastAsia="Times New Roman" w:cs="Times New Roman"/>
                <w:bCs/>
                <w:color w:val="000000" w:themeColor="text1"/>
                <w:sz w:val="15"/>
                <w:szCs w:val="15"/>
                <w:lang w:val="en-GB" w:eastAsia="pl-PL"/>
              </w:rPr>
              <w:t>2020</w:t>
            </w:r>
            <w:r w:rsidR="006E1EEE" w:rsidRPr="00EF4AEA">
              <w:rPr>
                <w:rFonts w:eastAsia="Times New Roman" w:cs="Times New Roman"/>
                <w:bCs/>
                <w:color w:val="000000" w:themeColor="text1"/>
                <w:sz w:val="15"/>
                <w:szCs w:val="15"/>
                <w:lang w:val="en-GB" w:eastAsia="pl-PL"/>
              </w:rPr>
              <w:t>=</w:t>
            </w:r>
            <w:r w:rsidRPr="00EF4AEA">
              <w:rPr>
                <w:rFonts w:eastAsia="Times New Roman" w:cs="Times New Roman"/>
                <w:bCs/>
                <w:color w:val="000000" w:themeColor="text1"/>
                <w:sz w:val="15"/>
                <w:szCs w:val="15"/>
                <w:lang w:val="en-GB" w:eastAsia="pl-PL"/>
              </w:rPr>
              <w:t>100</w:t>
            </w:r>
          </w:p>
        </w:tc>
        <w:tc>
          <w:tcPr>
            <w:tcW w:w="851" w:type="dxa"/>
            <w:tcBorders>
              <w:bottom w:val="single" w:sz="12" w:space="0" w:color="212492"/>
            </w:tcBorders>
            <w:vAlign w:val="center"/>
          </w:tcPr>
          <w:p w:rsidR="005F3B2F" w:rsidRPr="00EF4AEA" w:rsidRDefault="00432F85" w:rsidP="006F16F6">
            <w:pPr>
              <w:keepNext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eastAsia="Times New Roman" w:cs="Times New Roman"/>
                <w:bCs/>
                <w:color w:val="000000" w:themeColor="text1"/>
                <w:sz w:val="15"/>
                <w:szCs w:val="15"/>
                <w:lang w:val="en-GB" w:eastAsia="pl-PL"/>
              </w:rPr>
            </w:pPr>
            <w:r w:rsidRPr="00EF4AEA">
              <w:rPr>
                <w:rFonts w:eastAsia="Times New Roman" w:cs="Times New Roman"/>
                <w:bCs/>
                <w:color w:val="000000" w:themeColor="text1"/>
                <w:sz w:val="15"/>
                <w:szCs w:val="15"/>
                <w:lang w:val="en-GB" w:eastAsia="pl-PL"/>
              </w:rPr>
              <w:t>01-03 2021</w:t>
            </w:r>
            <w:r w:rsidR="00C93255" w:rsidRPr="00EF4AEA">
              <w:rPr>
                <w:rFonts w:eastAsia="Times New Roman" w:cs="Times New Roman"/>
                <w:bCs/>
                <w:color w:val="000000" w:themeColor="text1"/>
                <w:sz w:val="15"/>
                <w:szCs w:val="15"/>
                <w:lang w:val="en-GB" w:eastAsia="pl-PL"/>
              </w:rPr>
              <w:t>=100</w:t>
            </w:r>
          </w:p>
        </w:tc>
        <w:tc>
          <w:tcPr>
            <w:tcW w:w="992" w:type="dxa"/>
            <w:tcBorders>
              <w:bottom w:val="single" w:sz="12" w:space="0" w:color="212492"/>
            </w:tcBorders>
            <w:vAlign w:val="center"/>
          </w:tcPr>
          <w:p w:rsidR="005F3B2F" w:rsidRPr="00EF4AEA" w:rsidRDefault="005F3B2F" w:rsidP="006F16F6">
            <w:pPr>
              <w:keepNext/>
              <w:tabs>
                <w:tab w:val="right" w:leader="dot" w:pos="4139"/>
              </w:tabs>
              <w:spacing w:before="0" w:after="0"/>
              <w:jc w:val="center"/>
              <w:outlineLvl w:val="0"/>
              <w:rPr>
                <w:rFonts w:eastAsia="Times New Roman" w:cs="Arial"/>
                <w:bCs/>
                <w:color w:val="000000" w:themeColor="text1"/>
                <w:sz w:val="15"/>
                <w:szCs w:val="15"/>
                <w:lang w:val="en-GB" w:eastAsia="pl-PL"/>
              </w:rPr>
            </w:pPr>
            <w:r w:rsidRPr="00EF4AEA">
              <w:rPr>
                <w:rFonts w:eastAsia="Times New Roman" w:cs="Times New Roman"/>
                <w:bCs/>
                <w:color w:val="000000" w:themeColor="text1"/>
                <w:sz w:val="15"/>
                <w:szCs w:val="15"/>
                <w:lang w:val="en-GB" w:eastAsia="pl-PL"/>
              </w:rPr>
              <w:t>01-06</w:t>
            </w:r>
            <w:r w:rsidR="00FE21BA" w:rsidRPr="00EF4AEA">
              <w:rPr>
                <w:rFonts w:eastAsia="Times New Roman" w:cs="Times New Roman"/>
                <w:bCs/>
                <w:color w:val="000000" w:themeColor="text1"/>
                <w:sz w:val="15"/>
                <w:szCs w:val="15"/>
                <w:lang w:val="en-GB" w:eastAsia="pl-PL"/>
              </w:rPr>
              <w:t xml:space="preserve"> </w:t>
            </w:r>
            <w:r w:rsidRPr="00EF4AEA">
              <w:rPr>
                <w:rFonts w:eastAsia="Times New Roman" w:cs="Times New Roman"/>
                <w:bCs/>
                <w:color w:val="000000" w:themeColor="text1"/>
                <w:sz w:val="15"/>
                <w:szCs w:val="15"/>
                <w:lang w:val="en-GB" w:eastAsia="pl-PL"/>
              </w:rPr>
              <w:t>2020=100</w:t>
            </w:r>
          </w:p>
        </w:tc>
        <w:tc>
          <w:tcPr>
            <w:tcW w:w="1134" w:type="dxa"/>
            <w:vMerge/>
            <w:tcBorders>
              <w:bottom w:val="single" w:sz="12" w:space="0" w:color="212492"/>
            </w:tcBorders>
            <w:vAlign w:val="center"/>
          </w:tcPr>
          <w:p w:rsidR="005F3B2F" w:rsidRPr="00EF4AEA" w:rsidRDefault="005F3B2F" w:rsidP="006F16F6">
            <w:pPr>
              <w:keepNext/>
              <w:keepLines/>
              <w:spacing w:before="0" w:after="0"/>
              <w:jc w:val="center"/>
              <w:outlineLvl w:val="2"/>
              <w:rPr>
                <w:rFonts w:eastAsiaTheme="majorEastAsia" w:cstheme="majorBidi"/>
                <w:color w:val="000000" w:themeColor="text1"/>
                <w:sz w:val="16"/>
                <w:szCs w:val="16"/>
                <w:highlight w:val="yellow"/>
                <w:lang w:val="en-GB"/>
              </w:rPr>
            </w:pPr>
          </w:p>
        </w:tc>
      </w:tr>
      <w:tr w:rsidR="0090232D" w:rsidRPr="00EF4AEA" w:rsidTr="007D3588">
        <w:trPr>
          <w:cantSplit/>
          <w:trHeight w:val="57"/>
        </w:trPr>
        <w:tc>
          <w:tcPr>
            <w:tcW w:w="1951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5F3B2F" w:rsidRPr="00EF4AEA" w:rsidRDefault="00922059" w:rsidP="00802927">
            <w:pPr>
              <w:keepNext/>
              <w:keepLines/>
              <w:tabs>
                <w:tab w:val="right" w:leader="dot" w:pos="4156"/>
              </w:tabs>
              <w:spacing w:before="60" w:after="60"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  <w:lang w:val="en-GB"/>
              </w:rPr>
            </w:pPr>
            <w:r w:rsidRPr="00EF4AEA">
              <w:rPr>
                <w:b/>
                <w:color w:val="000000" w:themeColor="text1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851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5F3B2F" w:rsidRPr="00EF4AEA" w:rsidRDefault="005F3B2F" w:rsidP="00802927">
            <w:pPr>
              <w:spacing w:before="60" w:after="60"/>
              <w:jc w:val="right"/>
              <w:rPr>
                <w:b/>
                <w:lang w:val="en-GB"/>
              </w:rPr>
            </w:pPr>
            <w:r w:rsidRPr="00EF4AEA">
              <w:rPr>
                <w:b/>
                <w:lang w:val="en-GB"/>
              </w:rPr>
              <w:t>104,4</w:t>
            </w:r>
          </w:p>
        </w:tc>
        <w:tc>
          <w:tcPr>
            <w:tcW w:w="850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5F3B2F" w:rsidRPr="00EF4AEA" w:rsidRDefault="005F3B2F" w:rsidP="00802927">
            <w:pPr>
              <w:spacing w:before="60" w:after="60"/>
              <w:jc w:val="right"/>
              <w:rPr>
                <w:b/>
                <w:lang w:val="en-GB"/>
              </w:rPr>
            </w:pPr>
            <w:r w:rsidRPr="00EF4AEA">
              <w:rPr>
                <w:b/>
                <w:lang w:val="en-GB"/>
              </w:rPr>
              <w:t>104,0</w:t>
            </w:r>
          </w:p>
        </w:tc>
        <w:tc>
          <w:tcPr>
            <w:tcW w:w="851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5F3B2F" w:rsidRPr="00EF4AEA" w:rsidRDefault="005F3B2F" w:rsidP="00802927">
            <w:pPr>
              <w:spacing w:before="60" w:after="60"/>
              <w:jc w:val="right"/>
              <w:rPr>
                <w:b/>
                <w:lang w:val="en-GB"/>
              </w:rPr>
            </w:pPr>
            <w:r w:rsidRPr="00EF4AEA">
              <w:rPr>
                <w:b/>
                <w:lang w:val="en-GB"/>
              </w:rPr>
              <w:t>100,1</w:t>
            </w:r>
          </w:p>
        </w:tc>
        <w:tc>
          <w:tcPr>
            <w:tcW w:w="850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5F3B2F" w:rsidRPr="00EF4AEA" w:rsidRDefault="00E9048F" w:rsidP="00802927">
            <w:pPr>
              <w:spacing w:before="60" w:after="60"/>
              <w:jc w:val="right"/>
              <w:rPr>
                <w:b/>
                <w:lang w:val="en-GB"/>
              </w:rPr>
            </w:pPr>
            <w:r w:rsidRPr="00EF4AEA">
              <w:rPr>
                <w:b/>
                <w:lang w:val="en-GB"/>
              </w:rPr>
              <w:t>104,5</w:t>
            </w:r>
          </w:p>
        </w:tc>
        <w:tc>
          <w:tcPr>
            <w:tcW w:w="851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5F3B2F" w:rsidRPr="00EF4AEA" w:rsidRDefault="00E9048F" w:rsidP="00802927">
            <w:pPr>
              <w:spacing w:before="60" w:after="60"/>
              <w:jc w:val="right"/>
              <w:rPr>
                <w:b/>
                <w:lang w:val="en-GB"/>
              </w:rPr>
            </w:pPr>
            <w:r w:rsidRPr="00EF4AEA">
              <w:rPr>
                <w:b/>
                <w:lang w:val="en-GB"/>
              </w:rPr>
              <w:t>101,9</w:t>
            </w:r>
          </w:p>
        </w:tc>
        <w:tc>
          <w:tcPr>
            <w:tcW w:w="992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5F3B2F" w:rsidRPr="00EF4AEA" w:rsidRDefault="005F3B2F" w:rsidP="00802927">
            <w:pPr>
              <w:spacing w:before="60" w:after="60"/>
              <w:jc w:val="right"/>
              <w:rPr>
                <w:b/>
                <w:lang w:val="en-GB"/>
              </w:rPr>
            </w:pPr>
            <w:r w:rsidRPr="00EF4AEA">
              <w:rPr>
                <w:b/>
                <w:lang w:val="en-GB"/>
              </w:rPr>
              <w:t>103,6</w:t>
            </w:r>
          </w:p>
        </w:tc>
        <w:tc>
          <w:tcPr>
            <w:tcW w:w="1134" w:type="dxa"/>
            <w:tcBorders>
              <w:top w:val="single" w:sz="12" w:space="0" w:color="212492"/>
              <w:bottom w:val="single" w:sz="4" w:space="0" w:color="212492"/>
            </w:tcBorders>
            <w:vAlign w:val="center"/>
          </w:tcPr>
          <w:p w:rsidR="005F3B2F" w:rsidRPr="00EF4AEA" w:rsidRDefault="005F3B2F" w:rsidP="00802927">
            <w:pPr>
              <w:spacing w:before="60" w:after="60"/>
              <w:jc w:val="right"/>
              <w:rPr>
                <w:rFonts w:cs="Arial"/>
                <w:b/>
                <w:color w:val="000000" w:themeColor="text1"/>
                <w:sz w:val="16"/>
                <w:szCs w:val="16"/>
                <w:highlight w:val="yellow"/>
                <w:lang w:val="en-GB"/>
              </w:rPr>
            </w:pPr>
            <w:r w:rsidRPr="00EF4AEA">
              <w:rPr>
                <w:rFonts w:cs="Arial"/>
                <w:b/>
                <w:color w:val="000000" w:themeColor="text1"/>
                <w:sz w:val="16"/>
                <w:szCs w:val="16"/>
                <w:lang w:val="en-GB"/>
              </w:rPr>
              <w:t>x</w:t>
            </w:r>
          </w:p>
        </w:tc>
      </w:tr>
      <w:tr w:rsidR="00922059" w:rsidRPr="00EF4AEA" w:rsidTr="007D3588">
        <w:trPr>
          <w:cantSplit/>
          <w:trHeight w:val="57"/>
        </w:trPr>
        <w:tc>
          <w:tcPr>
            <w:tcW w:w="195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922059" w:rsidRPr="00EF4AEA" w:rsidRDefault="00922059" w:rsidP="00922059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</w:pPr>
            <w:r w:rsidRPr="00EF4AEA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 xml:space="preserve">Food and non-alcoholic </w:t>
            </w:r>
            <w:r w:rsidRPr="00EF4AEA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br/>
              <w:t>beverages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922059" w:rsidRPr="00EF4AEA" w:rsidRDefault="00922059" w:rsidP="00922059">
            <w:pPr>
              <w:spacing w:before="60" w:after="60"/>
              <w:jc w:val="right"/>
              <w:rPr>
                <w:lang w:val="en-GB"/>
              </w:rPr>
            </w:pPr>
            <w:r w:rsidRPr="00EF4AEA">
              <w:rPr>
                <w:lang w:val="en-GB"/>
              </w:rPr>
              <w:t>102,0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922059" w:rsidRPr="00EF4AEA" w:rsidRDefault="00922059" w:rsidP="00922059">
            <w:pPr>
              <w:spacing w:before="60" w:after="60"/>
              <w:jc w:val="right"/>
              <w:rPr>
                <w:lang w:val="en-GB"/>
              </w:rPr>
            </w:pPr>
            <w:r w:rsidRPr="00EF4AEA">
              <w:rPr>
                <w:lang w:val="en-GB"/>
              </w:rPr>
              <w:t>105,0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922059" w:rsidRPr="00EF4AEA" w:rsidRDefault="00922059" w:rsidP="00922059">
            <w:pPr>
              <w:spacing w:before="60" w:after="60"/>
              <w:jc w:val="right"/>
              <w:rPr>
                <w:lang w:val="en-GB"/>
              </w:rPr>
            </w:pPr>
            <w:r w:rsidRPr="00EF4AEA">
              <w:rPr>
                <w:lang w:val="en-GB"/>
              </w:rPr>
              <w:t>100,1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922059" w:rsidRPr="00EF4AEA" w:rsidRDefault="00922059" w:rsidP="00922059">
            <w:pPr>
              <w:spacing w:before="60" w:after="60"/>
              <w:jc w:val="right"/>
              <w:rPr>
                <w:lang w:val="en-GB"/>
              </w:rPr>
            </w:pPr>
            <w:r w:rsidRPr="00EF4AEA">
              <w:rPr>
                <w:lang w:val="en-GB"/>
              </w:rPr>
              <w:t>101,6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922059" w:rsidRPr="00EF4AEA" w:rsidRDefault="00922059" w:rsidP="00922059">
            <w:pPr>
              <w:spacing w:before="60" w:after="60"/>
              <w:jc w:val="right"/>
              <w:rPr>
                <w:lang w:val="en-GB"/>
              </w:rPr>
            </w:pPr>
            <w:r w:rsidRPr="00EF4AEA">
              <w:rPr>
                <w:lang w:val="en-GB"/>
              </w:rPr>
              <w:t>102,1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922059" w:rsidRPr="00EF4AEA" w:rsidRDefault="00922059" w:rsidP="00922059">
            <w:pPr>
              <w:spacing w:before="60" w:after="60"/>
              <w:jc w:val="right"/>
              <w:rPr>
                <w:lang w:val="en-GB"/>
              </w:rPr>
            </w:pPr>
            <w:r w:rsidRPr="00EF4AEA">
              <w:rPr>
                <w:lang w:val="en-GB"/>
              </w:rPr>
              <w:t>101,1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922059" w:rsidRPr="00EF4AEA" w:rsidRDefault="00922059" w:rsidP="00922059">
            <w:pPr>
              <w:spacing w:before="60" w:after="60"/>
              <w:jc w:val="right"/>
              <w:rPr>
                <w:lang w:val="en-GB"/>
              </w:rPr>
            </w:pPr>
            <w:r w:rsidRPr="00EF4AEA">
              <w:rPr>
                <w:lang w:val="en-GB"/>
              </w:rPr>
              <w:t>0,03</w:t>
            </w:r>
          </w:p>
        </w:tc>
      </w:tr>
      <w:tr w:rsidR="00922059" w:rsidRPr="00EF4AEA" w:rsidTr="007D3588">
        <w:trPr>
          <w:cantSplit/>
          <w:trHeight w:val="57"/>
        </w:trPr>
        <w:tc>
          <w:tcPr>
            <w:tcW w:w="195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922059" w:rsidRPr="00EF4AEA" w:rsidRDefault="00922059" w:rsidP="00922059">
            <w:pPr>
              <w:pStyle w:val="Nagwek9"/>
              <w:tabs>
                <w:tab w:val="right" w:leader="dot" w:pos="4156"/>
              </w:tabs>
              <w:spacing w:before="0"/>
              <w:contextualSpacing/>
              <w:outlineLvl w:val="8"/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</w:pPr>
            <w:r w:rsidRPr="00EF4AEA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t xml:space="preserve">Alcoholic beverages </w:t>
            </w:r>
            <w:r w:rsidRPr="00EF4AEA">
              <w:rPr>
                <w:rFonts w:ascii="Fira Sans" w:hAnsi="Fira Sans"/>
                <w:i w:val="0"/>
                <w:color w:val="000000" w:themeColor="text1"/>
                <w:sz w:val="16"/>
                <w:szCs w:val="16"/>
                <w:lang w:val="en-GB"/>
              </w:rPr>
              <w:br/>
              <w:t>and tobacco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922059" w:rsidRPr="00EF4AEA" w:rsidRDefault="00922059" w:rsidP="00922059">
            <w:pPr>
              <w:spacing w:before="60" w:after="60"/>
              <w:jc w:val="right"/>
              <w:rPr>
                <w:lang w:val="en-GB"/>
              </w:rPr>
            </w:pPr>
            <w:r w:rsidRPr="00EF4AEA">
              <w:rPr>
                <w:lang w:val="en-GB"/>
              </w:rPr>
              <w:t>101,7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922059" w:rsidRPr="00EF4AEA" w:rsidRDefault="00922059" w:rsidP="00922059">
            <w:pPr>
              <w:spacing w:before="60" w:after="60"/>
              <w:jc w:val="right"/>
              <w:rPr>
                <w:lang w:val="en-GB"/>
              </w:rPr>
            </w:pPr>
            <w:r w:rsidRPr="00EF4AEA">
              <w:rPr>
                <w:lang w:val="en-GB"/>
              </w:rPr>
              <w:t>101,6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922059" w:rsidRPr="00EF4AEA" w:rsidRDefault="00922059" w:rsidP="00922059">
            <w:pPr>
              <w:spacing w:before="60" w:after="60"/>
              <w:jc w:val="right"/>
              <w:rPr>
                <w:lang w:val="en-GB"/>
              </w:rPr>
            </w:pPr>
            <w:r w:rsidRPr="00EF4AEA">
              <w:rPr>
                <w:lang w:val="en-GB"/>
              </w:rPr>
              <w:t>100,1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922059" w:rsidRPr="00EF4AEA" w:rsidRDefault="00922059" w:rsidP="00922059">
            <w:pPr>
              <w:spacing w:before="60" w:after="60"/>
              <w:jc w:val="right"/>
              <w:rPr>
                <w:lang w:val="en-GB"/>
              </w:rPr>
            </w:pPr>
            <w:r w:rsidRPr="00EF4AEA">
              <w:rPr>
                <w:lang w:val="en-GB"/>
              </w:rPr>
              <w:t>101,7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922059" w:rsidRPr="00EF4AEA" w:rsidRDefault="00922059" w:rsidP="00922059">
            <w:pPr>
              <w:spacing w:before="60" w:after="60"/>
              <w:jc w:val="right"/>
              <w:rPr>
                <w:lang w:val="en-GB"/>
              </w:rPr>
            </w:pPr>
            <w:r w:rsidRPr="00EF4AEA">
              <w:rPr>
                <w:lang w:val="en-GB"/>
              </w:rPr>
              <w:t>100,7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922059" w:rsidRPr="00EF4AEA" w:rsidRDefault="00922059" w:rsidP="00922059">
            <w:pPr>
              <w:spacing w:before="60" w:after="60"/>
              <w:jc w:val="right"/>
              <w:rPr>
                <w:lang w:val="en-GB"/>
              </w:rPr>
            </w:pPr>
            <w:r w:rsidRPr="00EF4AEA">
              <w:rPr>
                <w:lang w:val="en-GB"/>
              </w:rPr>
              <w:t>102,1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922059" w:rsidRPr="00EF4AEA" w:rsidRDefault="00922059" w:rsidP="00922059">
            <w:pPr>
              <w:spacing w:before="60" w:after="60"/>
              <w:jc w:val="right"/>
              <w:rPr>
                <w:lang w:val="en-GB"/>
              </w:rPr>
            </w:pPr>
            <w:r w:rsidRPr="00EF4AEA">
              <w:rPr>
                <w:lang w:val="en-GB"/>
              </w:rPr>
              <w:t>0,00</w:t>
            </w:r>
          </w:p>
        </w:tc>
      </w:tr>
      <w:tr w:rsidR="00922059" w:rsidRPr="00EF4AEA" w:rsidTr="007D3588">
        <w:trPr>
          <w:cantSplit/>
          <w:trHeight w:val="477"/>
        </w:trPr>
        <w:tc>
          <w:tcPr>
            <w:tcW w:w="195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922059" w:rsidRPr="00EF4AEA" w:rsidRDefault="00922059" w:rsidP="00922059">
            <w:pPr>
              <w:tabs>
                <w:tab w:val="right" w:leader="dot" w:pos="4156"/>
              </w:tabs>
              <w:contextualSpacing/>
              <w:rPr>
                <w:color w:val="000000" w:themeColor="text1"/>
                <w:sz w:val="16"/>
                <w:szCs w:val="16"/>
                <w:lang w:val="en-GB"/>
              </w:rPr>
            </w:pPr>
            <w:r w:rsidRPr="00EF4AEA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Clothing and footwear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922059" w:rsidRPr="00EF4AEA" w:rsidRDefault="00922059" w:rsidP="00922059">
            <w:pPr>
              <w:spacing w:before="60" w:after="60"/>
              <w:jc w:val="right"/>
              <w:rPr>
                <w:lang w:val="en-GB"/>
              </w:rPr>
            </w:pPr>
            <w:r w:rsidRPr="00EF4AEA">
              <w:rPr>
                <w:lang w:val="en-GB"/>
              </w:rPr>
              <w:t>99,5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922059" w:rsidRPr="00EF4AEA" w:rsidRDefault="00922059" w:rsidP="00922059">
            <w:pPr>
              <w:spacing w:before="60" w:after="60"/>
              <w:jc w:val="right"/>
              <w:rPr>
                <w:lang w:val="en-GB"/>
              </w:rPr>
            </w:pPr>
            <w:r w:rsidRPr="00EF4AEA">
              <w:rPr>
                <w:lang w:val="en-GB"/>
              </w:rPr>
              <w:t>100,6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922059" w:rsidRPr="00EF4AEA" w:rsidRDefault="00922059" w:rsidP="00922059">
            <w:pPr>
              <w:spacing w:before="60" w:after="60"/>
              <w:jc w:val="right"/>
              <w:rPr>
                <w:lang w:val="en-GB"/>
              </w:rPr>
            </w:pPr>
            <w:r w:rsidRPr="00EF4AEA">
              <w:rPr>
                <w:lang w:val="en-GB"/>
              </w:rPr>
              <w:t>98,5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922059" w:rsidRPr="00EF4AEA" w:rsidRDefault="00922059" w:rsidP="00922059">
            <w:pPr>
              <w:spacing w:before="60" w:after="60"/>
              <w:jc w:val="right"/>
              <w:rPr>
                <w:lang w:val="en-GB"/>
              </w:rPr>
            </w:pPr>
            <w:r w:rsidRPr="00EF4AEA">
              <w:rPr>
                <w:lang w:val="en-GB"/>
              </w:rPr>
              <w:t>100,0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922059" w:rsidRPr="00EF4AEA" w:rsidRDefault="00922059" w:rsidP="00922059">
            <w:pPr>
              <w:spacing w:before="60" w:after="60"/>
              <w:jc w:val="right"/>
              <w:rPr>
                <w:lang w:val="en-GB"/>
              </w:rPr>
            </w:pPr>
            <w:r w:rsidRPr="00EF4AEA">
              <w:rPr>
                <w:lang w:val="en-GB"/>
              </w:rPr>
              <w:t>104,8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922059" w:rsidRPr="00EF4AEA" w:rsidRDefault="00922059" w:rsidP="00922059">
            <w:pPr>
              <w:spacing w:before="60" w:after="60"/>
              <w:jc w:val="right"/>
              <w:rPr>
                <w:lang w:val="en-GB"/>
              </w:rPr>
            </w:pPr>
            <w:r w:rsidRPr="00EF4AEA">
              <w:rPr>
                <w:lang w:val="en-GB"/>
              </w:rPr>
              <w:t>98,7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922059" w:rsidRPr="00EF4AEA" w:rsidRDefault="00922059" w:rsidP="00922059">
            <w:pPr>
              <w:spacing w:before="60" w:after="60"/>
              <w:jc w:val="right"/>
              <w:rPr>
                <w:lang w:val="en-GB"/>
              </w:rPr>
            </w:pPr>
            <w:r w:rsidRPr="00EF4AEA">
              <w:rPr>
                <w:lang w:val="en-GB"/>
              </w:rPr>
              <w:t>-0,06</w:t>
            </w:r>
          </w:p>
        </w:tc>
      </w:tr>
      <w:tr w:rsidR="00922059" w:rsidRPr="00EF4AEA" w:rsidTr="007D3588">
        <w:trPr>
          <w:cantSplit/>
          <w:trHeight w:val="57"/>
        </w:trPr>
        <w:tc>
          <w:tcPr>
            <w:tcW w:w="195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922059" w:rsidRPr="00EF4AEA" w:rsidRDefault="00922059" w:rsidP="00922059">
            <w:pPr>
              <w:pStyle w:val="Nagwek2"/>
              <w:tabs>
                <w:tab w:val="right" w:leader="dot" w:pos="4156"/>
              </w:tabs>
              <w:spacing w:before="0"/>
              <w:contextualSpacing/>
              <w:outlineLvl w:val="1"/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</w:pPr>
            <w:r w:rsidRPr="00EF4AEA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Housing, water, ele</w:t>
            </w:r>
            <w:r w:rsidRPr="00EF4AEA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c</w:t>
            </w:r>
            <w:r w:rsidRPr="00EF4AEA">
              <w:rPr>
                <w:rFonts w:ascii="Fira Sans" w:hAnsi="Fira Sans"/>
                <w:color w:val="000000" w:themeColor="text1"/>
                <w:sz w:val="16"/>
                <w:szCs w:val="16"/>
                <w:lang w:val="en-GB"/>
              </w:rPr>
              <w:t>tricity, gas and other fuels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922059" w:rsidRPr="00EF4AEA" w:rsidRDefault="00922059" w:rsidP="00922059">
            <w:pPr>
              <w:spacing w:before="60" w:after="60"/>
              <w:jc w:val="right"/>
              <w:rPr>
                <w:lang w:val="en-GB"/>
              </w:rPr>
            </w:pPr>
            <w:r w:rsidRPr="00EF4AEA">
              <w:rPr>
                <w:lang w:val="en-GB"/>
              </w:rPr>
              <w:t>105,9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922059" w:rsidRPr="00EF4AEA" w:rsidRDefault="00922059" w:rsidP="00922059">
            <w:pPr>
              <w:spacing w:before="60" w:after="60"/>
              <w:jc w:val="right"/>
              <w:rPr>
                <w:lang w:val="en-GB"/>
              </w:rPr>
            </w:pPr>
            <w:r w:rsidRPr="00EF4AEA">
              <w:rPr>
                <w:lang w:val="en-GB"/>
              </w:rPr>
              <w:t>104,5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922059" w:rsidRPr="00EF4AEA" w:rsidRDefault="00922059" w:rsidP="00922059">
            <w:pPr>
              <w:spacing w:before="60" w:after="60"/>
              <w:jc w:val="right"/>
              <w:rPr>
                <w:lang w:val="en-GB"/>
              </w:rPr>
            </w:pPr>
            <w:r w:rsidRPr="00EF4AEA">
              <w:rPr>
                <w:lang w:val="en-GB"/>
              </w:rPr>
              <w:t>100,1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922059" w:rsidRPr="00EF4AEA" w:rsidRDefault="00922059" w:rsidP="00922059">
            <w:pPr>
              <w:spacing w:before="60" w:after="60"/>
              <w:jc w:val="right"/>
              <w:rPr>
                <w:lang w:val="en-GB"/>
              </w:rPr>
            </w:pPr>
            <w:r w:rsidRPr="00EF4AEA">
              <w:rPr>
                <w:lang w:val="en-GB"/>
              </w:rPr>
              <w:t>105,8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922059" w:rsidRPr="00EF4AEA" w:rsidRDefault="00922059" w:rsidP="00922059">
            <w:pPr>
              <w:spacing w:before="60" w:after="60"/>
              <w:jc w:val="right"/>
              <w:rPr>
                <w:lang w:val="en-GB"/>
              </w:rPr>
            </w:pPr>
            <w:r w:rsidRPr="00EF4AEA">
              <w:rPr>
                <w:lang w:val="en-GB"/>
              </w:rPr>
              <w:t>100,9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922059" w:rsidRPr="00EF4AEA" w:rsidRDefault="00922059" w:rsidP="00922059">
            <w:pPr>
              <w:spacing w:before="60" w:after="60"/>
              <w:jc w:val="right"/>
              <w:rPr>
                <w:lang w:val="en-GB"/>
              </w:rPr>
            </w:pPr>
            <w:r w:rsidRPr="00EF4AEA">
              <w:rPr>
                <w:lang w:val="en-GB"/>
              </w:rPr>
              <w:t>106,2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922059" w:rsidRPr="00EF4AEA" w:rsidRDefault="00922059" w:rsidP="00922059">
            <w:pPr>
              <w:spacing w:before="60" w:after="60"/>
              <w:jc w:val="right"/>
              <w:rPr>
                <w:lang w:val="en-GB"/>
              </w:rPr>
            </w:pPr>
            <w:r w:rsidRPr="00EF4AEA">
              <w:rPr>
                <w:lang w:val="en-GB"/>
              </w:rPr>
              <w:t>0,03</w:t>
            </w:r>
          </w:p>
        </w:tc>
      </w:tr>
      <w:tr w:rsidR="00922059" w:rsidRPr="00EF4AEA" w:rsidTr="007D3588">
        <w:trPr>
          <w:cantSplit/>
          <w:trHeight w:val="823"/>
        </w:trPr>
        <w:tc>
          <w:tcPr>
            <w:tcW w:w="195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922059" w:rsidRPr="00EF4AEA" w:rsidRDefault="00922059" w:rsidP="00922059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EF4AEA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Furnishings, household equipment and routine household maint</w:t>
            </w:r>
            <w:r w:rsidRPr="00EF4AEA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e</w:t>
            </w:r>
            <w:r w:rsidRPr="00EF4AEA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nance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922059" w:rsidRPr="00EF4AEA" w:rsidRDefault="00922059" w:rsidP="00922059">
            <w:pPr>
              <w:spacing w:before="60" w:after="60"/>
              <w:jc w:val="right"/>
              <w:rPr>
                <w:lang w:val="en-GB"/>
              </w:rPr>
            </w:pPr>
            <w:r w:rsidRPr="00EF4AEA">
              <w:rPr>
                <w:lang w:val="en-GB"/>
              </w:rPr>
              <w:t>102,6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922059" w:rsidRPr="00EF4AEA" w:rsidRDefault="00922059" w:rsidP="00922059">
            <w:pPr>
              <w:spacing w:before="60" w:after="60"/>
              <w:jc w:val="right"/>
              <w:rPr>
                <w:lang w:val="en-GB"/>
              </w:rPr>
            </w:pPr>
            <w:r w:rsidRPr="00EF4AEA">
              <w:rPr>
                <w:lang w:val="en-GB"/>
              </w:rPr>
              <w:t>101,8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922059" w:rsidRPr="00EF4AEA" w:rsidRDefault="00922059" w:rsidP="00922059">
            <w:pPr>
              <w:spacing w:before="60" w:after="60"/>
              <w:jc w:val="right"/>
              <w:rPr>
                <w:lang w:val="en-GB"/>
              </w:rPr>
            </w:pPr>
            <w:r w:rsidRPr="00EF4AEA">
              <w:rPr>
                <w:lang w:val="en-GB"/>
              </w:rPr>
              <w:t>99,8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922059" w:rsidRPr="00EF4AEA" w:rsidRDefault="00922059" w:rsidP="00922059">
            <w:pPr>
              <w:spacing w:before="60" w:after="60"/>
              <w:jc w:val="right"/>
              <w:rPr>
                <w:lang w:val="en-GB"/>
              </w:rPr>
            </w:pPr>
            <w:r w:rsidRPr="00EF4AEA">
              <w:rPr>
                <w:lang w:val="en-GB"/>
              </w:rPr>
              <w:t>102,7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922059" w:rsidRPr="00EF4AEA" w:rsidRDefault="00922059" w:rsidP="00922059">
            <w:pPr>
              <w:spacing w:before="60" w:after="60"/>
              <w:jc w:val="right"/>
              <w:rPr>
                <w:lang w:val="en-GB"/>
              </w:rPr>
            </w:pPr>
            <w:r w:rsidRPr="00EF4AEA">
              <w:rPr>
                <w:lang w:val="en-GB"/>
              </w:rPr>
              <w:t>101,3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922059" w:rsidRPr="00EF4AEA" w:rsidRDefault="00922059" w:rsidP="00922059">
            <w:pPr>
              <w:spacing w:before="60" w:after="60"/>
              <w:jc w:val="right"/>
              <w:rPr>
                <w:lang w:val="en-GB"/>
              </w:rPr>
            </w:pPr>
            <w:r w:rsidRPr="00EF4AEA">
              <w:rPr>
                <w:lang w:val="en-GB"/>
              </w:rPr>
              <w:t>102,3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922059" w:rsidRPr="00EF4AEA" w:rsidRDefault="00922059" w:rsidP="00922059">
            <w:pPr>
              <w:spacing w:before="60" w:after="60"/>
              <w:jc w:val="right"/>
              <w:rPr>
                <w:lang w:val="en-GB"/>
              </w:rPr>
            </w:pPr>
            <w:r w:rsidRPr="00EF4AEA">
              <w:rPr>
                <w:lang w:val="en-GB"/>
              </w:rPr>
              <w:t>-0,01</w:t>
            </w:r>
          </w:p>
        </w:tc>
      </w:tr>
      <w:tr w:rsidR="00922059" w:rsidRPr="00EF4AEA" w:rsidTr="007D3588">
        <w:trPr>
          <w:cantSplit/>
          <w:trHeight w:val="479"/>
        </w:trPr>
        <w:tc>
          <w:tcPr>
            <w:tcW w:w="195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922059" w:rsidRPr="00EF4AEA" w:rsidRDefault="00922059" w:rsidP="00922059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EF4AEA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 xml:space="preserve">Health 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922059" w:rsidRPr="00EF4AEA" w:rsidRDefault="00922059" w:rsidP="00922059">
            <w:pPr>
              <w:spacing w:before="60" w:after="60"/>
              <w:jc w:val="right"/>
              <w:rPr>
                <w:lang w:val="en-GB"/>
              </w:rPr>
            </w:pPr>
            <w:r w:rsidRPr="00EF4AEA">
              <w:rPr>
                <w:lang w:val="en-GB"/>
              </w:rPr>
              <w:t>102,6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922059" w:rsidRPr="00EF4AEA" w:rsidRDefault="00922059" w:rsidP="00922059">
            <w:pPr>
              <w:spacing w:before="60" w:after="60"/>
              <w:jc w:val="right"/>
              <w:rPr>
                <w:lang w:val="en-GB"/>
              </w:rPr>
            </w:pPr>
            <w:r w:rsidRPr="00EF4AEA">
              <w:rPr>
                <w:lang w:val="en-GB"/>
              </w:rPr>
              <w:t>101,5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922059" w:rsidRPr="00EF4AEA" w:rsidRDefault="00922059" w:rsidP="00922059">
            <w:pPr>
              <w:spacing w:before="60" w:after="60"/>
              <w:jc w:val="right"/>
              <w:rPr>
                <w:lang w:val="en-GB"/>
              </w:rPr>
            </w:pPr>
            <w:r w:rsidRPr="00EF4AEA">
              <w:rPr>
                <w:lang w:val="en-GB"/>
              </w:rPr>
              <w:t>100,3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922059" w:rsidRPr="00EF4AEA" w:rsidRDefault="00922059" w:rsidP="00922059">
            <w:pPr>
              <w:spacing w:before="60" w:after="60"/>
              <w:jc w:val="right"/>
              <w:rPr>
                <w:lang w:val="en-GB"/>
              </w:rPr>
            </w:pPr>
            <w:r w:rsidRPr="00EF4AEA">
              <w:rPr>
                <w:lang w:val="en-GB"/>
              </w:rPr>
              <w:t>102,9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922059" w:rsidRPr="00EF4AEA" w:rsidRDefault="00922059" w:rsidP="00922059">
            <w:pPr>
              <w:spacing w:before="60" w:after="60"/>
              <w:jc w:val="right"/>
              <w:rPr>
                <w:lang w:val="en-GB"/>
              </w:rPr>
            </w:pPr>
            <w:r w:rsidRPr="00EF4AEA">
              <w:rPr>
                <w:lang w:val="en-GB"/>
              </w:rPr>
              <w:t>100,7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922059" w:rsidRPr="00EF4AEA" w:rsidRDefault="00922059" w:rsidP="00922059">
            <w:pPr>
              <w:spacing w:before="60" w:after="60"/>
              <w:jc w:val="right"/>
              <w:rPr>
                <w:lang w:val="en-GB"/>
              </w:rPr>
            </w:pPr>
            <w:r w:rsidRPr="00EF4AEA">
              <w:rPr>
                <w:lang w:val="en-GB"/>
              </w:rPr>
              <w:t>103,5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922059" w:rsidRPr="00EF4AEA" w:rsidRDefault="00922059" w:rsidP="00922059">
            <w:pPr>
              <w:spacing w:before="60" w:after="60"/>
              <w:jc w:val="right"/>
              <w:rPr>
                <w:lang w:val="en-GB"/>
              </w:rPr>
            </w:pPr>
            <w:r w:rsidRPr="00EF4AEA">
              <w:rPr>
                <w:lang w:val="en-GB"/>
              </w:rPr>
              <w:t>0,02</w:t>
            </w:r>
          </w:p>
        </w:tc>
      </w:tr>
      <w:tr w:rsidR="00922059" w:rsidRPr="00EF4AEA" w:rsidTr="007D3588">
        <w:trPr>
          <w:cantSplit/>
          <w:trHeight w:val="57"/>
        </w:trPr>
        <w:tc>
          <w:tcPr>
            <w:tcW w:w="195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922059" w:rsidRPr="00EF4AEA" w:rsidRDefault="00922059" w:rsidP="00922059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EF4AEA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Transport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922059" w:rsidRPr="00EF4AEA" w:rsidRDefault="00922059" w:rsidP="00922059">
            <w:pPr>
              <w:spacing w:before="60" w:after="60"/>
              <w:jc w:val="right"/>
              <w:rPr>
                <w:lang w:val="en-GB"/>
              </w:rPr>
            </w:pPr>
            <w:r w:rsidRPr="00EF4AEA">
              <w:rPr>
                <w:lang w:val="en-GB"/>
              </w:rPr>
              <w:t>116,5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922059" w:rsidRPr="00EF4AEA" w:rsidRDefault="00922059" w:rsidP="00922059">
            <w:pPr>
              <w:spacing w:before="60" w:after="60"/>
              <w:jc w:val="right"/>
              <w:rPr>
                <w:lang w:val="en-GB"/>
              </w:rPr>
            </w:pPr>
            <w:r w:rsidRPr="00EF4AEA">
              <w:rPr>
                <w:lang w:val="en-GB"/>
              </w:rPr>
              <w:t>110,5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922059" w:rsidRPr="00EF4AEA" w:rsidRDefault="00922059" w:rsidP="00922059">
            <w:pPr>
              <w:spacing w:before="60" w:after="60"/>
              <w:jc w:val="right"/>
              <w:rPr>
                <w:lang w:val="en-GB"/>
              </w:rPr>
            </w:pPr>
            <w:r w:rsidRPr="00EF4AEA">
              <w:rPr>
                <w:lang w:val="en-GB"/>
              </w:rPr>
              <w:t>100,6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922059" w:rsidRPr="00EF4AEA" w:rsidRDefault="00922059" w:rsidP="00922059">
            <w:pPr>
              <w:spacing w:before="60" w:after="60"/>
              <w:jc w:val="right"/>
              <w:rPr>
                <w:lang w:val="en-GB"/>
              </w:rPr>
            </w:pPr>
            <w:r w:rsidRPr="00EF4AEA">
              <w:rPr>
                <w:lang w:val="en-GB"/>
              </w:rPr>
              <w:t>117,4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922059" w:rsidRPr="00EF4AEA" w:rsidRDefault="00922059" w:rsidP="00922059">
            <w:pPr>
              <w:spacing w:before="60" w:after="60"/>
              <w:jc w:val="right"/>
              <w:rPr>
                <w:lang w:val="en-GB"/>
              </w:rPr>
            </w:pPr>
            <w:r w:rsidRPr="00EF4AEA">
              <w:rPr>
                <w:lang w:val="en-GB"/>
              </w:rPr>
              <w:t>105,8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922059" w:rsidRPr="00EF4AEA" w:rsidRDefault="00922059" w:rsidP="00922059">
            <w:pPr>
              <w:spacing w:before="60" w:after="60"/>
              <w:jc w:val="right"/>
              <w:rPr>
                <w:lang w:val="en-GB"/>
              </w:rPr>
            </w:pPr>
            <w:r w:rsidRPr="00EF4AEA">
              <w:rPr>
                <w:lang w:val="en-GB"/>
              </w:rPr>
              <w:t>108,2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922059" w:rsidRPr="00EF4AEA" w:rsidRDefault="00922059" w:rsidP="00922059">
            <w:pPr>
              <w:spacing w:before="60" w:after="60"/>
              <w:jc w:val="right"/>
              <w:rPr>
                <w:lang w:val="en-GB"/>
              </w:rPr>
            </w:pPr>
            <w:r w:rsidRPr="00EF4AEA">
              <w:rPr>
                <w:lang w:val="en-GB"/>
              </w:rPr>
              <w:t>0,06</w:t>
            </w:r>
          </w:p>
        </w:tc>
      </w:tr>
      <w:tr w:rsidR="00922059" w:rsidRPr="00EF4AEA" w:rsidTr="007D3588">
        <w:trPr>
          <w:cantSplit/>
          <w:trHeight w:val="57"/>
        </w:trPr>
        <w:tc>
          <w:tcPr>
            <w:tcW w:w="195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922059" w:rsidRPr="00EF4AEA" w:rsidRDefault="00922059" w:rsidP="00922059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EF4AEA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Communication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922059" w:rsidRPr="00EF4AEA" w:rsidRDefault="00922059" w:rsidP="00922059">
            <w:pPr>
              <w:spacing w:before="60" w:after="60"/>
              <w:jc w:val="right"/>
              <w:rPr>
                <w:lang w:val="en-GB"/>
              </w:rPr>
            </w:pPr>
            <w:r w:rsidRPr="00EF4AEA">
              <w:rPr>
                <w:lang w:val="en-GB"/>
              </w:rPr>
              <w:t>104,2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922059" w:rsidRPr="00EF4AEA" w:rsidRDefault="00922059" w:rsidP="00922059">
            <w:pPr>
              <w:spacing w:before="60" w:after="60"/>
              <w:jc w:val="right"/>
              <w:rPr>
                <w:lang w:val="en-GB"/>
              </w:rPr>
            </w:pPr>
            <w:r w:rsidRPr="00EF4AEA">
              <w:rPr>
                <w:lang w:val="en-GB"/>
              </w:rPr>
              <w:t>102,7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922059" w:rsidRPr="00EF4AEA" w:rsidRDefault="00922059" w:rsidP="00922059">
            <w:pPr>
              <w:spacing w:before="60" w:after="60"/>
              <w:jc w:val="right"/>
              <w:rPr>
                <w:lang w:val="en-GB"/>
              </w:rPr>
            </w:pPr>
            <w:r w:rsidRPr="00EF4AEA">
              <w:rPr>
                <w:lang w:val="en-GB"/>
              </w:rPr>
              <w:t>99,3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922059" w:rsidRPr="00EF4AEA" w:rsidRDefault="00922059" w:rsidP="00922059">
            <w:pPr>
              <w:spacing w:before="60" w:after="60"/>
              <w:jc w:val="right"/>
              <w:rPr>
                <w:lang w:val="en-GB"/>
              </w:rPr>
            </w:pPr>
            <w:r w:rsidRPr="00EF4AEA">
              <w:rPr>
                <w:lang w:val="en-GB"/>
              </w:rPr>
              <w:t>106,1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922059" w:rsidRPr="00EF4AEA" w:rsidRDefault="00922059" w:rsidP="00922059">
            <w:pPr>
              <w:spacing w:before="60" w:after="60"/>
              <w:jc w:val="right"/>
              <w:rPr>
                <w:lang w:val="en-GB"/>
              </w:rPr>
            </w:pPr>
            <w:r w:rsidRPr="00EF4AEA">
              <w:rPr>
                <w:lang w:val="en-GB"/>
              </w:rPr>
              <w:t>101,4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922059" w:rsidRPr="00EF4AEA" w:rsidRDefault="00922059" w:rsidP="00922059">
            <w:pPr>
              <w:spacing w:before="60" w:after="60"/>
              <w:jc w:val="right"/>
              <w:rPr>
                <w:lang w:val="en-GB"/>
              </w:rPr>
            </w:pPr>
            <w:r w:rsidRPr="00EF4AEA">
              <w:rPr>
                <w:lang w:val="en-GB"/>
              </w:rPr>
              <w:t>106,1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922059" w:rsidRPr="00EF4AEA" w:rsidRDefault="00922059" w:rsidP="00922059">
            <w:pPr>
              <w:spacing w:before="60" w:after="60"/>
              <w:jc w:val="right"/>
              <w:rPr>
                <w:lang w:val="en-GB"/>
              </w:rPr>
            </w:pPr>
            <w:r w:rsidRPr="00EF4AEA">
              <w:rPr>
                <w:lang w:val="en-GB"/>
              </w:rPr>
              <w:t>-0,03</w:t>
            </w:r>
          </w:p>
        </w:tc>
      </w:tr>
      <w:tr w:rsidR="00922059" w:rsidRPr="00EF4AEA" w:rsidTr="007D3588">
        <w:trPr>
          <w:cantSplit/>
          <w:trHeight w:val="57"/>
        </w:trPr>
        <w:tc>
          <w:tcPr>
            <w:tcW w:w="195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922059" w:rsidRPr="00EF4AEA" w:rsidRDefault="00922059" w:rsidP="00922059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EF4AEA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Recreation and culture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922059" w:rsidRPr="00EF4AEA" w:rsidRDefault="00922059" w:rsidP="00922059">
            <w:pPr>
              <w:spacing w:before="60" w:after="60"/>
              <w:jc w:val="right"/>
              <w:rPr>
                <w:lang w:val="en-GB"/>
              </w:rPr>
            </w:pPr>
            <w:r w:rsidRPr="00EF4AEA">
              <w:rPr>
                <w:lang w:val="en-GB"/>
              </w:rPr>
              <w:t>104,8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922059" w:rsidRPr="00EF4AEA" w:rsidRDefault="00922059" w:rsidP="00922059">
            <w:pPr>
              <w:spacing w:before="60" w:after="60"/>
              <w:jc w:val="right"/>
              <w:rPr>
                <w:lang w:val="en-GB"/>
              </w:rPr>
            </w:pPr>
            <w:r w:rsidRPr="00EF4AEA">
              <w:rPr>
                <w:lang w:val="en-GB"/>
              </w:rPr>
              <w:t>103,3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922059" w:rsidRPr="00EF4AEA" w:rsidRDefault="00922059" w:rsidP="00922059">
            <w:pPr>
              <w:spacing w:before="60" w:after="60"/>
              <w:jc w:val="right"/>
              <w:rPr>
                <w:lang w:val="en-GB"/>
              </w:rPr>
            </w:pPr>
            <w:r w:rsidRPr="00EF4AEA">
              <w:rPr>
                <w:lang w:val="en-GB"/>
              </w:rPr>
              <w:t>100,4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922059" w:rsidRPr="00EF4AEA" w:rsidRDefault="00922059" w:rsidP="00922059">
            <w:pPr>
              <w:spacing w:before="60" w:after="60"/>
              <w:jc w:val="right"/>
              <w:rPr>
                <w:lang w:val="en-GB"/>
              </w:rPr>
            </w:pPr>
            <w:r w:rsidRPr="00EF4AEA">
              <w:rPr>
                <w:lang w:val="en-GB"/>
              </w:rPr>
              <w:t>105,3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922059" w:rsidRPr="00EF4AEA" w:rsidRDefault="00922059" w:rsidP="00922059">
            <w:pPr>
              <w:spacing w:before="60" w:after="60"/>
              <w:jc w:val="right"/>
              <w:rPr>
                <w:lang w:val="en-GB"/>
              </w:rPr>
            </w:pPr>
            <w:r w:rsidRPr="00EF4AEA">
              <w:rPr>
                <w:lang w:val="en-GB"/>
              </w:rPr>
              <w:t>101,3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922059" w:rsidRPr="00EF4AEA" w:rsidRDefault="00922059" w:rsidP="00922059">
            <w:pPr>
              <w:spacing w:before="60" w:after="60"/>
              <w:jc w:val="right"/>
              <w:rPr>
                <w:lang w:val="en-GB"/>
              </w:rPr>
            </w:pPr>
            <w:r w:rsidRPr="00EF4AEA">
              <w:rPr>
                <w:lang w:val="en-GB"/>
              </w:rPr>
              <w:t>104,8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922059" w:rsidRPr="00EF4AEA" w:rsidRDefault="00922059" w:rsidP="00922059">
            <w:pPr>
              <w:spacing w:before="60" w:after="60"/>
              <w:jc w:val="right"/>
              <w:rPr>
                <w:lang w:val="en-GB"/>
              </w:rPr>
            </w:pPr>
            <w:r w:rsidRPr="00EF4AEA">
              <w:rPr>
                <w:lang w:val="en-GB"/>
              </w:rPr>
              <w:t>0,03</w:t>
            </w:r>
          </w:p>
        </w:tc>
      </w:tr>
      <w:tr w:rsidR="00922059" w:rsidRPr="00EF4AEA" w:rsidTr="007D3588">
        <w:trPr>
          <w:cantSplit/>
          <w:trHeight w:val="57"/>
        </w:trPr>
        <w:tc>
          <w:tcPr>
            <w:tcW w:w="195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922059" w:rsidRPr="00EF4AEA" w:rsidRDefault="00922059" w:rsidP="00922059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EF4AEA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Education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922059" w:rsidRPr="00EF4AEA" w:rsidRDefault="00922059" w:rsidP="00922059">
            <w:pPr>
              <w:spacing w:before="60" w:after="60"/>
              <w:jc w:val="right"/>
              <w:rPr>
                <w:lang w:val="en-GB"/>
              </w:rPr>
            </w:pPr>
            <w:r w:rsidRPr="00EF4AEA">
              <w:rPr>
                <w:lang w:val="en-GB"/>
              </w:rPr>
              <w:t>105,0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922059" w:rsidRPr="00EF4AEA" w:rsidRDefault="00922059" w:rsidP="00922059">
            <w:pPr>
              <w:spacing w:before="60" w:after="60"/>
              <w:jc w:val="right"/>
              <w:rPr>
                <w:lang w:val="en-GB"/>
              </w:rPr>
            </w:pPr>
            <w:r w:rsidRPr="00EF4AEA">
              <w:rPr>
                <w:lang w:val="en-GB"/>
              </w:rPr>
              <w:t>100,9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922059" w:rsidRPr="00EF4AEA" w:rsidRDefault="00922059" w:rsidP="00922059">
            <w:pPr>
              <w:spacing w:before="60" w:after="60"/>
              <w:jc w:val="right"/>
              <w:rPr>
                <w:lang w:val="en-GB"/>
              </w:rPr>
            </w:pPr>
            <w:r w:rsidRPr="00EF4AEA">
              <w:rPr>
                <w:lang w:val="en-GB"/>
              </w:rPr>
              <w:t>100,1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922059" w:rsidRPr="00EF4AEA" w:rsidRDefault="00922059" w:rsidP="00922059">
            <w:pPr>
              <w:spacing w:before="60" w:after="60"/>
              <w:jc w:val="right"/>
              <w:rPr>
                <w:lang w:val="en-GB"/>
              </w:rPr>
            </w:pPr>
            <w:r w:rsidRPr="00EF4AEA">
              <w:rPr>
                <w:lang w:val="en-GB"/>
              </w:rPr>
              <w:t>105,4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922059" w:rsidRPr="00EF4AEA" w:rsidRDefault="00922059" w:rsidP="00922059">
            <w:pPr>
              <w:spacing w:before="60" w:after="60"/>
              <w:jc w:val="right"/>
              <w:rPr>
                <w:lang w:val="en-GB"/>
              </w:rPr>
            </w:pPr>
            <w:r w:rsidRPr="00EF4AEA">
              <w:rPr>
                <w:lang w:val="en-GB"/>
              </w:rPr>
              <w:t>100,3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922059" w:rsidRPr="00EF4AEA" w:rsidRDefault="00922059" w:rsidP="00922059">
            <w:pPr>
              <w:spacing w:before="60" w:after="60"/>
              <w:jc w:val="right"/>
              <w:rPr>
                <w:lang w:val="en-GB"/>
              </w:rPr>
            </w:pPr>
            <w:r w:rsidRPr="00EF4AEA">
              <w:rPr>
                <w:lang w:val="en-GB"/>
              </w:rPr>
              <w:t>105,4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922059" w:rsidRPr="00EF4AEA" w:rsidRDefault="00922059" w:rsidP="00922059">
            <w:pPr>
              <w:spacing w:before="60" w:after="60"/>
              <w:jc w:val="right"/>
              <w:rPr>
                <w:lang w:val="en-GB"/>
              </w:rPr>
            </w:pPr>
            <w:r w:rsidRPr="00EF4AEA">
              <w:rPr>
                <w:lang w:val="en-GB"/>
              </w:rPr>
              <w:t>0,00</w:t>
            </w:r>
          </w:p>
        </w:tc>
      </w:tr>
      <w:tr w:rsidR="00922059" w:rsidRPr="00EF4AEA" w:rsidTr="007D3588">
        <w:trPr>
          <w:cantSplit/>
          <w:trHeight w:val="57"/>
        </w:trPr>
        <w:tc>
          <w:tcPr>
            <w:tcW w:w="195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922059" w:rsidRPr="00EF4AEA" w:rsidRDefault="00922059" w:rsidP="00922059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EF4AEA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Restaurants and hotels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922059" w:rsidRPr="00EF4AEA" w:rsidRDefault="00922059" w:rsidP="00922059">
            <w:pPr>
              <w:spacing w:before="60" w:after="60"/>
              <w:jc w:val="right"/>
              <w:rPr>
                <w:lang w:val="en-GB"/>
              </w:rPr>
            </w:pPr>
            <w:r w:rsidRPr="00EF4AEA">
              <w:rPr>
                <w:lang w:val="en-GB"/>
              </w:rPr>
              <w:t>105,7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922059" w:rsidRPr="00EF4AEA" w:rsidRDefault="00922059" w:rsidP="00922059">
            <w:pPr>
              <w:spacing w:before="60" w:after="60"/>
              <w:jc w:val="right"/>
              <w:rPr>
                <w:lang w:val="en-GB"/>
              </w:rPr>
            </w:pPr>
            <w:r w:rsidRPr="00EF4AEA">
              <w:rPr>
                <w:lang w:val="en-GB"/>
              </w:rPr>
              <w:t>103,4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922059" w:rsidRPr="00EF4AEA" w:rsidRDefault="00922059" w:rsidP="00922059">
            <w:pPr>
              <w:spacing w:before="60" w:after="60"/>
              <w:jc w:val="right"/>
              <w:rPr>
                <w:lang w:val="en-GB"/>
              </w:rPr>
            </w:pPr>
            <w:r w:rsidRPr="00EF4AEA">
              <w:rPr>
                <w:lang w:val="en-GB"/>
              </w:rPr>
              <w:t>101,1</w:t>
            </w:r>
          </w:p>
        </w:tc>
        <w:tc>
          <w:tcPr>
            <w:tcW w:w="850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922059" w:rsidRPr="00EF4AEA" w:rsidRDefault="00922059" w:rsidP="00922059">
            <w:pPr>
              <w:spacing w:before="60" w:after="60"/>
              <w:jc w:val="right"/>
              <w:rPr>
                <w:lang w:val="en-GB"/>
              </w:rPr>
            </w:pPr>
            <w:r w:rsidRPr="00EF4AEA">
              <w:rPr>
                <w:lang w:val="en-GB"/>
              </w:rPr>
              <w:t>105,0</w:t>
            </w:r>
          </w:p>
        </w:tc>
        <w:tc>
          <w:tcPr>
            <w:tcW w:w="851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922059" w:rsidRPr="00EF4AEA" w:rsidRDefault="00922059" w:rsidP="00922059">
            <w:pPr>
              <w:spacing w:before="60" w:after="60"/>
              <w:jc w:val="right"/>
              <w:rPr>
                <w:lang w:val="en-GB"/>
              </w:rPr>
            </w:pPr>
            <w:r w:rsidRPr="00EF4AEA">
              <w:rPr>
                <w:lang w:val="en-GB"/>
              </w:rPr>
              <w:t>101,5</w:t>
            </w:r>
          </w:p>
        </w:tc>
        <w:tc>
          <w:tcPr>
            <w:tcW w:w="992" w:type="dxa"/>
            <w:tcBorders>
              <w:top w:val="single" w:sz="4" w:space="0" w:color="212492"/>
              <w:bottom w:val="single" w:sz="4" w:space="0" w:color="212492"/>
            </w:tcBorders>
            <w:vAlign w:val="center"/>
          </w:tcPr>
          <w:p w:rsidR="00922059" w:rsidRPr="00EF4AEA" w:rsidRDefault="00922059" w:rsidP="00922059">
            <w:pPr>
              <w:spacing w:before="60" w:after="60"/>
              <w:jc w:val="right"/>
              <w:rPr>
                <w:lang w:val="en-GB"/>
              </w:rPr>
            </w:pPr>
            <w:r w:rsidRPr="00EF4AEA">
              <w:rPr>
                <w:lang w:val="en-GB"/>
              </w:rPr>
              <w:t>105,0</w:t>
            </w:r>
          </w:p>
        </w:tc>
        <w:tc>
          <w:tcPr>
            <w:tcW w:w="1134" w:type="dxa"/>
            <w:tcBorders>
              <w:top w:val="single" w:sz="4" w:space="0" w:color="212492"/>
              <w:bottom w:val="single" w:sz="4" w:space="0" w:color="212492"/>
            </w:tcBorders>
            <w:shd w:val="clear" w:color="auto" w:fill="auto"/>
            <w:vAlign w:val="center"/>
          </w:tcPr>
          <w:p w:rsidR="00922059" w:rsidRPr="00EF4AEA" w:rsidRDefault="00922059" w:rsidP="00922059">
            <w:pPr>
              <w:spacing w:before="60" w:after="60"/>
              <w:jc w:val="right"/>
              <w:rPr>
                <w:lang w:val="en-GB"/>
              </w:rPr>
            </w:pPr>
            <w:r w:rsidRPr="00EF4AEA">
              <w:rPr>
                <w:lang w:val="en-GB"/>
              </w:rPr>
              <w:t>0,05</w:t>
            </w:r>
          </w:p>
        </w:tc>
      </w:tr>
      <w:tr w:rsidR="00922059" w:rsidRPr="00EF4AEA" w:rsidTr="007D3588">
        <w:trPr>
          <w:cantSplit/>
          <w:trHeight w:val="445"/>
        </w:trPr>
        <w:tc>
          <w:tcPr>
            <w:tcW w:w="1951" w:type="dxa"/>
            <w:tcBorders>
              <w:top w:val="single" w:sz="4" w:space="0" w:color="212492"/>
              <w:bottom w:val="nil"/>
            </w:tcBorders>
            <w:vAlign w:val="center"/>
          </w:tcPr>
          <w:p w:rsidR="00922059" w:rsidRPr="00EF4AEA" w:rsidRDefault="00922059" w:rsidP="00922059">
            <w:pPr>
              <w:tabs>
                <w:tab w:val="right" w:leader="dot" w:pos="4156"/>
              </w:tabs>
              <w:contextualSpacing/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</w:pPr>
            <w:r w:rsidRPr="00EF4AEA">
              <w:rPr>
                <w:rFonts w:cstheme="majorBidi"/>
                <w:bCs/>
                <w:color w:val="000000" w:themeColor="text1"/>
                <w:sz w:val="16"/>
                <w:szCs w:val="16"/>
                <w:lang w:val="en-GB"/>
              </w:rPr>
              <w:t>Miscellaneous goods and services</w:t>
            </w:r>
          </w:p>
        </w:tc>
        <w:tc>
          <w:tcPr>
            <w:tcW w:w="851" w:type="dxa"/>
            <w:tcBorders>
              <w:top w:val="single" w:sz="4" w:space="0" w:color="212492"/>
              <w:bottom w:val="nil"/>
            </w:tcBorders>
            <w:vAlign w:val="center"/>
          </w:tcPr>
          <w:p w:rsidR="00922059" w:rsidRPr="00EF4AEA" w:rsidRDefault="00922059" w:rsidP="00922059">
            <w:pPr>
              <w:spacing w:before="60" w:after="60"/>
              <w:jc w:val="right"/>
              <w:rPr>
                <w:lang w:val="en-GB"/>
              </w:rPr>
            </w:pPr>
            <w:r w:rsidRPr="00EF4AEA">
              <w:rPr>
                <w:lang w:val="en-GB"/>
              </w:rPr>
              <w:t>101,4</w:t>
            </w:r>
          </w:p>
        </w:tc>
        <w:tc>
          <w:tcPr>
            <w:tcW w:w="850" w:type="dxa"/>
            <w:tcBorders>
              <w:top w:val="single" w:sz="4" w:space="0" w:color="212492"/>
              <w:bottom w:val="nil"/>
            </w:tcBorders>
            <w:vAlign w:val="center"/>
          </w:tcPr>
          <w:p w:rsidR="00922059" w:rsidRPr="00EF4AEA" w:rsidRDefault="00922059" w:rsidP="00922059">
            <w:pPr>
              <w:spacing w:before="60" w:after="60"/>
              <w:jc w:val="right"/>
              <w:rPr>
                <w:lang w:val="en-GB"/>
              </w:rPr>
            </w:pPr>
            <w:r w:rsidRPr="00EF4AEA">
              <w:rPr>
                <w:lang w:val="en-GB"/>
              </w:rPr>
              <w:t>100,3</w:t>
            </w:r>
          </w:p>
        </w:tc>
        <w:tc>
          <w:tcPr>
            <w:tcW w:w="851" w:type="dxa"/>
            <w:tcBorders>
              <w:top w:val="single" w:sz="4" w:space="0" w:color="212492"/>
              <w:bottom w:val="nil"/>
            </w:tcBorders>
            <w:vAlign w:val="center"/>
          </w:tcPr>
          <w:p w:rsidR="00922059" w:rsidRPr="00EF4AEA" w:rsidRDefault="00922059" w:rsidP="00922059">
            <w:pPr>
              <w:spacing w:before="60" w:after="60"/>
              <w:jc w:val="right"/>
              <w:rPr>
                <w:lang w:val="en-GB"/>
              </w:rPr>
            </w:pPr>
            <w:r w:rsidRPr="00EF4AEA">
              <w:rPr>
                <w:lang w:val="en-GB"/>
              </w:rPr>
              <w:t>99,9</w:t>
            </w:r>
          </w:p>
        </w:tc>
        <w:tc>
          <w:tcPr>
            <w:tcW w:w="850" w:type="dxa"/>
            <w:tcBorders>
              <w:top w:val="single" w:sz="4" w:space="0" w:color="212492"/>
              <w:bottom w:val="nil"/>
            </w:tcBorders>
            <w:vAlign w:val="center"/>
          </w:tcPr>
          <w:p w:rsidR="00922059" w:rsidRPr="00EF4AEA" w:rsidRDefault="00922059" w:rsidP="00922059">
            <w:pPr>
              <w:spacing w:before="60" w:after="60"/>
              <w:jc w:val="right"/>
              <w:rPr>
                <w:lang w:val="en-GB"/>
              </w:rPr>
            </w:pPr>
            <w:r w:rsidRPr="00EF4AEA">
              <w:rPr>
                <w:lang w:val="en-GB"/>
              </w:rPr>
              <w:t>101,8</w:t>
            </w:r>
          </w:p>
        </w:tc>
        <w:tc>
          <w:tcPr>
            <w:tcW w:w="851" w:type="dxa"/>
            <w:tcBorders>
              <w:top w:val="single" w:sz="4" w:space="0" w:color="212492"/>
              <w:bottom w:val="nil"/>
            </w:tcBorders>
            <w:vAlign w:val="center"/>
          </w:tcPr>
          <w:p w:rsidR="00922059" w:rsidRPr="00EF4AEA" w:rsidRDefault="00922059" w:rsidP="00922059">
            <w:pPr>
              <w:spacing w:before="60" w:after="60"/>
              <w:jc w:val="right"/>
              <w:rPr>
                <w:lang w:val="en-GB"/>
              </w:rPr>
            </w:pPr>
            <w:r w:rsidRPr="00EF4AEA">
              <w:rPr>
                <w:lang w:val="en-GB"/>
              </w:rPr>
              <w:t>100,1</w:t>
            </w:r>
          </w:p>
        </w:tc>
        <w:tc>
          <w:tcPr>
            <w:tcW w:w="992" w:type="dxa"/>
            <w:tcBorders>
              <w:top w:val="single" w:sz="4" w:space="0" w:color="212492"/>
              <w:bottom w:val="nil"/>
            </w:tcBorders>
            <w:vAlign w:val="center"/>
          </w:tcPr>
          <w:p w:rsidR="00922059" w:rsidRPr="00EF4AEA" w:rsidRDefault="00922059" w:rsidP="00922059">
            <w:pPr>
              <w:spacing w:before="60" w:after="60"/>
              <w:jc w:val="right"/>
              <w:rPr>
                <w:lang w:val="en-GB"/>
              </w:rPr>
            </w:pPr>
            <w:r w:rsidRPr="00EF4AEA">
              <w:rPr>
                <w:lang w:val="en-GB"/>
              </w:rPr>
              <w:t>102,0</w:t>
            </w:r>
          </w:p>
        </w:tc>
        <w:tc>
          <w:tcPr>
            <w:tcW w:w="1134" w:type="dxa"/>
            <w:tcBorders>
              <w:top w:val="single" w:sz="4" w:space="0" w:color="212492"/>
              <w:bottom w:val="nil"/>
            </w:tcBorders>
            <w:shd w:val="clear" w:color="auto" w:fill="auto"/>
            <w:vAlign w:val="center"/>
          </w:tcPr>
          <w:p w:rsidR="00922059" w:rsidRPr="00EF4AEA" w:rsidRDefault="00922059" w:rsidP="00922059">
            <w:pPr>
              <w:spacing w:before="60" w:after="60"/>
              <w:jc w:val="right"/>
              <w:rPr>
                <w:lang w:val="en-GB"/>
              </w:rPr>
            </w:pPr>
            <w:r w:rsidRPr="00EF4AEA">
              <w:rPr>
                <w:lang w:val="en-GB"/>
              </w:rPr>
              <w:t>0,00</w:t>
            </w:r>
          </w:p>
        </w:tc>
      </w:tr>
    </w:tbl>
    <w:p w:rsidR="00A07F00" w:rsidRPr="00EF4AEA" w:rsidRDefault="00275755" w:rsidP="00E37F13">
      <w:pPr>
        <w:pStyle w:val="Nagwek1"/>
        <w:spacing w:before="480" w:line="240" w:lineRule="exact"/>
        <w:rPr>
          <w:lang w:val="en-GB"/>
        </w:rPr>
      </w:pPr>
      <w:r w:rsidRPr="00EF4AEA">
        <w:rPr>
          <w:shd w:val="clear" w:color="auto" w:fill="FFFFFF"/>
          <w:lang w:val="en-GB"/>
        </w:rPr>
        <w:lastRenderedPageBreak/>
        <w:t>Contribution of price changes to the total consumer price index</w:t>
      </w:r>
    </w:p>
    <w:p w:rsidR="00C23F3B" w:rsidRPr="00EF4AEA" w:rsidRDefault="00275755" w:rsidP="00C23F3B">
      <w:pPr>
        <w:spacing w:before="0" w:after="0"/>
        <w:rPr>
          <w:lang w:val="en-GB"/>
        </w:rPr>
      </w:pPr>
      <w:r w:rsidRPr="00EF4AEA">
        <w:rPr>
          <w:lang w:val="en-GB"/>
        </w:rPr>
        <w:t xml:space="preserve">In June of the current year, compared with the previous month, the highest contribution to the total consumer price index came from higher prices </w:t>
      </w:r>
      <w:r w:rsidR="00E93B5D" w:rsidRPr="00EF4AEA">
        <w:rPr>
          <w:lang w:val="en-GB"/>
        </w:rPr>
        <w:t>related to Transport</w:t>
      </w:r>
      <w:r w:rsidR="00DF5C74" w:rsidRPr="00EF4AEA">
        <w:rPr>
          <w:lang w:val="en-GB"/>
        </w:rPr>
        <w:t xml:space="preserve"> </w:t>
      </w:r>
      <w:r w:rsidR="00C662A5" w:rsidRPr="00EF4AEA">
        <w:rPr>
          <w:lang w:val="en-GB"/>
        </w:rPr>
        <w:t>(</w:t>
      </w:r>
      <w:r w:rsidR="00E93B5D" w:rsidRPr="00EF4AEA">
        <w:rPr>
          <w:lang w:val="en-GB"/>
        </w:rPr>
        <w:t>by</w:t>
      </w:r>
      <w:r w:rsidR="0022312E" w:rsidRPr="00EF4AEA">
        <w:rPr>
          <w:lang w:val="en-GB"/>
        </w:rPr>
        <w:t xml:space="preserve"> </w:t>
      </w:r>
      <w:r w:rsidR="00EB485C" w:rsidRPr="00EF4AEA">
        <w:rPr>
          <w:lang w:val="en-GB"/>
        </w:rPr>
        <w:t>0</w:t>
      </w:r>
      <w:r w:rsidR="00F34A33" w:rsidRPr="00EF4AEA">
        <w:rPr>
          <w:lang w:val="en-GB"/>
        </w:rPr>
        <w:t>,6</w:t>
      </w:r>
      <w:r w:rsidR="0022312E" w:rsidRPr="00EF4AEA">
        <w:rPr>
          <w:lang w:val="en-GB"/>
        </w:rPr>
        <w:t>%)</w:t>
      </w:r>
      <w:r w:rsidR="0081296E" w:rsidRPr="00EF4AEA">
        <w:rPr>
          <w:lang w:val="en-GB"/>
        </w:rPr>
        <w:t xml:space="preserve"> </w:t>
      </w:r>
      <w:r w:rsidR="00171569" w:rsidRPr="00EF4AEA">
        <w:rPr>
          <w:lang w:val="en-GB"/>
        </w:rPr>
        <w:t>and Restaurants</w:t>
      </w:r>
      <w:r w:rsidR="00E93B5D" w:rsidRPr="00EF4AEA">
        <w:rPr>
          <w:lang w:val="en-GB"/>
        </w:rPr>
        <w:t xml:space="preserve"> and hotels (by</w:t>
      </w:r>
      <w:r w:rsidR="006639B9" w:rsidRPr="00EF4AEA">
        <w:rPr>
          <w:lang w:val="en-GB"/>
        </w:rPr>
        <w:t xml:space="preserve"> 1</w:t>
      </w:r>
      <w:r w:rsidR="00D329DC" w:rsidRPr="00EF4AEA">
        <w:rPr>
          <w:lang w:val="en-GB"/>
        </w:rPr>
        <w:t>,</w:t>
      </w:r>
      <w:r w:rsidR="006639B9" w:rsidRPr="00EF4AEA">
        <w:rPr>
          <w:lang w:val="en-GB"/>
        </w:rPr>
        <w:t>1</w:t>
      </w:r>
      <w:r w:rsidR="00DF5C74" w:rsidRPr="00EF4AEA">
        <w:rPr>
          <w:lang w:val="en-GB"/>
        </w:rPr>
        <w:t>%)</w:t>
      </w:r>
      <w:r w:rsidR="00A07F00" w:rsidRPr="00EF4AEA">
        <w:rPr>
          <w:lang w:val="en-GB"/>
        </w:rPr>
        <w:t xml:space="preserve">, </w:t>
      </w:r>
      <w:r w:rsidR="00E93B5D" w:rsidRPr="00EF4AEA">
        <w:rPr>
          <w:lang w:val="en-GB"/>
        </w:rPr>
        <w:t>w</w:t>
      </w:r>
      <w:bookmarkStart w:id="0" w:name="_GoBack"/>
      <w:bookmarkEnd w:id="0"/>
      <w:r w:rsidR="00E93B5D" w:rsidRPr="00EF4AEA">
        <w:rPr>
          <w:lang w:val="en-GB"/>
        </w:rPr>
        <w:t xml:space="preserve">hich increased the index by </w:t>
      </w:r>
      <w:r w:rsidR="00CF4349" w:rsidRPr="00EF4AEA">
        <w:rPr>
          <w:lang w:val="en-GB"/>
        </w:rPr>
        <w:t>0,</w:t>
      </w:r>
      <w:r w:rsidR="00026F71" w:rsidRPr="00EF4AEA">
        <w:rPr>
          <w:lang w:val="en-GB"/>
        </w:rPr>
        <w:t>06</w:t>
      </w:r>
      <w:r w:rsidR="00393E03" w:rsidRPr="00EF4AEA">
        <w:rPr>
          <w:lang w:val="en-GB"/>
        </w:rPr>
        <w:t xml:space="preserve"> </w:t>
      </w:r>
      <w:r w:rsidR="00A07F00" w:rsidRPr="00EF4AEA">
        <w:rPr>
          <w:lang w:val="en-GB"/>
        </w:rPr>
        <w:t>p</w:t>
      </w:r>
      <w:r w:rsidR="00E93B5D" w:rsidRPr="00EF4AEA">
        <w:rPr>
          <w:lang w:val="en-GB"/>
        </w:rPr>
        <w:t xml:space="preserve">p and </w:t>
      </w:r>
      <w:r w:rsidR="00432D34" w:rsidRPr="00EF4AEA">
        <w:rPr>
          <w:lang w:val="en-GB"/>
        </w:rPr>
        <w:t>0,</w:t>
      </w:r>
      <w:r w:rsidR="00783B68" w:rsidRPr="00EF4AEA">
        <w:rPr>
          <w:lang w:val="en-GB"/>
        </w:rPr>
        <w:t>0</w:t>
      </w:r>
      <w:r w:rsidR="006639B9" w:rsidRPr="00EF4AEA">
        <w:rPr>
          <w:lang w:val="en-GB"/>
        </w:rPr>
        <w:t>5</w:t>
      </w:r>
      <w:r w:rsidR="00393E03" w:rsidRPr="00EF4AEA">
        <w:rPr>
          <w:lang w:val="en-GB"/>
        </w:rPr>
        <w:t xml:space="preserve"> p</w:t>
      </w:r>
      <w:r w:rsidR="00E93B5D" w:rsidRPr="00EF4AEA">
        <w:rPr>
          <w:lang w:val="en-GB"/>
        </w:rPr>
        <w:t xml:space="preserve">p, </w:t>
      </w:r>
      <w:r w:rsidR="00171569" w:rsidRPr="00EF4AEA">
        <w:rPr>
          <w:lang w:val="en-GB"/>
        </w:rPr>
        <w:br/>
      </w:r>
      <w:r w:rsidR="00E93B5D" w:rsidRPr="00EF4AEA">
        <w:rPr>
          <w:lang w:val="en-GB"/>
        </w:rPr>
        <w:t>respectively</w:t>
      </w:r>
      <w:r w:rsidR="00A07F00" w:rsidRPr="00EF4AEA">
        <w:rPr>
          <w:lang w:val="en-GB"/>
        </w:rPr>
        <w:t>.</w:t>
      </w:r>
      <w:r w:rsidR="00DA2264" w:rsidRPr="00EF4AEA">
        <w:rPr>
          <w:lang w:val="en-GB"/>
        </w:rPr>
        <w:t xml:space="preserve"> </w:t>
      </w:r>
      <w:r w:rsidR="008E3072" w:rsidRPr="00EF4AEA">
        <w:rPr>
          <w:spacing w:val="-2"/>
          <w:lang w:val="en-GB"/>
        </w:rPr>
        <w:t xml:space="preserve">Lower prices of Clothing and footwear </w:t>
      </w:r>
      <w:r w:rsidR="008E3072" w:rsidRPr="00EF4AEA">
        <w:rPr>
          <w:lang w:val="en-GB"/>
        </w:rPr>
        <w:t>(by</w:t>
      </w:r>
      <w:r w:rsidR="0025425A" w:rsidRPr="00EF4AEA">
        <w:rPr>
          <w:lang w:val="en-GB"/>
        </w:rPr>
        <w:t> 1,5</w:t>
      </w:r>
      <w:r w:rsidR="00DA2264" w:rsidRPr="00EF4AEA">
        <w:rPr>
          <w:lang w:val="en-GB"/>
        </w:rPr>
        <w:t xml:space="preserve">%) </w:t>
      </w:r>
      <w:r w:rsidR="008E3072" w:rsidRPr="00EF4AEA">
        <w:rPr>
          <w:lang w:val="en-GB"/>
        </w:rPr>
        <w:t>and related to Communication (by</w:t>
      </w:r>
      <w:r w:rsidR="00171569" w:rsidRPr="00EF4AEA">
        <w:rPr>
          <w:lang w:val="en-GB"/>
        </w:rPr>
        <w:t> </w:t>
      </w:r>
      <w:r w:rsidR="0025425A" w:rsidRPr="00EF4AEA">
        <w:rPr>
          <w:lang w:val="en-GB"/>
        </w:rPr>
        <w:t>0,7</w:t>
      </w:r>
      <w:r w:rsidR="007B4A2D" w:rsidRPr="00EF4AEA">
        <w:rPr>
          <w:lang w:val="en-GB"/>
        </w:rPr>
        <w:t xml:space="preserve">%) </w:t>
      </w:r>
      <w:r w:rsidR="008E3072" w:rsidRPr="00EF4AEA">
        <w:rPr>
          <w:spacing w:val="-2"/>
          <w:lang w:val="en-GB"/>
        </w:rPr>
        <w:t>decreased the index by</w:t>
      </w:r>
      <w:r w:rsidR="00DA2264" w:rsidRPr="00EF4AEA">
        <w:rPr>
          <w:lang w:val="en-GB"/>
        </w:rPr>
        <w:t> 0,0</w:t>
      </w:r>
      <w:r w:rsidR="0025425A" w:rsidRPr="00EF4AEA">
        <w:rPr>
          <w:lang w:val="en-GB"/>
        </w:rPr>
        <w:t>6</w:t>
      </w:r>
      <w:r w:rsidR="00DA2264" w:rsidRPr="00EF4AEA">
        <w:rPr>
          <w:lang w:val="en-GB"/>
        </w:rPr>
        <w:t xml:space="preserve"> p</w:t>
      </w:r>
      <w:r w:rsidR="008E3072" w:rsidRPr="00EF4AEA">
        <w:rPr>
          <w:lang w:val="en-GB"/>
        </w:rPr>
        <w:t xml:space="preserve">p and </w:t>
      </w:r>
      <w:r w:rsidR="0025425A" w:rsidRPr="00EF4AEA">
        <w:rPr>
          <w:lang w:val="en-GB"/>
        </w:rPr>
        <w:t>0,03</w:t>
      </w:r>
      <w:r w:rsidR="007B4A2D" w:rsidRPr="00EF4AEA">
        <w:rPr>
          <w:lang w:val="en-GB"/>
        </w:rPr>
        <w:t xml:space="preserve"> p</w:t>
      </w:r>
      <w:r w:rsidR="008E3072" w:rsidRPr="00EF4AEA">
        <w:rPr>
          <w:lang w:val="en-GB"/>
        </w:rPr>
        <w:t>p, respectively</w:t>
      </w:r>
      <w:r w:rsidR="00DA2264" w:rsidRPr="00EF4AEA">
        <w:rPr>
          <w:lang w:val="en-GB"/>
        </w:rPr>
        <w:t>.</w:t>
      </w:r>
    </w:p>
    <w:p w:rsidR="00A55B73" w:rsidRPr="00EF4AEA" w:rsidRDefault="008E3072" w:rsidP="00934246">
      <w:pPr>
        <w:spacing w:before="0" w:after="0"/>
        <w:rPr>
          <w:spacing w:val="-2"/>
          <w:lang w:val="en-GB"/>
        </w:rPr>
      </w:pPr>
      <w:r w:rsidRPr="00EF4AEA">
        <w:rPr>
          <w:color w:val="000000" w:themeColor="text1"/>
          <w:spacing w:val="-2"/>
          <w:lang w:val="en-GB"/>
        </w:rPr>
        <w:t>Compared with the corresponding month of the previ</w:t>
      </w:r>
      <w:r w:rsidR="00171569" w:rsidRPr="00EF4AEA">
        <w:rPr>
          <w:color w:val="000000" w:themeColor="text1"/>
          <w:spacing w:val="-2"/>
          <w:lang w:val="en-GB"/>
        </w:rPr>
        <w:t>ous year, higher prices related</w:t>
      </w:r>
      <w:r w:rsidR="000B703D" w:rsidRPr="00EF4AEA">
        <w:rPr>
          <w:color w:val="000000" w:themeColor="text1"/>
          <w:spacing w:val="-2"/>
          <w:lang w:val="en-GB"/>
        </w:rPr>
        <w:t xml:space="preserve"> to </w:t>
      </w:r>
      <w:r w:rsidRPr="00EF4AEA">
        <w:rPr>
          <w:spacing w:val="-2"/>
          <w:lang w:val="en-GB"/>
        </w:rPr>
        <w:t>Transport (by</w:t>
      </w:r>
      <w:r w:rsidR="000B703D" w:rsidRPr="00EF4AEA">
        <w:rPr>
          <w:spacing w:val="-2"/>
          <w:lang w:val="en-GB"/>
        </w:rPr>
        <w:t xml:space="preserve"> </w:t>
      </w:r>
      <w:r w:rsidR="00F81895" w:rsidRPr="00EF4AEA">
        <w:rPr>
          <w:spacing w:val="-2"/>
          <w:lang w:val="en-GB"/>
        </w:rPr>
        <w:t>16</w:t>
      </w:r>
      <w:r w:rsidR="00D329DC" w:rsidRPr="00EF4AEA">
        <w:rPr>
          <w:spacing w:val="-2"/>
          <w:lang w:val="en-GB"/>
        </w:rPr>
        <w:t>,5</w:t>
      </w:r>
      <w:r w:rsidR="00674A8B" w:rsidRPr="00EF4AEA">
        <w:rPr>
          <w:spacing w:val="-2"/>
          <w:lang w:val="en-GB"/>
        </w:rPr>
        <w:t xml:space="preserve">%) </w:t>
      </w:r>
      <w:r w:rsidRPr="00EF4AEA">
        <w:rPr>
          <w:spacing w:val="-2"/>
          <w:lang w:val="en-GB"/>
        </w:rPr>
        <w:t>and Dwelling (by</w:t>
      </w:r>
      <w:r w:rsidR="00AF7617" w:rsidRPr="00EF4AEA">
        <w:rPr>
          <w:spacing w:val="-2"/>
          <w:lang w:val="en-GB"/>
        </w:rPr>
        <w:t xml:space="preserve"> 5,</w:t>
      </w:r>
      <w:r w:rsidR="001F376D" w:rsidRPr="00EF4AEA">
        <w:rPr>
          <w:spacing w:val="-2"/>
          <w:lang w:val="en-GB"/>
        </w:rPr>
        <w:t>1</w:t>
      </w:r>
      <w:r w:rsidR="003A0271" w:rsidRPr="00EF4AEA">
        <w:rPr>
          <w:spacing w:val="-2"/>
          <w:lang w:val="en-GB"/>
        </w:rPr>
        <w:t xml:space="preserve">%) </w:t>
      </w:r>
      <w:r w:rsidR="00B930E0" w:rsidRPr="00EF4AEA">
        <w:rPr>
          <w:spacing w:val="-2"/>
          <w:lang w:val="en-GB"/>
        </w:rPr>
        <w:t xml:space="preserve">increased the consumer price index by </w:t>
      </w:r>
      <w:r w:rsidR="003A4977" w:rsidRPr="00EF4AEA">
        <w:rPr>
          <w:spacing w:val="-2"/>
          <w:lang w:val="en-GB"/>
        </w:rPr>
        <w:t>1,</w:t>
      </w:r>
      <w:r w:rsidR="00F81895" w:rsidRPr="00EF4AEA">
        <w:rPr>
          <w:spacing w:val="-2"/>
          <w:lang w:val="en-GB"/>
        </w:rPr>
        <w:t>41</w:t>
      </w:r>
      <w:r w:rsidR="00A07F00" w:rsidRPr="00EF4AEA">
        <w:rPr>
          <w:spacing w:val="-2"/>
          <w:lang w:val="en-GB"/>
        </w:rPr>
        <w:t xml:space="preserve"> </w:t>
      </w:r>
      <w:r w:rsidR="00B930E0" w:rsidRPr="00EF4AEA">
        <w:rPr>
          <w:spacing w:val="-2"/>
          <w:lang w:val="en-GB"/>
        </w:rPr>
        <w:t>p</w:t>
      </w:r>
      <w:r w:rsidR="00A07F00" w:rsidRPr="00EF4AEA">
        <w:rPr>
          <w:spacing w:val="-2"/>
          <w:lang w:val="en-GB"/>
        </w:rPr>
        <w:t>p</w:t>
      </w:r>
      <w:r w:rsidR="00B930E0" w:rsidRPr="00EF4AEA">
        <w:rPr>
          <w:spacing w:val="-2"/>
          <w:lang w:val="en-GB"/>
        </w:rPr>
        <w:t xml:space="preserve"> and </w:t>
      </w:r>
      <w:r w:rsidR="00445F90" w:rsidRPr="00EF4AEA">
        <w:rPr>
          <w:spacing w:val="-2"/>
          <w:lang w:val="en-GB"/>
        </w:rPr>
        <w:t>1,</w:t>
      </w:r>
      <w:r w:rsidR="001F376D" w:rsidRPr="00EF4AEA">
        <w:rPr>
          <w:spacing w:val="-2"/>
          <w:lang w:val="en-GB"/>
        </w:rPr>
        <w:t>27</w:t>
      </w:r>
      <w:r w:rsidR="002A607D" w:rsidRPr="00EF4AEA">
        <w:rPr>
          <w:spacing w:val="-2"/>
          <w:lang w:val="en-GB"/>
        </w:rPr>
        <w:t xml:space="preserve"> </w:t>
      </w:r>
      <w:r w:rsidR="001D6191" w:rsidRPr="00EF4AEA">
        <w:rPr>
          <w:spacing w:val="-2"/>
          <w:lang w:val="en-GB"/>
        </w:rPr>
        <w:t>p</w:t>
      </w:r>
      <w:r w:rsidR="00B930E0" w:rsidRPr="00EF4AEA">
        <w:rPr>
          <w:spacing w:val="-2"/>
          <w:lang w:val="en-GB"/>
        </w:rPr>
        <w:t>p, respectively</w:t>
      </w:r>
      <w:r w:rsidR="003A0271" w:rsidRPr="00EF4AEA">
        <w:rPr>
          <w:spacing w:val="-2"/>
          <w:lang w:val="en-GB"/>
        </w:rPr>
        <w:t>.</w:t>
      </w:r>
      <w:r w:rsidR="001F376D" w:rsidRPr="00EF4AEA">
        <w:rPr>
          <w:spacing w:val="-2"/>
          <w:lang w:val="en-GB"/>
        </w:rPr>
        <w:t xml:space="preserve"> </w:t>
      </w:r>
      <w:r w:rsidR="00B930E0" w:rsidRPr="00EF4AEA">
        <w:rPr>
          <w:spacing w:val="-2"/>
          <w:lang w:val="en-GB"/>
        </w:rPr>
        <w:t>Lower prices of Clothing and footwear (by</w:t>
      </w:r>
      <w:r w:rsidR="001F376D" w:rsidRPr="00EF4AEA">
        <w:rPr>
          <w:spacing w:val="-2"/>
          <w:lang w:val="en-GB"/>
        </w:rPr>
        <w:t xml:space="preserve"> 0,5</w:t>
      </w:r>
      <w:r w:rsidR="002A607D" w:rsidRPr="00EF4AEA">
        <w:rPr>
          <w:spacing w:val="-2"/>
          <w:lang w:val="en-GB"/>
        </w:rPr>
        <w:t>%)</w:t>
      </w:r>
      <w:r w:rsidR="00B930E0" w:rsidRPr="00EF4AEA">
        <w:rPr>
          <w:spacing w:val="-2"/>
          <w:lang w:val="en-GB"/>
        </w:rPr>
        <w:t xml:space="preserve"> decreased the index by </w:t>
      </w:r>
      <w:r w:rsidR="001F6571" w:rsidRPr="00EF4AEA">
        <w:rPr>
          <w:spacing w:val="-2"/>
          <w:lang w:val="en-GB"/>
        </w:rPr>
        <w:t>0,02</w:t>
      </w:r>
      <w:r w:rsidR="002A607D" w:rsidRPr="00EF4AEA">
        <w:rPr>
          <w:spacing w:val="-2"/>
          <w:lang w:val="en-GB"/>
        </w:rPr>
        <w:t xml:space="preserve"> </w:t>
      </w:r>
      <w:r w:rsidR="001D6191" w:rsidRPr="00EF4AEA">
        <w:rPr>
          <w:spacing w:val="-2"/>
          <w:lang w:val="en-GB"/>
        </w:rPr>
        <w:t>p</w:t>
      </w:r>
      <w:r w:rsidR="00B930E0" w:rsidRPr="00EF4AEA">
        <w:rPr>
          <w:spacing w:val="-2"/>
          <w:lang w:val="en-GB"/>
        </w:rPr>
        <w:t>p</w:t>
      </w:r>
      <w:r w:rsidR="001D6191" w:rsidRPr="00EF4AEA">
        <w:rPr>
          <w:spacing w:val="-2"/>
          <w:lang w:val="en-GB"/>
        </w:rPr>
        <w:t>.</w:t>
      </w:r>
    </w:p>
    <w:p w:rsidR="00934246" w:rsidRPr="00EF4AEA" w:rsidRDefault="00934246" w:rsidP="00D43270">
      <w:pPr>
        <w:rPr>
          <w:b/>
          <w:spacing w:val="-2"/>
          <w:sz w:val="18"/>
          <w:lang w:val="en-GB"/>
        </w:rPr>
      </w:pPr>
    </w:p>
    <w:p w:rsidR="000D4904" w:rsidRPr="00EF4AEA" w:rsidRDefault="00810BEE" w:rsidP="000B703D">
      <w:pPr>
        <w:pStyle w:val="tytuwykresu"/>
        <w:ind w:left="709" w:hanging="709"/>
        <w:rPr>
          <w:shd w:val="clear" w:color="auto" w:fill="FFFFFF"/>
          <w:lang w:val="en-GB"/>
        </w:rPr>
      </w:pPr>
      <w:r w:rsidRPr="00EF4AEA">
        <w:rPr>
          <w:noProof/>
          <w:lang w:val="en-GB" w:eastAsia="en-GB"/>
        </w:rPr>
        <w:drawing>
          <wp:anchor distT="0" distB="0" distL="114300" distR="114300" simplePos="0" relativeHeight="251671552" behindDoc="0" locked="0" layoutInCell="1" allowOverlap="1" wp14:anchorId="2CFA1DAD" wp14:editId="12512F9F">
            <wp:simplePos x="0" y="0"/>
            <wp:positionH relativeFrom="column">
              <wp:posOffset>-12065</wp:posOffset>
            </wp:positionH>
            <wp:positionV relativeFrom="paragraph">
              <wp:posOffset>406400</wp:posOffset>
            </wp:positionV>
            <wp:extent cx="5120640" cy="2576195"/>
            <wp:effectExtent l="0" t="0" r="0" b="0"/>
            <wp:wrapSquare wrapText="bothSides"/>
            <wp:docPr id="4" name="Wykres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703D" w:rsidRPr="00EF4AEA">
        <w:rPr>
          <w:noProof/>
          <w:lang w:val="en-GB" w:eastAsia="en-GB"/>
        </w:rPr>
        <w:t xml:space="preserve"> Chart 1. Contribution of price changes of </w:t>
      </w:r>
      <w:r w:rsidR="000B703D" w:rsidRPr="00EF4AEA">
        <w:rPr>
          <w:noProof/>
          <w:color w:val="000000" w:themeColor="text1"/>
          <w:lang w:val="en-GB" w:eastAsia="en-GB"/>
        </w:rPr>
        <w:t xml:space="preserve">selected groups of consumer goods and services </w:t>
      </w:r>
      <w:r w:rsidR="000B703D" w:rsidRPr="00EF4AEA">
        <w:rPr>
          <w:noProof/>
          <w:color w:val="000000" w:themeColor="text1"/>
          <w:lang w:val="en-GB" w:eastAsia="en-GB"/>
        </w:rPr>
        <w:br/>
        <w:t>in June 2021 (change in pp compared with the previous period)</w:t>
      </w:r>
    </w:p>
    <w:p w:rsidR="000F0DF8" w:rsidRPr="00EF4AEA" w:rsidRDefault="000F0DF8" w:rsidP="00F61CC6">
      <w:pPr>
        <w:rPr>
          <w:b/>
          <w:spacing w:val="-2"/>
          <w:sz w:val="18"/>
          <w:lang w:val="en-GB"/>
        </w:rPr>
      </w:pPr>
    </w:p>
    <w:p w:rsidR="00810BEE" w:rsidRPr="00EF4AEA" w:rsidRDefault="00810BEE" w:rsidP="0080551D">
      <w:pPr>
        <w:spacing w:before="0" w:after="160" w:line="259" w:lineRule="auto"/>
        <w:ind w:left="794" w:hanging="794"/>
        <w:rPr>
          <w:b/>
          <w:spacing w:val="-2"/>
          <w:sz w:val="18"/>
          <w:lang w:val="en-GB"/>
        </w:rPr>
      </w:pPr>
    </w:p>
    <w:p w:rsidR="00D11CF3" w:rsidRPr="00EF4AEA" w:rsidRDefault="000B703D" w:rsidP="0080551D">
      <w:pPr>
        <w:spacing w:before="0" w:after="160" w:line="259" w:lineRule="auto"/>
        <w:ind w:left="794" w:hanging="794"/>
        <w:rPr>
          <w:b/>
          <w:spacing w:val="-2"/>
          <w:sz w:val="18"/>
          <w:lang w:val="en-GB"/>
        </w:rPr>
      </w:pPr>
      <w:r w:rsidRPr="00EF4AEA">
        <w:rPr>
          <w:b/>
          <w:spacing w:val="-2"/>
          <w:sz w:val="18"/>
          <w:lang w:val="en-GB"/>
        </w:rPr>
        <w:t>Chart 2. Weighting system used in the compilations of consumer price indices in</w:t>
      </w:r>
      <w:r w:rsidRPr="00EF4AEA">
        <w:rPr>
          <w:noProof/>
          <w:lang w:val="en-GB" w:eastAsia="en-GB"/>
        </w:rPr>
        <w:t xml:space="preserve"> </w:t>
      </w:r>
      <w:r w:rsidRPr="00EF4AEA">
        <w:rPr>
          <w:b/>
          <w:spacing w:val="-2"/>
          <w:sz w:val="18"/>
          <w:lang w:val="en-GB"/>
        </w:rPr>
        <w:t>2021</w:t>
      </w:r>
    </w:p>
    <w:p w:rsidR="0022272D" w:rsidRPr="00EF4AEA" w:rsidRDefault="000B703D">
      <w:pPr>
        <w:spacing w:before="0" w:after="160" w:line="259" w:lineRule="auto"/>
        <w:rPr>
          <w:b/>
          <w:spacing w:val="-2"/>
          <w:sz w:val="18"/>
          <w:lang w:val="en-GB"/>
        </w:rPr>
      </w:pPr>
      <w:r w:rsidRPr="00EF4AEA">
        <w:rPr>
          <w:noProof/>
          <w:lang w:val="en-GB" w:eastAsia="en-GB"/>
        </w:rPr>
        <w:drawing>
          <wp:anchor distT="0" distB="0" distL="114300" distR="114300" simplePos="0" relativeHeight="251666432" behindDoc="0" locked="0" layoutInCell="1" allowOverlap="1" wp14:anchorId="4F9C9BF6" wp14:editId="461804DC">
            <wp:simplePos x="0" y="0"/>
            <wp:positionH relativeFrom="column">
              <wp:posOffset>-12700</wp:posOffset>
            </wp:positionH>
            <wp:positionV relativeFrom="paragraph">
              <wp:posOffset>95885</wp:posOffset>
            </wp:positionV>
            <wp:extent cx="5120640" cy="3247390"/>
            <wp:effectExtent l="0" t="0" r="3810" b="0"/>
            <wp:wrapSquare wrapText="bothSides"/>
            <wp:docPr id="6" name="Wykres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5B73" w:rsidRPr="00EF4AEA" w:rsidRDefault="00A55B73">
      <w:pPr>
        <w:spacing w:before="0" w:after="160" w:line="259" w:lineRule="auto"/>
        <w:rPr>
          <w:b/>
          <w:spacing w:val="-2"/>
          <w:sz w:val="18"/>
          <w:lang w:val="en-GB"/>
        </w:rPr>
      </w:pPr>
      <w:r w:rsidRPr="00EF4AEA">
        <w:rPr>
          <w:lang w:val="en-GB"/>
        </w:rPr>
        <w:br w:type="page"/>
      </w:r>
    </w:p>
    <w:p w:rsidR="007C2994" w:rsidRPr="00EF4AEA" w:rsidRDefault="00C53D33" w:rsidP="0074378D">
      <w:pPr>
        <w:pStyle w:val="tytuwykresu"/>
        <w:spacing w:before="0" w:after="0"/>
        <w:rPr>
          <w:shd w:val="clear" w:color="auto" w:fill="FFFFFF"/>
          <w:lang w:val="en-GB"/>
        </w:rPr>
      </w:pPr>
      <w:r w:rsidRPr="00EF4AEA">
        <w:rPr>
          <w:noProof/>
          <w:lang w:val="en-GB" w:eastAsia="en-GB"/>
        </w:rPr>
        <w:lastRenderedPageBreak/>
        <w:drawing>
          <wp:anchor distT="0" distB="0" distL="114300" distR="114300" simplePos="0" relativeHeight="251653120" behindDoc="0" locked="0" layoutInCell="1" allowOverlap="1" wp14:anchorId="227F3341" wp14:editId="04DE1B76">
            <wp:simplePos x="0" y="0"/>
            <wp:positionH relativeFrom="column">
              <wp:posOffset>0</wp:posOffset>
            </wp:positionH>
            <wp:positionV relativeFrom="paragraph">
              <wp:posOffset>306070</wp:posOffset>
            </wp:positionV>
            <wp:extent cx="5122800" cy="2577600"/>
            <wp:effectExtent l="0" t="0" r="1905" b="0"/>
            <wp:wrapSquare wrapText="bothSides"/>
            <wp:docPr id="1" name="Wykres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703D" w:rsidRPr="00EF4AEA">
        <w:rPr>
          <w:lang w:val="en-GB"/>
        </w:rPr>
        <w:t xml:space="preserve"> Chart 3.</w:t>
      </w:r>
      <w:r w:rsidR="000B703D" w:rsidRPr="00EF4AEA">
        <w:rPr>
          <w:shd w:val="clear" w:color="auto" w:fill="FFFFFF"/>
          <w:lang w:val="en-GB"/>
        </w:rPr>
        <w:t xml:space="preserve"> Changes in consumer prices as related to </w:t>
      </w:r>
      <w:r w:rsidR="000B703D" w:rsidRPr="00EF4AEA">
        <w:rPr>
          <w:lang w:val="en-GB"/>
        </w:rPr>
        <w:t>the previous period (in</w:t>
      </w:r>
      <w:r w:rsidR="000B703D" w:rsidRPr="00EF4AEA">
        <w:rPr>
          <w:shd w:val="clear" w:color="auto" w:fill="FFFFFF"/>
          <w:lang w:val="en-GB"/>
        </w:rPr>
        <w:t xml:space="preserve"> %)</w:t>
      </w:r>
    </w:p>
    <w:p w:rsidR="007B7591" w:rsidRPr="00EF4AEA" w:rsidRDefault="007B7591" w:rsidP="0074378D">
      <w:pPr>
        <w:pStyle w:val="tytuwykresu"/>
        <w:rPr>
          <w:lang w:val="en-GB"/>
        </w:rPr>
      </w:pPr>
    </w:p>
    <w:p w:rsidR="00367ACC" w:rsidRPr="00EF4AEA" w:rsidRDefault="009E3F12" w:rsidP="00E53CAD">
      <w:pPr>
        <w:pStyle w:val="tytuwykresu"/>
        <w:ind w:left="709" w:hanging="709"/>
        <w:rPr>
          <w:spacing w:val="-4"/>
          <w:shd w:val="clear" w:color="auto" w:fill="FFFFFF"/>
          <w:lang w:val="en-GB"/>
        </w:rPr>
      </w:pPr>
      <w:r w:rsidRPr="00EF4AEA">
        <w:rPr>
          <w:noProof/>
          <w:spacing w:val="-4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2096" behindDoc="1" locked="0" layoutInCell="1" allowOverlap="1" wp14:anchorId="57D01EFC" wp14:editId="66418E53">
                <wp:simplePos x="0" y="0"/>
                <wp:positionH relativeFrom="column">
                  <wp:posOffset>5270500</wp:posOffset>
                </wp:positionH>
                <wp:positionV relativeFrom="page">
                  <wp:posOffset>4067175</wp:posOffset>
                </wp:positionV>
                <wp:extent cx="1725295" cy="1367790"/>
                <wp:effectExtent l="0" t="0" r="0" b="3810"/>
                <wp:wrapTight wrapText="bothSides">
                  <wp:wrapPolygon edited="0">
                    <wp:start x="477" y="0"/>
                    <wp:lineTo x="477" y="21359"/>
                    <wp:lineTo x="20749" y="21359"/>
                    <wp:lineTo x="20749" y="0"/>
                    <wp:lineTo x="477" y="0"/>
                  </wp:wrapPolygon>
                </wp:wrapTight>
                <wp:docPr id="13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367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7F83" w:rsidRPr="00E53CAD" w:rsidRDefault="00677F83" w:rsidP="007364D7">
                            <w:pPr>
                              <w:pStyle w:val="Tekstprzypisudolnego"/>
                              <w:rPr>
                                <w:rFonts w:eastAsia="Times New Roman" w:cs="Times New Roman"/>
                                <w:bCs/>
                                <w:color w:val="001D77"/>
                                <w:spacing w:val="-2"/>
                                <w:sz w:val="18"/>
                                <w:szCs w:val="18"/>
                                <w:lang w:val="en-GB" w:eastAsia="pl-PL"/>
                              </w:rPr>
                            </w:pPr>
                            <w:r w:rsidRPr="004F4BA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 xml:space="preserve">In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>June</w:t>
                            </w:r>
                            <w:r w:rsidRPr="004F4BA0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 xml:space="preserve"> 2021 </w:t>
                            </w:r>
                            <w:r w:rsidRPr="00ED0EA8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 xml:space="preserve">the consumer price index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>was above the </w:t>
                            </w:r>
                            <w:r w:rsidRPr="00FC0C8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 xml:space="preserve">upper 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>band for devi</w:t>
                            </w:r>
                            <w:r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>a</w:t>
                            </w:r>
                            <w:r w:rsidRPr="00FC0C8B"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GB" w:eastAsia="pl-PL"/>
                              </w:rPr>
                              <w:t>tions from inflation target determined by the Monetary Policy Council (2,5% +/- 1 pp)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" o:spid="_x0000_s1027" type="#_x0000_t202" style="position:absolute;left:0;text-align:left;margin-left:415pt;margin-top:320.25pt;width:135.85pt;height:107.7pt;z-index:-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" filled="f" stroked="f">
                <v:textbox>
                  <w:txbxContent>
                    <w:p w:rsidR="00677F83" w:rsidRPr="00E53CAD" w:rsidRDefault="00677F83" w:rsidP="007364D7">
                      <w:pPr>
                        <w:pStyle w:val="Tekstprzypisudolnego"/>
                        <w:rPr>
                          <w:rFonts w:eastAsia="Times New Roman" w:cs="Times New Roman"/>
                          <w:bCs/>
                          <w:color w:val="001D77"/>
                          <w:spacing w:val="-2"/>
                          <w:sz w:val="18"/>
                          <w:szCs w:val="18"/>
                          <w:lang w:val="en-GB" w:eastAsia="pl-PL"/>
                        </w:rPr>
                      </w:pPr>
                      <w:r w:rsidRPr="004F4BA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 xml:space="preserve">In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>June</w:t>
                      </w:r>
                      <w:r w:rsidRPr="004F4BA0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 xml:space="preserve"> 2021 </w:t>
                      </w:r>
                      <w:r w:rsidRPr="00ED0EA8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 xml:space="preserve">the consumer price index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>was above the </w:t>
                      </w:r>
                      <w:r w:rsidRPr="00FC0C8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 xml:space="preserve">upper 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>band for devi</w:t>
                      </w:r>
                      <w:r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>a</w:t>
                      </w:r>
                      <w:r w:rsidRPr="00FC0C8B"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GB" w:eastAsia="pl-PL"/>
                        </w:rPr>
                        <w:t>tions from inflation target determined by the Monetary Policy Council (2,5% +/- 1 pp)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0B703D" w:rsidRPr="00EF4AEA">
        <w:rPr>
          <w:spacing w:val="-4"/>
          <w:lang w:val="en-GB"/>
        </w:rPr>
        <w:t>Chart 4.</w:t>
      </w:r>
      <w:r w:rsidR="000B703D" w:rsidRPr="00EF4AEA">
        <w:rPr>
          <w:spacing w:val="-4"/>
          <w:shd w:val="clear" w:color="auto" w:fill="FFFFFF"/>
          <w:lang w:val="en-GB"/>
        </w:rPr>
        <w:t xml:space="preserve"> Changes in c</w:t>
      </w:r>
      <w:r w:rsidR="000B703D" w:rsidRPr="00EF4AEA">
        <w:rPr>
          <w:spacing w:val="-4"/>
          <w:lang w:val="en-GB"/>
        </w:rPr>
        <w:t>onsumer prices</w:t>
      </w:r>
      <w:r w:rsidR="000B703D" w:rsidRPr="00EF4AEA">
        <w:rPr>
          <w:spacing w:val="-4"/>
          <w:shd w:val="clear" w:color="auto" w:fill="FFFFFF"/>
          <w:lang w:val="en-GB"/>
        </w:rPr>
        <w:t xml:space="preserve"> as related to the </w:t>
      </w:r>
      <w:r w:rsidR="000B703D" w:rsidRPr="00EF4AEA">
        <w:rPr>
          <w:spacing w:val="-4"/>
          <w:lang w:val="en-GB"/>
        </w:rPr>
        <w:t>corresponding period of the previous year</w:t>
      </w:r>
      <w:r w:rsidR="000B703D" w:rsidRPr="00EF4AEA">
        <w:rPr>
          <w:spacing w:val="-4"/>
          <w:shd w:val="clear" w:color="auto" w:fill="FFFFFF"/>
          <w:lang w:val="en-GB"/>
        </w:rPr>
        <w:t xml:space="preserve"> (in %)</w:t>
      </w:r>
    </w:p>
    <w:p w:rsidR="00EB0876" w:rsidRPr="00EF4AEA" w:rsidRDefault="005D42BD" w:rsidP="00003D67">
      <w:pPr>
        <w:pStyle w:val="tytuwykresu"/>
        <w:rPr>
          <w:shd w:val="clear" w:color="auto" w:fill="FFFFFF"/>
          <w:lang w:val="en-GB"/>
        </w:rPr>
      </w:pPr>
      <w:r w:rsidRPr="00EF4AEA">
        <w:rPr>
          <w:noProof/>
          <w:lang w:val="en-GB" w:eastAsia="en-GB"/>
        </w:rPr>
        <w:drawing>
          <wp:anchor distT="0" distB="0" distL="114300" distR="114300" simplePos="0" relativeHeight="251655168" behindDoc="0" locked="0" layoutInCell="1" allowOverlap="1" wp14:anchorId="7BFDEBC0" wp14:editId="574A30A4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5112000" cy="2581200"/>
            <wp:effectExtent l="0" t="0" r="0" b="10160"/>
            <wp:wrapSquare wrapText="bothSides"/>
            <wp:docPr id="19" name="Wykres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D42BD" w:rsidRPr="00EF4AEA" w:rsidRDefault="00C16244" w:rsidP="00810BEE">
      <w:pPr>
        <w:pStyle w:val="tytuwykresu"/>
        <w:ind w:left="680" w:hanging="680"/>
        <w:rPr>
          <w:bCs/>
          <w:shd w:val="clear" w:color="auto" w:fill="FFFFFF"/>
          <w:lang w:val="en-GB"/>
        </w:rPr>
      </w:pPr>
      <w:r w:rsidRPr="00EF4AEA">
        <w:rPr>
          <w:lang w:val="en-GB"/>
        </w:rPr>
        <w:t>Chart 5.</w:t>
      </w:r>
      <w:r w:rsidRPr="00EF4AEA">
        <w:rPr>
          <w:shd w:val="clear" w:color="auto" w:fill="FFFFFF"/>
          <w:lang w:val="en-GB"/>
        </w:rPr>
        <w:t xml:space="preserve"> Changes in prices according to c</w:t>
      </w:r>
      <w:r w:rsidRPr="00EF4AEA">
        <w:rPr>
          <w:bCs/>
          <w:shd w:val="clear" w:color="auto" w:fill="FFFFFF"/>
          <w:lang w:val="en-GB"/>
        </w:rPr>
        <w:t>onsumer price index (CPI) and harmonised index of co</w:t>
      </w:r>
      <w:r w:rsidRPr="00EF4AEA">
        <w:rPr>
          <w:bCs/>
          <w:shd w:val="clear" w:color="auto" w:fill="FFFFFF"/>
          <w:lang w:val="en-GB"/>
        </w:rPr>
        <w:t>n</w:t>
      </w:r>
      <w:r w:rsidRPr="00EF4AEA">
        <w:rPr>
          <w:bCs/>
          <w:shd w:val="clear" w:color="auto" w:fill="FFFFFF"/>
          <w:lang w:val="en-GB"/>
        </w:rPr>
        <w:t>sumer prices (HICP) as related to the corresponding period of the previous year (in %)</w:t>
      </w:r>
      <w:r w:rsidR="00AC5CBD" w:rsidRPr="00EF4AEA">
        <w:rPr>
          <w:noProof/>
          <w:lang w:val="en-GB" w:eastAsia="en-GB"/>
        </w:rPr>
        <w:drawing>
          <wp:anchor distT="0" distB="0" distL="114300" distR="114300" simplePos="0" relativeHeight="251656192" behindDoc="0" locked="0" layoutInCell="1" allowOverlap="1" wp14:anchorId="5438E236" wp14:editId="254B1B45">
            <wp:simplePos x="0" y="0"/>
            <wp:positionH relativeFrom="column">
              <wp:posOffset>147320</wp:posOffset>
            </wp:positionH>
            <wp:positionV relativeFrom="paragraph">
              <wp:posOffset>568960</wp:posOffset>
            </wp:positionV>
            <wp:extent cx="5094000" cy="2574000"/>
            <wp:effectExtent l="0" t="0" r="0" b="0"/>
            <wp:wrapSquare wrapText="bothSides"/>
            <wp:docPr id="25" name="Wykres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665D6" w:rsidRPr="00EF4AEA" w:rsidRDefault="00003D67" w:rsidP="002665D6">
      <w:pPr>
        <w:pStyle w:val="tytuwykresu"/>
        <w:rPr>
          <w:bCs/>
          <w:shd w:val="clear" w:color="auto" w:fill="FFFFFF"/>
          <w:lang w:val="en-GB"/>
        </w:rPr>
      </w:pPr>
      <w:r w:rsidRPr="00EF4AEA">
        <w:rPr>
          <w:b w:val="0"/>
          <w:noProof/>
          <w:spacing w:val="0"/>
          <w:sz w:val="19"/>
          <w:lang w:val="en-GB" w:eastAsia="en-GB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 wp14:anchorId="4D61DDE3" wp14:editId="3E8A33AB">
                <wp:simplePos x="0" y="0"/>
                <wp:positionH relativeFrom="column">
                  <wp:posOffset>3421380</wp:posOffset>
                </wp:positionH>
                <wp:positionV relativeFrom="paragraph">
                  <wp:posOffset>2567305</wp:posOffset>
                </wp:positionV>
                <wp:extent cx="1453515" cy="204470"/>
                <wp:effectExtent l="0" t="0" r="0" b="0"/>
                <wp:wrapSquare wrapText="bothSides"/>
                <wp:docPr id="14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3515" cy="2044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677F83" w:rsidRDefault="00677F83" w:rsidP="00003D67">
                            <w:pPr>
                              <w:pStyle w:val="Normalny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Fira Sans" w:eastAsia="Fira Sans" w:hAnsi="Fira Sans" w:cstheme="minorBidi"/>
                                <w:sz w:val="16"/>
                                <w:szCs w:val="16"/>
                                <w:lang w:val="pl-PL"/>
                              </w:rPr>
                              <w:t>2021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e tekstowe 1" o:spid="_x0000_s1028" type="#_x0000_t202" style="position:absolute;margin-left:269.4pt;margin-top:202.15pt;width:114.45pt;height:16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" filled="f" stroked="f">
                <v:textbox>
                  <w:txbxContent>
                    <w:p w:rsidR="00677F83" w:rsidRDefault="00677F83" w:rsidP="00003D67">
                      <w:pPr>
                        <w:pStyle w:val="Normalny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Fira Sans" w:eastAsia="Fira Sans" w:hAnsi="Fira Sans" w:cstheme="minorBidi"/>
                          <w:sz w:val="16"/>
                          <w:szCs w:val="16"/>
                          <w:lang w:val="pl-PL"/>
                        </w:rPr>
                        <w:t>2021</w:t>
                      </w:r>
                    </w:p>
                  </w:txbxContent>
                </v:textbox>
                <w10:wrap type="square"/>
                <w10:anchorlock/>
              </v:shape>
            </w:pict>
          </mc:Fallback>
        </mc:AlternateContent>
      </w:r>
      <w:r w:rsidR="00820461" w:rsidRPr="00EF4AEA">
        <w:rPr>
          <w:highlight w:val="yellow"/>
          <w:lang w:val="en-GB"/>
        </w:rPr>
        <w:br w:type="page"/>
      </w:r>
      <w:r w:rsidR="00810BEE" w:rsidRPr="00EF4AEA">
        <w:rPr>
          <w:lang w:val="en-GB"/>
        </w:rPr>
        <w:lastRenderedPageBreak/>
        <w:t>Table 2.</w:t>
      </w:r>
      <w:r w:rsidR="00810BEE" w:rsidRPr="00EF4AEA">
        <w:rPr>
          <w:shd w:val="clear" w:color="auto" w:fill="FFFFFF"/>
          <w:lang w:val="en-GB"/>
        </w:rPr>
        <w:t xml:space="preserve"> </w:t>
      </w:r>
      <w:r w:rsidR="00810BEE" w:rsidRPr="00EF4AEA">
        <w:rPr>
          <w:bCs/>
          <w:shd w:val="clear" w:color="auto" w:fill="FFFFFF"/>
          <w:lang w:val="en-GB"/>
        </w:rPr>
        <w:t xml:space="preserve">Consumer price indices in June </w:t>
      </w:r>
      <w:r w:rsidR="00810BEE" w:rsidRPr="00EF4AEA">
        <w:rPr>
          <w:lang w:val="en-GB"/>
        </w:rPr>
        <w:t>2021</w:t>
      </w:r>
    </w:p>
    <w:p w:rsidR="002665D6" w:rsidRPr="00EF4AEA" w:rsidRDefault="002665D6" w:rsidP="002665D6">
      <w:pPr>
        <w:pStyle w:val="LID"/>
        <w:rPr>
          <w:bCs/>
          <w:sz w:val="18"/>
          <w:shd w:val="clear" w:color="auto" w:fill="FFFFFF"/>
          <w:lang w:val="en-GB"/>
        </w:rPr>
      </w:pPr>
    </w:p>
    <w:tbl>
      <w:tblPr>
        <w:tblW w:w="822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851"/>
        <w:gridCol w:w="850"/>
        <w:gridCol w:w="851"/>
        <w:gridCol w:w="850"/>
        <w:gridCol w:w="851"/>
        <w:gridCol w:w="992"/>
      </w:tblGrid>
      <w:tr w:rsidR="00C80C7E" w:rsidRPr="00EF4AEA" w:rsidTr="00C80C7E">
        <w:trPr>
          <w:trHeight w:val="315"/>
          <w:tblHeader/>
        </w:trPr>
        <w:tc>
          <w:tcPr>
            <w:tcW w:w="2977" w:type="dxa"/>
            <w:vMerge w:val="restart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EF4AEA" w:rsidRDefault="00810BEE" w:rsidP="00C80C7E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sz w:val="16"/>
                <w:szCs w:val="16"/>
                <w:lang w:val="en-GB" w:eastAsia="pl-PL"/>
              </w:rPr>
              <w:t>SPECIFICATION</w:t>
            </w: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EF4AEA" w:rsidRDefault="00C80C7E" w:rsidP="00C80C7E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Calibri"/>
                <w:sz w:val="16"/>
                <w:szCs w:val="16"/>
                <w:lang w:val="en-GB" w:eastAsia="pl-PL"/>
              </w:rPr>
              <w:t>06 2021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212492"/>
              <w:right w:val="single" w:sz="4" w:space="0" w:color="auto"/>
            </w:tcBorders>
            <w:vAlign w:val="center"/>
          </w:tcPr>
          <w:p w:rsidR="00C80C7E" w:rsidRPr="00EF4AEA" w:rsidRDefault="00C80C7E" w:rsidP="00C80C7E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GB" w:eastAsia="pl-PL"/>
              </w:rPr>
              <w:t>04-06 2021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C80C7E" w:rsidRPr="00EF4AEA" w:rsidRDefault="00C80C7E" w:rsidP="00C80C7E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Calibri"/>
                <w:sz w:val="16"/>
                <w:szCs w:val="16"/>
                <w:lang w:val="en-GB" w:eastAsia="pl-PL"/>
              </w:rPr>
              <w:t>01-06 2021</w:t>
            </w:r>
          </w:p>
        </w:tc>
      </w:tr>
      <w:tr w:rsidR="00C80C7E" w:rsidRPr="00EF4AEA" w:rsidTr="00C80C7E">
        <w:trPr>
          <w:trHeight w:val="465"/>
          <w:tblHeader/>
        </w:trPr>
        <w:tc>
          <w:tcPr>
            <w:tcW w:w="2977" w:type="dxa"/>
            <w:vMerge/>
            <w:tcBorders>
              <w:top w:val="nil"/>
              <w:left w:val="nil"/>
              <w:bottom w:val="single" w:sz="12" w:space="0" w:color="212492"/>
              <w:right w:val="single" w:sz="8" w:space="0" w:color="212492"/>
            </w:tcBorders>
            <w:vAlign w:val="center"/>
            <w:hideMark/>
          </w:tcPr>
          <w:p w:rsidR="00C80C7E" w:rsidRPr="00EF4AEA" w:rsidRDefault="00C80C7E" w:rsidP="00C80C7E">
            <w:pPr>
              <w:spacing w:before="0" w:after="0" w:line="240" w:lineRule="auto"/>
              <w:rPr>
                <w:rFonts w:eastAsia="Times New Roman" w:cs="Calibri"/>
                <w:sz w:val="16"/>
                <w:szCs w:val="16"/>
                <w:lang w:val="en-GB"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C80C7E" w:rsidRPr="00EF4AEA" w:rsidRDefault="00C80C7E" w:rsidP="00C80C7E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Calibri"/>
                <w:sz w:val="16"/>
                <w:szCs w:val="16"/>
                <w:lang w:val="en-GB" w:eastAsia="pl-PL"/>
              </w:rPr>
              <w:t>06 2020=</w:t>
            </w:r>
            <w:r w:rsidRPr="00EF4AEA">
              <w:rPr>
                <w:rFonts w:eastAsia="Times New Roman" w:cs="Calibri"/>
                <w:sz w:val="16"/>
                <w:szCs w:val="16"/>
                <w:lang w:val="en-GB" w:eastAsia="pl-PL"/>
              </w:rPr>
              <w:br/>
              <w:t>=100</w:t>
            </w:r>
          </w:p>
        </w:tc>
        <w:tc>
          <w:tcPr>
            <w:tcW w:w="850" w:type="dxa"/>
            <w:tcBorders>
              <w:top w:val="nil"/>
              <w:left w:val="single" w:sz="8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C80C7E" w:rsidRPr="00EF4AEA" w:rsidRDefault="00C80C7E" w:rsidP="00C80C7E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Calibri"/>
                <w:sz w:val="16"/>
                <w:szCs w:val="16"/>
                <w:lang w:val="en-GB" w:eastAsia="pl-PL"/>
              </w:rPr>
              <w:t>12 2020=</w:t>
            </w:r>
            <w:r w:rsidRPr="00EF4AEA">
              <w:rPr>
                <w:rFonts w:eastAsia="Times New Roman" w:cs="Calibri"/>
                <w:sz w:val="16"/>
                <w:szCs w:val="16"/>
                <w:lang w:val="en-GB" w:eastAsia="pl-PL"/>
              </w:rPr>
              <w:br/>
              <w:t>=100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C80C7E" w:rsidRPr="00EF4AEA" w:rsidRDefault="00C80C7E" w:rsidP="00C80C7E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Calibri"/>
                <w:sz w:val="16"/>
                <w:szCs w:val="16"/>
                <w:lang w:val="en-GB" w:eastAsia="pl-PL"/>
              </w:rPr>
              <w:t>05 2021=</w:t>
            </w:r>
            <w:r w:rsidRPr="00EF4AEA">
              <w:rPr>
                <w:rFonts w:eastAsia="Times New Roman" w:cs="Calibri"/>
                <w:sz w:val="16"/>
                <w:szCs w:val="16"/>
                <w:lang w:val="en-GB" w:eastAsia="pl-PL"/>
              </w:rPr>
              <w:br/>
              <w:t>=100</w:t>
            </w:r>
          </w:p>
        </w:tc>
        <w:tc>
          <w:tcPr>
            <w:tcW w:w="850" w:type="dxa"/>
            <w:tcBorders>
              <w:top w:val="nil"/>
              <w:left w:val="single" w:sz="8" w:space="0" w:color="212492"/>
              <w:bottom w:val="single" w:sz="12" w:space="0" w:color="212492"/>
              <w:right w:val="single" w:sz="8" w:space="0" w:color="212492"/>
            </w:tcBorders>
            <w:vAlign w:val="center"/>
          </w:tcPr>
          <w:p w:rsidR="00C80C7E" w:rsidRPr="00EF4AEA" w:rsidRDefault="00C80C7E" w:rsidP="00C80C7E">
            <w:pPr>
              <w:keepNext/>
              <w:tabs>
                <w:tab w:val="right" w:leader="dot" w:pos="4139"/>
              </w:tabs>
              <w:spacing w:before="0" w:after="0" w:line="240" w:lineRule="auto"/>
              <w:jc w:val="center"/>
              <w:outlineLvl w:val="0"/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GB" w:eastAsia="pl-PL"/>
              </w:rPr>
              <w:t>04-06 2020=100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12" w:space="0" w:color="212492"/>
              <w:right w:val="single" w:sz="8" w:space="0" w:color="212492"/>
            </w:tcBorders>
            <w:vAlign w:val="center"/>
          </w:tcPr>
          <w:p w:rsidR="00C80C7E" w:rsidRPr="00EF4AEA" w:rsidRDefault="00C80C7E" w:rsidP="00C80C7E">
            <w:pPr>
              <w:keepNext/>
              <w:tabs>
                <w:tab w:val="right" w:leader="dot" w:pos="4139"/>
              </w:tabs>
              <w:spacing w:before="0" w:after="0" w:line="240" w:lineRule="auto"/>
              <w:jc w:val="center"/>
              <w:outlineLvl w:val="0"/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Times New Roman"/>
                <w:bCs/>
                <w:color w:val="000000" w:themeColor="text1"/>
                <w:sz w:val="16"/>
                <w:szCs w:val="16"/>
                <w:lang w:val="en-GB" w:eastAsia="pl-PL"/>
              </w:rPr>
              <w:t>01-03 2021=100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12" w:space="0" w:color="212492"/>
              <w:right w:val="nil"/>
            </w:tcBorders>
            <w:shd w:val="clear" w:color="auto" w:fill="auto"/>
            <w:vAlign w:val="center"/>
            <w:hideMark/>
          </w:tcPr>
          <w:p w:rsidR="00C80C7E" w:rsidRPr="00EF4AEA" w:rsidRDefault="00C80C7E" w:rsidP="00C80C7E">
            <w:pPr>
              <w:spacing w:before="0" w:after="0" w:line="240" w:lineRule="auto"/>
              <w:jc w:val="center"/>
              <w:rPr>
                <w:rFonts w:eastAsia="Times New Roman" w:cs="Calibri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Calibri"/>
                <w:sz w:val="16"/>
                <w:szCs w:val="16"/>
                <w:lang w:val="en-GB" w:eastAsia="pl-PL"/>
              </w:rPr>
              <w:t>01-06 2020=100</w:t>
            </w:r>
          </w:p>
        </w:tc>
      </w:tr>
      <w:tr w:rsidR="00C80C7E" w:rsidRPr="00EF4AEA" w:rsidTr="00810BEE">
        <w:trPr>
          <w:trHeight w:val="314"/>
        </w:trPr>
        <w:tc>
          <w:tcPr>
            <w:tcW w:w="2977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EF4AEA" w:rsidRDefault="00810BEE" w:rsidP="00810BEE">
            <w:pPr>
              <w:spacing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cs="Arial"/>
                <w:b/>
                <w:bCs/>
                <w:color w:val="000000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851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EF4AEA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b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b/>
                <w:color w:val="000000"/>
                <w:sz w:val="16"/>
                <w:szCs w:val="16"/>
                <w:lang w:val="en-GB" w:eastAsia="pl-PL"/>
              </w:rPr>
              <w:t>104,4</w:t>
            </w:r>
          </w:p>
        </w:tc>
        <w:tc>
          <w:tcPr>
            <w:tcW w:w="850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EF4AEA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b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b/>
                <w:color w:val="000000"/>
                <w:sz w:val="16"/>
                <w:szCs w:val="16"/>
                <w:lang w:val="en-GB" w:eastAsia="pl-PL"/>
              </w:rPr>
              <w:t>104,0</w:t>
            </w:r>
          </w:p>
        </w:tc>
        <w:tc>
          <w:tcPr>
            <w:tcW w:w="851" w:type="dxa"/>
            <w:tcBorders>
              <w:top w:val="single" w:sz="12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C80C7E" w:rsidRPr="00EF4AEA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b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b/>
                <w:color w:val="000000"/>
                <w:sz w:val="16"/>
                <w:szCs w:val="16"/>
                <w:lang w:val="en-GB" w:eastAsia="pl-PL"/>
              </w:rPr>
              <w:t>100,1</w:t>
            </w:r>
          </w:p>
        </w:tc>
        <w:tc>
          <w:tcPr>
            <w:tcW w:w="850" w:type="dxa"/>
            <w:tcBorders>
              <w:top w:val="single" w:sz="12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C80C7E" w:rsidRPr="00EF4AEA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b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b/>
                <w:color w:val="000000"/>
                <w:sz w:val="16"/>
                <w:szCs w:val="16"/>
                <w:lang w:val="en-GB" w:eastAsia="pl-PL"/>
              </w:rPr>
              <w:t>104,5</w:t>
            </w:r>
          </w:p>
        </w:tc>
        <w:tc>
          <w:tcPr>
            <w:tcW w:w="851" w:type="dxa"/>
            <w:tcBorders>
              <w:top w:val="single" w:sz="12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C80C7E" w:rsidRPr="00EF4AEA" w:rsidRDefault="00C80C7E" w:rsidP="00C80C7E">
            <w:pPr>
              <w:spacing w:before="0" w:after="0" w:line="240" w:lineRule="auto"/>
              <w:jc w:val="right"/>
              <w:rPr>
                <w:rFonts w:eastAsia="Times New Roman" w:cs="Arial"/>
                <w:b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b/>
                <w:color w:val="000000"/>
                <w:sz w:val="16"/>
                <w:szCs w:val="16"/>
                <w:lang w:val="en-GB" w:eastAsia="pl-PL"/>
              </w:rPr>
              <w:t>101,9</w:t>
            </w:r>
          </w:p>
        </w:tc>
        <w:tc>
          <w:tcPr>
            <w:tcW w:w="992" w:type="dxa"/>
            <w:tcBorders>
              <w:top w:val="single" w:sz="12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C80C7E" w:rsidRPr="00EF4AEA" w:rsidRDefault="00C80C7E" w:rsidP="00C80C7E">
            <w:pPr>
              <w:spacing w:before="0" w:after="0" w:line="240" w:lineRule="auto"/>
              <w:jc w:val="right"/>
              <w:rPr>
                <w:lang w:val="en-GB"/>
              </w:rPr>
            </w:pPr>
            <w:r w:rsidRPr="00EF4AEA">
              <w:rPr>
                <w:rFonts w:eastAsia="Times New Roman" w:cs="Arial"/>
                <w:b/>
                <w:color w:val="000000"/>
                <w:sz w:val="16"/>
                <w:szCs w:val="16"/>
                <w:lang w:val="en-GB" w:eastAsia="pl-PL"/>
              </w:rPr>
              <w:t>103,6</w:t>
            </w:r>
          </w:p>
        </w:tc>
      </w:tr>
      <w:tr w:rsidR="00810BEE" w:rsidRPr="00EF4AEA" w:rsidTr="00810BEE">
        <w:trPr>
          <w:trHeight w:val="274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677F83">
            <w:pPr>
              <w:spacing w:before="40" w:after="4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F4AEA">
              <w:rPr>
                <w:rFonts w:cs="Arial"/>
                <w:color w:val="000000"/>
                <w:sz w:val="16"/>
                <w:szCs w:val="16"/>
                <w:lang w:val="en-GB"/>
              </w:rPr>
              <w:t>Goods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103,8</w:t>
            </w:r>
          </w:p>
        </w:tc>
        <w:tc>
          <w:tcPr>
            <w:tcW w:w="850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104,1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100,0</w:t>
            </w:r>
          </w:p>
        </w:tc>
        <w:tc>
          <w:tcPr>
            <w:tcW w:w="850" w:type="dxa"/>
            <w:tcBorders>
              <w:top w:val="nil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103,8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102,0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102,6</w:t>
            </w:r>
          </w:p>
        </w:tc>
      </w:tr>
      <w:tr w:rsidR="00810BEE" w:rsidRPr="00EF4AEA" w:rsidTr="00C80C7E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677F83">
            <w:pPr>
              <w:spacing w:before="40" w:after="4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F4AEA">
              <w:rPr>
                <w:rFonts w:cs="Arial"/>
                <w:color w:val="000000"/>
                <w:sz w:val="16"/>
                <w:szCs w:val="16"/>
                <w:lang w:val="en-GB"/>
              </w:rPr>
              <w:t>Services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106,1</w:t>
            </w:r>
          </w:p>
        </w:tc>
        <w:tc>
          <w:tcPr>
            <w:tcW w:w="850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103,8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100,3</w:t>
            </w:r>
          </w:p>
        </w:tc>
        <w:tc>
          <w:tcPr>
            <w:tcW w:w="850" w:type="dxa"/>
            <w:tcBorders>
              <w:top w:val="single" w:sz="8" w:space="0" w:color="212492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106,6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101,4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106,9</w:t>
            </w:r>
          </w:p>
        </w:tc>
      </w:tr>
      <w:tr w:rsidR="00810BEE" w:rsidRPr="00EF4AEA" w:rsidTr="00810BEE">
        <w:trPr>
          <w:trHeight w:val="312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677F83">
            <w:pPr>
              <w:spacing w:before="40" w:after="0" w:line="240" w:lineRule="auto"/>
              <w:rPr>
                <w:rFonts w:eastAsia="Times New Roman" w:cs="Arial"/>
                <w:caps/>
                <w:color w:val="000000"/>
                <w:spacing w:val="-2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aps/>
                <w:color w:val="000000"/>
                <w:spacing w:val="-2"/>
                <w:sz w:val="16"/>
                <w:szCs w:val="16"/>
                <w:lang w:val="en-GB" w:eastAsia="pl-PL"/>
              </w:rPr>
              <w:t xml:space="preserve">FOOD, NON-ALCOHOLIC BEVERAGES, </w:t>
            </w:r>
          </w:p>
          <w:p w:rsidR="00810BEE" w:rsidRPr="00EF4AEA" w:rsidRDefault="00810BEE" w:rsidP="00677F83">
            <w:pPr>
              <w:spacing w:before="0" w:after="4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aps/>
                <w:color w:val="000000"/>
                <w:spacing w:val="-2"/>
                <w:sz w:val="16"/>
                <w:szCs w:val="16"/>
                <w:lang w:val="en-GB" w:eastAsia="pl-PL"/>
              </w:rPr>
              <w:t>ALCOHOLIC BEVERAGES AND TOBACCO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101,9</w:t>
            </w:r>
          </w:p>
        </w:tc>
        <w:tc>
          <w:tcPr>
            <w:tcW w:w="850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104,3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100,1</w:t>
            </w:r>
          </w:p>
        </w:tc>
        <w:tc>
          <w:tcPr>
            <w:tcW w:w="850" w:type="dxa"/>
            <w:tcBorders>
              <w:top w:val="single" w:sz="8" w:space="0" w:color="212492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101,6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101,8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101,3</w:t>
            </w:r>
          </w:p>
        </w:tc>
      </w:tr>
      <w:tr w:rsidR="00810BEE" w:rsidRPr="00EF4AEA" w:rsidTr="00C80C7E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677F83">
            <w:pPr>
              <w:spacing w:before="0" w:after="0"/>
              <w:rPr>
                <w:rFonts w:cs="Arial"/>
                <w:color w:val="000000"/>
                <w:spacing w:val="-6"/>
                <w:sz w:val="16"/>
                <w:szCs w:val="16"/>
                <w:lang w:val="en-GB"/>
              </w:rPr>
            </w:pPr>
            <w:r w:rsidRPr="00EF4AEA">
              <w:rPr>
                <w:rFonts w:cs="Arial"/>
                <w:color w:val="000000"/>
                <w:spacing w:val="-6"/>
                <w:sz w:val="16"/>
                <w:szCs w:val="16"/>
                <w:lang w:val="en-GB"/>
              </w:rPr>
              <w:t>FOOD AND NON-ALCOHOLIC BEVERAGES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102,0</w:t>
            </w:r>
          </w:p>
        </w:tc>
        <w:tc>
          <w:tcPr>
            <w:tcW w:w="850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105,0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100,1</w:t>
            </w:r>
          </w:p>
        </w:tc>
        <w:tc>
          <w:tcPr>
            <w:tcW w:w="850" w:type="dxa"/>
            <w:tcBorders>
              <w:top w:val="single" w:sz="8" w:space="0" w:color="212492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101,6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102,1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101,1</w:t>
            </w:r>
          </w:p>
        </w:tc>
      </w:tr>
      <w:tr w:rsidR="00810BEE" w:rsidRPr="00EF4AEA" w:rsidTr="00810BEE">
        <w:trPr>
          <w:trHeight w:val="210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677F83">
            <w:pPr>
              <w:spacing w:before="40" w:after="4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F4AEA">
              <w:rPr>
                <w:rFonts w:cs="Arial"/>
                <w:color w:val="000000"/>
                <w:sz w:val="16"/>
                <w:szCs w:val="16"/>
                <w:lang w:val="en-GB"/>
              </w:rPr>
              <w:t>Food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101,6</w:t>
            </w:r>
          </w:p>
        </w:tc>
        <w:tc>
          <w:tcPr>
            <w:tcW w:w="850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104,9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100,1</w:t>
            </w:r>
          </w:p>
        </w:tc>
        <w:tc>
          <w:tcPr>
            <w:tcW w:w="850" w:type="dxa"/>
            <w:tcBorders>
              <w:top w:val="single" w:sz="8" w:space="0" w:color="212492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101,2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102,2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100,7</w:t>
            </w:r>
          </w:p>
        </w:tc>
      </w:tr>
      <w:tr w:rsidR="00810BEE" w:rsidRPr="00EF4AEA" w:rsidTr="00810BEE">
        <w:trPr>
          <w:trHeight w:val="272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10BEE" w:rsidRPr="00EF4AEA" w:rsidRDefault="00810BEE" w:rsidP="00677F83">
            <w:pPr>
              <w:spacing w:before="20" w:after="20"/>
              <w:ind w:left="227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EF4AE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 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 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992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 </w:t>
            </w:r>
          </w:p>
        </w:tc>
      </w:tr>
      <w:tr w:rsidR="00810BEE" w:rsidRPr="00EF4AEA" w:rsidTr="00C80C7E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677F83">
            <w:pPr>
              <w:spacing w:before="20" w:after="2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F4AEA">
              <w:rPr>
                <w:rFonts w:cs="Arial"/>
                <w:color w:val="000000"/>
                <w:sz w:val="16"/>
                <w:szCs w:val="16"/>
                <w:lang w:val="en-GB"/>
              </w:rPr>
              <w:t>Rice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101,8</w:t>
            </w:r>
          </w:p>
        </w:tc>
        <w:tc>
          <w:tcPr>
            <w:tcW w:w="850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103,8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100,9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105,7</w:t>
            </w:r>
          </w:p>
        </w:tc>
      </w:tr>
      <w:tr w:rsidR="00810BEE" w:rsidRPr="00EF4AEA" w:rsidTr="00C80C7E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677F83">
            <w:pPr>
              <w:spacing w:before="20" w:after="2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F4AEA">
              <w:rPr>
                <w:rFonts w:cs="Arial"/>
                <w:color w:val="000000"/>
                <w:sz w:val="16"/>
                <w:szCs w:val="16"/>
                <w:lang w:val="en-GB"/>
              </w:rPr>
              <w:t>Flour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99,8</w:t>
            </w:r>
          </w:p>
        </w:tc>
        <w:tc>
          <w:tcPr>
            <w:tcW w:w="850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103,3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101,2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103,8</w:t>
            </w:r>
          </w:p>
        </w:tc>
      </w:tr>
      <w:tr w:rsidR="00810BEE" w:rsidRPr="00EF4AEA" w:rsidTr="00C80C7E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677F83">
            <w:pPr>
              <w:spacing w:before="20" w:after="2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F4AEA">
              <w:rPr>
                <w:rFonts w:cs="Arial"/>
                <w:color w:val="000000"/>
                <w:sz w:val="16"/>
                <w:szCs w:val="16"/>
                <w:lang w:val="en-GB"/>
              </w:rPr>
              <w:t>Bread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105,8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100,4</w:t>
            </w:r>
          </w:p>
        </w:tc>
        <w:tc>
          <w:tcPr>
            <w:tcW w:w="850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105,7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102,2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105,9</w:t>
            </w:r>
          </w:p>
        </w:tc>
      </w:tr>
      <w:tr w:rsidR="00810BEE" w:rsidRPr="00EF4AEA" w:rsidTr="00C80C7E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677F83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F4AEA">
              <w:rPr>
                <w:rFonts w:cs="Arial"/>
                <w:color w:val="000000"/>
                <w:sz w:val="16"/>
                <w:szCs w:val="16"/>
                <w:lang w:val="en-GB"/>
              </w:rPr>
              <w:t>Pasta products and couscous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99,8</w:t>
            </w:r>
          </w:p>
        </w:tc>
        <w:tc>
          <w:tcPr>
            <w:tcW w:w="850" w:type="dxa"/>
            <w:tcBorders>
              <w:top w:val="nil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101,8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101,4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101,8</w:t>
            </w:r>
          </w:p>
        </w:tc>
      </w:tr>
      <w:tr w:rsidR="00810BEE" w:rsidRPr="00EF4AEA" w:rsidTr="00C80C7E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677F83">
            <w:pPr>
              <w:spacing w:before="20" w:after="2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F4AEA">
              <w:rPr>
                <w:rFonts w:cs="Arial"/>
                <w:color w:val="000000"/>
                <w:sz w:val="16"/>
                <w:szCs w:val="16"/>
                <w:lang w:val="en-GB"/>
              </w:rPr>
              <w:t>Meat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103,1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106,8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101,4</w:t>
            </w:r>
          </w:p>
        </w:tc>
        <w:tc>
          <w:tcPr>
            <w:tcW w:w="850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101,2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103,4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99,3</w:t>
            </w:r>
          </w:p>
        </w:tc>
      </w:tr>
      <w:tr w:rsidR="00810BEE" w:rsidRPr="00EF4AEA" w:rsidTr="00810BEE">
        <w:trPr>
          <w:trHeight w:val="244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10BEE" w:rsidRPr="00EF4AEA" w:rsidRDefault="00810BEE" w:rsidP="00677F83">
            <w:pPr>
              <w:spacing w:before="20" w:after="20"/>
              <w:ind w:left="340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EF4AE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 </w:t>
            </w:r>
          </w:p>
        </w:tc>
      </w:tr>
      <w:tr w:rsidR="00810BEE" w:rsidRPr="00EF4AEA" w:rsidTr="00C80C7E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677F83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F4AEA">
              <w:rPr>
                <w:rFonts w:cs="Arial"/>
                <w:color w:val="000000"/>
                <w:sz w:val="16"/>
                <w:szCs w:val="16"/>
                <w:lang w:val="en-GB"/>
              </w:rPr>
              <w:t>Beef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100,4</w:t>
            </w:r>
          </w:p>
        </w:tc>
        <w:tc>
          <w:tcPr>
            <w:tcW w:w="850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103,0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101,7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102,3</w:t>
            </w:r>
          </w:p>
        </w:tc>
      </w:tr>
      <w:tr w:rsidR="00810BEE" w:rsidRPr="00EF4AEA" w:rsidTr="00C80C7E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677F83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F4AEA">
              <w:rPr>
                <w:rFonts w:cs="Arial"/>
                <w:color w:val="000000"/>
                <w:sz w:val="16"/>
                <w:szCs w:val="16"/>
                <w:lang w:val="en-GB"/>
              </w:rPr>
              <w:t>Veal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100,6</w:t>
            </w:r>
          </w:p>
        </w:tc>
        <w:tc>
          <w:tcPr>
            <w:tcW w:w="850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102,2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101,2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102,0</w:t>
            </w:r>
          </w:p>
        </w:tc>
      </w:tr>
      <w:tr w:rsidR="00810BEE" w:rsidRPr="00EF4AEA" w:rsidTr="00C80C7E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677F83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F4AEA">
              <w:rPr>
                <w:rFonts w:cs="Arial"/>
                <w:color w:val="000000"/>
                <w:sz w:val="16"/>
                <w:szCs w:val="16"/>
                <w:lang w:val="en-GB"/>
              </w:rPr>
              <w:t>Pork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105,9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102,4</w:t>
            </w:r>
          </w:p>
        </w:tc>
        <w:tc>
          <w:tcPr>
            <w:tcW w:w="850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93,5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104,1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90,7</w:t>
            </w:r>
          </w:p>
        </w:tc>
      </w:tr>
      <w:tr w:rsidR="00810BEE" w:rsidRPr="00EF4AEA" w:rsidTr="00C80C7E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677F83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F4AEA">
              <w:rPr>
                <w:rFonts w:cs="Arial"/>
                <w:color w:val="000000"/>
                <w:sz w:val="16"/>
                <w:szCs w:val="16"/>
                <w:lang w:val="en-GB"/>
              </w:rPr>
              <w:t>Poultry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121,1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128,8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102,8</w:t>
            </w:r>
          </w:p>
        </w:tc>
        <w:tc>
          <w:tcPr>
            <w:tcW w:w="850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115,3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111,5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106,4</w:t>
            </w:r>
          </w:p>
        </w:tc>
      </w:tr>
      <w:tr w:rsidR="00810BEE" w:rsidRPr="00EF4AEA" w:rsidTr="00C80C7E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677F83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F4AEA">
              <w:rPr>
                <w:rFonts w:cs="Arial"/>
                <w:color w:val="000000"/>
                <w:sz w:val="16"/>
                <w:szCs w:val="16"/>
                <w:lang w:val="en-GB"/>
              </w:rPr>
              <w:t>Dried, salted or smoked meat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100,7</w:t>
            </w:r>
          </w:p>
        </w:tc>
        <w:tc>
          <w:tcPr>
            <w:tcW w:w="850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99,5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100,9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99,8</w:t>
            </w:r>
          </w:p>
        </w:tc>
      </w:tr>
      <w:tr w:rsidR="00810BEE" w:rsidRPr="00EF4AEA" w:rsidTr="00810BEE">
        <w:trPr>
          <w:trHeight w:val="172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810BEE">
            <w:pPr>
              <w:spacing w:before="20" w:after="2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F4AEA">
              <w:rPr>
                <w:rFonts w:cs="Arial"/>
                <w:color w:val="000000"/>
                <w:sz w:val="16"/>
                <w:szCs w:val="16"/>
                <w:lang w:val="en-GB"/>
              </w:rPr>
              <w:t>Fish and seafood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100,3</w:t>
            </w:r>
          </w:p>
        </w:tc>
        <w:tc>
          <w:tcPr>
            <w:tcW w:w="850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103,7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101,3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103,5</w:t>
            </w:r>
          </w:p>
        </w:tc>
      </w:tr>
      <w:tr w:rsidR="00810BEE" w:rsidRPr="00EF4AEA" w:rsidTr="00C80C7E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677F83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F4AEA">
              <w:rPr>
                <w:rFonts w:cs="Arial"/>
                <w:color w:val="000000"/>
                <w:sz w:val="16"/>
                <w:szCs w:val="16"/>
                <w:lang w:val="en-GB"/>
              </w:rPr>
              <w:t>Milk, cheese and eggs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100,4</w:t>
            </w:r>
          </w:p>
        </w:tc>
        <w:tc>
          <w:tcPr>
            <w:tcW w:w="850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102,2</w:t>
            </w:r>
          </w:p>
        </w:tc>
        <w:tc>
          <w:tcPr>
            <w:tcW w:w="851" w:type="dxa"/>
            <w:tcBorders>
              <w:top w:val="nil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101,0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102,2</w:t>
            </w:r>
          </w:p>
        </w:tc>
      </w:tr>
      <w:tr w:rsidR="00810BEE" w:rsidRPr="00EF4AEA" w:rsidTr="00810BEE">
        <w:trPr>
          <w:trHeight w:val="283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10BEE" w:rsidRPr="00EF4AEA" w:rsidRDefault="00810BEE" w:rsidP="00677F83">
            <w:pPr>
              <w:spacing w:before="20" w:after="20"/>
              <w:ind w:left="340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EF4AE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 </w:t>
            </w:r>
          </w:p>
        </w:tc>
      </w:tr>
      <w:tr w:rsidR="00810BEE" w:rsidRPr="00EF4AEA" w:rsidTr="00C80C7E">
        <w:trPr>
          <w:trHeight w:val="318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677F83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F4AEA">
              <w:rPr>
                <w:rFonts w:cs="Arial"/>
                <w:color w:val="000000"/>
                <w:sz w:val="16"/>
                <w:szCs w:val="16"/>
                <w:lang w:val="en-GB"/>
              </w:rPr>
              <w:t>Milk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100,7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102,3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100,5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103,1</w:t>
            </w:r>
          </w:p>
        </w:tc>
      </w:tr>
      <w:tr w:rsidR="00810BEE" w:rsidRPr="00EF4AEA" w:rsidTr="00810BEE">
        <w:trPr>
          <w:trHeight w:val="830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677F83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F4AEA">
              <w:rPr>
                <w:rFonts w:cs="Arial"/>
                <w:color w:val="000000"/>
                <w:sz w:val="16"/>
                <w:szCs w:val="16"/>
                <w:lang w:val="en-GB"/>
              </w:rPr>
              <w:t>Yoghurt, cream, milk-based de</w:t>
            </w:r>
            <w:r w:rsidRPr="00EF4AEA">
              <w:rPr>
                <w:rFonts w:cs="Arial"/>
                <w:color w:val="000000"/>
                <w:sz w:val="16"/>
                <w:szCs w:val="16"/>
                <w:lang w:val="en-GB"/>
              </w:rPr>
              <w:t>s</w:t>
            </w:r>
            <w:r w:rsidRPr="00EF4AEA">
              <w:rPr>
                <w:rFonts w:cs="Arial"/>
                <w:color w:val="000000"/>
                <w:sz w:val="16"/>
                <w:szCs w:val="16"/>
                <w:lang w:val="en-GB"/>
              </w:rPr>
              <w:t>serts, milk-based beverages and other similar milk-based products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100,5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101,8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100,9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101,9</w:t>
            </w:r>
          </w:p>
        </w:tc>
      </w:tr>
      <w:tr w:rsidR="00810BEE" w:rsidRPr="00EF4AEA" w:rsidTr="00C80C7E">
        <w:trPr>
          <w:trHeight w:val="315"/>
        </w:trPr>
        <w:tc>
          <w:tcPr>
            <w:tcW w:w="297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677F83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F4AEA">
              <w:rPr>
                <w:rFonts w:cs="Arial"/>
                <w:color w:val="000000"/>
                <w:sz w:val="16"/>
                <w:szCs w:val="16"/>
                <w:lang w:val="en-GB"/>
              </w:rPr>
              <w:t>Cheese and curd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102,6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101,7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100,3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102,6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100,8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102,5</w:t>
            </w:r>
          </w:p>
        </w:tc>
      </w:tr>
      <w:tr w:rsidR="00810BEE" w:rsidRPr="00EF4AEA" w:rsidTr="00810BEE">
        <w:trPr>
          <w:trHeight w:val="208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810BEE">
            <w:pPr>
              <w:spacing w:before="20" w:after="4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F4AEA">
              <w:rPr>
                <w:rFonts w:cs="Arial"/>
                <w:color w:val="000000"/>
                <w:sz w:val="16"/>
                <w:szCs w:val="16"/>
                <w:lang w:val="en-GB"/>
              </w:rPr>
              <w:t>Eggs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99,7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102,4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102,6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101,0</w:t>
            </w:r>
          </w:p>
        </w:tc>
      </w:tr>
      <w:tr w:rsidR="00810BEE" w:rsidRPr="00EF4AEA" w:rsidTr="00C80C7E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677F83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F4AEA">
              <w:rPr>
                <w:rFonts w:cs="Arial"/>
                <w:color w:val="000000"/>
                <w:sz w:val="16"/>
                <w:szCs w:val="16"/>
                <w:lang w:val="en-GB"/>
              </w:rPr>
              <w:t>Oils and fats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100,9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100,8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102,1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99,5</w:t>
            </w:r>
          </w:p>
        </w:tc>
      </w:tr>
      <w:tr w:rsidR="00810BEE" w:rsidRPr="00EF4AEA" w:rsidTr="00C80C7E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677F83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F4AEA">
              <w:rPr>
                <w:rFonts w:cs="Arial"/>
                <w:color w:val="000000"/>
                <w:sz w:val="16"/>
                <w:szCs w:val="16"/>
                <w:lang w:val="en-GB"/>
              </w:rPr>
              <w:t>Vegetable fats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105,5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101,2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102,9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103,3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101,6</w:t>
            </w:r>
          </w:p>
        </w:tc>
      </w:tr>
      <w:tr w:rsidR="00810BEE" w:rsidRPr="00EF4AEA" w:rsidTr="00C80C7E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677F83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F4AEA">
              <w:rPr>
                <w:rFonts w:cs="Arial"/>
                <w:color w:val="000000"/>
                <w:sz w:val="16"/>
                <w:szCs w:val="16"/>
                <w:lang w:val="en-GB"/>
              </w:rPr>
              <w:t>Animal fats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100,7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99,3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101,1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97,9</w:t>
            </w:r>
          </w:p>
        </w:tc>
      </w:tr>
      <w:tr w:rsidR="00810BEE" w:rsidRPr="00EF4AEA" w:rsidTr="00C80C7E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677F83">
            <w:pPr>
              <w:spacing w:before="0" w:after="0"/>
              <w:ind w:left="454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F4AEA">
              <w:rPr>
                <w:rFonts w:cs="Arial"/>
                <w:color w:val="000000"/>
                <w:sz w:val="16"/>
                <w:szCs w:val="16"/>
                <w:lang w:val="en-GB"/>
              </w:rPr>
              <w:t>of which butter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100,7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99,3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101,1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97,8</w:t>
            </w:r>
          </w:p>
        </w:tc>
      </w:tr>
      <w:tr w:rsidR="00810BEE" w:rsidRPr="00EF4AEA" w:rsidTr="00810BEE">
        <w:trPr>
          <w:trHeight w:val="233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810BEE">
            <w:pPr>
              <w:spacing w:before="20" w:after="2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F4AEA">
              <w:rPr>
                <w:rFonts w:cs="Arial"/>
                <w:color w:val="000000"/>
                <w:sz w:val="16"/>
                <w:szCs w:val="16"/>
                <w:lang w:val="en-GB"/>
              </w:rPr>
              <w:t>Fruit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92,6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107,6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96,3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96,0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102,6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98,8</w:t>
            </w:r>
          </w:p>
        </w:tc>
      </w:tr>
      <w:tr w:rsidR="00810BEE" w:rsidRPr="00EF4AEA" w:rsidTr="00C80C7E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677F83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F4AEA">
              <w:rPr>
                <w:rFonts w:cs="Arial"/>
                <w:color w:val="000000"/>
                <w:sz w:val="16"/>
                <w:szCs w:val="16"/>
                <w:lang w:val="en-GB"/>
              </w:rPr>
              <w:t>Vegetables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109,2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99,0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100,7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103,3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99,3</w:t>
            </w:r>
          </w:p>
        </w:tc>
      </w:tr>
      <w:tr w:rsidR="00810BEE" w:rsidRPr="00EF4AEA" w:rsidTr="00810BEE">
        <w:trPr>
          <w:trHeight w:val="198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810BEE">
            <w:pPr>
              <w:spacing w:before="20" w:after="2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F4AEA">
              <w:rPr>
                <w:rFonts w:cs="Arial"/>
                <w:color w:val="000000"/>
                <w:sz w:val="16"/>
                <w:szCs w:val="16"/>
                <w:lang w:val="en-GB"/>
              </w:rPr>
              <w:t>Sugar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99,6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99,3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100,1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101,0</w:t>
            </w:r>
          </w:p>
        </w:tc>
      </w:tr>
      <w:tr w:rsidR="00810BEE" w:rsidRPr="00EF4AEA" w:rsidTr="00C80C7E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677F83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F4AEA">
              <w:rPr>
                <w:rFonts w:cs="Arial"/>
                <w:color w:val="000000"/>
                <w:sz w:val="16"/>
                <w:szCs w:val="16"/>
                <w:lang w:val="en-GB"/>
              </w:rPr>
              <w:t>Non-alcoholic beverages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106,3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100,1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106,2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101,5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105,8</w:t>
            </w:r>
          </w:p>
        </w:tc>
      </w:tr>
      <w:tr w:rsidR="00810BEE" w:rsidRPr="00EF4AEA" w:rsidTr="00810BEE">
        <w:trPr>
          <w:trHeight w:val="208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10BEE" w:rsidRPr="00EF4AEA" w:rsidRDefault="00810BEE" w:rsidP="00677F83">
            <w:pPr>
              <w:spacing w:before="40" w:after="40" w:line="240" w:lineRule="auto"/>
              <w:ind w:left="227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EF4AE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 </w:t>
            </w:r>
          </w:p>
        </w:tc>
      </w:tr>
      <w:tr w:rsidR="00810BEE" w:rsidRPr="00EF4AEA" w:rsidTr="00C80C7E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677F83">
            <w:pPr>
              <w:spacing w:before="20" w:after="2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F4AEA">
              <w:rPr>
                <w:rFonts w:cs="Arial"/>
                <w:color w:val="000000"/>
                <w:sz w:val="16"/>
                <w:szCs w:val="16"/>
                <w:lang w:val="en-GB"/>
              </w:rPr>
              <w:t>Coffee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99,7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99,5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100,1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99,7</w:t>
            </w:r>
          </w:p>
        </w:tc>
      </w:tr>
      <w:tr w:rsidR="00810BEE" w:rsidRPr="00EF4AEA" w:rsidTr="00810BEE">
        <w:trPr>
          <w:trHeight w:val="258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677F83">
            <w:pPr>
              <w:spacing w:before="20" w:after="2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F4AEA">
              <w:rPr>
                <w:rFonts w:cs="Arial"/>
                <w:color w:val="000000"/>
                <w:sz w:val="16"/>
                <w:szCs w:val="16"/>
                <w:lang w:val="en-GB"/>
              </w:rPr>
              <w:t>Tea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98,4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100,5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98,1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100,0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98,7</w:t>
            </w:r>
          </w:p>
        </w:tc>
      </w:tr>
      <w:tr w:rsidR="00810BEE" w:rsidRPr="00EF4AEA" w:rsidTr="00C80C7E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677F83">
            <w:pPr>
              <w:spacing w:before="20" w:after="2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F4AEA">
              <w:rPr>
                <w:rFonts w:cs="Arial"/>
                <w:color w:val="000000"/>
                <w:sz w:val="16"/>
                <w:szCs w:val="16"/>
                <w:lang w:val="en-GB"/>
              </w:rPr>
              <w:t>Cocoa and powdered chocolate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100,7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102,7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100,7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103,1</w:t>
            </w:r>
          </w:p>
        </w:tc>
      </w:tr>
      <w:tr w:rsidR="00810BEE" w:rsidRPr="00EF4AEA" w:rsidTr="00C80C7E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677F83">
            <w:pPr>
              <w:spacing w:before="20" w:after="2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F4AEA">
              <w:rPr>
                <w:rFonts w:cs="Arial"/>
                <w:color w:val="000000"/>
                <w:sz w:val="16"/>
                <w:szCs w:val="16"/>
                <w:lang w:val="en-GB"/>
              </w:rPr>
              <w:t>Mineral or spring waters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108,3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100,6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108,3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102,5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107,7</w:t>
            </w:r>
          </w:p>
        </w:tc>
      </w:tr>
      <w:tr w:rsidR="00810BEE" w:rsidRPr="00EF4AEA" w:rsidTr="00C80C7E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677F83">
            <w:pPr>
              <w:spacing w:before="20" w:after="20"/>
              <w:ind w:left="227"/>
              <w:rPr>
                <w:rFonts w:eastAsia="Times New Roman" w:cs="Calibri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cs="Arial"/>
                <w:color w:val="000000"/>
                <w:sz w:val="16"/>
                <w:szCs w:val="16"/>
                <w:lang w:val="en-GB"/>
              </w:rPr>
              <w:t>Fruit and vegetable juices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99,9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102,3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100,7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102,0</w:t>
            </w:r>
          </w:p>
        </w:tc>
      </w:tr>
      <w:tr w:rsidR="00810BEE" w:rsidRPr="00EF4AEA" w:rsidTr="00C80C7E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677F83">
            <w:pPr>
              <w:spacing w:before="0" w:after="0"/>
              <w:rPr>
                <w:rFonts w:cs="Arial"/>
                <w:color w:val="000000"/>
                <w:spacing w:val="-2"/>
                <w:sz w:val="16"/>
                <w:szCs w:val="16"/>
                <w:lang w:val="en-GB"/>
              </w:rPr>
            </w:pPr>
            <w:r w:rsidRPr="00EF4AEA">
              <w:rPr>
                <w:rFonts w:cs="Arial"/>
                <w:color w:val="000000"/>
                <w:spacing w:val="-2"/>
                <w:sz w:val="16"/>
                <w:szCs w:val="16"/>
                <w:lang w:val="en-GB"/>
              </w:rPr>
              <w:lastRenderedPageBreak/>
              <w:t>ALCOHOLIC BEVERAGES AND TOBACCO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100,1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101,7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100,7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102,1</w:t>
            </w:r>
          </w:p>
        </w:tc>
      </w:tr>
      <w:tr w:rsidR="00810BEE" w:rsidRPr="00EF4AEA" w:rsidTr="00C80C7E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677F83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F4AEA">
              <w:rPr>
                <w:rFonts w:cs="Arial"/>
                <w:color w:val="000000"/>
                <w:sz w:val="16"/>
                <w:szCs w:val="16"/>
                <w:lang w:val="en-GB"/>
              </w:rPr>
              <w:t>Alcoholic beverages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100,0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102,0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100,8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102,2</w:t>
            </w:r>
          </w:p>
        </w:tc>
      </w:tr>
      <w:tr w:rsidR="00810BEE" w:rsidRPr="00EF4AEA" w:rsidTr="00C80C7E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677F83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F4AEA">
              <w:rPr>
                <w:rFonts w:cs="Arial"/>
                <w:color w:val="000000"/>
                <w:sz w:val="16"/>
                <w:szCs w:val="16"/>
                <w:lang w:val="en-GB"/>
              </w:rPr>
              <w:t>Tobacco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100,1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101,0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100,3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101,7</w:t>
            </w:r>
          </w:p>
        </w:tc>
      </w:tr>
      <w:tr w:rsidR="00810BEE" w:rsidRPr="00EF4AEA" w:rsidTr="00C80C7E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677F83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F4AEA">
              <w:rPr>
                <w:rFonts w:cs="Arial"/>
                <w:color w:val="000000"/>
                <w:sz w:val="16"/>
                <w:szCs w:val="16"/>
                <w:lang w:val="en-GB"/>
              </w:rPr>
              <w:t>CLOTHING AND FOOTWEAR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98,5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100,0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104,8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98,7</w:t>
            </w:r>
          </w:p>
        </w:tc>
      </w:tr>
      <w:tr w:rsidR="00810BEE" w:rsidRPr="00EF4AEA" w:rsidTr="00810BEE">
        <w:trPr>
          <w:trHeight w:val="120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10BEE" w:rsidRPr="00EF4AEA" w:rsidRDefault="00810BEE" w:rsidP="00677F83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EF4AE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 </w:t>
            </w:r>
          </w:p>
        </w:tc>
      </w:tr>
      <w:tr w:rsidR="00810BEE" w:rsidRPr="00EF4AEA" w:rsidTr="00C80C7E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677F83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F4AEA">
              <w:rPr>
                <w:rFonts w:cs="Arial"/>
                <w:color w:val="000000"/>
                <w:sz w:val="16"/>
                <w:szCs w:val="16"/>
                <w:lang w:val="en-GB"/>
              </w:rPr>
              <w:t>Garments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98,7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99,6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104,5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98,3</w:t>
            </w:r>
          </w:p>
        </w:tc>
      </w:tr>
      <w:tr w:rsidR="00810BEE" w:rsidRPr="00EF4AEA" w:rsidTr="00C80C7E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677F83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F4AEA">
              <w:rPr>
                <w:rFonts w:cs="Arial"/>
                <w:color w:val="000000"/>
                <w:sz w:val="16"/>
                <w:szCs w:val="16"/>
                <w:lang w:val="en-GB"/>
              </w:rPr>
              <w:t>Footwear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98,0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100,7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105,4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99,3</w:t>
            </w:r>
          </w:p>
        </w:tc>
      </w:tr>
      <w:tr w:rsidR="00810BEE" w:rsidRPr="00EF4AEA" w:rsidTr="00C80C7E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677F83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F4AEA">
              <w:rPr>
                <w:rFonts w:cs="Arial"/>
                <w:color w:val="000000"/>
                <w:sz w:val="16"/>
                <w:szCs w:val="16"/>
                <w:lang w:val="en-GB"/>
              </w:rPr>
              <w:t>DWELLING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100,1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105,1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101,0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105,3</w:t>
            </w:r>
          </w:p>
        </w:tc>
      </w:tr>
      <w:tr w:rsidR="00810BEE" w:rsidRPr="00EF4AEA" w:rsidTr="00C80C7E">
        <w:trPr>
          <w:trHeight w:val="465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677F83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F4AEA">
              <w:rPr>
                <w:rFonts w:cs="Arial"/>
                <w:color w:val="000000"/>
                <w:sz w:val="16"/>
                <w:szCs w:val="16"/>
                <w:lang w:val="en-GB"/>
              </w:rPr>
              <w:t xml:space="preserve">HOUSING, WATER, ELECTRICITY, GAS </w:t>
            </w:r>
            <w:r w:rsidRPr="00EF4AEA">
              <w:rPr>
                <w:rFonts w:cs="Arial"/>
                <w:color w:val="000000"/>
                <w:sz w:val="16"/>
                <w:szCs w:val="16"/>
                <w:lang w:val="en-GB"/>
              </w:rPr>
              <w:br/>
              <w:t>AND OTHER FUELS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105,9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100,1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105,8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100,9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106,2</w:t>
            </w:r>
          </w:p>
        </w:tc>
      </w:tr>
      <w:tr w:rsidR="00810BEE" w:rsidRPr="00EF4AEA" w:rsidTr="00C80C7E">
        <w:trPr>
          <w:trHeight w:val="190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10BEE" w:rsidRPr="00EF4AEA" w:rsidRDefault="00810BEE" w:rsidP="00677F83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EF4AE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 </w:t>
            </w:r>
          </w:p>
        </w:tc>
      </w:tr>
      <w:tr w:rsidR="00810BEE" w:rsidRPr="00EF4AEA" w:rsidTr="00C80C7E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677F83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F4AEA">
              <w:rPr>
                <w:rFonts w:cs="Arial"/>
                <w:color w:val="000000"/>
                <w:sz w:val="16"/>
                <w:szCs w:val="16"/>
                <w:lang w:val="en-GB"/>
              </w:rPr>
              <w:t>Actual rentals for housing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100,4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103,5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101,2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103,1</w:t>
            </w:r>
          </w:p>
        </w:tc>
      </w:tr>
      <w:tr w:rsidR="00810BEE" w:rsidRPr="00EF4AEA" w:rsidTr="00810BEE">
        <w:trPr>
          <w:trHeight w:val="297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677F83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F4AEA">
              <w:rPr>
                <w:rFonts w:cs="Arial"/>
                <w:color w:val="000000"/>
                <w:sz w:val="16"/>
                <w:szCs w:val="16"/>
                <w:lang w:val="en-GB"/>
              </w:rPr>
              <w:t>Water supply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100,2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104,4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100,6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104,2</w:t>
            </w:r>
          </w:p>
        </w:tc>
      </w:tr>
      <w:tr w:rsidR="00810BEE" w:rsidRPr="00EF4AEA" w:rsidTr="00C80C7E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677F83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F4AEA">
              <w:rPr>
                <w:rFonts w:cs="Arial"/>
                <w:color w:val="000000"/>
                <w:sz w:val="16"/>
                <w:szCs w:val="16"/>
                <w:lang w:val="en-GB"/>
              </w:rPr>
              <w:t>Refuse collection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124,9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113,6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100,2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126,5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104,3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131,4</w:t>
            </w:r>
          </w:p>
        </w:tc>
      </w:tr>
      <w:tr w:rsidR="00810BEE" w:rsidRPr="00EF4AEA" w:rsidTr="00C80C7E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677F83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F4AEA">
              <w:rPr>
                <w:rFonts w:cs="Arial"/>
                <w:color w:val="000000"/>
                <w:sz w:val="16"/>
                <w:szCs w:val="16"/>
                <w:lang w:val="en-GB"/>
              </w:rPr>
              <w:t>Sewage collection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100,6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104,7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101,4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104,4</w:t>
            </w:r>
          </w:p>
        </w:tc>
      </w:tr>
      <w:tr w:rsidR="00810BEE" w:rsidRPr="00EF4AEA" w:rsidTr="00C80C7E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677F83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F4AEA">
              <w:rPr>
                <w:rFonts w:cs="Arial"/>
                <w:color w:val="000000"/>
                <w:sz w:val="16"/>
                <w:szCs w:val="16"/>
                <w:lang w:val="en-GB"/>
              </w:rPr>
              <w:t>Electricity, gas and other fuels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100,0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104,2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100,1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104,5</w:t>
            </w:r>
          </w:p>
        </w:tc>
      </w:tr>
      <w:tr w:rsidR="00810BEE" w:rsidRPr="00EF4AEA" w:rsidTr="00C80C7E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677F83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F4AEA">
              <w:rPr>
                <w:rFonts w:cs="Arial"/>
                <w:color w:val="000000"/>
                <w:sz w:val="16"/>
                <w:szCs w:val="16"/>
                <w:lang w:val="en-GB"/>
              </w:rPr>
              <w:t>Electricity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109,5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109,5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100,0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109,5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99,6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110,4</w:t>
            </w:r>
          </w:p>
        </w:tc>
      </w:tr>
      <w:tr w:rsidR="00810BEE" w:rsidRPr="00EF4AEA" w:rsidTr="00C80C7E">
        <w:trPr>
          <w:trHeight w:val="208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677F83">
            <w:pPr>
              <w:spacing w:before="20" w:after="2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F4AEA">
              <w:rPr>
                <w:rFonts w:cs="Arial"/>
                <w:color w:val="000000"/>
                <w:sz w:val="16"/>
                <w:szCs w:val="16"/>
                <w:lang w:val="en-GB"/>
              </w:rPr>
              <w:t>Gas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98,0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100,0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97,2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102,3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96,5</w:t>
            </w:r>
          </w:p>
        </w:tc>
      </w:tr>
      <w:tr w:rsidR="00810BEE" w:rsidRPr="00EF4AEA" w:rsidTr="00C80C7E">
        <w:trPr>
          <w:trHeight w:val="268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677F83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F4AEA">
              <w:rPr>
                <w:rFonts w:cs="Arial"/>
                <w:color w:val="000000"/>
                <w:sz w:val="16"/>
                <w:szCs w:val="16"/>
                <w:lang w:val="en-GB"/>
              </w:rPr>
              <w:t>Liquid and solid fuels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100,2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102,7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99,8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102,6</w:t>
            </w:r>
          </w:p>
        </w:tc>
      </w:tr>
      <w:tr w:rsidR="00810BEE" w:rsidRPr="00EF4AEA" w:rsidTr="00810BEE">
        <w:trPr>
          <w:trHeight w:val="301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677F83">
            <w:pPr>
              <w:spacing w:before="40" w:after="4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F4AEA">
              <w:rPr>
                <w:rFonts w:cs="Arial"/>
                <w:color w:val="000000"/>
                <w:sz w:val="16"/>
                <w:szCs w:val="16"/>
                <w:lang w:val="en-GB"/>
              </w:rPr>
              <w:t>Heat energy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99,8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101,9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99,4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102,2</w:t>
            </w:r>
          </w:p>
        </w:tc>
      </w:tr>
      <w:tr w:rsidR="00810BEE" w:rsidRPr="00EF4AEA" w:rsidTr="00810BEE">
        <w:trPr>
          <w:trHeight w:val="659"/>
        </w:trPr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677F83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F4AEA">
              <w:rPr>
                <w:rFonts w:cs="Arial"/>
                <w:color w:val="000000"/>
                <w:sz w:val="16"/>
                <w:szCs w:val="16"/>
                <w:lang w:val="en-GB"/>
              </w:rPr>
              <w:t>FURNISHINGS, HOUSEHOLD EQUI</w:t>
            </w:r>
            <w:r w:rsidRPr="00EF4AEA">
              <w:rPr>
                <w:rFonts w:cs="Arial"/>
                <w:color w:val="000000"/>
                <w:sz w:val="16"/>
                <w:szCs w:val="16"/>
                <w:lang w:val="en-GB"/>
              </w:rPr>
              <w:t>P</w:t>
            </w:r>
            <w:r w:rsidRPr="00EF4AEA">
              <w:rPr>
                <w:rFonts w:cs="Arial"/>
                <w:color w:val="000000"/>
                <w:sz w:val="16"/>
                <w:szCs w:val="16"/>
                <w:lang w:val="en-GB"/>
              </w:rPr>
              <w:t>MENT AND ROUTINE HOUSEHOLD MAINTENANCE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101,8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99,8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102,7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101,3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102,3</w:t>
            </w:r>
          </w:p>
        </w:tc>
      </w:tr>
      <w:tr w:rsidR="00810BEE" w:rsidRPr="00EF4AEA" w:rsidTr="00810BEE">
        <w:trPr>
          <w:trHeight w:val="245"/>
        </w:trPr>
        <w:tc>
          <w:tcPr>
            <w:tcW w:w="2977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10BEE" w:rsidRPr="00EF4AEA" w:rsidRDefault="00810BEE" w:rsidP="00677F83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EF4AE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10BEE" w:rsidRPr="00EF4AEA" w:rsidRDefault="00810BEE" w:rsidP="00DE56CF">
            <w:pPr>
              <w:spacing w:before="40" w:after="4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 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 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992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 </w:t>
            </w:r>
          </w:p>
        </w:tc>
      </w:tr>
      <w:tr w:rsidR="00810BEE" w:rsidRPr="00EF4AEA" w:rsidTr="00810BEE">
        <w:trPr>
          <w:trHeight w:val="306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677F83">
            <w:pPr>
              <w:spacing w:before="60" w:after="6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F4AEA">
              <w:rPr>
                <w:rFonts w:cs="Arial"/>
                <w:color w:val="000000"/>
                <w:sz w:val="16"/>
                <w:szCs w:val="16"/>
                <w:lang w:val="en-GB"/>
              </w:rPr>
              <w:t>Furniture and furnishings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99,4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105,6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102,8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104,2</w:t>
            </w:r>
          </w:p>
        </w:tc>
      </w:tr>
      <w:tr w:rsidR="00810BEE" w:rsidRPr="00EF4AEA" w:rsidTr="00810BEE">
        <w:trPr>
          <w:trHeight w:val="340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677F83">
            <w:pPr>
              <w:spacing w:before="60" w:after="6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F4AEA">
              <w:rPr>
                <w:rFonts w:cs="Arial"/>
                <w:color w:val="000000"/>
                <w:sz w:val="16"/>
                <w:szCs w:val="16"/>
                <w:lang w:val="en-GB"/>
              </w:rPr>
              <w:t>Household appliances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99,1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102,0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100,4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102,0</w:t>
            </w:r>
          </w:p>
        </w:tc>
      </w:tr>
      <w:tr w:rsidR="00810BEE" w:rsidRPr="00EF4AEA" w:rsidTr="00810BEE">
        <w:trPr>
          <w:trHeight w:val="247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677F83">
            <w:pPr>
              <w:spacing w:before="60" w:after="60"/>
              <w:ind w:left="113"/>
              <w:rPr>
                <w:rFonts w:cs="Arial"/>
                <w:color w:val="000000"/>
                <w:spacing w:val="-2"/>
                <w:sz w:val="16"/>
                <w:szCs w:val="16"/>
                <w:lang w:val="en-GB"/>
              </w:rPr>
            </w:pPr>
            <w:r w:rsidRPr="00EF4AEA">
              <w:rPr>
                <w:rFonts w:cs="Arial"/>
                <w:color w:val="000000"/>
                <w:spacing w:val="-2"/>
                <w:sz w:val="16"/>
                <w:szCs w:val="16"/>
                <w:lang w:val="en-GB"/>
              </w:rPr>
              <w:t>Cleaning and maintenance products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100,1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99,6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100,3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100,2</w:t>
            </w:r>
          </w:p>
        </w:tc>
      </w:tr>
      <w:tr w:rsidR="00810BEE" w:rsidRPr="00EF4AEA" w:rsidTr="00810BEE">
        <w:trPr>
          <w:trHeight w:val="422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677F83">
            <w:pPr>
              <w:spacing w:before="0" w:after="2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F4AEA">
              <w:rPr>
                <w:rFonts w:cs="Arial"/>
                <w:color w:val="000000"/>
                <w:sz w:val="16"/>
                <w:szCs w:val="16"/>
                <w:lang w:val="en-GB"/>
              </w:rPr>
              <w:t xml:space="preserve">Domestic services and household </w:t>
            </w:r>
            <w:r w:rsidRPr="00EF4AEA">
              <w:rPr>
                <w:rFonts w:cs="Arial"/>
                <w:color w:val="000000"/>
                <w:sz w:val="16"/>
                <w:szCs w:val="16"/>
                <w:lang w:val="en-GB"/>
              </w:rPr>
              <w:br/>
              <w:t>services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106,5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100,7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106,4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101,2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106,6</w:t>
            </w:r>
          </w:p>
        </w:tc>
      </w:tr>
      <w:tr w:rsidR="00810BEE" w:rsidRPr="00EF4AEA" w:rsidTr="00C80C7E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677F83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F4AEA">
              <w:rPr>
                <w:rFonts w:cs="Arial"/>
                <w:color w:val="000000"/>
                <w:sz w:val="16"/>
                <w:szCs w:val="16"/>
                <w:lang w:val="en-GB"/>
              </w:rPr>
              <w:t>HEALTH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100,3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102,9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100,7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103,5</w:t>
            </w:r>
          </w:p>
        </w:tc>
      </w:tr>
      <w:tr w:rsidR="00810BEE" w:rsidRPr="00EF4AEA" w:rsidTr="00C80C7E">
        <w:trPr>
          <w:trHeight w:val="132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10BEE" w:rsidRPr="00EF4AEA" w:rsidRDefault="00810BEE" w:rsidP="00677F83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EF4AE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 </w:t>
            </w:r>
          </w:p>
        </w:tc>
      </w:tr>
      <w:tr w:rsidR="00810BEE" w:rsidRPr="00EF4AEA" w:rsidTr="00C80C7E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677F83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F4AEA">
              <w:rPr>
                <w:rFonts w:cs="Arial"/>
                <w:color w:val="000000"/>
                <w:sz w:val="16"/>
                <w:szCs w:val="16"/>
                <w:lang w:val="en-GB"/>
              </w:rPr>
              <w:t>Pharmaceutical products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100,2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101,2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100,2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101,7</w:t>
            </w:r>
          </w:p>
        </w:tc>
      </w:tr>
      <w:tr w:rsidR="00810BEE" w:rsidRPr="00EF4AEA" w:rsidTr="00C80C7E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677F83">
            <w:pPr>
              <w:spacing w:before="0" w:after="0"/>
              <w:ind w:left="113"/>
              <w:rPr>
                <w:rFonts w:cs="Arial"/>
                <w:color w:val="000000"/>
                <w:spacing w:val="-4"/>
                <w:sz w:val="16"/>
                <w:szCs w:val="16"/>
                <w:lang w:val="en-GB"/>
              </w:rPr>
            </w:pPr>
            <w:r w:rsidRPr="00EF4AEA">
              <w:rPr>
                <w:rFonts w:cs="Arial"/>
                <w:color w:val="000000"/>
                <w:spacing w:val="-4"/>
                <w:sz w:val="16"/>
                <w:szCs w:val="16"/>
                <w:lang w:val="en-GB"/>
              </w:rPr>
              <w:t>Therapeutic appliances and equipment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100,2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102,2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100,7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102,2</w:t>
            </w:r>
          </w:p>
        </w:tc>
      </w:tr>
      <w:tr w:rsidR="00810BEE" w:rsidRPr="00EF4AEA" w:rsidTr="00C80C7E">
        <w:trPr>
          <w:trHeight w:val="246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677F83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F4AEA">
              <w:rPr>
                <w:rFonts w:cs="Arial"/>
                <w:color w:val="000000"/>
                <w:sz w:val="16"/>
                <w:szCs w:val="16"/>
                <w:lang w:val="en-GB"/>
              </w:rPr>
              <w:t>Medical services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100,5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106,5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101,4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107,2</w:t>
            </w:r>
          </w:p>
        </w:tc>
      </w:tr>
      <w:tr w:rsidR="00810BEE" w:rsidRPr="00EF4AEA" w:rsidTr="00C80C7E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677F83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F4AEA">
              <w:rPr>
                <w:rFonts w:cs="Arial"/>
                <w:color w:val="000000"/>
                <w:sz w:val="16"/>
                <w:szCs w:val="16"/>
                <w:lang w:val="en-GB"/>
              </w:rPr>
              <w:t>Dental services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105,0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100,4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107,4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101,6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109,9</w:t>
            </w:r>
          </w:p>
        </w:tc>
      </w:tr>
      <w:tr w:rsidR="00810BEE" w:rsidRPr="00EF4AEA" w:rsidTr="00C80C7E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677F83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F4AEA">
              <w:rPr>
                <w:rFonts w:cs="Arial"/>
                <w:color w:val="000000"/>
                <w:sz w:val="16"/>
                <w:szCs w:val="16"/>
                <w:lang w:val="en-GB"/>
              </w:rPr>
              <w:t>Hospital services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106,7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109,3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100,1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106,7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105,8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106,3</w:t>
            </w:r>
          </w:p>
        </w:tc>
      </w:tr>
      <w:tr w:rsidR="00810BEE" w:rsidRPr="00EF4AEA" w:rsidTr="00C80C7E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677F83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F4AEA">
              <w:rPr>
                <w:rFonts w:cs="Arial"/>
                <w:color w:val="000000"/>
                <w:sz w:val="16"/>
                <w:szCs w:val="16"/>
                <w:lang w:val="en-GB"/>
              </w:rPr>
              <w:t>TRANSPORT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116,5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110,5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100,6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117,4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105,8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108,2</w:t>
            </w:r>
          </w:p>
        </w:tc>
      </w:tr>
      <w:tr w:rsidR="00810BEE" w:rsidRPr="00EF4AEA" w:rsidTr="00C80C7E">
        <w:trPr>
          <w:trHeight w:val="150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10BEE" w:rsidRPr="00EF4AEA" w:rsidRDefault="00810BEE" w:rsidP="00677F83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EF4AE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 </w:t>
            </w:r>
          </w:p>
        </w:tc>
      </w:tr>
      <w:tr w:rsidR="00810BEE" w:rsidRPr="00EF4AEA" w:rsidTr="00C80C7E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677F83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F4AEA">
              <w:rPr>
                <w:rFonts w:cs="Arial"/>
                <w:color w:val="000000"/>
                <w:sz w:val="16"/>
                <w:szCs w:val="16"/>
                <w:lang w:val="en-GB"/>
              </w:rPr>
              <w:t>Purchase of vehicles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100,0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101,0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101,8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100,7</w:t>
            </w:r>
          </w:p>
        </w:tc>
      </w:tr>
      <w:tr w:rsidR="00810BEE" w:rsidRPr="00EF4AEA" w:rsidTr="00C80C7E">
        <w:trPr>
          <w:trHeight w:val="233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677F83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F4AEA">
              <w:rPr>
                <w:rFonts w:cs="Arial"/>
                <w:color w:val="000000"/>
                <w:sz w:val="16"/>
                <w:szCs w:val="16"/>
                <w:lang w:val="en-GB"/>
              </w:rPr>
              <w:t>of which motor cars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100,0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100,5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101,5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100,3</w:t>
            </w:r>
          </w:p>
        </w:tc>
      </w:tr>
      <w:tr w:rsidR="00810BEE" w:rsidRPr="00EF4AEA" w:rsidTr="00810BEE">
        <w:trPr>
          <w:trHeight w:val="408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677F83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F4AEA">
              <w:rPr>
                <w:rFonts w:cs="Arial"/>
                <w:color w:val="000000"/>
                <w:sz w:val="16"/>
                <w:szCs w:val="16"/>
                <w:lang w:val="en-GB"/>
              </w:rPr>
              <w:t>Fuels for personal transport equi</w:t>
            </w:r>
            <w:r w:rsidRPr="00EF4AEA">
              <w:rPr>
                <w:rFonts w:cs="Arial"/>
                <w:color w:val="000000"/>
                <w:sz w:val="16"/>
                <w:szCs w:val="16"/>
                <w:lang w:val="en-GB"/>
              </w:rPr>
              <w:t>p</w:t>
            </w:r>
            <w:r w:rsidRPr="00EF4AEA">
              <w:rPr>
                <w:rFonts w:cs="Arial"/>
                <w:color w:val="000000"/>
                <w:sz w:val="16"/>
                <w:szCs w:val="16"/>
                <w:lang w:val="en-GB"/>
              </w:rPr>
              <w:t>ment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127,3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116,1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100,9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129,4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108,6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112,6</w:t>
            </w:r>
          </w:p>
        </w:tc>
      </w:tr>
      <w:tr w:rsidR="00810BEE" w:rsidRPr="00EF4AEA" w:rsidTr="00810BEE">
        <w:trPr>
          <w:trHeight w:val="188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677F83">
            <w:pPr>
              <w:spacing w:before="0" w:after="0" w:line="240" w:lineRule="auto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F4AEA">
              <w:rPr>
                <w:rFonts w:cs="Arial"/>
                <w:color w:val="000000"/>
                <w:sz w:val="16"/>
                <w:szCs w:val="16"/>
                <w:lang w:val="en-GB"/>
              </w:rPr>
              <w:t>Diesel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126,4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117,1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101,3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126,6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108,7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109,6</w:t>
            </w:r>
          </w:p>
        </w:tc>
      </w:tr>
      <w:tr w:rsidR="00810BEE" w:rsidRPr="00EF4AEA" w:rsidTr="00C80C7E">
        <w:trPr>
          <w:trHeight w:val="249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677F83">
            <w:pPr>
              <w:spacing w:before="0" w:after="0" w:line="240" w:lineRule="auto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F4AEA">
              <w:rPr>
                <w:rFonts w:cs="Arial"/>
                <w:color w:val="000000"/>
                <w:sz w:val="16"/>
                <w:szCs w:val="16"/>
                <w:lang w:val="en-GB"/>
              </w:rPr>
              <w:t>Petrol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129,0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117,3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101,2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130,5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109,5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113,7</w:t>
            </w:r>
          </w:p>
        </w:tc>
      </w:tr>
      <w:tr w:rsidR="00810BEE" w:rsidRPr="00EF4AEA" w:rsidTr="00C80C7E">
        <w:trPr>
          <w:trHeight w:val="465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677F83">
            <w:pPr>
              <w:spacing w:before="0" w:after="0" w:line="240" w:lineRule="auto"/>
              <w:ind w:left="227"/>
              <w:rPr>
                <w:rFonts w:eastAsia="Times New Roman" w:cs="Calibri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cs="Arial"/>
                <w:color w:val="000000"/>
                <w:sz w:val="16"/>
                <w:szCs w:val="16"/>
                <w:lang w:val="en-GB"/>
              </w:rPr>
              <w:t>Liquid petroleum gas and other fuels for personal transport equipment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118,4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96,3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132,5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102,3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116,8</w:t>
            </w:r>
          </w:p>
        </w:tc>
      </w:tr>
      <w:tr w:rsidR="00810BEE" w:rsidRPr="00EF4AEA" w:rsidTr="00C80C7E">
        <w:trPr>
          <w:trHeight w:val="200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677F83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cs="Arial"/>
                <w:color w:val="000000"/>
                <w:sz w:val="16"/>
                <w:szCs w:val="16"/>
                <w:lang w:val="en-GB"/>
              </w:rPr>
              <w:t>Transport services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96,9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99,9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95,3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101,1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98,4</w:t>
            </w:r>
          </w:p>
        </w:tc>
      </w:tr>
      <w:tr w:rsidR="00810BEE" w:rsidRPr="00EF4AEA" w:rsidTr="00C80C7E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677F83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F4AEA">
              <w:rPr>
                <w:rFonts w:cs="Arial"/>
                <w:color w:val="000000"/>
                <w:sz w:val="16"/>
                <w:szCs w:val="16"/>
                <w:lang w:val="en-GB"/>
              </w:rPr>
              <w:lastRenderedPageBreak/>
              <w:t>COMMUNICATION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99,3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106,1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101,4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106,1</w:t>
            </w:r>
          </w:p>
        </w:tc>
      </w:tr>
      <w:tr w:rsidR="00810BEE" w:rsidRPr="00EF4AEA" w:rsidTr="00C80C7E">
        <w:trPr>
          <w:trHeight w:val="277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10BEE" w:rsidRPr="00EF4AEA" w:rsidRDefault="00810BEE" w:rsidP="00677F83">
            <w:pPr>
              <w:spacing w:before="0" w:after="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EF4AE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 </w:t>
            </w:r>
          </w:p>
        </w:tc>
      </w:tr>
      <w:tr w:rsidR="00810BEE" w:rsidRPr="00EF4AEA" w:rsidTr="00C80C7E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677F83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F4AEA">
              <w:rPr>
                <w:rFonts w:cs="Arial"/>
                <w:color w:val="000000"/>
                <w:sz w:val="16"/>
                <w:szCs w:val="16"/>
                <w:lang w:val="en-GB"/>
              </w:rPr>
              <w:t>Telephone and telefax equipment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92,2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100,6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91,9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99,8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90,7</w:t>
            </w:r>
          </w:p>
        </w:tc>
      </w:tr>
      <w:tr w:rsidR="00810BEE" w:rsidRPr="00EF4AEA" w:rsidTr="00C80C7E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677F83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F4AEA">
              <w:rPr>
                <w:rFonts w:cs="Arial"/>
                <w:color w:val="000000"/>
                <w:sz w:val="16"/>
                <w:szCs w:val="16"/>
                <w:lang w:val="en-GB"/>
              </w:rPr>
              <w:t>Telephone and telefax services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99,3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106,9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101,5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106,9</w:t>
            </w:r>
          </w:p>
        </w:tc>
      </w:tr>
      <w:tr w:rsidR="00810BEE" w:rsidRPr="00EF4AEA" w:rsidTr="00C80C7E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677F83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F4AEA">
              <w:rPr>
                <w:rFonts w:cs="Arial"/>
                <w:color w:val="000000"/>
                <w:sz w:val="16"/>
                <w:szCs w:val="16"/>
                <w:lang w:val="en-GB"/>
              </w:rPr>
              <w:t>RECREATION AND CULTURE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100,4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105,3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101,3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104,8</w:t>
            </w:r>
          </w:p>
        </w:tc>
      </w:tr>
      <w:tr w:rsidR="00810BEE" w:rsidRPr="00EF4AEA" w:rsidTr="00C80C7E">
        <w:trPr>
          <w:trHeight w:val="252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10BEE" w:rsidRPr="00EF4AEA" w:rsidRDefault="00810BEE" w:rsidP="00677F83">
            <w:pPr>
              <w:spacing w:before="20" w:after="2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EF4AE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 </w:t>
            </w:r>
          </w:p>
        </w:tc>
      </w:tr>
      <w:tr w:rsidR="00810BEE" w:rsidRPr="00EF4AEA" w:rsidTr="00C80C7E">
        <w:trPr>
          <w:trHeight w:val="532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677F83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F4AEA">
              <w:rPr>
                <w:rFonts w:cs="Arial"/>
                <w:color w:val="000000"/>
                <w:sz w:val="16"/>
                <w:szCs w:val="16"/>
                <w:lang w:val="en-GB"/>
              </w:rPr>
              <w:t>Audio-visual, photographic and i</w:t>
            </w:r>
            <w:r w:rsidRPr="00EF4AEA">
              <w:rPr>
                <w:rFonts w:cs="Arial"/>
                <w:color w:val="000000"/>
                <w:sz w:val="16"/>
                <w:szCs w:val="16"/>
                <w:lang w:val="en-GB"/>
              </w:rPr>
              <w:t>n</w:t>
            </w:r>
            <w:r w:rsidRPr="00EF4AEA">
              <w:rPr>
                <w:rFonts w:cs="Arial"/>
                <w:color w:val="000000"/>
                <w:sz w:val="16"/>
                <w:szCs w:val="16"/>
                <w:lang w:val="en-GB"/>
              </w:rPr>
              <w:t>formation processing equipment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98,8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99,1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100,9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99,4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101,4</w:t>
            </w:r>
          </w:p>
        </w:tc>
      </w:tr>
      <w:tr w:rsidR="00810BEE" w:rsidRPr="00EF4AEA" w:rsidTr="00C80C7E">
        <w:trPr>
          <w:trHeight w:val="300"/>
        </w:trPr>
        <w:tc>
          <w:tcPr>
            <w:tcW w:w="297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677F83">
            <w:pPr>
              <w:spacing w:before="0"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cs="Arial"/>
                <w:color w:val="000000"/>
                <w:sz w:val="16"/>
                <w:szCs w:val="16"/>
                <w:lang w:val="en-GB"/>
              </w:rPr>
              <w:t>Recreational and cultural services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110,2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105,7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100,4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110,1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101,9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109,7</w:t>
            </w:r>
          </w:p>
        </w:tc>
      </w:tr>
      <w:tr w:rsidR="00810BEE" w:rsidRPr="00EF4AEA" w:rsidTr="00C80C7E">
        <w:trPr>
          <w:trHeight w:val="240"/>
        </w:trPr>
        <w:tc>
          <w:tcPr>
            <w:tcW w:w="2977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10BEE" w:rsidRPr="00EF4AEA" w:rsidRDefault="00810BEE" w:rsidP="00677F83">
            <w:pPr>
              <w:spacing w:before="20" w:after="2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EF4AE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 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 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992" w:type="dxa"/>
            <w:tcBorders>
              <w:top w:val="single" w:sz="8" w:space="0" w:color="212492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 </w:t>
            </w:r>
          </w:p>
        </w:tc>
      </w:tr>
      <w:tr w:rsidR="00810BEE" w:rsidRPr="00EF4AEA" w:rsidTr="00C80C7E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677F83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F4AEA">
              <w:rPr>
                <w:rFonts w:cs="Arial"/>
                <w:color w:val="000000"/>
                <w:sz w:val="16"/>
                <w:szCs w:val="16"/>
                <w:lang w:val="en-GB"/>
              </w:rPr>
              <w:t>Recreational and sporting services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105,6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101,8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105,1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101,1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105,2</w:t>
            </w:r>
          </w:p>
        </w:tc>
      </w:tr>
      <w:tr w:rsidR="00810BEE" w:rsidRPr="00EF4AEA" w:rsidTr="00C80C7E">
        <w:trPr>
          <w:trHeight w:val="315"/>
        </w:trPr>
        <w:tc>
          <w:tcPr>
            <w:tcW w:w="297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677F83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F4AEA">
              <w:rPr>
                <w:rFonts w:cs="Arial"/>
                <w:color w:val="000000"/>
                <w:sz w:val="16"/>
                <w:szCs w:val="16"/>
                <w:lang w:val="en-GB"/>
              </w:rPr>
              <w:t>Cultural services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112,1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106,9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99,9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112,2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102,3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111,6</w:t>
            </w:r>
          </w:p>
        </w:tc>
      </w:tr>
      <w:tr w:rsidR="00810BEE" w:rsidRPr="00EF4AEA" w:rsidTr="00C80C7E">
        <w:trPr>
          <w:trHeight w:val="300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677F83">
            <w:pPr>
              <w:spacing w:before="0" w:after="0"/>
              <w:ind w:left="34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F4AEA">
              <w:rPr>
                <w:rFonts w:cs="Arial"/>
                <w:color w:val="000000"/>
                <w:sz w:val="16"/>
                <w:szCs w:val="16"/>
                <w:lang w:val="en-GB"/>
              </w:rPr>
              <w:t>of which television and radio l</w:t>
            </w:r>
            <w:r w:rsidRPr="00EF4AEA">
              <w:rPr>
                <w:rFonts w:cs="Arial"/>
                <w:color w:val="000000"/>
                <w:sz w:val="16"/>
                <w:szCs w:val="16"/>
                <w:lang w:val="en-GB"/>
              </w:rPr>
              <w:t>i</w:t>
            </w:r>
            <w:r w:rsidRPr="00EF4AEA">
              <w:rPr>
                <w:rFonts w:cs="Arial"/>
                <w:color w:val="000000"/>
                <w:sz w:val="16"/>
                <w:szCs w:val="16"/>
                <w:lang w:val="en-GB"/>
              </w:rPr>
              <w:t>cence fees, subscriptions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113,1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106,6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97,3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115,2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102,1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114,7</w:t>
            </w:r>
          </w:p>
        </w:tc>
      </w:tr>
      <w:tr w:rsidR="00810BEE" w:rsidRPr="00EF4AEA" w:rsidTr="00C80C7E">
        <w:trPr>
          <w:trHeight w:val="315"/>
        </w:trPr>
        <w:tc>
          <w:tcPr>
            <w:tcW w:w="2977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677F83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F4AEA">
              <w:rPr>
                <w:rFonts w:cs="Arial"/>
                <w:color w:val="000000"/>
                <w:sz w:val="16"/>
                <w:szCs w:val="16"/>
                <w:lang w:val="en-GB"/>
              </w:rPr>
              <w:t>Books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103,1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100,5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101,3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104,2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99,6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102,9</w:t>
            </w:r>
          </w:p>
        </w:tc>
      </w:tr>
      <w:tr w:rsidR="00810BEE" w:rsidRPr="00EF4AEA" w:rsidTr="00C80C7E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677F83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F4AEA">
              <w:rPr>
                <w:rFonts w:cs="Arial"/>
                <w:color w:val="000000"/>
                <w:sz w:val="16"/>
                <w:szCs w:val="16"/>
                <w:lang w:val="en-GB"/>
              </w:rPr>
              <w:t>Newspapers and periodicals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100,0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103,9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100,3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104,7</w:t>
            </w:r>
          </w:p>
        </w:tc>
      </w:tr>
      <w:tr w:rsidR="00810BEE" w:rsidRPr="00EF4AEA" w:rsidTr="00C80C7E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677F83">
            <w:pPr>
              <w:spacing w:before="40" w:after="4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F4AEA">
              <w:rPr>
                <w:rFonts w:cs="Arial"/>
                <w:color w:val="000000"/>
                <w:sz w:val="16"/>
                <w:szCs w:val="16"/>
                <w:lang w:val="en-GB"/>
              </w:rPr>
              <w:t>Stationery and drawing materials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100,4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103,7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101,1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103,6</w:t>
            </w:r>
          </w:p>
        </w:tc>
      </w:tr>
      <w:tr w:rsidR="00810BEE" w:rsidRPr="00EF4AEA" w:rsidTr="00C80C7E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677F83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F4AEA">
              <w:rPr>
                <w:rFonts w:cs="Arial"/>
                <w:color w:val="000000"/>
                <w:sz w:val="16"/>
                <w:szCs w:val="16"/>
                <w:lang w:val="en-GB"/>
              </w:rPr>
              <w:t>Package holidays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105,9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103,5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102,8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102,7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102,1</w:t>
            </w:r>
          </w:p>
        </w:tc>
      </w:tr>
      <w:tr w:rsidR="00810BEE" w:rsidRPr="00EF4AEA" w:rsidTr="00C80C7E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677F83">
            <w:pPr>
              <w:spacing w:before="0" w:after="0"/>
              <w:ind w:left="227"/>
              <w:rPr>
                <w:rFonts w:cs="Arial"/>
                <w:b/>
                <w:color w:val="000000"/>
                <w:sz w:val="16"/>
                <w:szCs w:val="16"/>
                <w:lang w:val="en-GB"/>
              </w:rPr>
            </w:pPr>
            <w:r w:rsidRPr="00EF4AEA">
              <w:rPr>
                <w:rFonts w:cs="Arial"/>
                <w:color w:val="000000"/>
                <w:sz w:val="16"/>
                <w:szCs w:val="16"/>
                <w:lang w:val="en-GB"/>
              </w:rPr>
              <w:t>Package domestic holidays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106,0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110,5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102,8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106,1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104,6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106,1</w:t>
            </w:r>
          </w:p>
        </w:tc>
      </w:tr>
      <w:tr w:rsidR="00810BEE" w:rsidRPr="00EF4AEA" w:rsidTr="00C80C7E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677F83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F4AEA">
              <w:rPr>
                <w:rFonts w:cs="Arial"/>
                <w:color w:val="000000"/>
                <w:sz w:val="16"/>
                <w:szCs w:val="16"/>
                <w:lang w:val="en-GB"/>
              </w:rPr>
              <w:t>Package international holidays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93,5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98,6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104,8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97,5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99,7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95,8</w:t>
            </w:r>
          </w:p>
        </w:tc>
      </w:tr>
      <w:tr w:rsidR="00810BEE" w:rsidRPr="00EF4AEA" w:rsidTr="00C80C7E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677F83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F4AEA">
              <w:rPr>
                <w:rFonts w:cs="Arial"/>
                <w:color w:val="000000"/>
                <w:sz w:val="16"/>
                <w:szCs w:val="16"/>
                <w:lang w:val="en-GB"/>
              </w:rPr>
              <w:t>EDUCATION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105,0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100,9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100,1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105,4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100,3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105,4</w:t>
            </w:r>
          </w:p>
        </w:tc>
      </w:tr>
      <w:tr w:rsidR="00810BEE" w:rsidRPr="00EF4AEA" w:rsidTr="00C80C7E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677F83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F4AEA">
              <w:rPr>
                <w:rFonts w:cs="Arial"/>
                <w:color w:val="000000"/>
                <w:sz w:val="16"/>
                <w:szCs w:val="16"/>
                <w:lang w:val="en-GB"/>
              </w:rPr>
              <w:t>RESTAURANTS AND HOTELS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105,7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101,1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105,0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101,5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105,0</w:t>
            </w:r>
          </w:p>
        </w:tc>
      </w:tr>
      <w:tr w:rsidR="00810BEE" w:rsidRPr="00EF4AEA" w:rsidTr="00C80C7E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677F83">
            <w:pPr>
              <w:spacing w:before="0" w:after="0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F4AEA">
              <w:rPr>
                <w:rFonts w:cs="Arial"/>
                <w:color w:val="000000"/>
                <w:sz w:val="16"/>
                <w:szCs w:val="16"/>
                <w:lang w:val="en-GB"/>
              </w:rPr>
              <w:t>MISCELLANEOUS GOODS AND SERVICES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99,9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101,8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100,1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102,0</w:t>
            </w:r>
          </w:p>
        </w:tc>
      </w:tr>
      <w:tr w:rsidR="00810BEE" w:rsidRPr="00EF4AEA" w:rsidTr="00C80C7E">
        <w:trPr>
          <w:trHeight w:val="233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10BEE" w:rsidRPr="00EF4AEA" w:rsidRDefault="00810BEE" w:rsidP="00677F83">
            <w:pPr>
              <w:spacing w:before="20" w:after="20"/>
              <w:ind w:left="113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EF4AE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 </w:t>
            </w:r>
          </w:p>
        </w:tc>
      </w:tr>
      <w:tr w:rsidR="00810BEE" w:rsidRPr="00EF4AEA" w:rsidTr="00C80C7E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677F83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F4AEA">
              <w:rPr>
                <w:rFonts w:cs="Arial"/>
                <w:color w:val="000000"/>
                <w:sz w:val="16"/>
                <w:szCs w:val="16"/>
                <w:lang w:val="en-GB"/>
              </w:rPr>
              <w:t>Personal care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99,8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102,0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100,9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102,4</w:t>
            </w:r>
          </w:p>
        </w:tc>
      </w:tr>
      <w:tr w:rsidR="00810BEE" w:rsidRPr="00EF4AEA" w:rsidTr="00C80C7E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10BEE" w:rsidRPr="00EF4AEA" w:rsidRDefault="00810BEE" w:rsidP="00677F83">
            <w:pPr>
              <w:spacing w:before="20" w:after="20"/>
              <w:ind w:left="227"/>
              <w:rPr>
                <w:rFonts w:cs="Arial"/>
                <w:color w:val="000000" w:themeColor="text1"/>
                <w:sz w:val="16"/>
                <w:szCs w:val="16"/>
                <w:lang w:val="en-GB"/>
              </w:rPr>
            </w:pPr>
            <w:r w:rsidRPr="00EF4AEA">
              <w:rPr>
                <w:rFonts w:cs="Arial"/>
                <w:color w:val="000000" w:themeColor="text1"/>
                <w:sz w:val="16"/>
                <w:szCs w:val="16"/>
                <w:lang w:val="en-GB"/>
              </w:rPr>
              <w:t>of which: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nil"/>
            </w:tcBorders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 </w:t>
            </w:r>
          </w:p>
        </w:tc>
      </w:tr>
      <w:tr w:rsidR="00810BEE" w:rsidRPr="00EF4AEA" w:rsidTr="00C80C7E">
        <w:trPr>
          <w:trHeight w:val="434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677F83">
            <w:pPr>
              <w:spacing w:before="0" w:after="0"/>
              <w:ind w:left="227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F4AEA">
              <w:rPr>
                <w:rFonts w:cs="Arial"/>
                <w:color w:val="000000"/>
                <w:sz w:val="16"/>
                <w:szCs w:val="16"/>
                <w:lang w:val="en-GB"/>
              </w:rPr>
              <w:t>Hairdressing salons and personal grooming establishments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106,0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103,7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100,6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107,8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101,3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109,3</w:t>
            </w:r>
          </w:p>
        </w:tc>
      </w:tr>
      <w:tr w:rsidR="00810BEE" w:rsidRPr="00EF4AEA" w:rsidTr="00810BEE">
        <w:trPr>
          <w:trHeight w:val="794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677F83">
            <w:pPr>
              <w:spacing w:before="0" w:after="0"/>
              <w:ind w:left="227"/>
              <w:rPr>
                <w:rFonts w:cs="Arial"/>
                <w:color w:val="000000"/>
                <w:spacing w:val="-2"/>
                <w:sz w:val="16"/>
                <w:szCs w:val="16"/>
                <w:lang w:val="en-GB"/>
              </w:rPr>
            </w:pPr>
            <w:r w:rsidRPr="00EF4AEA">
              <w:rPr>
                <w:rFonts w:cs="Arial"/>
                <w:color w:val="000000"/>
                <w:spacing w:val="-2"/>
                <w:sz w:val="16"/>
                <w:szCs w:val="16"/>
                <w:lang w:val="en-GB"/>
              </w:rPr>
              <w:t>Articles for personal hygiene and wellness, esoteric products and beauty products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100,7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100,1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99,6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101,2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100,9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101,3</w:t>
            </w:r>
          </w:p>
        </w:tc>
      </w:tr>
      <w:tr w:rsidR="00810BEE" w:rsidRPr="00EF4AEA" w:rsidTr="00C80C7E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677F83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F4AEA">
              <w:rPr>
                <w:rFonts w:cs="Arial"/>
                <w:color w:val="000000"/>
                <w:sz w:val="16"/>
                <w:szCs w:val="16"/>
                <w:lang w:val="en-GB"/>
              </w:rPr>
              <w:t>Social protection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107,0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103,2</w:t>
            </w:r>
          </w:p>
        </w:tc>
        <w:tc>
          <w:tcPr>
            <w:tcW w:w="851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100,2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108,5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100,7</w:t>
            </w:r>
          </w:p>
        </w:tc>
        <w:tc>
          <w:tcPr>
            <w:tcW w:w="992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109,6</w:t>
            </w:r>
          </w:p>
        </w:tc>
      </w:tr>
      <w:tr w:rsidR="00810BEE" w:rsidRPr="00EF4AEA" w:rsidTr="00C80C7E">
        <w:trPr>
          <w:trHeight w:val="315"/>
        </w:trPr>
        <w:tc>
          <w:tcPr>
            <w:tcW w:w="2977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677F83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F4AEA">
              <w:rPr>
                <w:rFonts w:cs="Arial"/>
                <w:color w:val="000000"/>
                <w:sz w:val="16"/>
                <w:szCs w:val="16"/>
                <w:lang w:val="en-GB"/>
              </w:rPr>
              <w:t>Insurance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98,0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212492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99,9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single" w:sz="8" w:space="0" w:color="212492"/>
              <w:right w:val="single" w:sz="8" w:space="0" w:color="212492"/>
            </w:tcBorders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98,9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single" w:sz="8" w:space="0" w:color="212492"/>
              <w:right w:val="single" w:sz="8" w:space="0" w:color="212492"/>
            </w:tcBorders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96,2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single" w:sz="8" w:space="0" w:color="212492"/>
              <w:right w:val="nil"/>
            </w:tcBorders>
            <w:shd w:val="clear" w:color="auto" w:fill="auto"/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98,7</w:t>
            </w:r>
          </w:p>
        </w:tc>
      </w:tr>
      <w:tr w:rsidR="00810BEE" w:rsidRPr="00EF4AEA" w:rsidTr="00810BEE">
        <w:trPr>
          <w:trHeight w:val="290"/>
        </w:trPr>
        <w:tc>
          <w:tcPr>
            <w:tcW w:w="2977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677F83">
            <w:pPr>
              <w:spacing w:before="0" w:after="0"/>
              <w:ind w:left="113"/>
              <w:rPr>
                <w:rFonts w:cs="Arial"/>
                <w:color w:val="000000"/>
                <w:sz w:val="16"/>
                <w:szCs w:val="16"/>
                <w:lang w:val="en-GB"/>
              </w:rPr>
            </w:pPr>
            <w:r w:rsidRPr="00EF4AEA">
              <w:rPr>
                <w:rFonts w:cs="Arial"/>
                <w:color w:val="000000"/>
                <w:sz w:val="16"/>
                <w:szCs w:val="16"/>
                <w:lang w:val="en-GB"/>
              </w:rPr>
              <w:t>Charges by banks and post offices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103,9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100,4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212492"/>
            </w:tcBorders>
            <w:shd w:val="clear" w:color="auto" w:fill="auto"/>
            <w:vAlign w:val="center"/>
            <w:hideMark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100,0</w:t>
            </w:r>
          </w:p>
        </w:tc>
        <w:tc>
          <w:tcPr>
            <w:tcW w:w="850" w:type="dxa"/>
            <w:tcBorders>
              <w:top w:val="single" w:sz="8" w:space="0" w:color="212492"/>
              <w:left w:val="nil"/>
              <w:bottom w:val="nil"/>
              <w:right w:val="single" w:sz="8" w:space="0" w:color="212492"/>
            </w:tcBorders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115,2</w:t>
            </w:r>
          </w:p>
        </w:tc>
        <w:tc>
          <w:tcPr>
            <w:tcW w:w="851" w:type="dxa"/>
            <w:tcBorders>
              <w:top w:val="single" w:sz="8" w:space="0" w:color="212492"/>
              <w:left w:val="single" w:sz="8" w:space="0" w:color="212492"/>
              <w:bottom w:val="nil"/>
              <w:right w:val="single" w:sz="8" w:space="0" w:color="212492"/>
            </w:tcBorders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99,8</w:t>
            </w:r>
          </w:p>
        </w:tc>
        <w:tc>
          <w:tcPr>
            <w:tcW w:w="992" w:type="dxa"/>
            <w:tcBorders>
              <w:top w:val="nil"/>
              <w:left w:val="single" w:sz="8" w:space="0" w:color="212492"/>
              <w:bottom w:val="nil"/>
              <w:right w:val="nil"/>
            </w:tcBorders>
            <w:shd w:val="clear" w:color="auto" w:fill="auto"/>
            <w:vAlign w:val="center"/>
          </w:tcPr>
          <w:p w:rsidR="00810BEE" w:rsidRPr="00EF4AEA" w:rsidRDefault="00810BEE" w:rsidP="00C80C7E">
            <w:pPr>
              <w:spacing w:before="0" w:after="0" w:line="240" w:lineRule="auto"/>
              <w:jc w:val="right"/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</w:pPr>
            <w:r w:rsidRPr="00EF4AEA">
              <w:rPr>
                <w:rFonts w:eastAsia="Times New Roman" w:cs="Arial"/>
                <w:color w:val="000000"/>
                <w:sz w:val="16"/>
                <w:szCs w:val="16"/>
                <w:lang w:val="en-GB" w:eastAsia="pl-PL"/>
              </w:rPr>
              <w:t>129,8</w:t>
            </w:r>
          </w:p>
        </w:tc>
      </w:tr>
    </w:tbl>
    <w:p w:rsidR="002665D6" w:rsidRPr="00EF4AEA" w:rsidRDefault="002665D6" w:rsidP="002665D6">
      <w:pPr>
        <w:pStyle w:val="LID"/>
        <w:spacing w:after="40"/>
        <w:rPr>
          <w:bCs/>
          <w:sz w:val="18"/>
          <w:shd w:val="clear" w:color="auto" w:fill="FFFFFF"/>
          <w:lang w:val="en-GB"/>
        </w:rPr>
      </w:pPr>
    </w:p>
    <w:p w:rsidR="00810BEE" w:rsidRPr="00EF4AEA" w:rsidRDefault="00810BEE" w:rsidP="00810BEE">
      <w:pPr>
        <w:pStyle w:val="NormalnyWeb"/>
        <w:spacing w:before="120" w:beforeAutospacing="0" w:after="0" w:afterAutospacing="0"/>
        <w:rPr>
          <w:rFonts w:ascii="Fira Sans" w:hAnsi="Fira Sans"/>
          <w:color w:val="222222"/>
          <w:sz w:val="19"/>
          <w:szCs w:val="19"/>
        </w:rPr>
      </w:pPr>
    </w:p>
    <w:p w:rsidR="00810BEE" w:rsidRPr="00EF4AEA" w:rsidRDefault="00810BEE" w:rsidP="00810BEE">
      <w:pPr>
        <w:pStyle w:val="NormalnyWeb"/>
        <w:spacing w:before="120" w:beforeAutospacing="0" w:after="0" w:afterAutospacing="0"/>
        <w:rPr>
          <w:rStyle w:val="Hipercze"/>
          <w:rFonts w:ascii="Fira Sans" w:hAnsi="Fira Sans"/>
          <w:sz w:val="19"/>
          <w:szCs w:val="19"/>
        </w:rPr>
      </w:pPr>
      <w:r w:rsidRPr="00EF4AEA">
        <w:rPr>
          <w:rFonts w:ascii="Fira Sans" w:hAnsi="Fira Sans"/>
          <w:color w:val="222222"/>
          <w:sz w:val="19"/>
          <w:szCs w:val="19"/>
        </w:rPr>
        <w:t xml:space="preserve">The guidelines in the context of the COVID-19 pandemic crisis recommended by Eurostat concerning consumer price indices and weighting system are presented under the link </w:t>
      </w:r>
      <w:hyperlink r:id="rId18" w:history="1">
        <w:r w:rsidRPr="00EF4AEA">
          <w:rPr>
            <w:rStyle w:val="Hipercze"/>
            <w:rFonts w:ascii="Fira Sans" w:hAnsi="Fira Sans"/>
            <w:sz w:val="19"/>
            <w:szCs w:val="19"/>
          </w:rPr>
          <w:t>https://stat.gov.pl/obszary-tematyczne/ceny-handel/wskazniki-cen/wytyczne-dotyczace-opracowania-hicp-w-kontekscie-kryzysu-zwiazanego-z-covid-19,19,1.html</w:t>
        </w:r>
      </w:hyperlink>
    </w:p>
    <w:p w:rsidR="002665D6" w:rsidRPr="00EF4AEA" w:rsidRDefault="002665D6" w:rsidP="002665D6">
      <w:pPr>
        <w:pStyle w:val="NormalnyWeb"/>
        <w:spacing w:before="0" w:beforeAutospacing="0" w:after="0" w:afterAutospacing="0"/>
        <w:rPr>
          <w:rFonts w:ascii="Fira Sans" w:hAnsi="Fira Sans"/>
          <w:color w:val="222222"/>
          <w:sz w:val="16"/>
          <w:szCs w:val="16"/>
        </w:rPr>
      </w:pPr>
    </w:p>
    <w:p w:rsidR="00810BEE" w:rsidRPr="00EF4AEA" w:rsidRDefault="00810BEE" w:rsidP="00810BEE">
      <w:pPr>
        <w:spacing w:before="0" w:after="160" w:line="259" w:lineRule="auto"/>
        <w:rPr>
          <w:color w:val="222222"/>
          <w:szCs w:val="19"/>
          <w:lang w:val="en-GB"/>
        </w:rPr>
      </w:pPr>
    </w:p>
    <w:p w:rsidR="00810BEE" w:rsidRPr="00EF4AEA" w:rsidRDefault="00810BEE" w:rsidP="00810BEE">
      <w:pPr>
        <w:spacing w:before="0" w:after="160" w:line="259" w:lineRule="auto"/>
        <w:rPr>
          <w:color w:val="222222"/>
          <w:szCs w:val="19"/>
          <w:lang w:val="en-GB"/>
        </w:rPr>
      </w:pPr>
    </w:p>
    <w:p w:rsidR="00810BEE" w:rsidRPr="00EF4AEA" w:rsidRDefault="00810BEE" w:rsidP="00810BEE">
      <w:pPr>
        <w:spacing w:before="0" w:after="160" w:line="259" w:lineRule="auto"/>
        <w:rPr>
          <w:noProof/>
          <w:szCs w:val="19"/>
          <w:highlight w:val="yellow"/>
          <w:lang w:val="en-GB" w:eastAsia="pl-PL"/>
        </w:rPr>
        <w:sectPr w:rsidR="00810BEE" w:rsidRPr="00EF4AEA" w:rsidSect="00EF7B36">
          <w:headerReference w:type="default" r:id="rId19"/>
          <w:footerReference w:type="default" r:id="rId20"/>
          <w:headerReference w:type="first" r:id="rId21"/>
          <w:footerReference w:type="first" r:id="rId22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EF4AEA">
        <w:rPr>
          <w:color w:val="222222"/>
          <w:szCs w:val="19"/>
          <w:lang w:val="en-GB"/>
        </w:rPr>
        <w:t>In case of quoting Statistics Poland data, please provide information: “Source of data: Stati</w:t>
      </w:r>
      <w:r w:rsidRPr="00EF4AEA">
        <w:rPr>
          <w:color w:val="222222"/>
          <w:szCs w:val="19"/>
          <w:lang w:val="en-GB"/>
        </w:rPr>
        <w:t>s</w:t>
      </w:r>
      <w:r w:rsidRPr="00EF4AEA">
        <w:rPr>
          <w:color w:val="222222"/>
          <w:szCs w:val="19"/>
          <w:lang w:val="en-GB"/>
        </w:rPr>
        <w:t>tics Poland”, and in case of publishing calculations made on data published by Statistics Poland, please include the following disclaimer: “Own study based on figures from Statistics Poland”.</w:t>
      </w:r>
    </w:p>
    <w:p w:rsidR="002665D6" w:rsidRPr="00EF4AEA" w:rsidRDefault="002665D6" w:rsidP="002665D6">
      <w:pPr>
        <w:rPr>
          <w:sz w:val="18"/>
          <w:highlight w:val="yellow"/>
          <w:lang w:val="en-GB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356"/>
        <w:gridCol w:w="3927"/>
      </w:tblGrid>
      <w:tr w:rsidR="00810BEE" w:rsidRPr="00EF4AEA" w:rsidTr="00810BEE">
        <w:trPr>
          <w:trHeight w:val="1912"/>
        </w:trPr>
        <w:tc>
          <w:tcPr>
            <w:tcW w:w="4356" w:type="dxa"/>
          </w:tcPr>
          <w:p w:rsidR="00810BEE" w:rsidRPr="00EF4AEA" w:rsidRDefault="00810BEE" w:rsidP="00810BEE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  <w:lang w:val="en-GB"/>
              </w:rPr>
            </w:pPr>
            <w:r w:rsidRPr="00EF4AEA">
              <w:rPr>
                <w:rFonts w:cs="Arial"/>
                <w:color w:val="000000" w:themeColor="text1"/>
                <w:sz w:val="20"/>
                <w:lang w:val="en-GB"/>
              </w:rPr>
              <w:t>Prepared by:</w:t>
            </w:r>
          </w:p>
          <w:p w:rsidR="00810BEE" w:rsidRPr="00EF4AEA" w:rsidRDefault="00810BEE" w:rsidP="00810BEE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EF4AEA">
              <w:rPr>
                <w:rFonts w:cs="Arial"/>
                <w:b/>
                <w:color w:val="000000" w:themeColor="text1"/>
                <w:sz w:val="20"/>
                <w:lang w:val="en-GB"/>
              </w:rPr>
              <w:t>Trade and Services Department</w:t>
            </w:r>
          </w:p>
          <w:p w:rsidR="00810BEE" w:rsidRPr="00EF4AEA" w:rsidRDefault="00810BEE" w:rsidP="00810BEE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EF4AEA">
              <w:rPr>
                <w:rFonts w:cs="Arial"/>
                <w:b/>
                <w:color w:val="000000" w:themeColor="text1"/>
                <w:sz w:val="20"/>
                <w:lang w:val="en-GB"/>
              </w:rPr>
              <w:t>Director Ewa Adach-Stankiewicz</w:t>
            </w:r>
          </w:p>
          <w:p w:rsidR="00810BEE" w:rsidRPr="00EF4AEA" w:rsidRDefault="00810BEE" w:rsidP="00810BEE">
            <w:pPr>
              <w:pStyle w:val="Nagwek3"/>
              <w:spacing w:before="0" w:line="240" w:lineRule="auto"/>
              <w:rPr>
                <w:rFonts w:ascii="Fira Sans" w:hAnsi="Fira Sans"/>
                <w:color w:val="000000" w:themeColor="text1"/>
                <w:lang w:val="en-GB"/>
              </w:rPr>
            </w:pPr>
            <w:r w:rsidRPr="00EF4AEA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Office: tel. (+48 22) 608 31 24</w:t>
            </w:r>
          </w:p>
        </w:tc>
        <w:tc>
          <w:tcPr>
            <w:tcW w:w="3927" w:type="dxa"/>
          </w:tcPr>
          <w:p w:rsidR="00810BEE" w:rsidRPr="00EF4AEA" w:rsidRDefault="00810BEE" w:rsidP="00810BEE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EF4AEA">
              <w:rPr>
                <w:rFonts w:cs="Arial"/>
                <w:color w:val="000000" w:themeColor="text1"/>
                <w:sz w:val="20"/>
                <w:lang w:val="en-GB"/>
              </w:rPr>
              <w:t>Issued by:</w:t>
            </w:r>
            <w:r w:rsidRPr="00EF4AEA">
              <w:rPr>
                <w:rFonts w:cs="Arial"/>
                <w:color w:val="000000" w:themeColor="text1"/>
                <w:sz w:val="20"/>
                <w:lang w:val="en-GB"/>
              </w:rPr>
              <w:br/>
            </w:r>
            <w:r w:rsidRPr="00EF4AEA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The Spokesperson for the President </w:t>
            </w:r>
          </w:p>
          <w:p w:rsidR="00810BEE" w:rsidRPr="00EF4AEA" w:rsidRDefault="00810BEE" w:rsidP="00810BEE">
            <w:pPr>
              <w:spacing w:before="0" w:after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EF4AEA">
              <w:rPr>
                <w:rFonts w:cs="Arial"/>
                <w:b/>
                <w:color w:val="000000" w:themeColor="text1"/>
                <w:sz w:val="20"/>
                <w:lang w:val="en-GB"/>
              </w:rPr>
              <w:t>of Statistics Poland</w:t>
            </w:r>
          </w:p>
          <w:p w:rsidR="00810BEE" w:rsidRPr="00EF4AEA" w:rsidRDefault="00810BEE" w:rsidP="00810BEE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</w:pPr>
            <w:r w:rsidRPr="00EF4AEA">
              <w:rPr>
                <w:rFonts w:ascii="Fira Sans" w:hAnsi="Fira Sans" w:cs="Arial"/>
                <w:b/>
                <w:color w:val="000000" w:themeColor="text1"/>
                <w:sz w:val="20"/>
                <w:szCs w:val="28"/>
                <w:lang w:val="en-GB"/>
              </w:rPr>
              <w:t>Karolina</w:t>
            </w:r>
            <w:r w:rsidRPr="00EF4AEA">
              <w:rPr>
                <w:rFonts w:ascii="Fira Sans" w:hAnsi="Fira Sans" w:cs="Arial"/>
                <w:b/>
                <w:color w:val="auto"/>
                <w:sz w:val="20"/>
                <w:szCs w:val="28"/>
                <w:lang w:val="en-GB"/>
              </w:rPr>
              <w:t xml:space="preserve"> Banaszek</w:t>
            </w:r>
          </w:p>
          <w:p w:rsidR="00810BEE" w:rsidRPr="00EF4AEA" w:rsidRDefault="00810BEE" w:rsidP="00810BEE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lang w:val="en-GB"/>
              </w:rPr>
            </w:pPr>
            <w:r w:rsidRPr="00EF4AEA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Mobile: (+48) 695 255 011</w:t>
            </w:r>
          </w:p>
          <w:p w:rsidR="00810BEE" w:rsidRPr="00EF4AEA" w:rsidRDefault="00810BEE" w:rsidP="00810BEE">
            <w:pPr>
              <w:pStyle w:val="Nagwek3"/>
              <w:spacing w:before="0" w:line="240" w:lineRule="auto"/>
              <w:rPr>
                <w:rFonts w:ascii="Fira Sans" w:hAnsi="Fira Sans" w:cs="Arial"/>
                <w:color w:val="000000" w:themeColor="text1"/>
                <w:sz w:val="20"/>
                <w:szCs w:val="20"/>
                <w:lang w:val="en-GB"/>
              </w:rPr>
            </w:pPr>
          </w:p>
        </w:tc>
      </w:tr>
    </w:tbl>
    <w:p w:rsidR="002665D6" w:rsidRPr="00EF4AEA" w:rsidRDefault="002665D6" w:rsidP="002665D6">
      <w:pPr>
        <w:rPr>
          <w:sz w:val="18"/>
          <w:lang w:val="en-GB"/>
        </w:rPr>
      </w:pPr>
    </w:p>
    <w:tbl>
      <w:tblPr>
        <w:tblStyle w:val="Tabela-Siatk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452"/>
        <w:gridCol w:w="604"/>
        <w:gridCol w:w="3125"/>
      </w:tblGrid>
      <w:tr w:rsidR="00810BEE" w:rsidRPr="00EF4AEA" w:rsidTr="00677F83">
        <w:trPr>
          <w:trHeight w:val="610"/>
        </w:trPr>
        <w:tc>
          <w:tcPr>
            <w:tcW w:w="2721" w:type="pct"/>
            <w:vMerge w:val="restart"/>
          </w:tcPr>
          <w:p w:rsidR="00810BEE" w:rsidRPr="00EF4AEA" w:rsidRDefault="00810BEE" w:rsidP="00677F83">
            <w:pPr>
              <w:spacing w:before="240"/>
              <w:rPr>
                <w:b/>
                <w:sz w:val="20"/>
                <w:lang w:val="en-GB"/>
              </w:rPr>
            </w:pPr>
            <w:r w:rsidRPr="00EF4AEA">
              <w:rPr>
                <w:b/>
                <w:sz w:val="20"/>
                <w:lang w:val="en-GB"/>
              </w:rPr>
              <w:t>Press Office</w:t>
            </w:r>
          </w:p>
          <w:p w:rsidR="00810BEE" w:rsidRPr="00EF4AEA" w:rsidRDefault="00810BEE" w:rsidP="00677F83">
            <w:pPr>
              <w:rPr>
                <w:sz w:val="20"/>
                <w:lang w:val="en-GB"/>
              </w:rPr>
            </w:pPr>
            <w:r w:rsidRPr="00EF4AEA">
              <w:rPr>
                <w:rFonts w:cs="Arial"/>
                <w:color w:val="000000" w:themeColor="text1"/>
                <w:sz w:val="20"/>
                <w:szCs w:val="24"/>
                <w:lang w:val="en-GB"/>
              </w:rPr>
              <w:t xml:space="preserve">Office: tel. (+48 22) </w:t>
            </w:r>
            <w:r w:rsidRPr="00EF4AEA">
              <w:rPr>
                <w:sz w:val="20"/>
                <w:lang w:val="en-GB"/>
              </w:rPr>
              <w:t xml:space="preserve">608 34 91, 608 38 04 </w:t>
            </w:r>
          </w:p>
          <w:p w:rsidR="00810BEE" w:rsidRPr="00EF4AEA" w:rsidRDefault="00810BEE" w:rsidP="00677F83">
            <w:pPr>
              <w:rPr>
                <w:sz w:val="18"/>
                <w:lang w:val="en-GB"/>
              </w:rPr>
            </w:pPr>
            <w:r w:rsidRPr="00EF4AEA">
              <w:rPr>
                <w:b/>
                <w:sz w:val="20"/>
                <w:lang w:val="en-GB"/>
              </w:rPr>
              <w:t>e-mail:</w:t>
            </w:r>
            <w:r w:rsidRPr="00EF4AEA">
              <w:rPr>
                <w:sz w:val="20"/>
                <w:lang w:val="en-GB"/>
              </w:rPr>
              <w:t xml:space="preserve"> </w:t>
            </w:r>
            <w:hyperlink r:id="rId23" w:history="1">
              <w:r w:rsidRPr="00EF4AEA">
                <w:rPr>
                  <w:rStyle w:val="Hipercze"/>
                  <w:rFonts w:cstheme="minorBidi"/>
                  <w:b/>
                  <w:color w:val="auto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:rsidR="00810BEE" w:rsidRPr="00EF4AEA" w:rsidRDefault="00810BEE" w:rsidP="00677F83">
            <w:pPr>
              <w:rPr>
                <w:sz w:val="18"/>
                <w:lang w:val="en-GB"/>
              </w:rPr>
            </w:pPr>
            <w:r w:rsidRPr="00EF4AEA"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668480" behindDoc="0" locked="0" layoutInCell="1" allowOverlap="1" wp14:anchorId="56ECF7AB" wp14:editId="5BE63F1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6540" cy="251460"/>
                  <wp:effectExtent l="0" t="0" r="0" b="0"/>
                  <wp:wrapNone/>
                  <wp:docPr id="21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  <w:vAlign w:val="center"/>
          </w:tcPr>
          <w:p w:rsidR="00810BEE" w:rsidRPr="00EF4AEA" w:rsidRDefault="00677F83" w:rsidP="00677F83">
            <w:pPr>
              <w:rPr>
                <w:color w:val="000000" w:themeColor="text1"/>
                <w:sz w:val="18"/>
                <w:lang w:val="en-GB"/>
              </w:rPr>
            </w:pPr>
            <w:hyperlink r:id="rId25" w:history="1">
              <w:r w:rsidR="00810BEE" w:rsidRPr="00EF4AEA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  <w:lang w:val="en-GB"/>
                </w:rPr>
                <w:t>www.stat.gov.pl/en/</w:t>
              </w:r>
            </w:hyperlink>
          </w:p>
        </w:tc>
      </w:tr>
      <w:tr w:rsidR="00810BEE" w:rsidRPr="00EF4AEA" w:rsidTr="00873CAB">
        <w:trPr>
          <w:trHeight w:val="436"/>
        </w:trPr>
        <w:tc>
          <w:tcPr>
            <w:tcW w:w="2721" w:type="pct"/>
            <w:vMerge/>
            <w:vAlign w:val="center"/>
          </w:tcPr>
          <w:p w:rsidR="00810BEE" w:rsidRPr="00EF4AEA" w:rsidRDefault="00810BEE" w:rsidP="00873CAB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:rsidR="00810BEE" w:rsidRPr="00EF4AEA" w:rsidRDefault="00810BEE" w:rsidP="00873CAB">
            <w:pPr>
              <w:rPr>
                <w:sz w:val="18"/>
                <w:lang w:val="en-GB"/>
              </w:rPr>
            </w:pPr>
            <w:r w:rsidRPr="00EF4AEA"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669504" behindDoc="0" locked="0" layoutInCell="1" allowOverlap="1" wp14:anchorId="2B0EA195" wp14:editId="6B599742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18415</wp:posOffset>
                  </wp:positionV>
                  <wp:extent cx="25654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810BEE" w:rsidRPr="00EF4AEA" w:rsidRDefault="00677F83" w:rsidP="00873CAB">
            <w:pPr>
              <w:rPr>
                <w:sz w:val="18"/>
                <w:lang w:val="en-GB"/>
              </w:rPr>
            </w:pPr>
            <w:hyperlink r:id="rId27" w:history="1">
              <w:r w:rsidR="00810BEE" w:rsidRPr="00EF4AEA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  <w:lang w:val="en-GB"/>
                </w:rPr>
                <w:t>@</w:t>
              </w:r>
              <w:proofErr w:type="spellStart"/>
              <w:r w:rsidR="00810BEE" w:rsidRPr="00EF4AEA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  <w:lang w:val="en-GB"/>
                </w:rPr>
                <w:t>StatPoland</w:t>
              </w:r>
              <w:proofErr w:type="spellEnd"/>
            </w:hyperlink>
          </w:p>
        </w:tc>
      </w:tr>
      <w:tr w:rsidR="00810BEE" w:rsidRPr="00EF4AEA" w:rsidTr="00873CAB">
        <w:trPr>
          <w:trHeight w:val="436"/>
        </w:trPr>
        <w:tc>
          <w:tcPr>
            <w:tcW w:w="2721" w:type="pct"/>
            <w:vMerge/>
            <w:vAlign w:val="center"/>
          </w:tcPr>
          <w:p w:rsidR="00810BEE" w:rsidRPr="00EF4AEA" w:rsidRDefault="00810BEE" w:rsidP="00873CAB">
            <w:pPr>
              <w:rPr>
                <w:sz w:val="18"/>
                <w:lang w:val="en-GB"/>
              </w:rPr>
            </w:pPr>
          </w:p>
        </w:tc>
        <w:tc>
          <w:tcPr>
            <w:tcW w:w="369" w:type="pct"/>
            <w:vAlign w:val="center"/>
          </w:tcPr>
          <w:p w:rsidR="00810BEE" w:rsidRPr="00EF4AEA" w:rsidRDefault="00810BEE" w:rsidP="00873CAB">
            <w:pPr>
              <w:rPr>
                <w:sz w:val="18"/>
                <w:lang w:val="en-GB"/>
              </w:rPr>
            </w:pPr>
            <w:r w:rsidRPr="00EF4AEA">
              <w:rPr>
                <w:noProof/>
                <w:sz w:val="20"/>
                <w:lang w:val="en-GB" w:eastAsia="en-GB"/>
              </w:rPr>
              <w:drawing>
                <wp:anchor distT="0" distB="0" distL="114300" distR="114300" simplePos="0" relativeHeight="251670528" behindDoc="0" locked="0" layoutInCell="1" allowOverlap="1" wp14:anchorId="670CBFC7" wp14:editId="6F26186C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15240</wp:posOffset>
                  </wp:positionV>
                  <wp:extent cx="256540" cy="251460"/>
                  <wp:effectExtent l="0" t="0" r="0" b="0"/>
                  <wp:wrapNone/>
                  <wp:docPr id="23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10" w:type="pct"/>
          </w:tcPr>
          <w:p w:rsidR="00810BEE" w:rsidRPr="00EF4AEA" w:rsidRDefault="00677F83" w:rsidP="00873CAB">
            <w:pPr>
              <w:rPr>
                <w:sz w:val="20"/>
                <w:lang w:val="en-GB"/>
              </w:rPr>
            </w:pPr>
            <w:hyperlink r:id="rId29" w:history="1">
              <w:r w:rsidR="00810BEE" w:rsidRPr="00EF4AEA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  <w:lang w:val="en-GB"/>
                </w:rPr>
                <w:t>@</w:t>
              </w:r>
              <w:proofErr w:type="spellStart"/>
              <w:r w:rsidR="00810BEE" w:rsidRPr="00EF4AEA">
                <w:rPr>
                  <w:rStyle w:val="Hipercze"/>
                  <w:rFonts w:cstheme="minorBidi"/>
                  <w:color w:val="000000" w:themeColor="text1"/>
                  <w:sz w:val="20"/>
                  <w:u w:val="none"/>
                  <w:lang w:val="en-GB"/>
                </w:rPr>
                <w:t>GlownyUrzadStatystyczny</w:t>
              </w:r>
              <w:proofErr w:type="spellEnd"/>
            </w:hyperlink>
          </w:p>
        </w:tc>
      </w:tr>
    </w:tbl>
    <w:p w:rsidR="002665D6" w:rsidRPr="00EF4AEA" w:rsidRDefault="002665D6" w:rsidP="002665D6">
      <w:pPr>
        <w:rPr>
          <w:sz w:val="18"/>
          <w:lang w:val="en-GB"/>
        </w:rPr>
      </w:pPr>
      <w:r w:rsidRPr="00EF4AEA">
        <w:rPr>
          <w:noProof/>
          <w:sz w:val="18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383CCFD" wp14:editId="125BD304">
                <wp:simplePos x="0" y="0"/>
                <wp:positionH relativeFrom="margin">
                  <wp:posOffset>19050</wp:posOffset>
                </wp:positionH>
                <wp:positionV relativeFrom="paragraph">
                  <wp:posOffset>440690</wp:posOffset>
                </wp:positionV>
                <wp:extent cx="6559550" cy="4443095"/>
                <wp:effectExtent l="0" t="0" r="12700" b="14605"/>
                <wp:wrapSquare wrapText="bothSides"/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4430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7F83" w:rsidRDefault="00677F83" w:rsidP="002665D6">
                            <w:pPr>
                              <w:rPr>
                                <w:b/>
                              </w:rPr>
                            </w:pPr>
                          </w:p>
                          <w:p w:rsidR="00677F83" w:rsidRPr="00941435" w:rsidRDefault="00677F83" w:rsidP="00810BEE">
                            <w:pPr>
                              <w:rPr>
                                <w:b/>
                                <w:lang w:val="en-GB"/>
                              </w:rPr>
                            </w:pPr>
                            <w:r w:rsidRPr="00941435">
                              <w:rPr>
                                <w:b/>
                                <w:lang w:val="en-GB"/>
                              </w:rPr>
                              <w:t>Related information</w:t>
                            </w:r>
                          </w:p>
                          <w:p w:rsidR="00677F83" w:rsidRPr="00941435" w:rsidRDefault="00677F83" w:rsidP="00810BE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r>
                              <w:fldChar w:fldCharType="begin"/>
                            </w:r>
                            <w:r w:rsidRPr="00677F83">
                              <w:rPr>
                                <w:lang w:val="en-GB"/>
                              </w:rPr>
                              <w:instrText xml:space="preserve"> HYPERLINK "http://stat.gov.pl/en/latest-statistical-news/communications-and-announcements/" </w:instrText>
                            </w:r>
                            <w:r>
                              <w:fldChar w:fldCharType="separate"/>
                            </w:r>
                            <w:r w:rsidRPr="00941435"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t>Communications and Announcements</w:t>
                            </w:r>
                            <w: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  <w:fldChar w:fldCharType="end"/>
                            </w:r>
                          </w:p>
                          <w:p w:rsidR="00677F83" w:rsidRPr="00941435" w:rsidRDefault="00677F83" w:rsidP="00810BE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0" w:history="1">
                              <w:r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News releases</w:t>
                              </w:r>
                            </w:hyperlink>
                          </w:p>
                          <w:p w:rsidR="00677F83" w:rsidRPr="00941435" w:rsidRDefault="00677F83" w:rsidP="00810BEE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</w:p>
                          <w:p w:rsidR="00677F83" w:rsidRPr="00941435" w:rsidRDefault="00677F83" w:rsidP="00810BEE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  <w:r w:rsidRPr="00941435"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  <w:t>Data available in databases</w:t>
                            </w:r>
                          </w:p>
                          <w:p w:rsidR="00677F83" w:rsidRPr="00941435" w:rsidRDefault="00677F83" w:rsidP="00810BE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1" w:history="1">
                              <w:r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Knowledge Database Prices</w:t>
                              </w:r>
                            </w:hyperlink>
                          </w:p>
                          <w:p w:rsidR="00677F83" w:rsidRPr="00941435" w:rsidRDefault="00677F83" w:rsidP="00810BE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2" w:history="1">
                              <w:r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Macroeconomic Data Bank</w:t>
                              </w:r>
                            </w:hyperlink>
                          </w:p>
                          <w:p w:rsidR="00677F83" w:rsidRPr="00941435" w:rsidRDefault="00677F83" w:rsidP="00810BE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3" w:history="1">
                              <w:r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Local Data Bank</w:t>
                              </w:r>
                            </w:hyperlink>
                          </w:p>
                          <w:p w:rsidR="00677F83" w:rsidRPr="00941435" w:rsidRDefault="00677F83" w:rsidP="00810BE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4" w:history="1">
                              <w:r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Price indices (Topics: Prices, Trade)</w:t>
                              </w:r>
                            </w:hyperlink>
                          </w:p>
                          <w:p w:rsidR="00677F83" w:rsidRPr="00941435" w:rsidRDefault="00677F83" w:rsidP="00810BE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5" w:history="1">
                              <w:r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Prices (Topics: Prices, Trade)</w:t>
                              </w:r>
                            </w:hyperlink>
                          </w:p>
                          <w:p w:rsidR="00677F83" w:rsidRPr="00941435" w:rsidRDefault="00677F83" w:rsidP="00810BEE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</w:p>
                          <w:p w:rsidR="00677F83" w:rsidRPr="00941435" w:rsidRDefault="00677F83" w:rsidP="00810BEE">
                            <w:pPr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</w:pPr>
                            <w:r w:rsidRPr="00941435">
                              <w:rPr>
                                <w:b/>
                                <w:color w:val="000000" w:themeColor="text1"/>
                                <w:szCs w:val="24"/>
                                <w:lang w:val="en-GB"/>
                              </w:rPr>
                              <w:t>Terms used in official statistics</w:t>
                            </w:r>
                          </w:p>
                          <w:p w:rsidR="00677F83" w:rsidRPr="00941435" w:rsidRDefault="00677F83" w:rsidP="00810BE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  <w:lang w:val="en-GB"/>
                              </w:rPr>
                            </w:pPr>
                            <w:hyperlink r:id="rId36" w:history="1">
                              <w:r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Price index of consumer goods and services</w:t>
                              </w:r>
                            </w:hyperlink>
                          </w:p>
                          <w:p w:rsidR="00677F83" w:rsidRPr="00566A43" w:rsidRDefault="00677F83" w:rsidP="00810BEE">
                            <w:pPr>
                              <w:rPr>
                                <w:rStyle w:val="Hipercze"/>
                                <w:rFonts w:cs="Arial"/>
                                <w:color w:val="001D77"/>
                                <w:sz w:val="18"/>
                                <w:szCs w:val="30"/>
                                <w:shd w:val="clear" w:color="auto" w:fill="F0F0F0"/>
                              </w:rPr>
                            </w:pPr>
                            <w:hyperlink r:id="rId37" w:history="1">
                              <w:r w:rsidRPr="00941435">
                                <w:rPr>
                                  <w:rStyle w:val="Hipercze"/>
                                  <w:rFonts w:cs="Arial"/>
                                  <w:color w:val="001D77"/>
                                  <w:sz w:val="18"/>
                                  <w:szCs w:val="30"/>
                                  <w:shd w:val="clear" w:color="auto" w:fill="F0F0F0"/>
                                  <w:lang w:val="en-GB"/>
                                </w:rPr>
                                <w:t>Retail price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.5pt;margin-top:34.7pt;width:516.5pt;height:349.8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" fillcolor="#f2f2f2 [3052]" strokecolor="white [3212]">
                <v:textbox>
                  <w:txbxContent>
                    <w:p w:rsidR="00677F83" w:rsidRDefault="00677F83" w:rsidP="002665D6">
                      <w:pPr>
                        <w:rPr>
                          <w:b/>
                        </w:rPr>
                      </w:pPr>
                    </w:p>
                    <w:p w:rsidR="00677F83" w:rsidRPr="00941435" w:rsidRDefault="00677F83" w:rsidP="00810BEE">
                      <w:pPr>
                        <w:rPr>
                          <w:b/>
                          <w:lang w:val="en-GB"/>
                        </w:rPr>
                      </w:pPr>
                      <w:r w:rsidRPr="00941435">
                        <w:rPr>
                          <w:b/>
                          <w:lang w:val="en-GB"/>
                        </w:rPr>
                        <w:t>Related information</w:t>
                      </w:r>
                    </w:p>
                    <w:p w:rsidR="00677F83" w:rsidRPr="00941435" w:rsidRDefault="00677F83" w:rsidP="00810BE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r>
                        <w:fldChar w:fldCharType="begin"/>
                      </w:r>
                      <w:r w:rsidRPr="00677F83">
                        <w:rPr>
                          <w:lang w:val="en-GB"/>
                        </w:rPr>
                        <w:instrText xml:space="preserve"> HYPERLINK "http://stat.gov.pl/en/latest-statistical-news/communications-and-announcements/" </w:instrText>
                      </w:r>
                      <w:r>
                        <w:fldChar w:fldCharType="separate"/>
                      </w:r>
                      <w:r w:rsidRPr="00941435"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t>Communications and Announcements</w:t>
                      </w:r>
                      <w: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  <w:fldChar w:fldCharType="end"/>
                      </w:r>
                    </w:p>
                    <w:p w:rsidR="00677F83" w:rsidRPr="00941435" w:rsidRDefault="00677F83" w:rsidP="00810BE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8" w:history="1">
                        <w:r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News releases</w:t>
                        </w:r>
                      </w:hyperlink>
                    </w:p>
                    <w:p w:rsidR="00677F83" w:rsidRPr="00941435" w:rsidRDefault="00677F83" w:rsidP="00810BEE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</w:p>
                    <w:p w:rsidR="00677F83" w:rsidRPr="00941435" w:rsidRDefault="00677F83" w:rsidP="00810BEE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  <w:r w:rsidRPr="00941435"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  <w:t>Data available in databases</w:t>
                      </w:r>
                    </w:p>
                    <w:p w:rsidR="00677F83" w:rsidRPr="00941435" w:rsidRDefault="00677F83" w:rsidP="00810BE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39" w:history="1">
                        <w:r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Knowledge Database Prices</w:t>
                        </w:r>
                      </w:hyperlink>
                    </w:p>
                    <w:p w:rsidR="00677F83" w:rsidRPr="00941435" w:rsidRDefault="00677F83" w:rsidP="00810BE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40" w:history="1">
                        <w:r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Macroeconomic Data Bank</w:t>
                        </w:r>
                      </w:hyperlink>
                    </w:p>
                    <w:p w:rsidR="00677F83" w:rsidRPr="00941435" w:rsidRDefault="00677F83" w:rsidP="00810BE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41" w:history="1">
                        <w:r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Local Data Bank</w:t>
                        </w:r>
                      </w:hyperlink>
                    </w:p>
                    <w:p w:rsidR="00677F83" w:rsidRPr="00941435" w:rsidRDefault="00677F83" w:rsidP="00810BE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42" w:history="1">
                        <w:r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Price indices (Topics: Prices, Trade)</w:t>
                        </w:r>
                      </w:hyperlink>
                    </w:p>
                    <w:p w:rsidR="00677F83" w:rsidRPr="00941435" w:rsidRDefault="00677F83" w:rsidP="00810BE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43" w:history="1">
                        <w:r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Prices (Topics: Prices, Trade)</w:t>
                        </w:r>
                      </w:hyperlink>
                    </w:p>
                    <w:p w:rsidR="00677F83" w:rsidRPr="00941435" w:rsidRDefault="00677F83" w:rsidP="00810BEE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</w:p>
                    <w:p w:rsidR="00677F83" w:rsidRPr="00941435" w:rsidRDefault="00677F83" w:rsidP="00810BEE">
                      <w:pPr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</w:pPr>
                      <w:r w:rsidRPr="00941435">
                        <w:rPr>
                          <w:b/>
                          <w:color w:val="000000" w:themeColor="text1"/>
                          <w:szCs w:val="24"/>
                          <w:lang w:val="en-GB"/>
                        </w:rPr>
                        <w:t>Terms used in official statistics</w:t>
                      </w:r>
                    </w:p>
                    <w:p w:rsidR="00677F83" w:rsidRPr="00941435" w:rsidRDefault="00677F83" w:rsidP="00810BE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  <w:lang w:val="en-GB"/>
                        </w:rPr>
                      </w:pPr>
                      <w:hyperlink r:id="rId44" w:history="1">
                        <w:r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Price index of consumer goods and services</w:t>
                        </w:r>
                      </w:hyperlink>
                    </w:p>
                    <w:p w:rsidR="00677F83" w:rsidRPr="00566A43" w:rsidRDefault="00677F83" w:rsidP="00810BEE">
                      <w:pPr>
                        <w:rPr>
                          <w:rStyle w:val="Hipercze"/>
                          <w:rFonts w:cs="Arial"/>
                          <w:color w:val="001D77"/>
                          <w:sz w:val="18"/>
                          <w:szCs w:val="30"/>
                          <w:shd w:val="clear" w:color="auto" w:fill="F0F0F0"/>
                        </w:rPr>
                      </w:pPr>
                      <w:hyperlink r:id="rId45" w:history="1">
                        <w:r w:rsidRPr="00941435">
                          <w:rPr>
                            <w:rStyle w:val="Hipercze"/>
                            <w:rFonts w:cs="Arial"/>
                            <w:color w:val="001D77"/>
                            <w:sz w:val="18"/>
                            <w:szCs w:val="30"/>
                            <w:shd w:val="clear" w:color="auto" w:fill="F0F0F0"/>
                            <w:lang w:val="en-GB"/>
                          </w:rPr>
                          <w:t>Retail price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D261A2" w:rsidRPr="00EF4AEA" w:rsidRDefault="00D261A2" w:rsidP="002665D6">
      <w:pPr>
        <w:pStyle w:val="tytuwykresu"/>
        <w:rPr>
          <w:lang w:val="en-GB"/>
        </w:rPr>
      </w:pPr>
    </w:p>
    <w:sectPr w:rsidR="00D261A2" w:rsidRPr="00EF4AEA" w:rsidSect="002665D6">
      <w:headerReference w:type="default" r:id="rId46"/>
      <w:footerReference w:type="default" r:id="rId47"/>
      <w:headerReference w:type="first" r:id="rId48"/>
      <w:pgSz w:w="11906" w:h="16838"/>
      <w:pgMar w:top="720" w:right="3119" w:bottom="720" w:left="720" w:header="284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F83" w:rsidRDefault="00677F83" w:rsidP="000662E2">
      <w:pPr>
        <w:spacing w:after="0" w:line="240" w:lineRule="auto"/>
      </w:pPr>
      <w:r>
        <w:separator/>
      </w:r>
    </w:p>
  </w:endnote>
  <w:endnote w:type="continuationSeparator" w:id="0">
    <w:p w:rsidR="00677F83" w:rsidRDefault="00677F83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8913465"/>
      <w:docPartObj>
        <w:docPartGallery w:val="Page Numbers (Bottom of Page)"/>
        <w:docPartUnique/>
      </w:docPartObj>
    </w:sdtPr>
    <w:sdtContent>
      <w:p w:rsidR="00677F83" w:rsidRDefault="00677F83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0082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6957311"/>
      <w:docPartObj>
        <w:docPartGallery w:val="Page Numbers (Bottom of Page)"/>
        <w:docPartUnique/>
      </w:docPartObj>
    </w:sdtPr>
    <w:sdtContent>
      <w:p w:rsidR="00677F83" w:rsidRDefault="00677F83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008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5636839"/>
      <w:docPartObj>
        <w:docPartGallery w:val="Page Numbers (Bottom of Page)"/>
        <w:docPartUnique/>
      </w:docPartObj>
    </w:sdtPr>
    <w:sdtContent>
      <w:p w:rsidR="00677F83" w:rsidRDefault="00677F83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F83" w:rsidRDefault="00677F83" w:rsidP="000662E2">
      <w:pPr>
        <w:spacing w:after="0" w:line="240" w:lineRule="auto"/>
      </w:pPr>
      <w:r>
        <w:separator/>
      </w:r>
    </w:p>
  </w:footnote>
  <w:footnote w:type="continuationSeparator" w:id="0">
    <w:p w:rsidR="00677F83" w:rsidRDefault="00677F83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F83" w:rsidRDefault="00677F83">
    <w:pPr>
      <w:pStyle w:val="Nagwek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7FC019B" wp14:editId="09D65401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Prostokąt 24" o:spid="_x0000_s1026" style="position:absolute;margin-left:410.6pt;margin-top:-14.05pt;width:147.6pt;height:1785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" fillcolor="#f2f2f2 [3052]" stroked="f" strokeweight="1pt">
              <v:path arrowok="t"/>
            </v:rect>
          </w:pict>
        </mc:Fallback>
      </mc:AlternateContent>
    </w:r>
  </w:p>
  <w:p w:rsidR="00677F83" w:rsidRDefault="00677F8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F83" w:rsidRDefault="00677F83" w:rsidP="00DE775D">
    <w:pPr>
      <w:pStyle w:val="Nagwek"/>
      <w:tabs>
        <w:tab w:val="clear" w:pos="4536"/>
        <w:tab w:val="clear" w:pos="9072"/>
        <w:tab w:val="right" w:pos="8067"/>
      </w:tabs>
      <w:rPr>
        <w:noProof/>
        <w:lang w:eastAsia="pl-PL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7E6162C8" wp14:editId="79178A3D">
              <wp:simplePos x="0" y="0"/>
              <wp:positionH relativeFrom="column">
                <wp:posOffset>5206365</wp:posOffset>
              </wp:positionH>
              <wp:positionV relativeFrom="paragraph">
                <wp:posOffset>495935</wp:posOffset>
              </wp:positionV>
              <wp:extent cx="1871980" cy="10015855"/>
              <wp:effectExtent l="0" t="0" r="0" b="0"/>
              <wp:wrapTight wrapText="bothSides">
                <wp:wrapPolygon edited="0">
                  <wp:start x="-110" y="0"/>
                  <wp:lineTo x="-110" y="21590"/>
                  <wp:lineTo x="21600" y="21590"/>
                  <wp:lineTo x="21600" y="0"/>
                  <wp:lineTo x="-110" y="0"/>
                </wp:wrapPolygon>
              </wp:wrapTight>
              <wp:docPr id="11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871980" cy="1001585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Prostokąt 10" o:spid="_x0000_s1026" style="position:absolute;margin-left:409.95pt;margin-top:39.05pt;width:147.4pt;height:788.6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" fillcolor="#f2f2f2" stroked="f" strokeweight="1pt">
              <v:path arrowok="t"/>
              <w10:wrap type="tight"/>
            </v:rect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71F4278" wp14:editId="2545B642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677F83" w:rsidRPr="003C6C8D" w:rsidRDefault="00677F83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 w:rsidRPr="00BF0097"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Schemat blokowy: opóźnienie 6" o:spid="_x0000_s1030" style="position:absolute;margin-left:396.6pt;margin-top:15.65pt;width:162.25pt;height:28.1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677F83" w:rsidRPr="003C6C8D" w:rsidRDefault="00677F83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 w:rsidRPr="00BF0097"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GB" w:eastAsia="en-GB"/>
      </w:rPr>
      <w:drawing>
        <wp:inline distT="0" distB="0" distL="0" distR="0" wp14:anchorId="7E6DD272" wp14:editId="562F62C3">
          <wp:extent cx="1865630" cy="709295"/>
          <wp:effectExtent l="0" t="0" r="0" b="0"/>
          <wp:docPr id="16" name="Obraz 16" descr="logog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ab/>
    </w:r>
  </w:p>
  <w:p w:rsidR="00677F83" w:rsidRDefault="00677F83">
    <w:pPr>
      <w:pStyle w:val="Nagwek"/>
      <w:rPr>
        <w:noProof/>
        <w:lang w:eastAsia="pl-PL"/>
      </w:rPr>
    </w:pPr>
    <w:r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2ECBCB6" wp14:editId="7F108534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560" cy="336550"/>
              <wp:effectExtent l="0" t="0" r="0" b="6350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560" cy="336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77F83" w:rsidRPr="00C97596" w:rsidRDefault="00677F83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15.07.2021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411pt;margin-top:20.95pt;width:112.8pt;height:26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" filled="f" stroked="f">
              <v:textbox>
                <w:txbxContent>
                  <w:p w:rsidR="00677F83" w:rsidRPr="00C97596" w:rsidRDefault="00677F83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15.07.2021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F83" w:rsidRDefault="00677F83">
    <w:pPr>
      <w:pStyle w:val="Nagwek"/>
    </w:pPr>
  </w:p>
  <w:p w:rsidR="00677F83" w:rsidRDefault="00677F83">
    <w:pPr>
      <w:pStyle w:val="Nagwek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F83" w:rsidRDefault="00677F83" w:rsidP="00DE775D">
    <w:pPr>
      <w:pStyle w:val="Nagwek"/>
      <w:tabs>
        <w:tab w:val="clear" w:pos="4536"/>
        <w:tab w:val="clear" w:pos="9072"/>
        <w:tab w:val="right" w:pos="8067"/>
      </w:tabs>
      <w:rPr>
        <w:noProof/>
        <w:lang w:eastAsia="pl-PL"/>
      </w:rPr>
    </w:pPr>
    <w:r>
      <w:rPr>
        <w:noProof/>
        <w:lang w:eastAsia="pl-PL"/>
      </w:rPr>
      <w:tab/>
    </w:r>
  </w:p>
  <w:p w:rsidR="00677F83" w:rsidRDefault="00677F83">
    <w:pPr>
      <w:pStyle w:val="Nagwek"/>
      <w:rPr>
        <w:noProof/>
        <w:lang w:eastAsia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3.35pt;height:124.6pt;visibility:visible" o:bullet="t">
        <v:imagedata r:id="rId1" o:title=""/>
      </v:shape>
    </w:pict>
  </w:numPicBullet>
  <w:numPicBullet w:numPicBulletId="1">
    <w:pict>
      <v:shape id="_x0000_i1031" type="#_x0000_t75" style="width:123.95pt;height:124.6pt;visibility:visible" o:bullet="t">
        <v:imagedata r:id="rId2" o:title=""/>
      </v:shape>
    </w:pict>
  </w:numPicBullet>
  <w:abstractNum w:abstractNumId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4DC846C9"/>
    <w:multiLevelType w:val="hybridMultilevel"/>
    <w:tmpl w:val="4FE0BD8A"/>
    <w:lvl w:ilvl="0" w:tplc="DE24A690">
      <w:numFmt w:val="bullet"/>
      <w:lvlText w:val="•"/>
      <w:lvlJc w:val="left"/>
      <w:pPr>
        <w:ind w:left="1065" w:hanging="705"/>
      </w:pPr>
      <w:rPr>
        <w:rFonts w:ascii="Fira Sans" w:eastAsiaTheme="minorHAnsi" w:hAnsi="Fira San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7C5B7F"/>
    <w:multiLevelType w:val="hybridMultilevel"/>
    <w:tmpl w:val="D1F098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D87"/>
    <w:rsid w:val="0000194D"/>
    <w:rsid w:val="00001C5B"/>
    <w:rsid w:val="00003437"/>
    <w:rsid w:val="00003D67"/>
    <w:rsid w:val="00005375"/>
    <w:rsid w:val="0000709F"/>
    <w:rsid w:val="000108B8"/>
    <w:rsid w:val="000152F5"/>
    <w:rsid w:val="0002205C"/>
    <w:rsid w:val="000220AE"/>
    <w:rsid w:val="00026F71"/>
    <w:rsid w:val="00034160"/>
    <w:rsid w:val="0004015D"/>
    <w:rsid w:val="0004582E"/>
    <w:rsid w:val="0004646A"/>
    <w:rsid w:val="000470AA"/>
    <w:rsid w:val="00051683"/>
    <w:rsid w:val="000539AA"/>
    <w:rsid w:val="000544D6"/>
    <w:rsid w:val="00054BBC"/>
    <w:rsid w:val="00057CA1"/>
    <w:rsid w:val="0006297B"/>
    <w:rsid w:val="000662E2"/>
    <w:rsid w:val="00066883"/>
    <w:rsid w:val="00066C18"/>
    <w:rsid w:val="00073B8F"/>
    <w:rsid w:val="00074DD8"/>
    <w:rsid w:val="000769B6"/>
    <w:rsid w:val="000800B4"/>
    <w:rsid w:val="000806F7"/>
    <w:rsid w:val="0008391F"/>
    <w:rsid w:val="0008725B"/>
    <w:rsid w:val="00095882"/>
    <w:rsid w:val="00096E96"/>
    <w:rsid w:val="00097840"/>
    <w:rsid w:val="000A057E"/>
    <w:rsid w:val="000A4BF7"/>
    <w:rsid w:val="000A6963"/>
    <w:rsid w:val="000A7F1A"/>
    <w:rsid w:val="000B0727"/>
    <w:rsid w:val="000B1008"/>
    <w:rsid w:val="000B6497"/>
    <w:rsid w:val="000B703D"/>
    <w:rsid w:val="000C135D"/>
    <w:rsid w:val="000C1ADF"/>
    <w:rsid w:val="000D0E2A"/>
    <w:rsid w:val="000D1D43"/>
    <w:rsid w:val="000D1E25"/>
    <w:rsid w:val="000D225C"/>
    <w:rsid w:val="000D2A5C"/>
    <w:rsid w:val="000D4904"/>
    <w:rsid w:val="000E0918"/>
    <w:rsid w:val="000F0AF2"/>
    <w:rsid w:val="000F0DF8"/>
    <w:rsid w:val="001011C3"/>
    <w:rsid w:val="00110D87"/>
    <w:rsid w:val="001149A1"/>
    <w:rsid w:val="00114DB9"/>
    <w:rsid w:val="00116087"/>
    <w:rsid w:val="001179CF"/>
    <w:rsid w:val="00130296"/>
    <w:rsid w:val="001317AE"/>
    <w:rsid w:val="00132297"/>
    <w:rsid w:val="001335DA"/>
    <w:rsid w:val="00135B65"/>
    <w:rsid w:val="00142037"/>
    <w:rsid w:val="001423B6"/>
    <w:rsid w:val="00143383"/>
    <w:rsid w:val="001448A7"/>
    <w:rsid w:val="00146621"/>
    <w:rsid w:val="001539C9"/>
    <w:rsid w:val="001600F9"/>
    <w:rsid w:val="00162325"/>
    <w:rsid w:val="00164CEA"/>
    <w:rsid w:val="001660CA"/>
    <w:rsid w:val="00167979"/>
    <w:rsid w:val="00170D13"/>
    <w:rsid w:val="00171569"/>
    <w:rsid w:val="0018030E"/>
    <w:rsid w:val="001951DA"/>
    <w:rsid w:val="001A4B7F"/>
    <w:rsid w:val="001A78D0"/>
    <w:rsid w:val="001B0E45"/>
    <w:rsid w:val="001B3CA7"/>
    <w:rsid w:val="001C3269"/>
    <w:rsid w:val="001D1DB4"/>
    <w:rsid w:val="001D236A"/>
    <w:rsid w:val="001D5C9E"/>
    <w:rsid w:val="001D6191"/>
    <w:rsid w:val="001D669C"/>
    <w:rsid w:val="001D69E9"/>
    <w:rsid w:val="001E1D94"/>
    <w:rsid w:val="001E764C"/>
    <w:rsid w:val="001E7DBB"/>
    <w:rsid w:val="001F25B6"/>
    <w:rsid w:val="001F284F"/>
    <w:rsid w:val="001F376D"/>
    <w:rsid w:val="001F60D1"/>
    <w:rsid w:val="001F6571"/>
    <w:rsid w:val="001F6707"/>
    <w:rsid w:val="0020009D"/>
    <w:rsid w:val="00201740"/>
    <w:rsid w:val="002069C0"/>
    <w:rsid w:val="00206F09"/>
    <w:rsid w:val="00212472"/>
    <w:rsid w:val="002133F1"/>
    <w:rsid w:val="002147B5"/>
    <w:rsid w:val="00220482"/>
    <w:rsid w:val="0022272D"/>
    <w:rsid w:val="0022312E"/>
    <w:rsid w:val="00236165"/>
    <w:rsid w:val="00236F0E"/>
    <w:rsid w:val="002412BC"/>
    <w:rsid w:val="00247B43"/>
    <w:rsid w:val="0025425A"/>
    <w:rsid w:val="002574F9"/>
    <w:rsid w:val="00260F39"/>
    <w:rsid w:val="00262B61"/>
    <w:rsid w:val="0026302B"/>
    <w:rsid w:val="00263388"/>
    <w:rsid w:val="002665D6"/>
    <w:rsid w:val="00266D74"/>
    <w:rsid w:val="002724FF"/>
    <w:rsid w:val="00275491"/>
    <w:rsid w:val="00275755"/>
    <w:rsid w:val="00275FA6"/>
    <w:rsid w:val="00276811"/>
    <w:rsid w:val="00276C9A"/>
    <w:rsid w:val="0028002E"/>
    <w:rsid w:val="00282699"/>
    <w:rsid w:val="00284859"/>
    <w:rsid w:val="00284F52"/>
    <w:rsid w:val="00286FC8"/>
    <w:rsid w:val="00290CB6"/>
    <w:rsid w:val="00292361"/>
    <w:rsid w:val="002926DF"/>
    <w:rsid w:val="00292DBF"/>
    <w:rsid w:val="00296697"/>
    <w:rsid w:val="002A191B"/>
    <w:rsid w:val="002A2C38"/>
    <w:rsid w:val="002A36C0"/>
    <w:rsid w:val="002A4D80"/>
    <w:rsid w:val="002A607D"/>
    <w:rsid w:val="002A7E9B"/>
    <w:rsid w:val="002B0472"/>
    <w:rsid w:val="002B6B12"/>
    <w:rsid w:val="002C4289"/>
    <w:rsid w:val="002C4659"/>
    <w:rsid w:val="002C78D1"/>
    <w:rsid w:val="002D0020"/>
    <w:rsid w:val="002D0170"/>
    <w:rsid w:val="002D24A5"/>
    <w:rsid w:val="002E6140"/>
    <w:rsid w:val="002E6985"/>
    <w:rsid w:val="002E71B6"/>
    <w:rsid w:val="002F77C8"/>
    <w:rsid w:val="003012B5"/>
    <w:rsid w:val="00304F22"/>
    <w:rsid w:val="00305162"/>
    <w:rsid w:val="003061E1"/>
    <w:rsid w:val="00306C7C"/>
    <w:rsid w:val="00311E43"/>
    <w:rsid w:val="00317B04"/>
    <w:rsid w:val="00322EDD"/>
    <w:rsid w:val="00327D10"/>
    <w:rsid w:val="00331616"/>
    <w:rsid w:val="00332320"/>
    <w:rsid w:val="00347517"/>
    <w:rsid w:val="00347D72"/>
    <w:rsid w:val="00350088"/>
    <w:rsid w:val="00350757"/>
    <w:rsid w:val="00356585"/>
    <w:rsid w:val="00357611"/>
    <w:rsid w:val="0036186D"/>
    <w:rsid w:val="00363B51"/>
    <w:rsid w:val="00367237"/>
    <w:rsid w:val="00367ACC"/>
    <w:rsid w:val="0037077F"/>
    <w:rsid w:val="00370D51"/>
    <w:rsid w:val="00372411"/>
    <w:rsid w:val="00372E66"/>
    <w:rsid w:val="00373882"/>
    <w:rsid w:val="003751B5"/>
    <w:rsid w:val="003843DB"/>
    <w:rsid w:val="00384BFA"/>
    <w:rsid w:val="003901AC"/>
    <w:rsid w:val="00392E81"/>
    <w:rsid w:val="00393761"/>
    <w:rsid w:val="00393E03"/>
    <w:rsid w:val="00394B48"/>
    <w:rsid w:val="003967E0"/>
    <w:rsid w:val="00397D18"/>
    <w:rsid w:val="003A0271"/>
    <w:rsid w:val="003A1B36"/>
    <w:rsid w:val="003A3114"/>
    <w:rsid w:val="003A3927"/>
    <w:rsid w:val="003A440F"/>
    <w:rsid w:val="003A4977"/>
    <w:rsid w:val="003B1454"/>
    <w:rsid w:val="003B18B6"/>
    <w:rsid w:val="003B4C47"/>
    <w:rsid w:val="003C59E0"/>
    <w:rsid w:val="003C6C8D"/>
    <w:rsid w:val="003D00E5"/>
    <w:rsid w:val="003D2A24"/>
    <w:rsid w:val="003D3B24"/>
    <w:rsid w:val="003D4F95"/>
    <w:rsid w:val="003D5F42"/>
    <w:rsid w:val="003D60A9"/>
    <w:rsid w:val="003F1D09"/>
    <w:rsid w:val="003F4C97"/>
    <w:rsid w:val="003F7FE6"/>
    <w:rsid w:val="00400193"/>
    <w:rsid w:val="00407024"/>
    <w:rsid w:val="00415454"/>
    <w:rsid w:val="004212E7"/>
    <w:rsid w:val="0042446D"/>
    <w:rsid w:val="00427BF8"/>
    <w:rsid w:val="00430B36"/>
    <w:rsid w:val="00431C02"/>
    <w:rsid w:val="00432D34"/>
    <w:rsid w:val="00432F85"/>
    <w:rsid w:val="00437395"/>
    <w:rsid w:val="00445047"/>
    <w:rsid w:val="00445F90"/>
    <w:rsid w:val="00450616"/>
    <w:rsid w:val="00454E14"/>
    <w:rsid w:val="004566AB"/>
    <w:rsid w:val="00456C2F"/>
    <w:rsid w:val="0045762F"/>
    <w:rsid w:val="00457C6C"/>
    <w:rsid w:val="004601AC"/>
    <w:rsid w:val="00463E39"/>
    <w:rsid w:val="0046537F"/>
    <w:rsid w:val="004657FC"/>
    <w:rsid w:val="00466AF9"/>
    <w:rsid w:val="00466E2D"/>
    <w:rsid w:val="004733F6"/>
    <w:rsid w:val="00474E69"/>
    <w:rsid w:val="00477F80"/>
    <w:rsid w:val="004826AB"/>
    <w:rsid w:val="00491B74"/>
    <w:rsid w:val="00493217"/>
    <w:rsid w:val="004957AB"/>
    <w:rsid w:val="0049621B"/>
    <w:rsid w:val="0049705B"/>
    <w:rsid w:val="004B2EAB"/>
    <w:rsid w:val="004B71F3"/>
    <w:rsid w:val="004B7F2D"/>
    <w:rsid w:val="004C1895"/>
    <w:rsid w:val="004C4610"/>
    <w:rsid w:val="004C6D40"/>
    <w:rsid w:val="004D1FE5"/>
    <w:rsid w:val="004E1649"/>
    <w:rsid w:val="004F0C3C"/>
    <w:rsid w:val="004F63FC"/>
    <w:rsid w:val="00501F76"/>
    <w:rsid w:val="00502E6F"/>
    <w:rsid w:val="00502F8C"/>
    <w:rsid w:val="00505A92"/>
    <w:rsid w:val="005112CE"/>
    <w:rsid w:val="00511F19"/>
    <w:rsid w:val="00514030"/>
    <w:rsid w:val="0051646A"/>
    <w:rsid w:val="00516A50"/>
    <w:rsid w:val="005203F1"/>
    <w:rsid w:val="0052058B"/>
    <w:rsid w:val="00521BC3"/>
    <w:rsid w:val="00526A58"/>
    <w:rsid w:val="00533632"/>
    <w:rsid w:val="0053648F"/>
    <w:rsid w:val="00541C0F"/>
    <w:rsid w:val="00541E6E"/>
    <w:rsid w:val="0054251F"/>
    <w:rsid w:val="005432E5"/>
    <w:rsid w:val="00550653"/>
    <w:rsid w:val="005520D8"/>
    <w:rsid w:val="00556CF1"/>
    <w:rsid w:val="00562A3A"/>
    <w:rsid w:val="00564C34"/>
    <w:rsid w:val="00564DC8"/>
    <w:rsid w:val="00566A43"/>
    <w:rsid w:val="00571BA5"/>
    <w:rsid w:val="005762A7"/>
    <w:rsid w:val="0058253E"/>
    <w:rsid w:val="0058676C"/>
    <w:rsid w:val="005877DE"/>
    <w:rsid w:val="005916D7"/>
    <w:rsid w:val="00593CF4"/>
    <w:rsid w:val="005A047A"/>
    <w:rsid w:val="005A2784"/>
    <w:rsid w:val="005A698C"/>
    <w:rsid w:val="005C1AF8"/>
    <w:rsid w:val="005C5EF8"/>
    <w:rsid w:val="005D1BCF"/>
    <w:rsid w:val="005D1C04"/>
    <w:rsid w:val="005D42BD"/>
    <w:rsid w:val="005D470D"/>
    <w:rsid w:val="005E0799"/>
    <w:rsid w:val="005E1673"/>
    <w:rsid w:val="005E2757"/>
    <w:rsid w:val="005E782A"/>
    <w:rsid w:val="005E7E4E"/>
    <w:rsid w:val="005F3B2F"/>
    <w:rsid w:val="005F4399"/>
    <w:rsid w:val="005F5A80"/>
    <w:rsid w:val="006014EF"/>
    <w:rsid w:val="006044FF"/>
    <w:rsid w:val="00607CC5"/>
    <w:rsid w:val="00612A16"/>
    <w:rsid w:val="006149F0"/>
    <w:rsid w:val="00615A26"/>
    <w:rsid w:val="00631DAD"/>
    <w:rsid w:val="00631E52"/>
    <w:rsid w:val="00633014"/>
    <w:rsid w:val="0063437B"/>
    <w:rsid w:val="006476FF"/>
    <w:rsid w:val="006639B9"/>
    <w:rsid w:val="0066542B"/>
    <w:rsid w:val="0066616C"/>
    <w:rsid w:val="006673CA"/>
    <w:rsid w:val="0066767D"/>
    <w:rsid w:val="006715EE"/>
    <w:rsid w:val="00673C26"/>
    <w:rsid w:val="0067430E"/>
    <w:rsid w:val="00674A8B"/>
    <w:rsid w:val="00676DA0"/>
    <w:rsid w:val="00677F83"/>
    <w:rsid w:val="00680082"/>
    <w:rsid w:val="006812AF"/>
    <w:rsid w:val="00682B23"/>
    <w:rsid w:val="0068327D"/>
    <w:rsid w:val="00683EDE"/>
    <w:rsid w:val="00685123"/>
    <w:rsid w:val="006900F6"/>
    <w:rsid w:val="0069057B"/>
    <w:rsid w:val="00691225"/>
    <w:rsid w:val="00694AF0"/>
    <w:rsid w:val="0069687E"/>
    <w:rsid w:val="0069693F"/>
    <w:rsid w:val="0069739D"/>
    <w:rsid w:val="006A4686"/>
    <w:rsid w:val="006B0E9E"/>
    <w:rsid w:val="006B208D"/>
    <w:rsid w:val="006B20B4"/>
    <w:rsid w:val="006B5AE4"/>
    <w:rsid w:val="006B7686"/>
    <w:rsid w:val="006C1539"/>
    <w:rsid w:val="006D086E"/>
    <w:rsid w:val="006D1507"/>
    <w:rsid w:val="006D37E6"/>
    <w:rsid w:val="006D4054"/>
    <w:rsid w:val="006D6B72"/>
    <w:rsid w:val="006E02EC"/>
    <w:rsid w:val="006E0402"/>
    <w:rsid w:val="006E1EEE"/>
    <w:rsid w:val="006F16F6"/>
    <w:rsid w:val="00701C5E"/>
    <w:rsid w:val="007034D7"/>
    <w:rsid w:val="007059D5"/>
    <w:rsid w:val="00713088"/>
    <w:rsid w:val="007162EB"/>
    <w:rsid w:val="007211B1"/>
    <w:rsid w:val="0072400B"/>
    <w:rsid w:val="00724688"/>
    <w:rsid w:val="007324DB"/>
    <w:rsid w:val="00733D55"/>
    <w:rsid w:val="007364D7"/>
    <w:rsid w:val="00742DEB"/>
    <w:rsid w:val="0074378D"/>
    <w:rsid w:val="00746187"/>
    <w:rsid w:val="00751D7D"/>
    <w:rsid w:val="00752A67"/>
    <w:rsid w:val="00753184"/>
    <w:rsid w:val="00757197"/>
    <w:rsid w:val="00761070"/>
    <w:rsid w:val="0076254F"/>
    <w:rsid w:val="007801F5"/>
    <w:rsid w:val="00783B68"/>
    <w:rsid w:val="00783CA4"/>
    <w:rsid w:val="007842FB"/>
    <w:rsid w:val="00785941"/>
    <w:rsid w:val="00786124"/>
    <w:rsid w:val="0078756B"/>
    <w:rsid w:val="00792E24"/>
    <w:rsid w:val="0079514B"/>
    <w:rsid w:val="007A2DC1"/>
    <w:rsid w:val="007B2CB7"/>
    <w:rsid w:val="007B4A2D"/>
    <w:rsid w:val="007B74D8"/>
    <w:rsid w:val="007B7591"/>
    <w:rsid w:val="007C161B"/>
    <w:rsid w:val="007C2994"/>
    <w:rsid w:val="007D3319"/>
    <w:rsid w:val="007D335D"/>
    <w:rsid w:val="007D3588"/>
    <w:rsid w:val="007E1C44"/>
    <w:rsid w:val="007E3314"/>
    <w:rsid w:val="007E4B03"/>
    <w:rsid w:val="007F324B"/>
    <w:rsid w:val="007F4D36"/>
    <w:rsid w:val="00802927"/>
    <w:rsid w:val="00802A9A"/>
    <w:rsid w:val="0080551D"/>
    <w:rsid w:val="0080553C"/>
    <w:rsid w:val="00805B46"/>
    <w:rsid w:val="00810BEE"/>
    <w:rsid w:val="0081296E"/>
    <w:rsid w:val="008153B3"/>
    <w:rsid w:val="0081777E"/>
    <w:rsid w:val="00820461"/>
    <w:rsid w:val="00820B10"/>
    <w:rsid w:val="0082498D"/>
    <w:rsid w:val="00825DC2"/>
    <w:rsid w:val="00831172"/>
    <w:rsid w:val="0083118F"/>
    <w:rsid w:val="00834AD3"/>
    <w:rsid w:val="008362A4"/>
    <w:rsid w:val="008378E7"/>
    <w:rsid w:val="0083798B"/>
    <w:rsid w:val="00843795"/>
    <w:rsid w:val="0084421C"/>
    <w:rsid w:val="00847F0F"/>
    <w:rsid w:val="00852448"/>
    <w:rsid w:val="00854143"/>
    <w:rsid w:val="00873CAB"/>
    <w:rsid w:val="00874A1E"/>
    <w:rsid w:val="0088258A"/>
    <w:rsid w:val="008832C4"/>
    <w:rsid w:val="00883763"/>
    <w:rsid w:val="008850FF"/>
    <w:rsid w:val="00886332"/>
    <w:rsid w:val="00886A10"/>
    <w:rsid w:val="00891A48"/>
    <w:rsid w:val="00897D11"/>
    <w:rsid w:val="008A26D9"/>
    <w:rsid w:val="008A78B9"/>
    <w:rsid w:val="008A7DC6"/>
    <w:rsid w:val="008A7FA1"/>
    <w:rsid w:val="008B0AF7"/>
    <w:rsid w:val="008B22DF"/>
    <w:rsid w:val="008B4AE0"/>
    <w:rsid w:val="008C0C29"/>
    <w:rsid w:val="008C7A01"/>
    <w:rsid w:val="008D368B"/>
    <w:rsid w:val="008D5126"/>
    <w:rsid w:val="008E3072"/>
    <w:rsid w:val="008E402B"/>
    <w:rsid w:val="008E5CBF"/>
    <w:rsid w:val="008F07F6"/>
    <w:rsid w:val="008F3638"/>
    <w:rsid w:val="008F4441"/>
    <w:rsid w:val="008F6F31"/>
    <w:rsid w:val="008F74DF"/>
    <w:rsid w:val="009011AC"/>
    <w:rsid w:val="0090232D"/>
    <w:rsid w:val="00905229"/>
    <w:rsid w:val="009127BA"/>
    <w:rsid w:val="00916782"/>
    <w:rsid w:val="00917264"/>
    <w:rsid w:val="00917CCF"/>
    <w:rsid w:val="00922059"/>
    <w:rsid w:val="009227A6"/>
    <w:rsid w:val="00930ED9"/>
    <w:rsid w:val="00933B26"/>
    <w:rsid w:val="00933EC1"/>
    <w:rsid w:val="00934246"/>
    <w:rsid w:val="00942DCA"/>
    <w:rsid w:val="0094377F"/>
    <w:rsid w:val="009530DB"/>
    <w:rsid w:val="00953676"/>
    <w:rsid w:val="00953726"/>
    <w:rsid w:val="009555D4"/>
    <w:rsid w:val="009630F7"/>
    <w:rsid w:val="00964D8C"/>
    <w:rsid w:val="009661AB"/>
    <w:rsid w:val="009705EE"/>
    <w:rsid w:val="00971217"/>
    <w:rsid w:val="00971602"/>
    <w:rsid w:val="00977927"/>
    <w:rsid w:val="0098135C"/>
    <w:rsid w:val="0098156A"/>
    <w:rsid w:val="00984363"/>
    <w:rsid w:val="00990133"/>
    <w:rsid w:val="00991BAC"/>
    <w:rsid w:val="009927CE"/>
    <w:rsid w:val="009963D7"/>
    <w:rsid w:val="009A1431"/>
    <w:rsid w:val="009A3154"/>
    <w:rsid w:val="009A6EA0"/>
    <w:rsid w:val="009B1399"/>
    <w:rsid w:val="009B2F2F"/>
    <w:rsid w:val="009B746F"/>
    <w:rsid w:val="009B76FA"/>
    <w:rsid w:val="009C1335"/>
    <w:rsid w:val="009C1AB2"/>
    <w:rsid w:val="009C2037"/>
    <w:rsid w:val="009C375D"/>
    <w:rsid w:val="009C5407"/>
    <w:rsid w:val="009C7251"/>
    <w:rsid w:val="009C7937"/>
    <w:rsid w:val="009E1FE1"/>
    <w:rsid w:val="009E2E91"/>
    <w:rsid w:val="009E3BF4"/>
    <w:rsid w:val="009E3F12"/>
    <w:rsid w:val="009E3FA7"/>
    <w:rsid w:val="009E410D"/>
    <w:rsid w:val="009E79F7"/>
    <w:rsid w:val="009F0CD2"/>
    <w:rsid w:val="009F5815"/>
    <w:rsid w:val="009F5CBC"/>
    <w:rsid w:val="00A04E4F"/>
    <w:rsid w:val="00A07F00"/>
    <w:rsid w:val="00A12435"/>
    <w:rsid w:val="00A139F5"/>
    <w:rsid w:val="00A14D69"/>
    <w:rsid w:val="00A2136A"/>
    <w:rsid w:val="00A34A25"/>
    <w:rsid w:val="00A34C24"/>
    <w:rsid w:val="00A365F4"/>
    <w:rsid w:val="00A37CE0"/>
    <w:rsid w:val="00A459FF"/>
    <w:rsid w:val="00A460E6"/>
    <w:rsid w:val="00A466EE"/>
    <w:rsid w:val="00A46BD5"/>
    <w:rsid w:val="00A47937"/>
    <w:rsid w:val="00A47D80"/>
    <w:rsid w:val="00A51BB2"/>
    <w:rsid w:val="00A5224E"/>
    <w:rsid w:val="00A53132"/>
    <w:rsid w:val="00A55B73"/>
    <w:rsid w:val="00A563F2"/>
    <w:rsid w:val="00A566E8"/>
    <w:rsid w:val="00A62DE9"/>
    <w:rsid w:val="00A810F9"/>
    <w:rsid w:val="00A86ECC"/>
    <w:rsid w:val="00A86FCC"/>
    <w:rsid w:val="00A93892"/>
    <w:rsid w:val="00AA13BD"/>
    <w:rsid w:val="00AA451B"/>
    <w:rsid w:val="00AA710D"/>
    <w:rsid w:val="00AB6D25"/>
    <w:rsid w:val="00AC3E42"/>
    <w:rsid w:val="00AC5CBD"/>
    <w:rsid w:val="00AD0B46"/>
    <w:rsid w:val="00AD4947"/>
    <w:rsid w:val="00AE20FD"/>
    <w:rsid w:val="00AE25AA"/>
    <w:rsid w:val="00AE2D4B"/>
    <w:rsid w:val="00AE3075"/>
    <w:rsid w:val="00AE4D5B"/>
    <w:rsid w:val="00AE4F99"/>
    <w:rsid w:val="00AE6B84"/>
    <w:rsid w:val="00AE6BE7"/>
    <w:rsid w:val="00AE751C"/>
    <w:rsid w:val="00AF7617"/>
    <w:rsid w:val="00B05BC8"/>
    <w:rsid w:val="00B06265"/>
    <w:rsid w:val="00B11B69"/>
    <w:rsid w:val="00B14952"/>
    <w:rsid w:val="00B210CA"/>
    <w:rsid w:val="00B31E5A"/>
    <w:rsid w:val="00B322EC"/>
    <w:rsid w:val="00B32730"/>
    <w:rsid w:val="00B374EC"/>
    <w:rsid w:val="00B37F5A"/>
    <w:rsid w:val="00B40DD0"/>
    <w:rsid w:val="00B41E1A"/>
    <w:rsid w:val="00B5056F"/>
    <w:rsid w:val="00B50A80"/>
    <w:rsid w:val="00B609CE"/>
    <w:rsid w:val="00B63C9E"/>
    <w:rsid w:val="00B653AB"/>
    <w:rsid w:val="00B65F9E"/>
    <w:rsid w:val="00B66B19"/>
    <w:rsid w:val="00B701D7"/>
    <w:rsid w:val="00B70FDA"/>
    <w:rsid w:val="00B74022"/>
    <w:rsid w:val="00B853EC"/>
    <w:rsid w:val="00B86E2F"/>
    <w:rsid w:val="00B914E9"/>
    <w:rsid w:val="00B930E0"/>
    <w:rsid w:val="00B94737"/>
    <w:rsid w:val="00B94D9A"/>
    <w:rsid w:val="00B956EE"/>
    <w:rsid w:val="00B97152"/>
    <w:rsid w:val="00B97C47"/>
    <w:rsid w:val="00BA0B97"/>
    <w:rsid w:val="00BA1932"/>
    <w:rsid w:val="00BA2BA1"/>
    <w:rsid w:val="00BA3562"/>
    <w:rsid w:val="00BA5A42"/>
    <w:rsid w:val="00BB4773"/>
    <w:rsid w:val="00BB4F09"/>
    <w:rsid w:val="00BC1505"/>
    <w:rsid w:val="00BC17C7"/>
    <w:rsid w:val="00BC50F0"/>
    <w:rsid w:val="00BD0063"/>
    <w:rsid w:val="00BD4CA6"/>
    <w:rsid w:val="00BD4E33"/>
    <w:rsid w:val="00BD71BA"/>
    <w:rsid w:val="00BE4B65"/>
    <w:rsid w:val="00C00EDA"/>
    <w:rsid w:val="00C030DE"/>
    <w:rsid w:val="00C16244"/>
    <w:rsid w:val="00C20194"/>
    <w:rsid w:val="00C209F4"/>
    <w:rsid w:val="00C22105"/>
    <w:rsid w:val="00C23F3B"/>
    <w:rsid w:val="00C244B6"/>
    <w:rsid w:val="00C27D75"/>
    <w:rsid w:val="00C34B02"/>
    <w:rsid w:val="00C3702F"/>
    <w:rsid w:val="00C4500A"/>
    <w:rsid w:val="00C45479"/>
    <w:rsid w:val="00C46FA3"/>
    <w:rsid w:val="00C53D33"/>
    <w:rsid w:val="00C55C91"/>
    <w:rsid w:val="00C62E44"/>
    <w:rsid w:val="00C64A37"/>
    <w:rsid w:val="00C662A5"/>
    <w:rsid w:val="00C7158E"/>
    <w:rsid w:val="00C7250B"/>
    <w:rsid w:val="00C7346B"/>
    <w:rsid w:val="00C73B5E"/>
    <w:rsid w:val="00C77C0E"/>
    <w:rsid w:val="00C8000E"/>
    <w:rsid w:val="00C80C7E"/>
    <w:rsid w:val="00C83D7C"/>
    <w:rsid w:val="00C91687"/>
    <w:rsid w:val="00C924A8"/>
    <w:rsid w:val="00C93255"/>
    <w:rsid w:val="00C93809"/>
    <w:rsid w:val="00C945FE"/>
    <w:rsid w:val="00C950B4"/>
    <w:rsid w:val="00C96FAA"/>
    <w:rsid w:val="00C97A04"/>
    <w:rsid w:val="00CA107B"/>
    <w:rsid w:val="00CA484D"/>
    <w:rsid w:val="00CA4FB6"/>
    <w:rsid w:val="00CA5FC4"/>
    <w:rsid w:val="00CB565C"/>
    <w:rsid w:val="00CC739E"/>
    <w:rsid w:val="00CD1E2E"/>
    <w:rsid w:val="00CD2371"/>
    <w:rsid w:val="00CD32D0"/>
    <w:rsid w:val="00CD58B7"/>
    <w:rsid w:val="00CD7CB6"/>
    <w:rsid w:val="00CE019A"/>
    <w:rsid w:val="00CE52F0"/>
    <w:rsid w:val="00CF031B"/>
    <w:rsid w:val="00CF08EF"/>
    <w:rsid w:val="00CF4099"/>
    <w:rsid w:val="00CF4349"/>
    <w:rsid w:val="00CF4C96"/>
    <w:rsid w:val="00D00796"/>
    <w:rsid w:val="00D02D2C"/>
    <w:rsid w:val="00D03342"/>
    <w:rsid w:val="00D11CF3"/>
    <w:rsid w:val="00D20C21"/>
    <w:rsid w:val="00D23F61"/>
    <w:rsid w:val="00D261A2"/>
    <w:rsid w:val="00D329DC"/>
    <w:rsid w:val="00D3418B"/>
    <w:rsid w:val="00D372FB"/>
    <w:rsid w:val="00D37A41"/>
    <w:rsid w:val="00D43270"/>
    <w:rsid w:val="00D4654D"/>
    <w:rsid w:val="00D538E4"/>
    <w:rsid w:val="00D616D2"/>
    <w:rsid w:val="00D63B5F"/>
    <w:rsid w:val="00D7066F"/>
    <w:rsid w:val="00D70EF7"/>
    <w:rsid w:val="00D717E5"/>
    <w:rsid w:val="00D815F5"/>
    <w:rsid w:val="00D8397C"/>
    <w:rsid w:val="00D83F2F"/>
    <w:rsid w:val="00D84DE7"/>
    <w:rsid w:val="00D94EED"/>
    <w:rsid w:val="00D96026"/>
    <w:rsid w:val="00DA0243"/>
    <w:rsid w:val="00DA2264"/>
    <w:rsid w:val="00DA433C"/>
    <w:rsid w:val="00DA5DA2"/>
    <w:rsid w:val="00DA7C1C"/>
    <w:rsid w:val="00DB147A"/>
    <w:rsid w:val="00DB1B7A"/>
    <w:rsid w:val="00DB51F0"/>
    <w:rsid w:val="00DB5680"/>
    <w:rsid w:val="00DB61FF"/>
    <w:rsid w:val="00DB78DA"/>
    <w:rsid w:val="00DC1E90"/>
    <w:rsid w:val="00DC226C"/>
    <w:rsid w:val="00DC586E"/>
    <w:rsid w:val="00DC6708"/>
    <w:rsid w:val="00DC7CFA"/>
    <w:rsid w:val="00DD4A41"/>
    <w:rsid w:val="00DE0AFD"/>
    <w:rsid w:val="00DE1402"/>
    <w:rsid w:val="00DE56CF"/>
    <w:rsid w:val="00DE775D"/>
    <w:rsid w:val="00DF5C74"/>
    <w:rsid w:val="00DF712D"/>
    <w:rsid w:val="00E01436"/>
    <w:rsid w:val="00E02813"/>
    <w:rsid w:val="00E045BD"/>
    <w:rsid w:val="00E1583C"/>
    <w:rsid w:val="00E17A9F"/>
    <w:rsid w:val="00E17B77"/>
    <w:rsid w:val="00E17FF1"/>
    <w:rsid w:val="00E23337"/>
    <w:rsid w:val="00E23761"/>
    <w:rsid w:val="00E259EA"/>
    <w:rsid w:val="00E27E85"/>
    <w:rsid w:val="00E30793"/>
    <w:rsid w:val="00E32061"/>
    <w:rsid w:val="00E37F13"/>
    <w:rsid w:val="00E41FCF"/>
    <w:rsid w:val="00E42FF9"/>
    <w:rsid w:val="00E4714C"/>
    <w:rsid w:val="00E51AEB"/>
    <w:rsid w:val="00E522A7"/>
    <w:rsid w:val="00E53CAD"/>
    <w:rsid w:val="00E54452"/>
    <w:rsid w:val="00E616DF"/>
    <w:rsid w:val="00E62BB1"/>
    <w:rsid w:val="00E664C5"/>
    <w:rsid w:val="00E671A2"/>
    <w:rsid w:val="00E67C66"/>
    <w:rsid w:val="00E70563"/>
    <w:rsid w:val="00E76D26"/>
    <w:rsid w:val="00E9048F"/>
    <w:rsid w:val="00E93B5D"/>
    <w:rsid w:val="00E95BE5"/>
    <w:rsid w:val="00EA3356"/>
    <w:rsid w:val="00EB02C9"/>
    <w:rsid w:val="00EB0876"/>
    <w:rsid w:val="00EB0AF7"/>
    <w:rsid w:val="00EB1390"/>
    <w:rsid w:val="00EB2C71"/>
    <w:rsid w:val="00EB4340"/>
    <w:rsid w:val="00EB485C"/>
    <w:rsid w:val="00EB5222"/>
    <w:rsid w:val="00EB556D"/>
    <w:rsid w:val="00EB5A7D"/>
    <w:rsid w:val="00ED55C0"/>
    <w:rsid w:val="00ED63E8"/>
    <w:rsid w:val="00ED682B"/>
    <w:rsid w:val="00EE41D5"/>
    <w:rsid w:val="00EE5F48"/>
    <w:rsid w:val="00EE696D"/>
    <w:rsid w:val="00EF4AEA"/>
    <w:rsid w:val="00EF7B36"/>
    <w:rsid w:val="00F03391"/>
    <w:rsid w:val="00F037A4"/>
    <w:rsid w:val="00F04C11"/>
    <w:rsid w:val="00F0593C"/>
    <w:rsid w:val="00F06F36"/>
    <w:rsid w:val="00F07B22"/>
    <w:rsid w:val="00F12FEC"/>
    <w:rsid w:val="00F26013"/>
    <w:rsid w:val="00F27C8F"/>
    <w:rsid w:val="00F30A0C"/>
    <w:rsid w:val="00F32749"/>
    <w:rsid w:val="00F3314D"/>
    <w:rsid w:val="00F34A33"/>
    <w:rsid w:val="00F37172"/>
    <w:rsid w:val="00F4477E"/>
    <w:rsid w:val="00F455A2"/>
    <w:rsid w:val="00F45717"/>
    <w:rsid w:val="00F479EB"/>
    <w:rsid w:val="00F52335"/>
    <w:rsid w:val="00F52552"/>
    <w:rsid w:val="00F53334"/>
    <w:rsid w:val="00F61CC6"/>
    <w:rsid w:val="00F65EEC"/>
    <w:rsid w:val="00F6637E"/>
    <w:rsid w:val="00F67D8F"/>
    <w:rsid w:val="00F70C4A"/>
    <w:rsid w:val="00F739B3"/>
    <w:rsid w:val="00F74897"/>
    <w:rsid w:val="00F74B10"/>
    <w:rsid w:val="00F75C6D"/>
    <w:rsid w:val="00F80247"/>
    <w:rsid w:val="00F802BE"/>
    <w:rsid w:val="00F80D01"/>
    <w:rsid w:val="00F80E93"/>
    <w:rsid w:val="00F81895"/>
    <w:rsid w:val="00F823A8"/>
    <w:rsid w:val="00F86024"/>
    <w:rsid w:val="00F8611A"/>
    <w:rsid w:val="00F86C02"/>
    <w:rsid w:val="00F90A0D"/>
    <w:rsid w:val="00F90BB1"/>
    <w:rsid w:val="00F92824"/>
    <w:rsid w:val="00F92E85"/>
    <w:rsid w:val="00F93CA3"/>
    <w:rsid w:val="00FA4663"/>
    <w:rsid w:val="00FA5128"/>
    <w:rsid w:val="00FA714D"/>
    <w:rsid w:val="00FB42D4"/>
    <w:rsid w:val="00FB5906"/>
    <w:rsid w:val="00FB762F"/>
    <w:rsid w:val="00FC0106"/>
    <w:rsid w:val="00FC143D"/>
    <w:rsid w:val="00FC1A37"/>
    <w:rsid w:val="00FC2AED"/>
    <w:rsid w:val="00FC303F"/>
    <w:rsid w:val="00FC6885"/>
    <w:rsid w:val="00FD11D4"/>
    <w:rsid w:val="00FD5EA7"/>
    <w:rsid w:val="00FD6659"/>
    <w:rsid w:val="00FD725C"/>
    <w:rsid w:val="00FE21BA"/>
    <w:rsid w:val="00FF5DCD"/>
    <w:rsid w:val="00FF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/>
    <w:lsdException w:name="heading 4" w:uiPriority="9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1">
    <w:name w:val="Siatka tabeli — jasna11"/>
    <w:basedOn w:val="Standardowy"/>
    <w:uiPriority w:val="40"/>
    <w:rsid w:val="006851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30E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0ED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0ED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0E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0ED9"/>
    <w:rPr>
      <w:rFonts w:ascii="Fira Sans" w:hAnsi="Fira Sans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A55B7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styleId="UyteHipercze">
    <w:name w:val="FollowedHyperlink"/>
    <w:basedOn w:val="Domylnaczcionkaakapitu"/>
    <w:uiPriority w:val="99"/>
    <w:semiHidden/>
    <w:unhideWhenUsed/>
    <w:rsid w:val="004C4610"/>
    <w:rPr>
      <w:color w:val="954F72" w:themeColor="followedHyperlink"/>
      <w:u w:val="single"/>
    </w:rPr>
  </w:style>
  <w:style w:type="table" w:customStyle="1" w:styleId="Siatkatabelijasna111">
    <w:name w:val="Siatka tabeli — jasna111"/>
    <w:basedOn w:val="Standardowy"/>
    <w:uiPriority w:val="40"/>
    <w:rsid w:val="00260F3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/>
    <w:lsdException w:name="heading 4" w:uiPriority="9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Tabelasiatki1jasnaakcent11">
    <w:name w:val="Tabela siatki 1 — jasna — akcent 1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iatkatabelijasna1">
    <w:name w:val="Siatka tabeli — jasna1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table" w:customStyle="1" w:styleId="Siatkatabelijasna11">
    <w:name w:val="Siatka tabeli — jasna11"/>
    <w:basedOn w:val="Standardowy"/>
    <w:uiPriority w:val="40"/>
    <w:rsid w:val="0068512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30E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30ED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30ED9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0E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0ED9"/>
    <w:rPr>
      <w:rFonts w:ascii="Fira Sans" w:hAnsi="Fira Sans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A55B7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styleId="UyteHipercze">
    <w:name w:val="FollowedHyperlink"/>
    <w:basedOn w:val="Domylnaczcionkaakapitu"/>
    <w:uiPriority w:val="99"/>
    <w:semiHidden/>
    <w:unhideWhenUsed/>
    <w:rsid w:val="004C4610"/>
    <w:rPr>
      <w:color w:val="954F72" w:themeColor="followedHyperlink"/>
      <w:u w:val="single"/>
    </w:rPr>
  </w:style>
  <w:style w:type="table" w:customStyle="1" w:styleId="Siatkatabelijasna111">
    <w:name w:val="Siatka tabeli — jasna111"/>
    <w:basedOn w:val="Standardowy"/>
    <w:uiPriority w:val="40"/>
    <w:rsid w:val="00260F3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1.xml"/><Relationship Id="rId18" Type="http://schemas.openxmlformats.org/officeDocument/2006/relationships/hyperlink" Target="https://stat.gov.pl/obszary-tematyczne/ceny-handel/wskazniki-cen/wytyczne-dotyczace-opracowania-hicp-w-kontekscie-kryzysu-zwiazanego-z-covid-19,19,1.html" TargetMode="External"/><Relationship Id="rId26" Type="http://schemas.openxmlformats.org/officeDocument/2006/relationships/image" Target="media/image6.png"/><Relationship Id="rId39" Type="http://schemas.openxmlformats.org/officeDocument/2006/relationships/hyperlink" Target="http://swaid.stat.gov.pl/EN/SitePagesDBW/Ceny.aspx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34" Type="http://schemas.openxmlformats.org/officeDocument/2006/relationships/hyperlink" Target="http://stat.gov.pl/en/topics/prices-trade/price-indices/" TargetMode="External"/><Relationship Id="rId42" Type="http://schemas.openxmlformats.org/officeDocument/2006/relationships/hyperlink" Target="http://stat.gov.pl/en/topics/prices-trade/price-indices/" TargetMode="External"/><Relationship Id="rId47" Type="http://schemas.openxmlformats.org/officeDocument/2006/relationships/footer" Target="footer3.xml"/><Relationship Id="rId50" Type="http://schemas.openxmlformats.org/officeDocument/2006/relationships/theme" Target="theme/theme1.xml"/><Relationship Id="rId7" Type="http://schemas.microsoft.com/office/2007/relationships/stylesWithEffects" Target="stylesWithEffects.xml"/><Relationship Id="rId12" Type="http://schemas.openxmlformats.org/officeDocument/2006/relationships/image" Target="media/image3.emf"/><Relationship Id="rId17" Type="http://schemas.openxmlformats.org/officeDocument/2006/relationships/chart" Target="charts/chart5.xml"/><Relationship Id="rId25" Type="http://schemas.openxmlformats.org/officeDocument/2006/relationships/hyperlink" Target="https://stat.gov.pl/en/" TargetMode="External"/><Relationship Id="rId33" Type="http://schemas.openxmlformats.org/officeDocument/2006/relationships/hyperlink" Target="https://bdl.stat.gov.pl/BDL/start?lang=en" TargetMode="External"/><Relationship Id="rId38" Type="http://schemas.openxmlformats.org/officeDocument/2006/relationships/hyperlink" Target="http://stat.gov.pl/en/latest-statistical-news/news-releases/" TargetMode="External"/><Relationship Id="rId46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chart" Target="charts/chart4.xml"/><Relationship Id="rId20" Type="http://schemas.openxmlformats.org/officeDocument/2006/relationships/footer" Target="footer1.xml"/><Relationship Id="rId29" Type="http://schemas.openxmlformats.org/officeDocument/2006/relationships/hyperlink" Target="https://www.facebook.com/GlownyUrzadStatystyczny/" TargetMode="External"/><Relationship Id="rId41" Type="http://schemas.openxmlformats.org/officeDocument/2006/relationships/hyperlink" Target="https://bdl.stat.gov.pl/BDL/start?lang=en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image" Target="media/image5.png"/><Relationship Id="rId32" Type="http://schemas.openxmlformats.org/officeDocument/2006/relationships/hyperlink" Target="http://bdm.stat.gov.pl/" TargetMode="External"/><Relationship Id="rId37" Type="http://schemas.openxmlformats.org/officeDocument/2006/relationships/hyperlink" Target="http://stat.gov.pl/en/metainformations/glossary/terms-used-in-official-statistics/32,term.html" TargetMode="External"/><Relationship Id="rId40" Type="http://schemas.openxmlformats.org/officeDocument/2006/relationships/hyperlink" Target="http://bdm.stat.gov.pl/" TargetMode="External"/><Relationship Id="rId45" Type="http://schemas.openxmlformats.org/officeDocument/2006/relationships/hyperlink" Target="http://stat.gov.pl/en/metainformations/glossary/terms-used-in-official-statistics/32,term.html" TargetMode="External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23" Type="http://schemas.openxmlformats.org/officeDocument/2006/relationships/hyperlink" Target="mailto:obslugaprasowa@stat.gov.pl" TargetMode="External"/><Relationship Id="rId28" Type="http://schemas.openxmlformats.org/officeDocument/2006/relationships/image" Target="media/image7.png"/><Relationship Id="rId36" Type="http://schemas.openxmlformats.org/officeDocument/2006/relationships/hyperlink" Target="http://stat.gov.pl/en/metainformations/glossary/terms-used-in-official-statistics/711,term.html" TargetMode="External"/><Relationship Id="rId49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31" Type="http://schemas.openxmlformats.org/officeDocument/2006/relationships/hyperlink" Target="http://swaid.stat.gov.pl/EN/SitePagesDBW/Ceny.aspx" TargetMode="External"/><Relationship Id="rId44" Type="http://schemas.openxmlformats.org/officeDocument/2006/relationships/hyperlink" Target="http://stat.gov.pl/en/metainformations/glossary/terms-used-in-official-statistics/711,term.html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chart" Target="charts/chart2.xml"/><Relationship Id="rId22" Type="http://schemas.openxmlformats.org/officeDocument/2006/relationships/footer" Target="footer2.xml"/><Relationship Id="rId27" Type="http://schemas.openxmlformats.org/officeDocument/2006/relationships/hyperlink" Target="https://twitter.com/StatPoland" TargetMode="External"/><Relationship Id="rId30" Type="http://schemas.openxmlformats.org/officeDocument/2006/relationships/hyperlink" Target="http://stat.gov.pl/en/latest-statistical-news/news-releases/" TargetMode="External"/><Relationship Id="rId35" Type="http://schemas.openxmlformats.org/officeDocument/2006/relationships/hyperlink" Target="http://stat.gov.pl/en/topics/prices-trade/prices/" TargetMode="External"/><Relationship Id="rId43" Type="http://schemas.openxmlformats.org/officeDocument/2006/relationships/hyperlink" Target="http://stat.gov.pl/en/topics/prices-trade/prices/" TargetMode="External"/><Relationship Id="rId48" Type="http://schemas.openxmlformats.org/officeDocument/2006/relationships/header" Target="header4.xml"/><Relationship Id="rId8" Type="http://schemas.openxmlformats.org/officeDocument/2006/relationships/settings" Target="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NULL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NULL" TargetMode="Externa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chartUserShapes" Target="../drawings/drawing2.xml"/><Relationship Id="rId2" Type="http://schemas.openxmlformats.org/officeDocument/2006/relationships/oleObject" Target="NULL" TargetMode="External"/><Relationship Id="rId1" Type="http://schemas.openxmlformats.org/officeDocument/2006/relationships/themeOverride" Target="../theme/themeOverride1.xml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oleObject" Target="NULL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40573497194536257"/>
          <c:y val="5.3855356053736994E-2"/>
          <c:w val="0.52658061332077077"/>
          <c:h val="0.8302966557224627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334A92"/>
            </a:solidFill>
            <a:ln>
              <a:noFill/>
            </a:ln>
          </c:spPr>
          <c:invertIfNegative val="0"/>
          <c:dLbls>
            <c:dLbl>
              <c:idx val="0"/>
              <c:layout>
                <c:manualLayout>
                  <c:x val="-7.4279464360269484E-3"/>
                  <c:y val="9.1515413165415541E-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7.4383161526452015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7.4383161526452015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4.9547682090712985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4.9508571160382193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4.9588774350967924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4.9588774350967924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4.9588774350968982E-3"/>
                  <c:y val="-3.9935070083662775E-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4.9483864282716282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5.0098184276168717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6.9129952044939755E-3"/>
                  <c:y val="-3.4169516067158572E-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WPŁYWY!$A$46:$A$55</c:f>
              <c:strCache>
                <c:ptCount val="10"/>
                <c:pt idx="0">
                  <c:v>Fruit</c:v>
                </c:pt>
                <c:pt idx="1">
                  <c:v>Garments</c:v>
                </c:pt>
                <c:pt idx="2">
                  <c:v>Telephone and telefax services</c:v>
                </c:pt>
                <c:pt idx="3">
                  <c:v>Vegetables</c:v>
                </c:pt>
                <c:pt idx="4">
                  <c:v>Footwear</c:v>
                </c:pt>
                <c:pt idx="5">
                  <c:v>Package holidays</c:v>
                </c:pt>
                <c:pt idx="6">
                  <c:v>Bread and cereals</c:v>
                </c:pt>
                <c:pt idx="7">
                  <c:v>Catering services</c:v>
                </c:pt>
                <c:pt idx="8">
                  <c:v>Fuels for personal transport equipment</c:v>
                </c:pt>
                <c:pt idx="9">
                  <c:v>Meat</c:v>
                </c:pt>
              </c:strCache>
            </c:strRef>
          </c:cat>
          <c:val>
            <c:numRef>
              <c:f>WPŁYWY!$C$46:$C$55</c:f>
              <c:numCache>
                <c:formatCode>0.00</c:formatCode>
                <c:ptCount val="10"/>
                <c:pt idx="0">
                  <c:v>-0.08</c:v>
                </c:pt>
                <c:pt idx="1">
                  <c:v>-0.04</c:v>
                </c:pt>
                <c:pt idx="2">
                  <c:v>-0.04</c:v>
                </c:pt>
                <c:pt idx="3">
                  <c:v>-0.03</c:v>
                </c:pt>
                <c:pt idx="4">
                  <c:v>-0.02</c:v>
                </c:pt>
                <c:pt idx="5">
                  <c:v>0.02</c:v>
                </c:pt>
                <c:pt idx="6">
                  <c:v>0.02</c:v>
                </c:pt>
                <c:pt idx="7">
                  <c:v>0.04</c:v>
                </c:pt>
                <c:pt idx="8">
                  <c:v>0.05</c:v>
                </c:pt>
                <c:pt idx="9">
                  <c:v>0.09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92164480"/>
        <c:axId val="92166016"/>
      </c:barChart>
      <c:catAx>
        <c:axId val="92164480"/>
        <c:scaling>
          <c:orientation val="minMax"/>
        </c:scaling>
        <c:delete val="0"/>
        <c:axPos val="l"/>
        <c:numFmt formatCode="@" sourceLinked="0"/>
        <c:majorTickMark val="none"/>
        <c:minorTickMark val="none"/>
        <c:tickLblPos val="low"/>
        <c:spPr>
          <a:noFill/>
          <a:ln w="6350">
            <a:solidFill>
              <a:schemeClr val="bg1">
                <a:lumMod val="50000"/>
              </a:schemeClr>
            </a:solidFill>
          </a:ln>
        </c:spPr>
        <c:txPr>
          <a:bodyPr rot="0"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92166016"/>
        <c:crossesAt val="0"/>
        <c:auto val="1"/>
        <c:lblAlgn val="ctr"/>
        <c:lblOffset val="200"/>
        <c:tickMarkSkip val="1"/>
        <c:noMultiLvlLbl val="0"/>
      </c:catAx>
      <c:valAx>
        <c:axId val="92166016"/>
        <c:scaling>
          <c:orientation val="minMax"/>
          <c:max val="0.1"/>
          <c:min val="-0.1"/>
        </c:scaling>
        <c:delete val="0"/>
        <c:axPos val="b"/>
        <c:majorGridlines>
          <c:spPr>
            <a:ln w="3175">
              <a:solidFill>
                <a:srgbClr val="C0C0C0"/>
              </a:solidFill>
              <a:prstDash val="sysDot"/>
            </a:ln>
          </c:spPr>
        </c:majorGridlines>
        <c:numFmt formatCode="0.00" sourceLinked="1"/>
        <c:majorTickMark val="out"/>
        <c:minorTickMark val="none"/>
        <c:tickLblPos val="nextTo"/>
        <c:spPr>
          <a:ln w="6350"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92164480"/>
        <c:crosses val="autoZero"/>
        <c:crossBetween val="between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42863205691702072"/>
          <c:y val="0"/>
          <c:w val="0.50516191605646488"/>
          <c:h val="0.93763667732612443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rgbClr val="334A92"/>
            </a:solidFill>
          </c:spPr>
          <c:invertIfNegative val="0"/>
          <c:dLbls>
            <c:numFmt formatCode="#,##0.00" sourceLinked="0"/>
            <c:spPr>
              <a:noFill/>
              <a:ln>
                <a:noFill/>
              </a:ln>
            </c:sp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'SYSTEM WAG'!$B$24:$B$35</c:f>
              <c:strCache>
                <c:ptCount val="12"/>
                <c:pt idx="0">
                  <c:v>Miscellaneous goods and services</c:v>
                </c:pt>
                <c:pt idx="1">
                  <c:v>Restaurants and hotels</c:v>
                </c:pt>
                <c:pt idx="2">
                  <c:v>Education</c:v>
                </c:pt>
                <c:pt idx="3">
                  <c:v>Recreation and culture</c:v>
                </c:pt>
                <c:pt idx="4">
                  <c:v>Communiaction</c:v>
                </c:pt>
                <c:pt idx="5">
                  <c:v>Transport</c:v>
                </c:pt>
                <c:pt idx="6">
                  <c:v>Health</c:v>
                </c:pt>
                <c:pt idx="7">
                  <c:v>Furnishings, household equipment and routine household maintenance</c:v>
                </c:pt>
                <c:pt idx="8">
                  <c:v>Housing, water, electricity, gas and other fuels</c:v>
                </c:pt>
                <c:pt idx="9">
                  <c:v>Clothing and footwear</c:v>
                </c:pt>
                <c:pt idx="10">
                  <c:v>Alcoholic beverages and tobacco</c:v>
                </c:pt>
                <c:pt idx="11">
                  <c:v>Food and non-alcoholic beverages</c:v>
                </c:pt>
              </c:strCache>
            </c:strRef>
          </c:cat>
          <c:val>
            <c:numRef>
              <c:f>'SYSTEM WAG'!$I$24:$I$35</c:f>
              <c:numCache>
                <c:formatCode>0.00</c:formatCode>
                <c:ptCount val="12"/>
                <c:pt idx="0">
                  <c:v>5.51</c:v>
                </c:pt>
                <c:pt idx="1">
                  <c:v>4.5599999999999996</c:v>
                </c:pt>
                <c:pt idx="2">
                  <c:v>1.02</c:v>
                </c:pt>
                <c:pt idx="3">
                  <c:v>5.78</c:v>
                </c:pt>
                <c:pt idx="4">
                  <c:v>5</c:v>
                </c:pt>
                <c:pt idx="5">
                  <c:v>8.8800000000000008</c:v>
                </c:pt>
                <c:pt idx="6">
                  <c:v>5.39</c:v>
                </c:pt>
                <c:pt idx="7">
                  <c:v>5.83</c:v>
                </c:pt>
                <c:pt idx="8">
                  <c:v>19.14</c:v>
                </c:pt>
                <c:pt idx="9">
                  <c:v>4.21</c:v>
                </c:pt>
                <c:pt idx="10">
                  <c:v>6.91</c:v>
                </c:pt>
                <c:pt idx="11">
                  <c:v>27.77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92201344"/>
        <c:axId val="92204032"/>
      </c:barChart>
      <c:catAx>
        <c:axId val="9220134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ln>
            <a:solidFill>
              <a:schemeClr val="bg1">
                <a:lumMod val="50000"/>
              </a:schemeClr>
            </a:solidFill>
          </a:ln>
        </c:spPr>
        <c:txPr>
          <a:bodyPr rot="0" vert="horz"/>
          <a:lstStyle/>
          <a:p>
            <a:pPr algn="r">
              <a:defRPr sz="800"/>
            </a:pPr>
            <a:endParaRPr lang="en-US"/>
          </a:p>
        </c:txPr>
        <c:crossAx val="92204032"/>
        <c:crosses val="autoZero"/>
        <c:auto val="0"/>
        <c:lblAlgn val="ctr"/>
        <c:lblOffset val="100"/>
        <c:noMultiLvlLbl val="0"/>
      </c:catAx>
      <c:valAx>
        <c:axId val="92204032"/>
        <c:scaling>
          <c:orientation val="minMax"/>
        </c:scaling>
        <c:delete val="0"/>
        <c:axPos val="b"/>
        <c:majorGridlines>
          <c:spPr>
            <a:ln w="3175">
              <a:solidFill>
                <a:srgbClr val="B2B2B2"/>
              </a:solidFill>
              <a:prstDash val="sysDot"/>
            </a:ln>
          </c:spPr>
        </c:majorGridlines>
        <c:title>
          <c:tx>
            <c:rich>
              <a:bodyPr anchor="b" anchorCtr="1"/>
              <a:lstStyle/>
              <a:p>
                <a:pPr algn="r">
                  <a:defRPr/>
                </a:pPr>
                <a:r>
                  <a:rPr lang="pl-PL" b="0"/>
                  <a:t>%</a:t>
                </a:r>
              </a:p>
            </c:rich>
          </c:tx>
          <c:layout>
            <c:manualLayout>
              <c:xMode val="edge"/>
              <c:yMode val="edge"/>
              <c:x val="0.95812715179429186"/>
              <c:y val="0.94744569842647841"/>
            </c:manualLayout>
          </c:layout>
          <c:overlay val="0"/>
          <c:spPr>
            <a:noFill/>
            <a:ln>
              <a:noFill/>
            </a:ln>
          </c:spPr>
        </c:title>
        <c:numFmt formatCode="#,##0" sourceLinked="0"/>
        <c:majorTickMark val="out"/>
        <c:minorTickMark val="none"/>
        <c:tickLblPos val="nextTo"/>
        <c:spPr>
          <a:noFill/>
          <a:ln w="6350">
            <a:noFill/>
            <a:prstDash val="sysDot"/>
          </a:ln>
        </c:spPr>
        <c:crossAx val="92201344"/>
        <c:crosses val="autoZero"/>
        <c:crossBetween val="between"/>
      </c:valAx>
      <c:spPr>
        <a:noFill/>
        <a:ln w="25400">
          <a:noFill/>
        </a:ln>
      </c:spPr>
    </c:plotArea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00">
          <a:latin typeface="Fira Sans" pitchFamily="34" charset="0"/>
          <a:ea typeface="Fira Sans" pitchFamily="34" charset="0"/>
        </a:defRPr>
      </a:pPr>
      <a:endParaRPr lang="en-U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9187331061229512E-2"/>
          <c:y val="4.8511576626240394E-2"/>
          <c:w val="0.85896472395921109"/>
          <c:h val="0.81880214256569661"/>
        </c:manualLayout>
      </c:layout>
      <c:lineChart>
        <c:grouping val="standard"/>
        <c:varyColors val="0"/>
        <c:ser>
          <c:idx val="0"/>
          <c:order val="0"/>
          <c:spPr>
            <a:ln w="22225">
              <a:solidFill>
                <a:srgbClr val="001D77"/>
              </a:solidFill>
            </a:ln>
          </c:spPr>
          <c:marker>
            <c:symbol val="diamond"/>
            <c:size val="6"/>
            <c:spPr>
              <a:solidFill>
                <a:srgbClr val="001D77"/>
              </a:solidFill>
              <a:ln>
                <a:noFill/>
              </a:ln>
            </c:spPr>
          </c:marker>
          <c:dPt>
            <c:idx val="24"/>
            <c:bubble3D val="0"/>
          </c:dPt>
          <c:dPt>
            <c:idx val="25"/>
            <c:bubble3D val="0"/>
          </c:dPt>
          <c:dLbls>
            <c:dLbl>
              <c:idx val="0"/>
              <c:layout>
                <c:manualLayout>
                  <c:x val="-5.7773430980108523E-2"/>
                  <c:y val="-1.35427639172597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9.0496726356592751E-3"/>
                  <c:y val="-6.8960026234476451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1.2615621595355434E-2"/>
                  <c:y val="-1.59999040202081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5.9820018442960726E-2"/>
                  <c:y val="2.009867740573893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2.2328926164153794E-2"/>
                  <c:y val="3.008857407840312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1.7650070743307097E-2"/>
                  <c:y val="-3.189728417180528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5.2411726404863392E-2"/>
                  <c:y val="3.18394781607799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1.8334441174356775E-2"/>
                  <c:y val="1.845938618741726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1.7703347229318801E-2"/>
                  <c:y val="-2.4753697312456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2.8459118878433429E-2"/>
                  <c:y val="-3.497663582831105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6.2566556272321673E-4"/>
                  <c:y val="-3.443455718848352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8.7206635175138408E-2"/>
                  <c:y val="-3.653121760909248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1.8967134500526686E-2"/>
                  <c:y val="-2.43883040118876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3"/>
              <c:layout>
                <c:manualLayout>
                  <c:x val="-1.2715023361202775E-2"/>
                  <c:y val="8.85958919921951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4"/>
              <c:layout>
                <c:manualLayout>
                  <c:x val="-1.8314239016909383E-2"/>
                  <c:y val="-3.122215359020773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5"/>
              <c:layout>
                <c:manualLayout>
                  <c:x val="-1.0273601572693263E-2"/>
                  <c:y val="5.0749314962413366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6"/>
              <c:layout>
                <c:manualLayout>
                  <c:x val="-1.1032801515540902E-2"/>
                  <c:y val="-8.6735528325251332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7"/>
              <c:layout>
                <c:manualLayout>
                  <c:x val="-1.1023362332995482E-2"/>
                  <c:y val="1.2039816000741176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8"/>
              <c:layout>
                <c:manualLayout>
                  <c:x val="-3.9165316280444451E-2"/>
                  <c:y val="4.09453217926033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1.8852143131304185E-2"/>
                  <c:y val="2.567797827209178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3.2935119678364398E-2"/>
                  <c:y val="-4.45502952926702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5.0197574164179297E-2"/>
                  <c:y val="2.594017312309185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3.5099401505062335E-2"/>
                  <c:y val="2.796570543927135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9046740856278519E-2"/>
                      <c:h val="5.7987352364877884E-2"/>
                    </c:manualLayout>
                  </c15:layout>
                </c:ext>
              </c:extLst>
            </c:dLbl>
            <c:dLbl>
              <c:idx val="23"/>
              <c:layout>
                <c:manualLayout>
                  <c:x val="-2.0207080109406424E-2"/>
                  <c:y val="2.45814358293287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1.2706263649173445E-2"/>
                  <c:y val="-1.17930705636631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1.0805536778012678E-2"/>
                  <c:y val="3.5187216772928874E-3"/>
                </c:manualLayout>
              </c:layout>
              <c:tx>
                <c:rich>
                  <a:bodyPr anchor="t" anchorCtr="0"/>
                  <a:lstStyle/>
                  <a:p>
                    <a:pPr>
                      <a:defRPr sz="1000">
                        <a:latin typeface="Fira Sans" pitchFamily="34" charset="0"/>
                        <a:ea typeface="Fira Sans" pitchFamily="34" charset="0"/>
                      </a:defRPr>
                    </a:pPr>
                    <a:r>
                      <a:rPr lang="en-US" sz="800"/>
                      <a:t>0,5</a:t>
                    </a:r>
                  </a:p>
                </c:rich>
              </c:tx>
              <c:spPr/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layout>
                <c:manualLayout>
                  <c:x val="-8.6797997334896321E-3"/>
                  <c:y val="-7.4661943845300578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anchor="t" anchorCtr="0"/>
              <a:lstStyle/>
              <a:p>
                <a:pPr>
                  <a:defRPr sz="800">
                    <a:latin typeface="Fira Sans" pitchFamily="34" charset="0"/>
                    <a:ea typeface="Fira Sans" pitchFamily="34" charset="0"/>
                  </a:defRPr>
                </a:pPr>
                <a:endParaRPr lang="en-US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'M-1'!$B$50:$B$67</c:f>
              <c:strCache>
                <c:ptCount val="18"/>
                <c:pt idx="0">
                  <c:v>01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</c:strCache>
            </c:strRef>
          </c:cat>
          <c:val>
            <c:numRef>
              <c:f>'M-1'!$C$50:$C$67</c:f>
              <c:numCache>
                <c:formatCode>0.0</c:formatCode>
                <c:ptCount val="18"/>
                <c:pt idx="0">
                  <c:v>0.9</c:v>
                </c:pt>
                <c:pt idx="1">
                  <c:v>0.7</c:v>
                </c:pt>
                <c:pt idx="2">
                  <c:v>0.2</c:v>
                </c:pt>
                <c:pt idx="3">
                  <c:v>-0.1</c:v>
                </c:pt>
                <c:pt idx="4">
                  <c:v>-0.2</c:v>
                </c:pt>
                <c:pt idx="5">
                  <c:v>0.6</c:v>
                </c:pt>
                <c:pt idx="6">
                  <c:v>-0.2</c:v>
                </c:pt>
                <c:pt idx="7">
                  <c:v>-0.1</c:v>
                </c:pt>
                <c:pt idx="8">
                  <c:v>0.2</c:v>
                </c:pt>
                <c:pt idx="9">
                  <c:v>0.1</c:v>
                </c:pt>
                <c:pt idx="10">
                  <c:v>0.1</c:v>
                </c:pt>
                <c:pt idx="11">
                  <c:v>0.1</c:v>
                </c:pt>
                <c:pt idx="12">
                  <c:v>1.3</c:v>
                </c:pt>
                <c:pt idx="13">
                  <c:v>0.5</c:v>
                </c:pt>
                <c:pt idx="14">
                  <c:v>1</c:v>
                </c:pt>
                <c:pt idx="15">
                  <c:v>0.8</c:v>
                </c:pt>
                <c:pt idx="16">
                  <c:v>0.3</c:v>
                </c:pt>
                <c:pt idx="17">
                  <c:v>0.1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3225088"/>
        <c:axId val="113226880"/>
      </c:lineChart>
      <c:dateAx>
        <c:axId val="113225088"/>
        <c:scaling>
          <c:orientation val="minMax"/>
        </c:scaling>
        <c:delete val="0"/>
        <c:axPos val="b"/>
        <c:numFmt formatCode="[$-415]mmmmm;@" sourceLinked="0"/>
        <c:majorTickMark val="out"/>
        <c:minorTickMark val="none"/>
        <c:tickLblPos val="low"/>
        <c:spPr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113226880"/>
        <c:crossesAt val="0"/>
        <c:auto val="0"/>
        <c:lblOffset val="100"/>
        <c:baseTimeUnit val="days"/>
      </c:dateAx>
      <c:valAx>
        <c:axId val="113226880"/>
        <c:scaling>
          <c:orientation val="minMax"/>
          <c:max val="1.6"/>
          <c:min val="-0.60000000000000009"/>
        </c:scaling>
        <c:delete val="0"/>
        <c:axPos val="l"/>
        <c:majorGridlines>
          <c:spPr>
            <a:ln w="3175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113225088"/>
        <c:crossesAt val="1"/>
        <c:crossBetween val="between"/>
        <c:majorUnit val="0.2"/>
        <c:minorUnit val="0.1"/>
      </c:valAx>
      <c:spPr>
        <a:noFill/>
        <a:ln>
          <a:noFill/>
        </a:ln>
      </c:spPr>
    </c:plotArea>
    <c:plotVisOnly val="1"/>
    <c:dispBlanksAs val="gap"/>
    <c:showDLblsOverMax val="0"/>
  </c:chart>
  <c:spPr>
    <a:noFill/>
    <a:ln>
      <a:noFill/>
    </a:ln>
  </c:spPr>
  <c:externalData r:id="rId1">
    <c:autoUpdate val="0"/>
  </c:externalData>
  <c:userShapes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6.9187331061229512E-2"/>
          <c:y val="4.8511576626240394E-2"/>
          <c:w val="0.85896472395921109"/>
          <c:h val="0.81880214256569661"/>
        </c:manualLayout>
      </c:layout>
      <c:lineChart>
        <c:grouping val="standard"/>
        <c:varyColors val="0"/>
        <c:ser>
          <c:idx val="0"/>
          <c:order val="0"/>
          <c:spPr>
            <a:ln w="22225">
              <a:solidFill>
                <a:srgbClr val="001D77">
                  <a:alpha val="98000"/>
                </a:srgbClr>
              </a:solidFill>
            </a:ln>
          </c:spPr>
          <c:marker>
            <c:symbol val="diamond"/>
            <c:size val="6"/>
            <c:spPr>
              <a:solidFill>
                <a:srgbClr val="001D77"/>
              </a:solidFill>
              <a:ln>
                <a:noFill/>
              </a:ln>
            </c:spPr>
          </c:marker>
          <c:dPt>
            <c:idx val="15"/>
            <c:bubble3D val="0"/>
          </c:dPt>
          <c:dPt>
            <c:idx val="16"/>
            <c:bubble3D val="0"/>
          </c:dPt>
          <c:dPt>
            <c:idx val="17"/>
            <c:bubble3D val="0"/>
          </c:dPt>
          <c:dPt>
            <c:idx val="18"/>
            <c:bubble3D val="0"/>
          </c:dPt>
          <c:dPt>
            <c:idx val="20"/>
            <c:bubble3D val="0"/>
          </c:dPt>
          <c:dPt>
            <c:idx val="21"/>
            <c:bubble3D val="0"/>
          </c:dPt>
          <c:dPt>
            <c:idx val="22"/>
            <c:bubble3D val="0"/>
          </c:dPt>
          <c:dPt>
            <c:idx val="23"/>
            <c:bubble3D val="0"/>
          </c:dPt>
          <c:dPt>
            <c:idx val="26"/>
            <c:marker>
              <c:symbol val="diamond"/>
              <c:size val="8"/>
            </c:marker>
            <c:bubble3D val="0"/>
          </c:dPt>
          <c:dPt>
            <c:idx val="27"/>
            <c:marker>
              <c:symbol val="diamond"/>
              <c:size val="8"/>
              <c:spPr>
                <a:solidFill>
                  <a:srgbClr val="008542"/>
                </a:solidFill>
                <a:ln>
                  <a:noFill/>
                </a:ln>
              </c:spPr>
            </c:marker>
            <c:bubble3D val="0"/>
          </c:dPt>
          <c:dLbls>
            <c:dLbl>
              <c:idx val="0"/>
              <c:layout>
                <c:manualLayout>
                  <c:x val="-4.4709674259123193E-2"/>
                  <c:y val="-3.60325696185312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5.3934305802926796E-2"/>
                  <c:y val="-2.122461694541915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3.8524867270081947E-2"/>
                  <c:y val="-3.57341159069046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5.4555305647872365E-2"/>
                  <c:y val="3.197649841994983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5.4891419858659966E-2"/>
                  <c:y val="2.654362408439734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3.5033111844692162E-2"/>
                  <c:y val="4.11517571726813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-5.2319432465582509E-2"/>
                  <c:y val="2.6643019864684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5.2319236936664078E-2"/>
                  <c:y val="2.664301986468468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8"/>
              <c:layout>
                <c:manualLayout>
                  <c:x val="-3.0045951251121115E-2"/>
                  <c:y val="3.631563834559722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9"/>
              <c:layout>
                <c:manualLayout>
                  <c:x val="-3.2217104361409399E-2"/>
                  <c:y val="3.63160191723416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0"/>
              <c:layout>
                <c:manualLayout>
                  <c:x val="-4.4965980901126308E-2"/>
                  <c:y val="3.147913869176873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1"/>
              <c:layout>
                <c:manualLayout>
                  <c:x val="-3.0029917879809548E-2"/>
                  <c:y val="3.77087025765975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2"/>
              <c:layout>
                <c:manualLayout>
                  <c:x val="-3.5063027769212524E-2"/>
                  <c:y val="-4.10679752889142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3"/>
              <c:layout>
                <c:manualLayout>
                  <c:x val="-3.2011798997053968E-2"/>
                  <c:y val="3.147951951851313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4"/>
              <c:layout>
                <c:manualLayout>
                  <c:x val="-1.3020270678502945E-2"/>
                  <c:y val="1.223291668348651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5"/>
              <c:layout>
                <c:manualLayout>
                  <c:x val="-1.2402722542149086E-2"/>
                  <c:y val="8.275480784017698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6"/>
              <c:layout>
                <c:manualLayout>
                  <c:x val="-3.3981487659058944E-2"/>
                  <c:y val="-4.00894942674759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4.0148094031844953E-2"/>
                      <c:h val="6.2016597442832687E-2"/>
                    </c:manualLayout>
                  </c15:layout>
                </c:ext>
              </c:extLst>
            </c:dLbl>
            <c:dLbl>
              <c:idx val="17"/>
              <c:layout>
                <c:manualLayout>
                  <c:x val="-1.4544544587630983E-2"/>
                  <c:y val="8.4122033940360122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8"/>
              <c:layout>
                <c:manualLayout>
                  <c:x val="-6.1157905710803206E-2"/>
                  <c:y val="8.4757003650568156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9"/>
              <c:layout>
                <c:manualLayout>
                  <c:x val="-4.9847269164829781E-2"/>
                  <c:y val="2.807400066072018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0"/>
              <c:layout>
                <c:manualLayout>
                  <c:x val="-5.6818025961302962E-2"/>
                  <c:y val="-1.68720729124157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1"/>
              <c:layout>
                <c:manualLayout>
                  <c:x val="-2.5266323781533186E-2"/>
                  <c:y val="-3.61309003284168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2"/>
              <c:layout>
                <c:manualLayout>
                  <c:x val="-1.7816311535635562E-2"/>
                  <c:y val="-3.133251714957539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3"/>
              <c:layout>
                <c:manualLayout>
                  <c:x val="-2.9645260837619397E-2"/>
                  <c:y val="3.791639946365067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4"/>
              <c:layout>
                <c:manualLayout>
                  <c:x val="-3.5017585108988489E-2"/>
                  <c:y val="-4.096892671835830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5"/>
              <c:layout>
                <c:manualLayout>
                  <c:x val="-3.2516678912564288E-2"/>
                  <c:y val="3.307098855399444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6"/>
              <c:layout>
                <c:manualLayout>
                  <c:x val="-9.7969764581226915E-3"/>
                  <c:y val="-1.6798267695305091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27"/>
              <c:layout>
                <c:manualLayout>
                  <c:x val="-1.0137783362952705E-2"/>
                  <c:y val="-1.112433003054992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00">
                    <a:latin typeface="Fira Sans" panose="020B0503050000020004" pitchFamily="34" charset="0"/>
                    <a:ea typeface="Fira Sans" panose="020B0503050000020004" pitchFamily="34" charset="0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'M-12 (+FE)'!$B$50:$B$67</c:f>
              <c:strCache>
                <c:ptCount val="18"/>
                <c:pt idx="0">
                  <c:v>01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</c:strCache>
            </c:strRef>
          </c:cat>
          <c:val>
            <c:numRef>
              <c:f>'M-12 (+FE)'!$C$50:$C$67</c:f>
              <c:numCache>
                <c:formatCode>0.0</c:formatCode>
                <c:ptCount val="18"/>
                <c:pt idx="0">
                  <c:v>4.3</c:v>
                </c:pt>
                <c:pt idx="1">
                  <c:v>4.7</c:v>
                </c:pt>
                <c:pt idx="2">
                  <c:v>4.5999999999999996</c:v>
                </c:pt>
                <c:pt idx="3">
                  <c:v>3.4</c:v>
                </c:pt>
                <c:pt idx="4">
                  <c:v>2.9</c:v>
                </c:pt>
                <c:pt idx="5">
                  <c:v>3.3</c:v>
                </c:pt>
                <c:pt idx="6">
                  <c:v>3</c:v>
                </c:pt>
                <c:pt idx="7">
                  <c:v>2.9</c:v>
                </c:pt>
                <c:pt idx="8">
                  <c:v>3.2</c:v>
                </c:pt>
                <c:pt idx="9">
                  <c:v>3.1</c:v>
                </c:pt>
                <c:pt idx="10">
                  <c:v>3</c:v>
                </c:pt>
                <c:pt idx="11">
                  <c:v>2.4</c:v>
                </c:pt>
                <c:pt idx="12">
                  <c:v>2.6</c:v>
                </c:pt>
                <c:pt idx="13">
                  <c:v>2.4</c:v>
                </c:pt>
                <c:pt idx="14">
                  <c:v>3.2</c:v>
                </c:pt>
                <c:pt idx="15">
                  <c:v>4.3</c:v>
                </c:pt>
                <c:pt idx="16">
                  <c:v>4.7</c:v>
                </c:pt>
                <c:pt idx="17">
                  <c:v>4.4000000000000004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2299648"/>
        <c:axId val="92301184"/>
      </c:lineChart>
      <c:dateAx>
        <c:axId val="92299648"/>
        <c:scaling>
          <c:orientation val="minMax"/>
        </c:scaling>
        <c:delete val="0"/>
        <c:axPos val="b"/>
        <c:numFmt formatCode="[$-415]mmmmm;@" sourceLinked="0"/>
        <c:majorTickMark val="out"/>
        <c:minorTickMark val="none"/>
        <c:tickLblPos val="low"/>
        <c:spPr>
          <a:ln w="6350">
            <a:solidFill>
              <a:schemeClr val="bg1">
                <a:lumMod val="50000"/>
              </a:schemeClr>
            </a:solidFill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92301184"/>
        <c:crossesAt val="0"/>
        <c:auto val="0"/>
        <c:lblOffset val="100"/>
        <c:baseTimeUnit val="days"/>
      </c:dateAx>
      <c:valAx>
        <c:axId val="92301184"/>
        <c:scaling>
          <c:orientation val="minMax"/>
          <c:max val="5.5"/>
          <c:min val="0"/>
        </c:scaling>
        <c:delete val="0"/>
        <c:axPos val="l"/>
        <c:majorGridlines>
          <c:spPr>
            <a:ln w="3175">
              <a:solidFill>
                <a:schemeClr val="bg1">
                  <a:lumMod val="50000"/>
                </a:schemeClr>
              </a:solidFill>
              <a:prstDash val="sysDot"/>
            </a:ln>
          </c:spPr>
        </c:majorGridlines>
        <c:numFmt formatCode="0.0" sourceLinked="1"/>
        <c:majorTickMark val="out"/>
        <c:minorTickMark val="none"/>
        <c:tickLblPos val="nextTo"/>
        <c:spPr>
          <a:ln>
            <a:noFill/>
          </a:ln>
        </c:spPr>
        <c:txPr>
          <a:bodyPr/>
          <a:lstStyle/>
          <a:p>
            <a:pPr>
              <a:defRPr sz="800">
                <a:latin typeface="Fira Sans" pitchFamily="34" charset="0"/>
                <a:ea typeface="Fira Sans" pitchFamily="34" charset="0"/>
              </a:defRPr>
            </a:pPr>
            <a:endParaRPr lang="en-US"/>
          </a:p>
        </c:txPr>
        <c:crossAx val="92299648"/>
        <c:crossesAt val="1"/>
        <c:crossBetween val="between"/>
        <c:majorUnit val="0.5"/>
      </c:valAx>
      <c:spPr>
        <a:noFill/>
      </c:spPr>
    </c:plotArea>
    <c:plotVisOnly val="1"/>
    <c:dispBlanksAs val="gap"/>
    <c:showDLblsOverMax val="0"/>
  </c:chart>
  <c:spPr>
    <a:noFill/>
    <a:ln>
      <a:noFill/>
    </a:ln>
  </c:spPr>
  <c:externalData r:id="rId2">
    <c:autoUpdate val="0"/>
  </c:externalData>
  <c:userShapes r:id="rId3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6103308106031142E-2"/>
          <c:y val="5.2791985907422512E-2"/>
          <c:w val="0.86402212918953414"/>
          <c:h val="0.80215749189155816"/>
        </c:manualLayout>
      </c:layout>
      <c:lineChart>
        <c:grouping val="standard"/>
        <c:varyColors val="0"/>
        <c:ser>
          <c:idx val="0"/>
          <c:order val="0"/>
          <c:tx>
            <c:strRef>
              <c:f>'CPI_HICP m-12'!$B$2:$C$2</c:f>
              <c:strCache>
                <c:ptCount val="1"/>
                <c:pt idx="0">
                  <c:v>CPI</c:v>
                </c:pt>
              </c:strCache>
            </c:strRef>
          </c:tx>
          <c:spPr>
            <a:ln w="19050">
              <a:solidFill>
                <a:srgbClr val="001D77"/>
              </a:solidFill>
            </a:ln>
          </c:spPr>
          <c:marker>
            <c:symbol val="none"/>
          </c:marker>
          <c:cat>
            <c:strRef>
              <c:f>'CPI_HICP m-12'!$B$51:$B$68</c:f>
              <c:strCache>
                <c:ptCount val="18"/>
                <c:pt idx="0">
                  <c:v>01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</c:strCache>
            </c:strRef>
          </c:cat>
          <c:val>
            <c:numRef>
              <c:f>'CPI_HICP m-12'!$C$51:$C$68</c:f>
              <c:numCache>
                <c:formatCode>0.0</c:formatCode>
                <c:ptCount val="18"/>
                <c:pt idx="0">
                  <c:v>4.3</c:v>
                </c:pt>
                <c:pt idx="1">
                  <c:v>4.7</c:v>
                </c:pt>
                <c:pt idx="2">
                  <c:v>4.5999999999999996</c:v>
                </c:pt>
                <c:pt idx="3">
                  <c:v>3.4</c:v>
                </c:pt>
                <c:pt idx="4">
                  <c:v>2.9</c:v>
                </c:pt>
                <c:pt idx="5">
                  <c:v>3.3</c:v>
                </c:pt>
                <c:pt idx="6">
                  <c:v>3</c:v>
                </c:pt>
                <c:pt idx="7">
                  <c:v>2.9</c:v>
                </c:pt>
                <c:pt idx="8">
                  <c:v>3.2</c:v>
                </c:pt>
                <c:pt idx="9">
                  <c:v>3.1</c:v>
                </c:pt>
                <c:pt idx="10">
                  <c:v>3</c:v>
                </c:pt>
                <c:pt idx="11">
                  <c:v>2.4</c:v>
                </c:pt>
                <c:pt idx="12">
                  <c:v>2.6</c:v>
                </c:pt>
                <c:pt idx="13">
                  <c:v>2.4</c:v>
                </c:pt>
                <c:pt idx="14">
                  <c:v>3.2</c:v>
                </c:pt>
                <c:pt idx="15">
                  <c:v>4.3</c:v>
                </c:pt>
                <c:pt idx="16">
                  <c:v>4.7</c:v>
                </c:pt>
                <c:pt idx="17">
                  <c:v>4.4000000000000004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'CPI_HICP m-12'!$D$2:$E$2</c:f>
              <c:strCache>
                <c:ptCount val="1"/>
                <c:pt idx="0">
                  <c:v>HICP</c:v>
                </c:pt>
              </c:strCache>
            </c:strRef>
          </c:tx>
          <c:spPr>
            <a:ln w="19050">
              <a:solidFill>
                <a:srgbClr val="99A5C9"/>
              </a:solidFill>
            </a:ln>
          </c:spPr>
          <c:marker>
            <c:symbol val="none"/>
          </c:marker>
          <c:cat>
            <c:strRef>
              <c:f>'CPI_HICP m-12'!$B$51:$B$68</c:f>
              <c:strCache>
                <c:ptCount val="18"/>
                <c:pt idx="0">
                  <c:v>01</c:v>
                </c:pt>
                <c:pt idx="1">
                  <c:v>02</c:v>
                </c:pt>
                <c:pt idx="2">
                  <c:v>03</c:v>
                </c:pt>
                <c:pt idx="3">
                  <c:v>04</c:v>
                </c:pt>
                <c:pt idx="4">
                  <c:v>05</c:v>
                </c:pt>
                <c:pt idx="5">
                  <c:v>06</c:v>
                </c:pt>
                <c:pt idx="6">
                  <c:v>07</c:v>
                </c:pt>
                <c:pt idx="7">
                  <c:v>08</c:v>
                </c:pt>
                <c:pt idx="8">
                  <c:v>09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  <c:pt idx="12">
                  <c:v>01</c:v>
                </c:pt>
                <c:pt idx="13">
                  <c:v>02</c:v>
                </c:pt>
                <c:pt idx="14">
                  <c:v>03</c:v>
                </c:pt>
                <c:pt idx="15">
                  <c:v>04</c:v>
                </c:pt>
                <c:pt idx="16">
                  <c:v>05</c:v>
                </c:pt>
                <c:pt idx="17">
                  <c:v>06</c:v>
                </c:pt>
              </c:strCache>
            </c:strRef>
          </c:cat>
          <c:val>
            <c:numRef>
              <c:f>'CPI_HICP m-12'!$E$51:$E$67</c:f>
              <c:numCache>
                <c:formatCode>0.0</c:formatCode>
                <c:ptCount val="17"/>
                <c:pt idx="0">
                  <c:v>3.8</c:v>
                </c:pt>
                <c:pt idx="1">
                  <c:v>4.0999999999999996</c:v>
                </c:pt>
                <c:pt idx="2">
                  <c:v>3.9</c:v>
                </c:pt>
                <c:pt idx="3">
                  <c:v>2.9</c:v>
                </c:pt>
                <c:pt idx="4">
                  <c:v>3.4</c:v>
                </c:pt>
                <c:pt idx="5">
                  <c:v>3.8</c:v>
                </c:pt>
                <c:pt idx="6">
                  <c:v>3.7</c:v>
                </c:pt>
                <c:pt idx="7">
                  <c:v>3.7</c:v>
                </c:pt>
                <c:pt idx="8">
                  <c:v>3.8</c:v>
                </c:pt>
                <c:pt idx="9">
                  <c:v>3.8</c:v>
                </c:pt>
                <c:pt idx="10">
                  <c:v>3.7</c:v>
                </c:pt>
                <c:pt idx="11">
                  <c:v>3.4</c:v>
                </c:pt>
                <c:pt idx="12">
                  <c:v>3.6</c:v>
                </c:pt>
                <c:pt idx="13">
                  <c:v>3.6</c:v>
                </c:pt>
                <c:pt idx="14">
                  <c:v>4.4000000000000004</c:v>
                </c:pt>
                <c:pt idx="15">
                  <c:v>5.0999999999999996</c:v>
                </c:pt>
                <c:pt idx="16">
                  <c:v>4.5999999999999996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2595712"/>
        <c:axId val="92597248"/>
      </c:lineChart>
      <c:catAx>
        <c:axId val="92595712"/>
        <c:scaling>
          <c:orientation val="minMax"/>
        </c:scaling>
        <c:delete val="0"/>
        <c:axPos val="b"/>
        <c:numFmt formatCode="d/mm" sourceLinked="0"/>
        <c:majorTickMark val="out"/>
        <c:minorTickMark val="none"/>
        <c:tickLblPos val="low"/>
        <c:spPr>
          <a:ln w="3175">
            <a:solidFill>
              <a:schemeClr val="bg1">
                <a:lumMod val="50000"/>
              </a:schemeClr>
            </a:solidFill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en-US"/>
          </a:p>
        </c:txPr>
        <c:crossAx val="92597248"/>
        <c:crossesAt val="0"/>
        <c:auto val="0"/>
        <c:lblAlgn val="ctr"/>
        <c:lblOffset val="100"/>
        <c:tickLblSkip val="1"/>
        <c:tickMarkSkip val="1"/>
        <c:noMultiLvlLbl val="0"/>
      </c:catAx>
      <c:valAx>
        <c:axId val="92597248"/>
        <c:scaling>
          <c:orientation val="minMax"/>
          <c:max val="6"/>
          <c:min val="0"/>
        </c:scaling>
        <c:delete val="0"/>
        <c:axPos val="l"/>
        <c:majorGridlines>
          <c:spPr>
            <a:ln w="3175">
              <a:solidFill>
                <a:srgbClr val="C0C0C0"/>
              </a:solidFill>
              <a:prstDash val="sysDot"/>
            </a:ln>
          </c:spPr>
        </c:majorGridlines>
        <c:numFmt formatCode="0.0" sourceLinked="0"/>
        <c:majorTickMark val="out"/>
        <c:minorTickMark val="none"/>
        <c:tickLblPos val="nextTo"/>
        <c:spPr>
          <a:ln w="3175">
            <a:noFill/>
            <a:prstDash val="solid"/>
          </a:ln>
        </c:spPr>
        <c:txPr>
          <a:bodyPr rot="0" vert="horz"/>
          <a:lstStyle/>
          <a:p>
            <a:pPr>
              <a:defRPr sz="800" b="0" i="0" u="none" strike="noStrike" baseline="0">
                <a:solidFill>
                  <a:srgbClr val="000000"/>
                </a:solidFill>
                <a:latin typeface="Fira Sans" pitchFamily="34" charset="0"/>
                <a:ea typeface="Fira Sans" pitchFamily="34" charset="0"/>
                <a:cs typeface="Arial CE"/>
              </a:defRPr>
            </a:pPr>
            <a:endParaRPr lang="en-US"/>
          </a:p>
        </c:txPr>
        <c:crossAx val="92595712"/>
        <c:crosses val="autoZero"/>
        <c:crossBetween val="between"/>
        <c:majorUnit val="1"/>
        <c:minorUnit val="0.1"/>
      </c:valAx>
      <c:spPr>
        <a:noFill/>
        <a:ln w="3175">
          <a:noFill/>
          <a:prstDash val="solid"/>
        </a:ln>
      </c:spPr>
    </c:plotArea>
    <c:legend>
      <c:legendPos val="r"/>
      <c:layout>
        <c:manualLayout>
          <c:xMode val="edge"/>
          <c:yMode val="edge"/>
          <c:x val="0.79992186840519286"/>
          <c:y val="0.64861335338264059"/>
          <c:w val="0.11602738896666102"/>
          <c:h val="0.14737378640231696"/>
        </c:manualLayout>
      </c:layout>
      <c:overlay val="0"/>
      <c:spPr>
        <a:noFill/>
        <a:ln w="38100">
          <a:noFill/>
          <a:prstDash val="solid"/>
        </a:ln>
      </c:spPr>
      <c:txPr>
        <a:bodyPr/>
        <a:lstStyle/>
        <a:p>
          <a:pPr>
            <a:defRPr sz="800" b="0" i="0" u="none" strike="noStrike" baseline="0">
              <a:solidFill>
                <a:srgbClr val="000000"/>
              </a:solidFill>
              <a:latin typeface="Fira Sans" pitchFamily="34" charset="0"/>
              <a:ea typeface="Fira Sans" pitchFamily="34" charset="0"/>
              <a:cs typeface="Arial CE"/>
            </a:defRPr>
          </a:pPr>
          <a:endParaRPr lang="en-US"/>
        </a:p>
      </c:txPr>
    </c:legend>
    <c:plotVisOnly val="0"/>
    <c:dispBlanksAs val="gap"/>
    <c:showDLblsOverMax val="0"/>
  </c:chart>
  <c:spPr>
    <a:noFill/>
    <a:ln w="9525">
      <a:noFill/>
      <a:prstDash val="solid"/>
    </a:ln>
    <a:effectLst/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MS Sans Serif"/>
          <a:ea typeface="MS Sans Serif"/>
          <a:cs typeface="MS Sans Serif"/>
        </a:defRPr>
      </a:pPr>
      <a:endParaRPr lang="en-US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0.06988</cdr:x>
      <cdr:y>0.93898</cdr:y>
    </cdr:from>
    <cdr:to>
      <cdr:x>0.64722</cdr:x>
      <cdr:y>0.99323</cdr:y>
    </cdr:to>
    <cdr:sp macro="" textlink="">
      <cdr:nvSpPr>
        <cdr:cNvPr id="12" name="pole tekstowe 1"/>
        <cdr:cNvSpPr txBox="1"/>
      </cdr:nvSpPr>
      <cdr:spPr>
        <a:xfrm xmlns:a="http://schemas.openxmlformats.org/drawingml/2006/main">
          <a:off x="358042" y="2444751"/>
          <a:ext cx="2958124" cy="14124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0.06721</cdr:x>
      <cdr:y>0.9279</cdr:y>
    </cdr:from>
    <cdr:to>
      <cdr:x>0.48735</cdr:x>
      <cdr:y>0.99268</cdr:y>
    </cdr:to>
    <cdr:sp macro="" textlink="">
      <cdr:nvSpPr>
        <cdr:cNvPr id="13" name="pole tekstowe 1"/>
        <cdr:cNvSpPr txBox="1"/>
      </cdr:nvSpPr>
      <cdr:spPr>
        <a:xfrm xmlns:a="http://schemas.openxmlformats.org/drawingml/2006/main">
          <a:off x="344362" y="2371725"/>
          <a:ext cx="2152654" cy="16556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ctr"/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0.05855</cdr:x>
      <cdr:y>0.93165</cdr:y>
    </cdr:from>
    <cdr:to>
      <cdr:x>0.63796</cdr:x>
      <cdr:y>0.99952</cdr:y>
    </cdr:to>
    <cdr:sp macro="" textlink="">
      <cdr:nvSpPr>
        <cdr:cNvPr id="56" name="pole tekstowe 1"/>
        <cdr:cNvSpPr txBox="1"/>
      </cdr:nvSpPr>
      <cdr:spPr>
        <a:xfrm xmlns:a="http://schemas.openxmlformats.org/drawingml/2006/main">
          <a:off x="299925" y="2401294"/>
          <a:ext cx="2968061" cy="17492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2020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0.63951</cdr:x>
      <cdr:y>0.92856</cdr:y>
    </cdr:from>
    <cdr:to>
      <cdr:x>0.93133</cdr:x>
      <cdr:y>0.99952</cdr:y>
    </cdr:to>
    <cdr:sp macro="" textlink="">
      <cdr:nvSpPr>
        <cdr:cNvPr id="9" name="pole tekstowe 1"/>
        <cdr:cNvSpPr txBox="1"/>
      </cdr:nvSpPr>
      <cdr:spPr>
        <a:xfrm xmlns:a="http://schemas.openxmlformats.org/drawingml/2006/main">
          <a:off x="3275936" y="2393342"/>
          <a:ext cx="1494845" cy="18288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2021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0.63968</cdr:x>
      <cdr:y>0.86471</cdr:y>
    </cdr:from>
    <cdr:to>
      <cdr:x>0.6398</cdr:x>
      <cdr:y>0.94594</cdr:y>
    </cdr:to>
    <cdr:sp macro="" textlink="">
      <cdr:nvSpPr>
        <cdr:cNvPr id="10" name="Łącznik prosty 6"/>
        <cdr:cNvSpPr/>
      </cdr:nvSpPr>
      <cdr:spPr bwMode="auto">
        <a:xfrm xmlns:a="http://schemas.openxmlformats.org/drawingml/2006/main" flipV="1">
          <a:off x="3276779" y="2228772"/>
          <a:ext cx="614" cy="209368"/>
        </a:xfrm>
        <a:prstGeom xmlns:a="http://schemas.openxmlformats.org/drawingml/2006/main" prst="line">
          <a:avLst/>
        </a:prstGeom>
        <a:ln xmlns:a="http://schemas.openxmlformats.org/drawingml/2006/main" w="3175">
          <a:solidFill>
            <a:schemeClr val="bg1">
              <a:lumMod val="50000"/>
            </a:schemeClr>
          </a:solidFill>
          <a:headEnd type="none" w="med" len="med"/>
          <a:tailEnd type="none" w="med" len="med"/>
        </a:ln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>
            <a:latin typeface="Fira Sans" panose="020B0503050000020004" pitchFamily="34" charset="0"/>
            <a:ea typeface="Fira Sans" panose="020B0503050000020004" pitchFamily="34" charset="0"/>
          </a:endParaRP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0.06797</cdr:x>
      <cdr:y>0.49652</cdr:y>
    </cdr:from>
    <cdr:to>
      <cdr:x>0.92804</cdr:x>
      <cdr:y>0.49654</cdr:y>
    </cdr:to>
    <cdr:sp macro="" textlink="">
      <cdr:nvSpPr>
        <cdr:cNvPr id="11" name="Łącznik prosty 10"/>
        <cdr:cNvSpPr/>
      </cdr:nvSpPr>
      <cdr:spPr bwMode="auto">
        <a:xfrm xmlns:a="http://schemas.openxmlformats.org/drawingml/2006/main" flipV="1">
          <a:off x="347400" y="1281170"/>
          <a:ext cx="4395884" cy="52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0.06817</cdr:x>
      <cdr:y>0.64175</cdr:y>
    </cdr:from>
    <cdr:to>
      <cdr:x>0.9275</cdr:x>
      <cdr:y>0.6452</cdr:y>
    </cdr:to>
    <cdr:sp macro="" textlink="">
      <cdr:nvSpPr>
        <cdr:cNvPr id="14" name="Łącznik prosty 13"/>
        <cdr:cNvSpPr/>
      </cdr:nvSpPr>
      <cdr:spPr bwMode="auto">
        <a:xfrm xmlns:a="http://schemas.openxmlformats.org/drawingml/2006/main" flipV="1">
          <a:off x="348423" y="1655885"/>
          <a:ext cx="4392096" cy="8902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0.07024</cdr:x>
      <cdr:y>0.34643</cdr:y>
    </cdr:from>
    <cdr:to>
      <cdr:x>0.92963</cdr:x>
      <cdr:y>0.3478</cdr:y>
    </cdr:to>
    <cdr:sp macro="" textlink="">
      <cdr:nvSpPr>
        <cdr:cNvPr id="15" name="Łącznik prosty 14"/>
        <cdr:cNvSpPr/>
      </cdr:nvSpPr>
      <cdr:spPr bwMode="auto">
        <a:xfrm xmlns:a="http://schemas.openxmlformats.org/drawingml/2006/main">
          <a:off x="359019" y="893885"/>
          <a:ext cx="4392392" cy="3541"/>
        </a:xfrm>
        <a:prstGeom xmlns:a="http://schemas.openxmlformats.org/drawingml/2006/main" prst="line">
          <a:avLst/>
        </a:prstGeom>
        <a:ln xmlns:a="http://schemas.openxmlformats.org/drawingml/2006/main" w="12700">
          <a:solidFill>
            <a:sysClr val="windowText" lastClr="000000"/>
          </a:solidFill>
          <a:prstDash val="sysDot"/>
          <a:headEnd type="none" w="med" len="med"/>
          <a:tailEnd type="none" w="med" len="med"/>
        </a:ln>
      </cdr:spPr>
      <cdr:style>
        <a:lnRef xmlns:a="http://schemas.openxmlformats.org/drawingml/2006/main" idx="1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0">
          <a:schemeClr val="accent2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0.06932</cdr:x>
      <cdr:y>0.93358</cdr:y>
    </cdr:from>
    <cdr:to>
      <cdr:x>0.64086</cdr:x>
      <cdr:y>1</cdr:y>
    </cdr:to>
    <cdr:sp macro="" textlink="">
      <cdr:nvSpPr>
        <cdr:cNvPr id="22" name="pole tekstowe 1"/>
        <cdr:cNvSpPr txBox="1"/>
      </cdr:nvSpPr>
      <cdr:spPr>
        <a:xfrm xmlns:a="http://schemas.openxmlformats.org/drawingml/2006/main">
          <a:off x="354347" y="2409246"/>
          <a:ext cx="2921590" cy="17139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2020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0.64081</cdr:x>
      <cdr:y>0.86697</cdr:y>
    </cdr:from>
    <cdr:to>
      <cdr:x>0.64151</cdr:x>
      <cdr:y>0.94648</cdr:y>
    </cdr:to>
    <cdr:sp macro="" textlink="">
      <cdr:nvSpPr>
        <cdr:cNvPr id="23" name="Łącznik prosty 22"/>
        <cdr:cNvSpPr/>
      </cdr:nvSpPr>
      <cdr:spPr bwMode="auto">
        <a:xfrm xmlns:a="http://schemas.openxmlformats.org/drawingml/2006/main" rot="21540000" flipV="1">
          <a:off x="3275660" y="2237336"/>
          <a:ext cx="3578" cy="205187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6350" cap="flat" cmpd="sng" algn="ctr">
          <a:solidFill>
            <a:schemeClr val="bg1">
              <a:lumMod val="50000"/>
            </a:schemeClr>
          </a:solidFill>
          <a:prstDash val="solid"/>
          <a:round/>
          <a:headEnd type="none" w="med" len="med"/>
          <a:tailEnd type="none" w="med" len="med"/>
        </a:ln>
        <a:effectLst xmlns:a="http://schemas.openxmlformats.org/drawingml/2006/main"/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0.25871</cdr:x>
      <cdr:y>0.27439</cdr:y>
    </cdr:from>
    <cdr:to>
      <cdr:x>0.54388</cdr:x>
      <cdr:y>0.34396</cdr:y>
    </cdr:to>
    <cdr:sp macro="" textlink="">
      <cdr:nvSpPr>
        <cdr:cNvPr id="26" name="pole tekstowe 1"/>
        <cdr:cNvSpPr txBox="1"/>
      </cdr:nvSpPr>
      <cdr:spPr>
        <a:xfrm xmlns:a="http://schemas.openxmlformats.org/drawingml/2006/main">
          <a:off x="1322287" y="708008"/>
          <a:ext cx="1457526" cy="17951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r>
            <a:rPr lang="pl-PL" sz="700" b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Deviation from inflation target</a:t>
          </a:r>
        </a:p>
      </cdr:txBody>
    </cdr:sp>
  </cdr:relSizeAnchor>
  <cdr:relSizeAnchor xmlns:cdr="http://schemas.openxmlformats.org/drawingml/2006/chartDrawing">
    <cdr:from>
      <cdr:x>0.25338</cdr:x>
      <cdr:y>0.64363</cdr:y>
    </cdr:from>
    <cdr:to>
      <cdr:x>0.53456</cdr:x>
      <cdr:y>0.72252</cdr:y>
    </cdr:to>
    <cdr:sp macro="" textlink="">
      <cdr:nvSpPr>
        <cdr:cNvPr id="27" name="pole tekstowe 1"/>
        <cdr:cNvSpPr txBox="1"/>
      </cdr:nvSpPr>
      <cdr:spPr>
        <a:xfrm xmlns:a="http://schemas.openxmlformats.org/drawingml/2006/main">
          <a:off x="1295045" y="1660736"/>
          <a:ext cx="1437132" cy="20355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r>
            <a:rPr lang="pl-PL" sz="700" b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" pitchFamily="34" charset="0"/>
            </a:rPr>
            <a:t>Deviation from inflation target</a:t>
          </a:r>
        </a:p>
      </cdr:txBody>
    </cdr:sp>
  </cdr:relSizeAnchor>
  <cdr:relSizeAnchor xmlns:cdr="http://schemas.openxmlformats.org/drawingml/2006/chartDrawing">
    <cdr:from>
      <cdr:x>0.64242</cdr:x>
      <cdr:y>0.92913</cdr:y>
    </cdr:from>
    <cdr:to>
      <cdr:x>0.92847</cdr:x>
      <cdr:y>1</cdr:y>
    </cdr:to>
    <cdr:sp macro="" textlink="">
      <cdr:nvSpPr>
        <cdr:cNvPr id="12" name="pole tekstowe 1"/>
        <cdr:cNvSpPr txBox="1"/>
      </cdr:nvSpPr>
      <cdr:spPr>
        <a:xfrm xmlns:a="http://schemas.openxmlformats.org/drawingml/2006/main">
          <a:off x="3283888" y="2401294"/>
          <a:ext cx="1462219" cy="18287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2021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0.33727</cdr:x>
      <cdr:y>0.45768</cdr:y>
    </cdr:from>
    <cdr:to>
      <cdr:x>0.6</cdr:x>
      <cdr:y>0.60532</cdr:y>
    </cdr:to>
    <cdr:sp macro="" textlink="">
      <cdr:nvSpPr>
        <cdr:cNvPr id="10" name="Tekst 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1724025" y="1181101"/>
          <a:ext cx="1343025" cy="38100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pl-PL" sz="700" b="0" i="0" u="none" strike="noStrike" baseline="0">
              <a:solidFill>
                <a:sysClr val="windowText" lastClr="000000"/>
              </a:solidFill>
              <a:latin typeface="Fira Sans" pitchFamily="34" charset="0"/>
              <a:ea typeface="Fira Sans" pitchFamily="34" charset="0"/>
              <a:cs typeface="Arial CE"/>
            </a:rPr>
            <a:t>Inflation target 2,5</a:t>
          </a: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0.06337</cdr:x>
      <cdr:y>0.0639</cdr:y>
    </cdr:from>
    <cdr:to>
      <cdr:x>0.12174</cdr:x>
      <cdr:y>0.18421</cdr:y>
    </cdr:to>
    <cdr:sp macro="" textlink="">
      <cdr:nvSpPr>
        <cdr:cNvPr id="1351681" name="Teks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324736" y="165552"/>
          <a:ext cx="299115" cy="311699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</cdr:spPr>
      <cdr:txBody>
        <a:bodyPr xmlns:a="http://schemas.openxmlformats.org/drawingml/2006/main" vertOverflow="clip" wrap="square" lIns="27432" tIns="22860" rIns="27432" bIns="2286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pl-PL" sz="800" b="0" i="0" u="none" strike="noStrike" baseline="0">
            <a:solidFill>
              <a:srgbClr val="000000"/>
            </a:solidFill>
            <a:latin typeface="Arial CE"/>
            <a:cs typeface="Arial CE"/>
          </a:endParaRPr>
        </a:p>
      </cdr:txBody>
    </cdr:sp>
  </cdr:relSizeAnchor>
  <cdr:relSizeAnchor xmlns:cdr="http://schemas.openxmlformats.org/drawingml/2006/chartDrawing">
    <cdr:from>
      <cdr:x>0.50952</cdr:x>
      <cdr:y>0.48622</cdr:y>
    </cdr:from>
    <cdr:to>
      <cdr:x>0.52447</cdr:x>
      <cdr:y>0.5397</cdr:y>
    </cdr:to>
    <cdr:sp macro="" textlink="">
      <cdr:nvSpPr>
        <cdr:cNvPr id="1351684" name="Text Box 3076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232480" y="1407902"/>
          <a:ext cx="65467" cy="15485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 w="1">
          <a:noFill/>
          <a:miter lim="800000"/>
          <a:headEnd/>
          <a:tailEnd/>
        </a:ln>
        <a:effectLst xmlns:a="http://schemas.openxmlformats.org/drawingml/2006/main"/>
      </cdr:spPr>
      <cdr:txBody>
        <a:bodyPr xmlns:a="http://schemas.openxmlformats.org/drawingml/2006/main" wrap="none" lIns="18288" tIns="18288" rIns="18288" bIns="18288" anchor="ctr" upright="1">
          <a:spAutoFit/>
        </a:bodyPr>
        <a:lstStyle xmlns:a="http://schemas.openxmlformats.org/drawingml/2006/main"/>
        <a:p xmlns:a="http://schemas.openxmlformats.org/drawingml/2006/main">
          <a:pPr algn="ctr" rtl="0">
            <a:defRPr sz="1000"/>
          </a:pPr>
          <a:r>
            <a:rPr lang="pl-PL" sz="800" b="0" i="0" u="none" strike="noStrike" baseline="0">
              <a:solidFill>
                <a:srgbClr val="000000"/>
              </a:solidFill>
              <a:latin typeface="MS Sans Serif"/>
            </a:rPr>
            <a:t> </a:t>
          </a:r>
        </a:p>
      </cdr:txBody>
    </cdr:sp>
  </cdr:relSizeAnchor>
  <cdr:relSizeAnchor xmlns:cdr="http://schemas.openxmlformats.org/drawingml/2006/chartDrawing">
    <cdr:from>
      <cdr:x>0.08308</cdr:x>
      <cdr:y>0.92137</cdr:y>
    </cdr:from>
    <cdr:to>
      <cdr:x>0.45083</cdr:x>
      <cdr:y>1</cdr:y>
    </cdr:to>
    <cdr:sp macro="" textlink="">
      <cdr:nvSpPr>
        <cdr:cNvPr id="6" name="pole tekstowe 1"/>
        <cdr:cNvSpPr txBox="1"/>
      </cdr:nvSpPr>
      <cdr:spPr>
        <a:xfrm xmlns:a="http://schemas.openxmlformats.org/drawingml/2006/main">
          <a:off x="424455" y="2372591"/>
          <a:ext cx="1878863" cy="20246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  <cdr:relSizeAnchor xmlns:cdr="http://schemas.openxmlformats.org/drawingml/2006/chartDrawing">
    <cdr:from>
      <cdr:x>0.64173</cdr:x>
      <cdr:y>0.85499</cdr:y>
    </cdr:from>
    <cdr:to>
      <cdr:x>0.64243</cdr:x>
      <cdr:y>0.93891</cdr:y>
    </cdr:to>
    <cdr:sp macro="" textlink="">
      <cdr:nvSpPr>
        <cdr:cNvPr id="9" name="Łącznik prosty 8"/>
        <cdr:cNvSpPr/>
      </cdr:nvSpPr>
      <cdr:spPr bwMode="auto">
        <a:xfrm xmlns:a="http://schemas.openxmlformats.org/drawingml/2006/main" rot="21540000" flipV="1">
          <a:off x="3268955" y="2200453"/>
          <a:ext cx="3566" cy="215981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175" cap="flat" cmpd="sng" algn="ctr">
          <a:solidFill>
            <a:schemeClr val="bg1">
              <a:lumMod val="50000"/>
            </a:schemeClr>
          </a:solidFill>
          <a:prstDash val="solid"/>
          <a:round/>
          <a:headEnd type="none" w="med" len="med"/>
          <a:tailEnd type="none" w="med" len="med"/>
        </a:ln>
        <a:effectLst xmlns:a="http://schemas.openxmlformats.org/drawingml/2006/main"/>
      </cdr:spPr>
      <cdr:style>
        <a:lnRef xmlns:a="http://schemas.openxmlformats.org/drawingml/2006/main" idx="1">
          <a:schemeClr val="dk1"/>
        </a:lnRef>
        <a:fillRef xmlns:a="http://schemas.openxmlformats.org/drawingml/2006/main" idx="0">
          <a:schemeClr val="dk1"/>
        </a:fillRef>
        <a:effectRef xmlns:a="http://schemas.openxmlformats.org/drawingml/2006/main" idx="0">
          <a:schemeClr val="dk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wrap="square" lIns="18288" tIns="0" rIns="0" bIns="0" upright="1"/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endParaRPr lang="pl-PL"/>
        </a:p>
      </cdr:txBody>
    </cdr:sp>
  </cdr:relSizeAnchor>
  <cdr:relSizeAnchor xmlns:cdr="http://schemas.openxmlformats.org/drawingml/2006/chartDrawing">
    <cdr:from>
      <cdr:x>0.06514</cdr:x>
      <cdr:y>0.91998</cdr:y>
    </cdr:from>
    <cdr:to>
      <cdr:x>0.64228</cdr:x>
      <cdr:y>1</cdr:y>
    </cdr:to>
    <cdr:sp macro="" textlink="">
      <cdr:nvSpPr>
        <cdr:cNvPr id="11" name="pole tekstowe 1"/>
        <cdr:cNvSpPr txBox="1"/>
      </cdr:nvSpPr>
      <cdr:spPr>
        <a:xfrm xmlns:a="http://schemas.openxmlformats.org/drawingml/2006/main">
          <a:off x="331821" y="2367711"/>
          <a:ext cx="2939934" cy="205944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pl-PL" sz="800">
              <a:latin typeface="Fira Sans" pitchFamily="34" charset="0"/>
              <a:ea typeface="Fira Sans" pitchFamily="34" charset="0"/>
            </a:rPr>
            <a:t>2020</a:t>
          </a:r>
          <a:endParaRPr lang="pl-PL" sz="700">
            <a:latin typeface="Fira Sans" pitchFamily="34" charset="0"/>
            <a:ea typeface="Fira Sans" pitchFamily="34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Pakiet 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Pakiet 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Pakiet 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1" ma:contentTypeDescription="Utwórz nowy dokument." ma:contentTypeScope="" ma:versionID="b20bbc3dded4abcf92e167189ff234f7">
  <xsd:schema xmlns:xsd="http://www.w3.org/2001/XMLSchema" xmlns:xs="http://www.w3.org/2001/XMLSchema" xmlns:p="http://schemas.microsoft.com/office/2006/metadata/properties" xmlns:ns2="30d47203-49ec-4c8c-a442-62231931aabb" targetNamespace="http://schemas.microsoft.com/office/2006/metadata/properties" ma:root="true" ma:fieldsID="c1fa5ad568066013d8ffcd1c33bb2164" ns2:_="">
    <xsd:import namespace="30d47203-49ec-4c8c-a442-62231931aabb"/>
    <xsd:element name="properties">
      <xsd:complexType>
        <xsd:sequence>
          <xsd:element name="documentManagement">
            <xsd:complexType>
              <xsd:all>
                <xsd:element ref="ns2:Kolejno_x015b__x0107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d47203-49ec-4c8c-a442-62231931aabb" elementFormDefault="qualified">
    <xsd:import namespace="http://schemas.microsoft.com/office/2006/documentManagement/types"/>
    <xsd:import namespace="http://schemas.microsoft.com/office/infopath/2007/PartnerControls"/>
    <xsd:element name="Kolejno_x015b__x0107_" ma:index="8" nillable="true" ma:displayName="Kolejność" ma:decimals="0" ma:description="sortowanie plików" ma:internalName="Kolejno_x015b__x0107_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lejno_x015b__x0107_ xmlns="30d47203-49ec-4c8c-a442-62231931aab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4DC58-EFEE-42A1-9591-F32E189D23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d47203-49ec-4c8c-a442-62231931aa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FCB642-C1E9-4590-A884-732586E763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D39804-E15D-40D9-A3F2-808567566B96}">
  <ds:schemaRefs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30d47203-49ec-4c8c-a442-62231931aabb"/>
    <ds:schemaRef ds:uri="http://www.w3.org/XML/1998/namespace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CF966242-AEE4-4E3C-9F4C-413F46717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1288</TotalTime>
  <Pages>7</Pages>
  <Words>1528</Words>
  <Characters>8710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10218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2021-07-15T06:52:00Z</cp:lastPrinted>
  <dcterms:created xsi:type="dcterms:W3CDTF">2021-06-14T12:52:00Z</dcterms:created>
  <dcterms:modified xsi:type="dcterms:W3CDTF">2021-07-15T06:52:00Z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