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920E23" w:rsidRDefault="00920E23" w:rsidP="00685123">
      <w:pPr>
        <w:pStyle w:val="tytuinformacji"/>
        <w:rPr>
          <w:lang w:val="en-GB"/>
        </w:rPr>
      </w:pPr>
      <w:r w:rsidRPr="00920E23">
        <w:rPr>
          <w:lang w:val="en-GB"/>
        </w:rPr>
        <w:t>Consumer price indices in May 2021</w:t>
      </w:r>
    </w:p>
    <w:p w:rsidR="00AD4947" w:rsidRPr="00920E23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D72F40" w:rsidRDefault="009E3F12" w:rsidP="00B37F5A">
      <w:pPr>
        <w:pStyle w:val="LID"/>
        <w:spacing w:after="0"/>
        <w:rPr>
          <w:lang w:val="en-GB" w:eastAsia="en-GB"/>
        </w:rPr>
      </w:pPr>
      <w:r w:rsidRPr="00FD11D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4B99219" wp14:editId="2E267D02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E23" w:rsidRPr="00D72F40" w:rsidRDefault="00920E23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3B3F6C61" wp14:editId="0B2D97D0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2F40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D72F40"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4.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7%</w:t>
                            </w:r>
                          </w:p>
                          <w:p w:rsidR="00D72F40" w:rsidRPr="000A0BA9" w:rsidRDefault="00D72F40" w:rsidP="00D72F4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920E23" w:rsidRPr="00D72F40" w:rsidRDefault="00920E23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920E23" w:rsidRPr="00D72F40" w:rsidRDefault="00920E23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B3F6C61" wp14:editId="0B2D97D0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2F40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D72F40"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4.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7%</w:t>
                      </w:r>
                    </w:p>
                    <w:p w:rsidR="00D72F40" w:rsidRPr="000A0BA9" w:rsidRDefault="00D72F40" w:rsidP="00D72F4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  <w:p w:rsidR="00920E23" w:rsidRPr="00D72F40" w:rsidRDefault="00920E23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2F40" w:rsidRPr="00D72F40">
        <w:rPr>
          <w:noProof w:val="0"/>
          <w:lang w:val="en-GB" w:eastAsia="en-GB"/>
        </w:rPr>
        <w:t xml:space="preserve">Consumer prices in </w:t>
      </w:r>
      <w:r w:rsidR="00D72F40" w:rsidRPr="00D72F40">
        <w:rPr>
          <w:noProof w:val="0"/>
          <w:lang w:val="en-GB" w:eastAsia="en-GB"/>
        </w:rPr>
        <w:t>May</w:t>
      </w:r>
      <w:r w:rsidR="00B50A80" w:rsidRPr="00D72F40">
        <w:rPr>
          <w:lang w:val="en-GB" w:eastAsia="en-GB"/>
        </w:rPr>
        <w:t xml:space="preserve"> </w:t>
      </w:r>
      <w:r w:rsidR="007C161B" w:rsidRPr="00D72F40">
        <w:rPr>
          <w:lang w:val="en-GB" w:eastAsia="en-GB"/>
        </w:rPr>
        <w:t>2021</w:t>
      </w:r>
      <w:r w:rsidR="00D72F40" w:rsidRPr="00133BA4">
        <w:rPr>
          <w:lang w:val="en-GB" w:eastAsia="en-GB"/>
        </w:rPr>
        <w:t xml:space="preserve">, </w:t>
      </w:r>
      <w:r w:rsidR="00D72F40" w:rsidRPr="00133BA4">
        <w:rPr>
          <w:noProof w:val="0"/>
          <w:lang w:val="en-GB" w:eastAsia="en-GB"/>
        </w:rPr>
        <w:t xml:space="preserve">compared with the corresponding month of the previous year, </w:t>
      </w:r>
      <w:r w:rsidR="00D72F40" w:rsidRPr="00133BA4">
        <w:rPr>
          <w:noProof w:val="0"/>
          <w:lang w:val="en-GB" w:eastAsia="en-GB"/>
        </w:rPr>
        <w:br/>
        <w:t>increased by</w:t>
      </w:r>
      <w:r w:rsidR="00BC50F0" w:rsidRPr="00D72F40">
        <w:rPr>
          <w:lang w:val="en-GB" w:eastAsia="en-GB"/>
        </w:rPr>
        <w:t xml:space="preserve"> </w:t>
      </w:r>
      <w:r w:rsidR="00631DAD" w:rsidRPr="00D72F40">
        <w:rPr>
          <w:lang w:val="en-GB" w:eastAsia="en-GB"/>
        </w:rPr>
        <w:t>4,7</w:t>
      </w:r>
      <w:r w:rsidR="00B37F5A" w:rsidRPr="00D72F40">
        <w:rPr>
          <w:lang w:val="en-GB" w:eastAsia="en-GB"/>
        </w:rPr>
        <w:t>% (</w:t>
      </w:r>
      <w:r w:rsidR="00D72F40" w:rsidRPr="00133BA4">
        <w:rPr>
          <w:lang w:val="en-GB" w:eastAsia="en-GB"/>
        </w:rPr>
        <w:t>w</w:t>
      </w:r>
      <w:r w:rsidR="00D72F40" w:rsidRPr="00133BA4">
        <w:rPr>
          <w:noProof w:val="0"/>
          <w:lang w:val="en-GB"/>
        </w:rPr>
        <w:t xml:space="preserve">ith an increase of prices </w:t>
      </w:r>
      <w:r w:rsidR="00D72F40" w:rsidRPr="00133BA4">
        <w:rPr>
          <w:noProof w:val="0"/>
          <w:lang w:val="en-GB"/>
        </w:rPr>
        <w:br/>
        <w:t>of services</w:t>
      </w:r>
      <w:r w:rsidR="00D72F40" w:rsidRPr="00133BA4">
        <w:rPr>
          <w:lang w:val="en-GB"/>
        </w:rPr>
        <w:t xml:space="preserve"> by</w:t>
      </w:r>
      <w:r w:rsidR="00D72F40" w:rsidRPr="00133BA4">
        <w:rPr>
          <w:lang w:val="en-GB" w:eastAsia="en-GB"/>
        </w:rPr>
        <w:t xml:space="preserve"> </w:t>
      </w:r>
      <w:r w:rsidR="005C5EF8" w:rsidRPr="00D72F40">
        <w:rPr>
          <w:lang w:val="en-GB" w:eastAsia="en-GB"/>
        </w:rPr>
        <w:t>6,</w:t>
      </w:r>
      <w:r w:rsidR="009F0CD2" w:rsidRPr="00D72F40">
        <w:rPr>
          <w:lang w:val="en-GB" w:eastAsia="en-GB"/>
        </w:rPr>
        <w:t>8</w:t>
      </w:r>
      <w:r w:rsidR="009A1431" w:rsidRPr="00D72F40">
        <w:rPr>
          <w:lang w:val="en-GB" w:eastAsia="en-GB"/>
        </w:rPr>
        <w:t xml:space="preserve">% </w:t>
      </w:r>
      <w:r w:rsidR="00D72F40">
        <w:rPr>
          <w:lang w:val="en-GB" w:eastAsia="en-GB"/>
        </w:rPr>
        <w:t xml:space="preserve">and goods by </w:t>
      </w:r>
      <w:r w:rsidR="00B74022" w:rsidRPr="00D72F40">
        <w:rPr>
          <w:lang w:val="en-GB" w:eastAsia="en-GB"/>
        </w:rPr>
        <w:t>o 4,1</w:t>
      </w:r>
      <w:r w:rsidR="00B37F5A" w:rsidRPr="00D72F40">
        <w:rPr>
          <w:lang w:val="en-GB" w:eastAsia="en-GB"/>
        </w:rPr>
        <w:t>%).</w:t>
      </w:r>
    </w:p>
    <w:p w:rsidR="00370D51" w:rsidRPr="00D72F40" w:rsidRDefault="00D72F40" w:rsidP="00B37F5A">
      <w:pPr>
        <w:pStyle w:val="LID"/>
        <w:spacing w:before="0" w:after="0"/>
        <w:rPr>
          <w:lang w:val="en-GB" w:eastAsia="en-GB"/>
        </w:rPr>
      </w:pPr>
      <w:r w:rsidRPr="00133BA4">
        <w:rPr>
          <w:noProof w:val="0"/>
          <w:spacing w:val="-4"/>
          <w:lang w:val="en-GB" w:eastAsia="en-GB"/>
        </w:rPr>
        <w:t xml:space="preserve">As related to the previous month consumer prices </w:t>
      </w:r>
      <w:r w:rsidRPr="00133BA4">
        <w:rPr>
          <w:noProof w:val="0"/>
          <w:spacing w:val="-4"/>
          <w:lang w:val="en-GB" w:eastAsia="en-GB"/>
        </w:rPr>
        <w:br/>
        <w:t>increased by</w:t>
      </w:r>
      <w:r w:rsidRPr="00133BA4">
        <w:rPr>
          <w:noProof w:val="0"/>
          <w:lang w:val="en-GB"/>
        </w:rPr>
        <w:t xml:space="preserve"> </w:t>
      </w:r>
      <w:r w:rsidR="00B74022" w:rsidRPr="00D72F40">
        <w:rPr>
          <w:lang w:val="en-GB" w:eastAsia="en-GB"/>
        </w:rPr>
        <w:t>0,3</w:t>
      </w:r>
      <w:r w:rsidR="00B37F5A" w:rsidRPr="00D72F40">
        <w:rPr>
          <w:lang w:val="en-GB" w:eastAsia="en-GB"/>
        </w:rPr>
        <w:t>% (</w:t>
      </w:r>
      <w:r w:rsidRPr="00133BA4">
        <w:rPr>
          <w:noProof w:val="0"/>
          <w:lang w:val="en-GB"/>
        </w:rPr>
        <w:t xml:space="preserve">of which goods </w:t>
      </w:r>
      <w:r>
        <w:rPr>
          <w:noProof w:val="0"/>
          <w:lang w:val="en-GB"/>
        </w:rPr>
        <w:t xml:space="preserve">and services </w:t>
      </w:r>
      <w:r w:rsidR="00B66B66">
        <w:rPr>
          <w:noProof w:val="0"/>
          <w:lang w:val="en-GB"/>
        </w:rPr>
        <w:br/>
      </w:r>
      <w:r>
        <w:rPr>
          <w:noProof w:val="0"/>
          <w:lang w:val="en-GB"/>
        </w:rPr>
        <w:t xml:space="preserve">by </w:t>
      </w:r>
      <w:r w:rsidR="009A1431" w:rsidRPr="00D72F40">
        <w:rPr>
          <w:lang w:val="en-GB" w:eastAsia="en-GB"/>
        </w:rPr>
        <w:t>0,3</w:t>
      </w:r>
      <w:r w:rsidR="00BC50F0" w:rsidRPr="00D72F40">
        <w:rPr>
          <w:lang w:val="en-GB" w:eastAsia="en-GB"/>
        </w:rPr>
        <w:t>%</w:t>
      </w:r>
      <w:r>
        <w:rPr>
          <w:lang w:val="en-GB" w:eastAsia="en-GB"/>
        </w:rPr>
        <w:t xml:space="preserve"> each</w:t>
      </w:r>
      <w:r w:rsidR="00BC50F0" w:rsidRPr="00D72F40">
        <w:rPr>
          <w:lang w:val="en-GB" w:eastAsia="en-GB"/>
        </w:rPr>
        <w:t>).</w:t>
      </w: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9E3F12" w:rsidRPr="00D72F40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B66B66" w:rsidRDefault="00B66B66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 xml:space="preserve">Table 1. Consumer price indices in </w:t>
      </w:r>
      <w:r>
        <w:rPr>
          <w:lang w:val="en-GB"/>
        </w:rPr>
        <w:t xml:space="preserve">May </w:t>
      </w:r>
      <w:r w:rsidR="007C161B" w:rsidRPr="00B66B66">
        <w:rPr>
          <w:lang w:val="en-GB"/>
        </w:rPr>
        <w:t>2021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6"/>
        <w:gridCol w:w="998"/>
        <w:gridCol w:w="999"/>
        <w:gridCol w:w="1002"/>
        <w:gridCol w:w="1028"/>
        <w:gridCol w:w="1170"/>
      </w:tblGrid>
      <w:tr w:rsidR="00260F39" w:rsidRPr="00FD11D4" w:rsidTr="00B66B66">
        <w:trPr>
          <w:cantSplit/>
          <w:trHeight w:val="367"/>
        </w:trPr>
        <w:tc>
          <w:tcPr>
            <w:tcW w:w="3086" w:type="dxa"/>
            <w:vMerge w:val="restart"/>
            <w:vAlign w:val="center"/>
          </w:tcPr>
          <w:p w:rsidR="00260F39" w:rsidRPr="00FD11D4" w:rsidRDefault="00B66B66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99" w:type="dxa"/>
            <w:gridSpan w:val="3"/>
            <w:vAlign w:val="center"/>
          </w:tcPr>
          <w:p w:rsidR="00260F39" w:rsidRPr="00FD11D4" w:rsidRDefault="006B7686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05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028" w:type="dxa"/>
          </w:tcPr>
          <w:p w:rsidR="00260F39" w:rsidRPr="00FD11D4" w:rsidRDefault="006B768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01-05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D20C21" w:rsidRDefault="00B66B6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260F39" w:rsidRPr="00FD11D4" w:rsidRDefault="000769B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04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B66B66">
        <w:trPr>
          <w:cantSplit/>
          <w:trHeight w:val="57"/>
        </w:trPr>
        <w:tc>
          <w:tcPr>
            <w:tcW w:w="3086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8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327D1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05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9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0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953726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04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8" w:type="dxa"/>
            <w:tcBorders>
              <w:bottom w:val="single" w:sz="12" w:space="0" w:color="212492"/>
            </w:tcBorders>
          </w:tcPr>
          <w:p w:rsidR="00260F39" w:rsidRPr="00FD11D4" w:rsidRDefault="006B7686" w:rsidP="006B7686">
            <w:pPr>
              <w:keepNext/>
              <w:tabs>
                <w:tab w:val="right" w:leader="dot" w:pos="4139"/>
              </w:tabs>
              <w:spacing w:after="0"/>
              <w:ind w:right="-108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01-05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6B66" w:rsidRPr="00133BA4" w:rsidRDefault="00B66B66" w:rsidP="00B66B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  <w:rPr>
                <w:b/>
              </w:rPr>
            </w:pPr>
            <w:r w:rsidRPr="00FD11D4">
              <w:rPr>
                <w:b/>
              </w:rPr>
              <w:t>104,7</w:t>
            </w:r>
          </w:p>
        </w:tc>
        <w:tc>
          <w:tcPr>
            <w:tcW w:w="99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  <w:rPr>
                <w:b/>
              </w:rPr>
            </w:pPr>
            <w:r w:rsidRPr="00FD11D4">
              <w:rPr>
                <w:b/>
              </w:rPr>
              <w:t>103,9</w:t>
            </w:r>
          </w:p>
        </w:tc>
        <w:tc>
          <w:tcPr>
            <w:tcW w:w="100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  <w:rPr>
                <w:b/>
              </w:rPr>
            </w:pPr>
            <w:r w:rsidRPr="00FD11D4">
              <w:rPr>
                <w:b/>
              </w:rPr>
              <w:t>100,3</w:t>
            </w:r>
          </w:p>
        </w:tc>
        <w:tc>
          <w:tcPr>
            <w:tcW w:w="102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  <w:rPr>
                <w:b/>
              </w:rPr>
            </w:pPr>
            <w:r w:rsidRPr="00FD11D4">
              <w:rPr>
                <w:b/>
              </w:rPr>
              <w:t>103,5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66B66" w:rsidRPr="00FD11D4" w:rsidRDefault="00B66B66" w:rsidP="00B66B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101,7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104,9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100,6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101,0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0,16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101,8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101,6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100,2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0,01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100,8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102,1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100,2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98,5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0,01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106,0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104,3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100,3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106,3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0,07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103,0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102,0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100,5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0,03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102,6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101,3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100,6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103,7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0,03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119,5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109,9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99,6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106,6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-0,04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106,6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103,4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99,1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106,5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-0,05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105,7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102,8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100,4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104,7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0,02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105,8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100,8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100,0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105,5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0,00</w:t>
            </w:r>
          </w:p>
        </w:tc>
      </w:tr>
      <w:tr w:rsidR="00B66B66" w:rsidRPr="00FD11D4" w:rsidTr="00B66B66">
        <w:trPr>
          <w:cantSplit/>
          <w:trHeight w:val="57"/>
        </w:trPr>
        <w:tc>
          <w:tcPr>
            <w:tcW w:w="30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105,0</w:t>
            </w:r>
          </w:p>
        </w:tc>
        <w:tc>
          <w:tcPr>
            <w:tcW w:w="9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102,3</w:t>
            </w:r>
          </w:p>
        </w:tc>
        <w:tc>
          <w:tcPr>
            <w:tcW w:w="10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100,9</w:t>
            </w:r>
          </w:p>
        </w:tc>
        <w:tc>
          <w:tcPr>
            <w:tcW w:w="102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104,9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0,04</w:t>
            </w:r>
          </w:p>
        </w:tc>
      </w:tr>
      <w:tr w:rsidR="00B66B66" w:rsidRPr="00FD11D4" w:rsidTr="00B66B66">
        <w:trPr>
          <w:cantSplit/>
          <w:trHeight w:val="445"/>
        </w:trPr>
        <w:tc>
          <w:tcPr>
            <w:tcW w:w="3086" w:type="dxa"/>
            <w:tcBorders>
              <w:top w:val="single" w:sz="4" w:space="0" w:color="212492"/>
              <w:bottom w:val="nil"/>
            </w:tcBorders>
            <w:vAlign w:val="center"/>
          </w:tcPr>
          <w:p w:rsidR="00B66B66" w:rsidRPr="00133BA4" w:rsidRDefault="00B66B66" w:rsidP="00B66B6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8" w:type="dxa"/>
            <w:tcBorders>
              <w:top w:val="single" w:sz="4" w:space="0" w:color="212492"/>
              <w:bottom w:val="nil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101,6</w:t>
            </w:r>
          </w:p>
        </w:tc>
        <w:tc>
          <w:tcPr>
            <w:tcW w:w="999" w:type="dxa"/>
            <w:tcBorders>
              <w:top w:val="single" w:sz="4" w:space="0" w:color="212492"/>
              <w:bottom w:val="nil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100,4</w:t>
            </w:r>
          </w:p>
        </w:tc>
        <w:tc>
          <w:tcPr>
            <w:tcW w:w="1002" w:type="dxa"/>
            <w:tcBorders>
              <w:top w:val="single" w:sz="4" w:space="0" w:color="212492"/>
              <w:bottom w:val="nil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100,4</w:t>
            </w:r>
          </w:p>
        </w:tc>
        <w:tc>
          <w:tcPr>
            <w:tcW w:w="1028" w:type="dxa"/>
            <w:tcBorders>
              <w:top w:val="single" w:sz="4" w:space="0" w:color="212492"/>
              <w:bottom w:val="nil"/>
            </w:tcBorders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102,2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66B66" w:rsidRPr="00FD11D4" w:rsidRDefault="00B66B66" w:rsidP="00B66B66">
            <w:pPr>
              <w:jc w:val="right"/>
            </w:pPr>
            <w:r w:rsidRPr="00FD11D4">
              <w:t>0,02</w:t>
            </w:r>
          </w:p>
        </w:tc>
      </w:tr>
    </w:tbl>
    <w:p w:rsidR="00A07F00" w:rsidRPr="00B66B66" w:rsidRDefault="00B66B66" w:rsidP="00E37F13">
      <w:pPr>
        <w:pStyle w:val="Nagwek1"/>
        <w:spacing w:before="480" w:line="240" w:lineRule="exact"/>
        <w:rPr>
          <w:lang w:val="en-GB"/>
        </w:rPr>
      </w:pPr>
      <w:r w:rsidRPr="00133BA4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980F01" w:rsidRDefault="00B66B66" w:rsidP="00C23F3B">
      <w:pPr>
        <w:spacing w:before="0" w:after="0"/>
        <w:rPr>
          <w:spacing w:val="-2"/>
          <w:lang w:val="en-GB"/>
        </w:rPr>
      </w:pPr>
      <w:r w:rsidRPr="00B66B66">
        <w:rPr>
          <w:spacing w:val="-2"/>
          <w:lang w:val="en-GB"/>
        </w:rPr>
        <w:t xml:space="preserve">In May </w:t>
      </w:r>
      <w:r w:rsidRPr="00D20456">
        <w:rPr>
          <w:lang w:val="en-GB"/>
        </w:rPr>
        <w:t xml:space="preserve">of the current year, compared with the previous month, the highest contribution to the total consumer price index came from higher prices of </w:t>
      </w:r>
      <w:r>
        <w:rPr>
          <w:lang w:val="en-GB"/>
        </w:rPr>
        <w:t>Food</w:t>
      </w:r>
      <w:r w:rsidR="00DF5C74" w:rsidRPr="00B66B66">
        <w:rPr>
          <w:spacing w:val="-2"/>
          <w:lang w:val="en-GB"/>
        </w:rPr>
        <w:t xml:space="preserve"> </w:t>
      </w:r>
      <w:r w:rsidR="00C662A5" w:rsidRPr="00B66B66">
        <w:rPr>
          <w:spacing w:val="-2"/>
          <w:lang w:val="en-GB"/>
        </w:rPr>
        <w:t>(</w:t>
      </w:r>
      <w:r>
        <w:rPr>
          <w:spacing w:val="-2"/>
          <w:lang w:val="en-GB"/>
        </w:rPr>
        <w:t>by</w:t>
      </w:r>
      <w:r w:rsidR="0022312E" w:rsidRPr="00B66B66">
        <w:rPr>
          <w:spacing w:val="-2"/>
          <w:lang w:val="en-GB"/>
        </w:rPr>
        <w:t xml:space="preserve"> </w:t>
      </w:r>
      <w:r w:rsidR="00EB485C" w:rsidRPr="00B66B66">
        <w:rPr>
          <w:spacing w:val="-2"/>
          <w:lang w:val="en-GB"/>
        </w:rPr>
        <w:t>0</w:t>
      </w:r>
      <w:r w:rsidR="00F34A33" w:rsidRPr="00B66B66">
        <w:rPr>
          <w:spacing w:val="-2"/>
          <w:lang w:val="en-GB"/>
        </w:rPr>
        <w:t>,6</w:t>
      </w:r>
      <w:r w:rsidR="0022312E" w:rsidRPr="00B66B66">
        <w:rPr>
          <w:spacing w:val="-2"/>
          <w:lang w:val="en-GB"/>
        </w:rPr>
        <w:t>%)</w:t>
      </w:r>
      <w:r w:rsidR="00EB485C" w:rsidRPr="00B66B66">
        <w:rPr>
          <w:spacing w:val="-2"/>
          <w:lang w:val="en-GB"/>
        </w:rPr>
        <w:t xml:space="preserve"> </w:t>
      </w:r>
      <w:r w:rsidR="009B093A">
        <w:rPr>
          <w:spacing w:val="-2"/>
          <w:lang w:val="en-GB"/>
        </w:rPr>
        <w:t>and related to </w:t>
      </w:r>
      <w:r>
        <w:rPr>
          <w:spacing w:val="-2"/>
          <w:lang w:val="en-GB"/>
        </w:rPr>
        <w:t>Dwelling (by</w:t>
      </w:r>
      <w:r w:rsidR="00EB485C" w:rsidRPr="00B66B66">
        <w:rPr>
          <w:spacing w:val="-2"/>
          <w:lang w:val="en-GB"/>
        </w:rPr>
        <w:t xml:space="preserve"> 0</w:t>
      </w:r>
      <w:r w:rsidR="00D329DC" w:rsidRPr="00B66B66">
        <w:rPr>
          <w:spacing w:val="-2"/>
          <w:lang w:val="en-GB"/>
        </w:rPr>
        <w:t>,</w:t>
      </w:r>
      <w:r w:rsidR="00783B68" w:rsidRPr="00B66B66">
        <w:rPr>
          <w:spacing w:val="-2"/>
          <w:lang w:val="en-GB"/>
        </w:rPr>
        <w:t>4</w:t>
      </w:r>
      <w:r w:rsidR="00DF5C74" w:rsidRPr="00B66B66">
        <w:rPr>
          <w:spacing w:val="-2"/>
          <w:lang w:val="en-GB"/>
        </w:rPr>
        <w:t>%)</w:t>
      </w:r>
      <w:r w:rsidR="00A07F00" w:rsidRPr="00B66B66">
        <w:rPr>
          <w:spacing w:val="-2"/>
          <w:lang w:val="en-GB"/>
        </w:rPr>
        <w:t xml:space="preserve">, </w:t>
      </w:r>
      <w:r w:rsidRPr="00D20456">
        <w:rPr>
          <w:lang w:val="en-GB"/>
        </w:rPr>
        <w:t xml:space="preserve">which increased the index by </w:t>
      </w:r>
      <w:r w:rsidR="00CF4349" w:rsidRPr="00B66B66">
        <w:rPr>
          <w:spacing w:val="-2"/>
          <w:lang w:val="en-GB"/>
        </w:rPr>
        <w:t>0,</w:t>
      </w:r>
      <w:r w:rsidR="00EB485C" w:rsidRPr="00B66B66">
        <w:rPr>
          <w:spacing w:val="-2"/>
          <w:lang w:val="en-GB"/>
        </w:rPr>
        <w:t>16</w:t>
      </w:r>
      <w:r w:rsidR="00393E03" w:rsidRPr="00B66B66">
        <w:rPr>
          <w:spacing w:val="-2"/>
          <w:lang w:val="en-GB"/>
        </w:rPr>
        <w:t xml:space="preserve"> </w:t>
      </w:r>
      <w:r w:rsidR="00A07F00" w:rsidRPr="00B66B66">
        <w:rPr>
          <w:spacing w:val="-2"/>
          <w:lang w:val="en-GB"/>
        </w:rPr>
        <w:t>p</w:t>
      </w:r>
      <w:r>
        <w:rPr>
          <w:spacing w:val="-2"/>
          <w:lang w:val="en-GB"/>
        </w:rPr>
        <w:t>p and</w:t>
      </w:r>
      <w:r w:rsidR="009B093A">
        <w:rPr>
          <w:spacing w:val="-2"/>
          <w:lang w:val="en-GB"/>
        </w:rPr>
        <w:t xml:space="preserve"> </w:t>
      </w:r>
      <w:r w:rsidR="00432D34" w:rsidRPr="00B66B66">
        <w:rPr>
          <w:spacing w:val="-2"/>
          <w:lang w:val="en-GB"/>
        </w:rPr>
        <w:t>0,</w:t>
      </w:r>
      <w:r w:rsidR="00783B68" w:rsidRPr="00B66B66">
        <w:rPr>
          <w:spacing w:val="-2"/>
          <w:lang w:val="en-GB"/>
        </w:rPr>
        <w:t>10</w:t>
      </w:r>
      <w:r w:rsidR="00393E03" w:rsidRPr="00B66B66">
        <w:rPr>
          <w:spacing w:val="-2"/>
          <w:lang w:val="en-GB"/>
        </w:rPr>
        <w:t xml:space="preserve"> p</w:t>
      </w:r>
      <w:r>
        <w:rPr>
          <w:spacing w:val="-2"/>
          <w:lang w:val="en-GB"/>
        </w:rPr>
        <w:t>p, respectively</w:t>
      </w:r>
      <w:r w:rsidR="00A07F00" w:rsidRPr="00B66B66">
        <w:rPr>
          <w:spacing w:val="-2"/>
          <w:lang w:val="en-GB"/>
        </w:rPr>
        <w:t>.</w:t>
      </w:r>
      <w:r w:rsidR="00DA2264" w:rsidRPr="00B66B66">
        <w:rPr>
          <w:spacing w:val="-2"/>
          <w:lang w:val="en-GB"/>
        </w:rPr>
        <w:t xml:space="preserve"> </w:t>
      </w:r>
      <w:r w:rsidRPr="00980F01">
        <w:rPr>
          <w:spacing w:val="-2"/>
          <w:lang w:val="en-GB"/>
        </w:rPr>
        <w:t>Lower prices related to Communication (by</w:t>
      </w:r>
      <w:r w:rsidR="00DA2264" w:rsidRPr="00980F01">
        <w:rPr>
          <w:spacing w:val="-2"/>
          <w:lang w:val="en-GB"/>
        </w:rPr>
        <w:t xml:space="preserve"> 0,9%) </w:t>
      </w:r>
      <w:r w:rsidRPr="00980F01">
        <w:rPr>
          <w:spacing w:val="-2"/>
          <w:lang w:val="en-GB"/>
        </w:rPr>
        <w:t>and Transport (by</w:t>
      </w:r>
      <w:r w:rsidR="007B4A2D" w:rsidRPr="00980F01">
        <w:rPr>
          <w:spacing w:val="-2"/>
          <w:lang w:val="en-GB"/>
        </w:rPr>
        <w:t xml:space="preserve"> 0,4%) </w:t>
      </w:r>
      <w:r w:rsidR="00980F01" w:rsidRPr="00980F01">
        <w:rPr>
          <w:spacing w:val="-2"/>
          <w:lang w:val="en-GB"/>
        </w:rPr>
        <w:t>decreased the index by</w:t>
      </w:r>
      <w:r w:rsidR="009B093A">
        <w:rPr>
          <w:spacing w:val="-2"/>
          <w:lang w:val="en-GB"/>
        </w:rPr>
        <w:t> </w:t>
      </w:r>
      <w:r w:rsidR="00DA2264" w:rsidRPr="00980F01">
        <w:rPr>
          <w:lang w:val="en-GB"/>
        </w:rPr>
        <w:t>0,0</w:t>
      </w:r>
      <w:r w:rsidR="007B4A2D" w:rsidRPr="00980F01">
        <w:rPr>
          <w:lang w:val="en-GB"/>
        </w:rPr>
        <w:t>5</w:t>
      </w:r>
      <w:r w:rsidR="00DA2264" w:rsidRPr="00980F01">
        <w:rPr>
          <w:lang w:val="en-GB"/>
        </w:rPr>
        <w:t xml:space="preserve"> p</w:t>
      </w:r>
      <w:r w:rsidR="00980F01">
        <w:rPr>
          <w:lang w:val="en-GB"/>
        </w:rPr>
        <w:t xml:space="preserve">p and </w:t>
      </w:r>
      <w:r w:rsidR="007B4A2D" w:rsidRPr="00980F01">
        <w:rPr>
          <w:lang w:val="en-GB"/>
        </w:rPr>
        <w:t>0,04 p</w:t>
      </w:r>
      <w:r w:rsidR="00980F01">
        <w:rPr>
          <w:lang w:val="en-GB"/>
        </w:rPr>
        <w:t>p, respectively</w:t>
      </w:r>
      <w:r w:rsidR="00DA2264" w:rsidRPr="00980F01">
        <w:rPr>
          <w:lang w:val="en-GB"/>
        </w:rPr>
        <w:t>.</w:t>
      </w:r>
    </w:p>
    <w:p w:rsidR="00A55B73" w:rsidRPr="00980F01" w:rsidRDefault="00980F01" w:rsidP="00934246">
      <w:pPr>
        <w:spacing w:before="0" w:after="0"/>
        <w:rPr>
          <w:spacing w:val="-2"/>
          <w:lang w:val="en-GB"/>
        </w:rPr>
      </w:pPr>
      <w:r w:rsidRPr="00D20456">
        <w:rPr>
          <w:color w:val="000000" w:themeColor="text1"/>
          <w:lang w:val="en-GB"/>
        </w:rPr>
        <w:t>Compared with the corresponding month of the previous year, higher prices related to </w:t>
      </w:r>
      <w:r>
        <w:rPr>
          <w:spacing w:val="-2"/>
          <w:lang w:val="en-GB"/>
        </w:rPr>
        <w:t>Transport</w:t>
      </w:r>
      <w:r w:rsidR="00AF7617" w:rsidRPr="00980F01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(by</w:t>
      </w:r>
      <w:r w:rsidR="00A07F00" w:rsidRPr="00980F01">
        <w:rPr>
          <w:spacing w:val="-2"/>
          <w:lang w:val="en-GB"/>
        </w:rPr>
        <w:t> </w:t>
      </w:r>
      <w:r w:rsidR="00D329DC" w:rsidRPr="00980F01">
        <w:rPr>
          <w:spacing w:val="-2"/>
          <w:lang w:val="en-GB"/>
        </w:rPr>
        <w:t>19,5</w:t>
      </w:r>
      <w:r w:rsidR="00674A8B" w:rsidRPr="00980F01">
        <w:rPr>
          <w:spacing w:val="-2"/>
          <w:lang w:val="en-GB"/>
        </w:rPr>
        <w:t>%)</w:t>
      </w:r>
      <w:r>
        <w:rPr>
          <w:spacing w:val="-2"/>
          <w:lang w:val="en-GB"/>
        </w:rPr>
        <w:t xml:space="preserve"> and Dwelling (by</w:t>
      </w:r>
      <w:r w:rsidR="00AF7617" w:rsidRPr="00980F01">
        <w:rPr>
          <w:spacing w:val="-2"/>
          <w:lang w:val="en-GB"/>
        </w:rPr>
        <w:t xml:space="preserve"> 5,</w:t>
      </w:r>
      <w:r w:rsidR="00CD32D0" w:rsidRPr="00980F01">
        <w:rPr>
          <w:spacing w:val="-2"/>
          <w:lang w:val="en-GB"/>
        </w:rPr>
        <w:t>3</w:t>
      </w:r>
      <w:r w:rsidR="003A0271" w:rsidRPr="00980F01">
        <w:rPr>
          <w:spacing w:val="-2"/>
          <w:lang w:val="en-GB"/>
        </w:rPr>
        <w:t xml:space="preserve">%) </w:t>
      </w:r>
      <w:r w:rsidR="001A7E22" w:rsidRPr="00D20456">
        <w:rPr>
          <w:lang w:val="en-GB"/>
        </w:rPr>
        <w:t xml:space="preserve">increased the consumer price index by </w:t>
      </w:r>
      <w:r w:rsidR="003A4977" w:rsidRPr="00980F01">
        <w:rPr>
          <w:spacing w:val="-2"/>
          <w:lang w:val="en-GB"/>
        </w:rPr>
        <w:t>1,</w:t>
      </w:r>
      <w:r w:rsidR="00D03342" w:rsidRPr="00980F01">
        <w:rPr>
          <w:spacing w:val="-2"/>
          <w:lang w:val="en-GB"/>
        </w:rPr>
        <w:t>62</w:t>
      </w:r>
      <w:r w:rsidR="001A7E22">
        <w:rPr>
          <w:spacing w:val="-2"/>
          <w:lang w:val="en-GB"/>
        </w:rPr>
        <w:t xml:space="preserve"> p</w:t>
      </w:r>
      <w:r w:rsidR="00A07F00" w:rsidRPr="00980F01">
        <w:rPr>
          <w:spacing w:val="-2"/>
          <w:lang w:val="en-GB"/>
        </w:rPr>
        <w:t>p</w:t>
      </w:r>
      <w:r w:rsidR="001A7E22">
        <w:rPr>
          <w:spacing w:val="-2"/>
          <w:lang w:val="en-GB"/>
        </w:rPr>
        <w:t xml:space="preserve"> and </w:t>
      </w:r>
      <w:r w:rsidR="00445F90" w:rsidRPr="00980F01">
        <w:rPr>
          <w:spacing w:val="-2"/>
          <w:lang w:val="en-GB"/>
        </w:rPr>
        <w:t>1,</w:t>
      </w:r>
      <w:r w:rsidR="00D03342" w:rsidRPr="00980F01">
        <w:rPr>
          <w:spacing w:val="-2"/>
          <w:lang w:val="en-GB"/>
        </w:rPr>
        <w:t>32</w:t>
      </w:r>
      <w:r w:rsidR="0066616C" w:rsidRPr="00980F01">
        <w:rPr>
          <w:spacing w:val="-2"/>
          <w:lang w:val="en-GB"/>
        </w:rPr>
        <w:t> </w:t>
      </w:r>
      <w:r w:rsidR="003A0271" w:rsidRPr="00980F01">
        <w:rPr>
          <w:spacing w:val="-2"/>
          <w:lang w:val="en-GB"/>
        </w:rPr>
        <w:t>p</w:t>
      </w:r>
      <w:r w:rsidR="001A7E22">
        <w:rPr>
          <w:spacing w:val="-2"/>
          <w:lang w:val="en-GB"/>
        </w:rPr>
        <w:t>p, respectively</w:t>
      </w:r>
      <w:r w:rsidR="003A0271" w:rsidRPr="00980F01">
        <w:rPr>
          <w:spacing w:val="-2"/>
          <w:lang w:val="en-GB"/>
        </w:rPr>
        <w:t>.</w:t>
      </w:r>
    </w:p>
    <w:p w:rsidR="00934246" w:rsidRPr="00980F01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9F17CE" w:rsidRDefault="009F17CE" w:rsidP="0080551D">
      <w:pPr>
        <w:pStyle w:val="tytuwykresu"/>
        <w:ind w:left="794" w:hanging="794"/>
        <w:rPr>
          <w:noProof/>
          <w:lang w:val="en-GB" w:eastAsia="en-GB"/>
        </w:rPr>
      </w:pPr>
    </w:p>
    <w:p w:rsidR="00A07F00" w:rsidRPr="001A7E22" w:rsidRDefault="002919A5" w:rsidP="00C441AB">
      <w:pPr>
        <w:pStyle w:val="tytuwykresu"/>
        <w:ind w:left="652" w:hanging="652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5216" behindDoc="0" locked="0" layoutInCell="1" allowOverlap="1" wp14:anchorId="15968AD9" wp14:editId="4B59677F">
            <wp:simplePos x="0" y="0"/>
            <wp:positionH relativeFrom="column">
              <wp:posOffset>3810</wp:posOffset>
            </wp:positionH>
            <wp:positionV relativeFrom="paragraph">
              <wp:posOffset>469265</wp:posOffset>
            </wp:positionV>
            <wp:extent cx="5122545" cy="2141855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133BA4">
        <w:rPr>
          <w:noProof/>
          <w:lang w:val="en-GB" w:eastAsia="en-GB"/>
        </w:rPr>
        <w:t xml:space="preserve">Chart 1. Contribution of price changes of </w:t>
      </w:r>
      <w:r w:rsidR="001A7E22" w:rsidRPr="00C441AB">
        <w:rPr>
          <w:noProof/>
          <w:lang w:val="en-GB" w:eastAsia="en-GB"/>
        </w:rPr>
        <w:t xml:space="preserve">selected groups of consumer goods and services </w:t>
      </w:r>
      <w:r w:rsidR="007379EB">
        <w:rPr>
          <w:noProof/>
          <w:lang w:val="en-GB" w:eastAsia="en-GB"/>
        </w:rPr>
        <w:br/>
      </w:r>
      <w:r w:rsidR="001A7E22" w:rsidRPr="00C441AB">
        <w:rPr>
          <w:noProof/>
          <w:lang w:val="en-GB" w:eastAsia="en-GB"/>
        </w:rPr>
        <w:t>in </w:t>
      </w:r>
      <w:r w:rsidR="001A7E22" w:rsidRPr="00C441AB">
        <w:rPr>
          <w:noProof/>
          <w:lang w:val="en-GB" w:eastAsia="en-GB"/>
        </w:rPr>
        <w:t xml:space="preserve">May </w:t>
      </w:r>
      <w:r w:rsidR="001A7E22" w:rsidRPr="00C441AB">
        <w:rPr>
          <w:noProof/>
          <w:lang w:val="en-GB" w:eastAsia="en-GB"/>
        </w:rPr>
        <w:t>2021 (change in pp compared with the previous per</w:t>
      </w:r>
      <w:bookmarkStart w:id="0" w:name="_GoBack"/>
      <w:bookmarkEnd w:id="0"/>
      <w:r w:rsidR="001A7E22" w:rsidRPr="00C441AB">
        <w:rPr>
          <w:noProof/>
          <w:lang w:val="en-GB" w:eastAsia="en-GB"/>
        </w:rPr>
        <w:t>iod)</w:t>
      </w:r>
    </w:p>
    <w:p w:rsidR="00A55B73" w:rsidRPr="001A7E22" w:rsidRDefault="00A55B73" w:rsidP="007B2CB7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9F17CE" w:rsidRDefault="009F17CE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1A7E22" w:rsidRDefault="002919A5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133BA4"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 wp14:anchorId="3FE4439C" wp14:editId="330294A9">
            <wp:simplePos x="0" y="0"/>
            <wp:positionH relativeFrom="column">
              <wp:posOffset>1905</wp:posOffset>
            </wp:positionH>
            <wp:positionV relativeFrom="paragraph">
              <wp:posOffset>389890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133BA4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="001A7E22" w:rsidRPr="00133BA4">
        <w:rPr>
          <w:noProof/>
          <w:lang w:val="en-GB" w:eastAsia="en-GB"/>
        </w:rPr>
        <w:t xml:space="preserve"> </w:t>
      </w:r>
      <w:r w:rsidR="001A7E22" w:rsidRPr="00133BA4">
        <w:rPr>
          <w:b/>
          <w:spacing w:val="-2"/>
          <w:sz w:val="18"/>
          <w:lang w:val="en-GB"/>
        </w:rPr>
        <w:t>2021</w:t>
      </w:r>
    </w:p>
    <w:p w:rsidR="0022272D" w:rsidRPr="001A7E22" w:rsidRDefault="0022272D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A55B73" w:rsidRPr="001A7E22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1A7E22">
        <w:rPr>
          <w:lang w:val="en-GB"/>
        </w:rPr>
        <w:br w:type="page"/>
      </w:r>
    </w:p>
    <w:p w:rsidR="003A440F" w:rsidRPr="001A7E22" w:rsidRDefault="00917264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FD11D4">
        <w:rPr>
          <w:noProof/>
          <w:lang w:val="en-GB" w:eastAsia="en-GB"/>
        </w:rPr>
        <w:lastRenderedPageBreak/>
        <w:drawing>
          <wp:anchor distT="0" distB="0" distL="114300" distR="114300" simplePos="0" relativeHeight="251778048" behindDoc="0" locked="0" layoutInCell="1" allowOverlap="1" wp14:anchorId="050DDAD5" wp14:editId="7F90E322">
            <wp:simplePos x="0" y="0"/>
            <wp:positionH relativeFrom="column">
              <wp:posOffset>3810</wp:posOffset>
            </wp:positionH>
            <wp:positionV relativeFrom="paragraph">
              <wp:posOffset>242570</wp:posOffset>
            </wp:positionV>
            <wp:extent cx="5122545" cy="2496185"/>
            <wp:effectExtent l="0" t="0" r="1905" b="184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133BA4">
        <w:rPr>
          <w:lang w:val="en-GB"/>
        </w:rPr>
        <w:t>Chart 3.</w:t>
      </w:r>
      <w:r w:rsidR="001A7E22" w:rsidRPr="00133BA4">
        <w:rPr>
          <w:shd w:val="clear" w:color="auto" w:fill="FFFFFF"/>
          <w:lang w:val="en-GB"/>
        </w:rPr>
        <w:t xml:space="preserve"> Changes in consumer prices as related to </w:t>
      </w:r>
      <w:r w:rsidR="001A7E22" w:rsidRPr="00133BA4">
        <w:rPr>
          <w:lang w:val="en-GB"/>
        </w:rPr>
        <w:t>the previous period (in</w:t>
      </w:r>
      <w:r w:rsidR="001A7E22" w:rsidRPr="00133BA4">
        <w:rPr>
          <w:shd w:val="clear" w:color="auto" w:fill="FFFFFF"/>
          <w:lang w:val="en-GB"/>
        </w:rPr>
        <w:t xml:space="preserve"> %)</w:t>
      </w:r>
    </w:p>
    <w:p w:rsidR="006715EE" w:rsidRPr="001A7E22" w:rsidRDefault="006715EE" w:rsidP="00D4654D">
      <w:pPr>
        <w:pStyle w:val="tytuwykresu"/>
        <w:rPr>
          <w:lang w:val="en-GB"/>
        </w:rPr>
      </w:pPr>
    </w:p>
    <w:p w:rsidR="00034160" w:rsidRPr="001A7E22" w:rsidRDefault="00367ACC" w:rsidP="00751D7D">
      <w:pPr>
        <w:pStyle w:val="tytuwykresu"/>
        <w:ind w:left="794" w:hanging="794"/>
        <w:rPr>
          <w:shd w:val="clear" w:color="auto" w:fill="FFFFFF"/>
          <w:lang w:val="en-GB"/>
        </w:rPr>
      </w:pPr>
      <w:r w:rsidRPr="00FD11D4">
        <w:rPr>
          <w:noProof/>
          <w:lang w:val="en-GB" w:eastAsia="en-GB"/>
        </w:rPr>
        <w:drawing>
          <wp:anchor distT="0" distB="0" distL="114300" distR="114300" simplePos="0" relativeHeight="251666944" behindDoc="0" locked="0" layoutInCell="1" allowOverlap="1" wp14:anchorId="746693AC" wp14:editId="1E3C2526">
            <wp:simplePos x="0" y="0"/>
            <wp:positionH relativeFrom="column">
              <wp:posOffset>0</wp:posOffset>
            </wp:positionH>
            <wp:positionV relativeFrom="paragraph">
              <wp:posOffset>382905</wp:posOffset>
            </wp:positionV>
            <wp:extent cx="5110480" cy="2580005"/>
            <wp:effectExtent l="0" t="0" r="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9E3F12"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0469D96E" wp14:editId="6BC71465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E23" w:rsidRPr="004F4BA0" w:rsidRDefault="004F4BA0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May </w:t>
                            </w:r>
                            <w:r w:rsidR="00920E23"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2021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r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mined by the Monetary Pol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920E23" w:rsidRPr="004F4BA0" w:rsidRDefault="004F4BA0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May </w:t>
                      </w:r>
                      <w:r w:rsidR="00920E23"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2021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r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mined by the Monetary Pol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A7E22" w:rsidRPr="00133BA4">
        <w:rPr>
          <w:lang w:val="en-GB"/>
        </w:rPr>
        <w:t>Chart 4.</w:t>
      </w:r>
      <w:r w:rsidR="001A7E22" w:rsidRPr="00133BA4">
        <w:rPr>
          <w:shd w:val="clear" w:color="auto" w:fill="FFFFFF"/>
          <w:lang w:val="en-GB"/>
        </w:rPr>
        <w:t xml:space="preserve"> Changes in c</w:t>
      </w:r>
      <w:r w:rsidR="001A7E22" w:rsidRPr="00133BA4">
        <w:rPr>
          <w:spacing w:val="-4"/>
          <w:lang w:val="en-GB"/>
        </w:rPr>
        <w:t>onsumer prices</w:t>
      </w:r>
      <w:r w:rsidR="001A7E22" w:rsidRPr="00133BA4">
        <w:rPr>
          <w:spacing w:val="-4"/>
          <w:shd w:val="clear" w:color="auto" w:fill="FFFFFF"/>
          <w:lang w:val="en-GB"/>
        </w:rPr>
        <w:t xml:space="preserve"> as related to the </w:t>
      </w:r>
      <w:r w:rsidR="001A7E22" w:rsidRPr="00133BA4">
        <w:rPr>
          <w:spacing w:val="-4"/>
          <w:lang w:val="en-GB"/>
        </w:rPr>
        <w:t>corresponding period of the previous year</w:t>
      </w:r>
      <w:r w:rsidR="001A7E22" w:rsidRPr="00133BA4">
        <w:rPr>
          <w:spacing w:val="-4"/>
          <w:shd w:val="clear" w:color="auto" w:fill="FFFFFF"/>
          <w:lang w:val="en-GB"/>
        </w:rPr>
        <w:t xml:space="preserve"> (in %)</w:t>
      </w:r>
    </w:p>
    <w:p w:rsidR="00367ACC" w:rsidRPr="001A7E22" w:rsidRDefault="00367ACC" w:rsidP="00034160">
      <w:pPr>
        <w:spacing w:before="0" w:after="160" w:line="259" w:lineRule="auto"/>
        <w:rPr>
          <w:sz w:val="18"/>
          <w:highlight w:val="yellow"/>
          <w:lang w:val="en-GB"/>
        </w:rPr>
      </w:pPr>
    </w:p>
    <w:p w:rsidR="00430B36" w:rsidRPr="004F4BA0" w:rsidRDefault="004F4BA0" w:rsidP="00C441AB">
      <w:pPr>
        <w:pStyle w:val="tytuwykresu"/>
        <w:ind w:left="652" w:hanging="652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>Chart 5.</w:t>
      </w:r>
      <w:r w:rsidRPr="00133BA4">
        <w:rPr>
          <w:shd w:val="clear" w:color="auto" w:fill="FFFFFF"/>
          <w:lang w:val="en-GB"/>
        </w:rPr>
        <w:t xml:space="preserve"> Changes in prices according to c</w:t>
      </w:r>
      <w:r w:rsidRPr="00133BA4">
        <w:rPr>
          <w:bCs/>
          <w:shd w:val="clear" w:color="auto" w:fill="FFFFFF"/>
          <w:lang w:val="en-GB"/>
        </w:rPr>
        <w:t xml:space="preserve">onsumer price index (CPI) and harmonised index of </w:t>
      </w:r>
      <w:r w:rsidRPr="00133BA4">
        <w:rPr>
          <w:bCs/>
          <w:shd w:val="clear" w:color="auto" w:fill="FFFFFF"/>
          <w:lang w:val="en-GB"/>
        </w:rPr>
        <w:br/>
        <w:t>consumer prices (HICP) as related to the corresponding period of the previous year (in %)</w:t>
      </w:r>
    </w:p>
    <w:p w:rsidR="00DE775D" w:rsidRPr="004F4BA0" w:rsidRDefault="00F70C4A" w:rsidP="004F4BA0">
      <w:pPr>
        <w:pStyle w:val="tytuwykresu"/>
        <w:rPr>
          <w:bCs/>
          <w:shd w:val="clear" w:color="auto" w:fill="FFFFFF"/>
          <w:lang w:val="en-GB"/>
        </w:rPr>
      </w:pPr>
      <w:r w:rsidRPr="00FD11D4">
        <w:rPr>
          <w:b w:val="0"/>
          <w:noProof/>
          <w:spacing w:val="0"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F6652D0" wp14:editId="2383D399">
                <wp:simplePos x="0" y="0"/>
                <wp:positionH relativeFrom="column">
                  <wp:posOffset>3461385</wp:posOffset>
                </wp:positionH>
                <wp:positionV relativeFrom="paragraph">
                  <wp:posOffset>2318385</wp:posOffset>
                </wp:positionV>
                <wp:extent cx="1315720" cy="207645"/>
                <wp:effectExtent l="0" t="0" r="0" b="0"/>
                <wp:wrapSquare wrapText="bothSides"/>
                <wp:docPr id="1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720" cy="2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0E23" w:rsidRDefault="00920E23" w:rsidP="0035008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  <w:lang w:val="pl-PL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272.55pt;margin-top:182.55pt;width:103.6pt;height:16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" filled="f" stroked="f">
                <v:textbox>
                  <w:txbxContent>
                    <w:p w:rsidR="00920E23" w:rsidRDefault="00920E23" w:rsidP="0035008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  <w:lang w:val="pl-PL"/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D11D4">
        <w:rPr>
          <w:noProof/>
          <w:lang w:val="en-GB" w:eastAsia="en-GB"/>
        </w:rPr>
        <w:drawing>
          <wp:anchor distT="0" distB="0" distL="114300" distR="114300" simplePos="0" relativeHeight="251635199" behindDoc="0" locked="0" layoutInCell="1" allowOverlap="1" wp14:anchorId="13596CDA" wp14:editId="68B1999F">
            <wp:simplePos x="0" y="0"/>
            <wp:positionH relativeFrom="column">
              <wp:posOffset>8255</wp:posOffset>
            </wp:positionH>
            <wp:positionV relativeFrom="paragraph">
              <wp:posOffset>6350</wp:posOffset>
            </wp:positionV>
            <wp:extent cx="5118735" cy="2515870"/>
            <wp:effectExtent l="0" t="0" r="0" b="0"/>
            <wp:wrapSquare wrapText="bothSides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461" w:rsidRPr="004F4BA0">
        <w:rPr>
          <w:highlight w:val="yellow"/>
          <w:lang w:val="en-GB"/>
        </w:rPr>
        <w:br w:type="page"/>
      </w:r>
      <w:r w:rsidR="004F4BA0" w:rsidRPr="00133BA4">
        <w:rPr>
          <w:lang w:val="en-GB"/>
        </w:rPr>
        <w:lastRenderedPageBreak/>
        <w:t>Table 2.</w:t>
      </w:r>
      <w:r w:rsidR="004F4BA0" w:rsidRPr="00133BA4">
        <w:rPr>
          <w:shd w:val="clear" w:color="auto" w:fill="FFFFFF"/>
          <w:lang w:val="en-GB"/>
        </w:rPr>
        <w:t xml:space="preserve"> </w:t>
      </w:r>
      <w:r w:rsidR="004F4BA0" w:rsidRPr="00133BA4">
        <w:rPr>
          <w:bCs/>
          <w:shd w:val="clear" w:color="auto" w:fill="FFFFFF"/>
          <w:lang w:val="en-GB"/>
        </w:rPr>
        <w:t>Consumer price indices</w:t>
      </w:r>
      <w:r w:rsidR="004F4BA0" w:rsidRPr="004F4BA0">
        <w:rPr>
          <w:bCs/>
          <w:shd w:val="clear" w:color="auto" w:fill="FFFFFF"/>
          <w:lang w:val="en-GB"/>
        </w:rPr>
        <w:t xml:space="preserve"> in May </w:t>
      </w:r>
      <w:r w:rsidR="00751D7D" w:rsidRPr="004F4BA0">
        <w:rPr>
          <w:lang w:val="en-GB"/>
        </w:rPr>
        <w:t>2021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4F4BA0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3BA4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05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04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4F4BA0" w:rsidRPr="00FD11D4" w:rsidTr="009661AB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100" w:after="10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</w:tr>
      <w:tr w:rsidR="004F4BA0" w:rsidRPr="00FD11D4" w:rsidTr="009661AB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4F4BA0" w:rsidRPr="00133BA4" w:rsidRDefault="004F4BA0" w:rsidP="005C1E9C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4F4BA0" w:rsidRPr="00FD11D4" w:rsidTr="009661AB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4F4BA0" w:rsidRPr="00FD11D4" w:rsidTr="00810D6F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4F4BA0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4F4BA0" w:rsidRPr="00FD11D4" w:rsidTr="00810D6F">
        <w:trPr>
          <w:trHeight w:val="26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</w:tr>
      <w:tr w:rsidR="004F4BA0" w:rsidRPr="00FD11D4" w:rsidTr="009661AB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</w:tr>
      <w:tr w:rsidR="004F4BA0" w:rsidRPr="00FD11D4" w:rsidTr="009661AB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4F4BA0" w:rsidRPr="00FD11D4" w:rsidTr="009661AB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F4BA0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F4BA0" w:rsidRPr="00FD11D4" w:rsidTr="009661AB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810D6F">
        <w:trPr>
          <w:trHeight w:val="29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4F4BA0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4F4BA0" w:rsidRPr="00FD11D4" w:rsidTr="009661AB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4F4BA0" w:rsidRPr="00FD11D4" w:rsidTr="00810D6F">
        <w:trPr>
          <w:trHeight w:val="2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</w:tr>
      <w:tr w:rsidR="004F4BA0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90,4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F4BA0" w:rsidRPr="00FD11D4" w:rsidTr="009661AB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Recreational and sporting </w:t>
            </w:r>
            <w:proofErr w:type="spellStart"/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  <w:r w:rsidRPr="00133BA4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pl-PL"/>
              </w:rPr>
              <w:t>u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111,5</w:t>
            </w:r>
          </w:p>
        </w:tc>
      </w:tr>
      <w:tr w:rsidR="004F4BA0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F4BA0" w:rsidRPr="00FD11D4" w:rsidTr="009661AB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4F4BA0" w:rsidRPr="00FD11D4" w:rsidTr="009661AB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4F4BA0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4F4BA0" w:rsidRPr="00FD11D4" w:rsidTr="00810D6F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133BA4" w:rsidRDefault="004F4BA0" w:rsidP="005C1E9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BA0" w:rsidRPr="00FD11D4" w:rsidRDefault="004F4BA0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136,6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685123" w:rsidRPr="00810D6F" w:rsidRDefault="00A55B73" w:rsidP="00883763">
      <w:pPr>
        <w:spacing w:before="0" w:after="160" w:line="259" w:lineRule="auto"/>
        <w:rPr>
          <w:noProof/>
          <w:sz w:val="16"/>
          <w:szCs w:val="16"/>
          <w:lang w:val="en-GB" w:eastAsia="pl-PL"/>
        </w:rPr>
      </w:pPr>
      <w:r w:rsidRPr="00810D6F">
        <w:rPr>
          <w:noProof/>
          <w:sz w:val="24"/>
          <w:szCs w:val="24"/>
          <w:vertAlign w:val="superscript"/>
          <w:lang w:val="en-GB" w:eastAsia="pl-PL"/>
        </w:rPr>
        <w:t xml:space="preserve">u </w:t>
      </w:r>
      <w:r w:rsidR="008B0AF7" w:rsidRPr="00810D6F">
        <w:rPr>
          <w:noProof/>
          <w:sz w:val="24"/>
          <w:szCs w:val="24"/>
          <w:vertAlign w:val="superscript"/>
          <w:lang w:val="en-GB" w:eastAsia="pl-PL"/>
        </w:rPr>
        <w:t xml:space="preserve"> </w:t>
      </w:r>
      <w:r w:rsidR="00810D6F" w:rsidRPr="00133BA4">
        <w:rPr>
          <w:color w:val="222222"/>
          <w:sz w:val="16"/>
          <w:szCs w:val="16"/>
          <w:lang w:val="en-GB"/>
        </w:rPr>
        <w:t>The share of estimated data for an aggregate more than 50%</w:t>
      </w:r>
    </w:p>
    <w:p w:rsidR="009F5CBC" w:rsidRPr="00810D6F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val="en-GB" w:eastAsia="pl-PL"/>
        </w:rPr>
      </w:pPr>
    </w:p>
    <w:p w:rsidR="00810D6F" w:rsidRPr="00133BA4" w:rsidRDefault="00810D6F" w:rsidP="00810D6F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133BA4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8" w:history="1">
        <w:r w:rsidRPr="00133BA4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810D6F" w:rsidRPr="00133BA4" w:rsidRDefault="00810D6F" w:rsidP="00810D6F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810D6F" w:rsidRPr="00133BA4" w:rsidRDefault="00810D6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9F5CBC" w:rsidRPr="00810D6F" w:rsidRDefault="00810D6F" w:rsidP="00810D6F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9F5CBC" w:rsidRPr="00810D6F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33BA4">
        <w:rPr>
          <w:color w:val="222222"/>
          <w:szCs w:val="19"/>
          <w:lang w:val="en-GB"/>
        </w:rPr>
        <w:t>In case of quoting Statistics Poland data, please provide information: “Source of data: Stati</w:t>
      </w:r>
      <w:r w:rsidRPr="00133BA4">
        <w:rPr>
          <w:color w:val="222222"/>
          <w:szCs w:val="19"/>
          <w:lang w:val="en-GB"/>
        </w:rPr>
        <w:t>s</w:t>
      </w:r>
      <w:r w:rsidRPr="00133BA4">
        <w:rPr>
          <w:color w:val="222222"/>
          <w:szCs w:val="19"/>
          <w:lang w:val="en-GB"/>
        </w:rPr>
        <w:t>tics Poland”, and in case of publishing calculations made on data published by Statistics Poland, please include the following disclaimer: “Own study based on figures from Statistics Poland”.</w:t>
      </w:r>
    </w:p>
    <w:p w:rsidR="000470AA" w:rsidRPr="00810D6F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10D6F" w:rsidRPr="00810D6F" w:rsidTr="00810D6F">
        <w:trPr>
          <w:trHeight w:val="1912"/>
        </w:trPr>
        <w:tc>
          <w:tcPr>
            <w:tcW w:w="4356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33BA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33BA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810D6F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10D6F" w:rsidRPr="00810D6F" w:rsidTr="004F6A30">
        <w:trPr>
          <w:trHeight w:val="610"/>
        </w:trPr>
        <w:tc>
          <w:tcPr>
            <w:tcW w:w="2721" w:type="pct"/>
            <w:vMerge w:val="restart"/>
          </w:tcPr>
          <w:p w:rsidR="00810D6F" w:rsidRPr="00133BA4" w:rsidRDefault="00810D6F" w:rsidP="005C1E9C">
            <w:pPr>
              <w:spacing w:before="240"/>
              <w:rPr>
                <w:b/>
                <w:sz w:val="20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Press Office</w:t>
            </w:r>
          </w:p>
          <w:p w:rsidR="00810D6F" w:rsidRPr="00133BA4" w:rsidRDefault="00810D6F" w:rsidP="005C1E9C">
            <w:pPr>
              <w:rPr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33BA4">
              <w:rPr>
                <w:sz w:val="20"/>
                <w:lang w:val="en-GB"/>
              </w:rPr>
              <w:t xml:space="preserve">608 34 91, 608 38 04 </w:t>
            </w:r>
          </w:p>
          <w:p w:rsidR="00810D6F" w:rsidRPr="00133BA4" w:rsidRDefault="00810D6F" w:rsidP="005C1E9C">
            <w:pPr>
              <w:rPr>
                <w:sz w:val="18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e-mail:</w:t>
            </w:r>
            <w:r w:rsidRPr="00133BA4">
              <w:rPr>
                <w:sz w:val="20"/>
                <w:lang w:val="en-GB"/>
              </w:rPr>
              <w:t xml:space="preserve"> </w:t>
            </w:r>
            <w:hyperlink r:id="rId23" w:history="1">
              <w:r w:rsidRPr="00133BA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10D6F" w:rsidRPr="00133BA4" w:rsidRDefault="00810D6F" w:rsidP="005C1E9C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005F4BF9" wp14:editId="62F22F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10D6F" w:rsidRPr="00133BA4" w:rsidRDefault="00810D6F" w:rsidP="005C1E9C">
            <w:pPr>
              <w:rPr>
                <w:color w:val="000000" w:themeColor="text1"/>
                <w:sz w:val="18"/>
                <w:lang w:val="en-GB"/>
              </w:rPr>
            </w:pPr>
            <w:hyperlink r:id="rId25" w:history="1">
              <w:r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00133E20" wp14:editId="7D43105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810D6F" w:rsidP="000470AA">
            <w:pPr>
              <w:rPr>
                <w:sz w:val="18"/>
              </w:rPr>
            </w:pPr>
            <w:hyperlink r:id="rId27" w:history="1">
              <w:r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10D6B4B9" wp14:editId="17DFD9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810D6F" w:rsidP="000470AA">
            <w:pPr>
              <w:rPr>
                <w:sz w:val="20"/>
              </w:rPr>
            </w:pPr>
            <w:hyperlink r:id="rId29" w:history="1">
              <w:r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1A8CBFD" wp14:editId="43A6686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E23" w:rsidRDefault="00920E23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810D6F" w:rsidRPr="00941435" w:rsidRDefault="00810D6F" w:rsidP="00810D6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810D6F" w:rsidRPr="00941435" w:rsidRDefault="00810D6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10D6F" w:rsidRPr="00941435" w:rsidRDefault="00810D6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810D6F" w:rsidRPr="00941435" w:rsidRDefault="00810D6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10D6F" w:rsidRPr="00941435" w:rsidRDefault="00810D6F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810D6F" w:rsidRPr="00941435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20E23" w:rsidRPr="00566A43" w:rsidRDefault="00810D6F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JxPw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xQxJx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920E23" w:rsidRDefault="00920E23" w:rsidP="00883763">
                      <w:pPr>
                        <w:rPr>
                          <w:b/>
                        </w:rPr>
                      </w:pPr>
                    </w:p>
                    <w:p w:rsidR="00810D6F" w:rsidRPr="00941435" w:rsidRDefault="00810D6F" w:rsidP="00810D6F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810D6F" w:rsidRPr="00941435" w:rsidRDefault="00810D6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10D6F" w:rsidRPr="00941435" w:rsidRDefault="00810D6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810D6F" w:rsidRPr="00941435" w:rsidRDefault="00810D6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10D6F" w:rsidRPr="00941435" w:rsidRDefault="00810D6F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810D6F" w:rsidRPr="00941435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20E23" w:rsidRPr="00566A43" w:rsidRDefault="00810D6F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8"/>
      <w:footerReference w:type="default" r:id="rId4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E23" w:rsidRDefault="00920E23" w:rsidP="000662E2">
      <w:pPr>
        <w:spacing w:after="0" w:line="240" w:lineRule="auto"/>
      </w:pPr>
      <w:r>
        <w:separator/>
      </w:r>
    </w:p>
  </w:endnote>
  <w:endnote w:type="continuationSeparator" w:id="0">
    <w:p w:rsidR="00920E23" w:rsidRDefault="00920E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920E23" w:rsidRDefault="00920E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09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920E23" w:rsidRDefault="00920E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9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920E23" w:rsidRDefault="00920E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29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E23" w:rsidRDefault="00920E23" w:rsidP="000662E2">
      <w:pPr>
        <w:spacing w:after="0" w:line="240" w:lineRule="auto"/>
      </w:pPr>
      <w:r>
        <w:separator/>
      </w:r>
    </w:p>
  </w:footnote>
  <w:footnote w:type="continuationSeparator" w:id="0">
    <w:p w:rsidR="00920E23" w:rsidRDefault="00920E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23" w:rsidRDefault="00920E2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655F4B" wp14:editId="1B0570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20E23" w:rsidRDefault="00920E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23" w:rsidRDefault="00920E23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AB9B771" wp14:editId="01BF34D5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F5A8D7F" wp14:editId="6FF30AD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20E23" w:rsidRPr="003C6C8D" w:rsidRDefault="00920E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20E23" w:rsidRPr="003C6C8D" w:rsidRDefault="00920E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59F4CD4D" wp14:editId="1F74D6F8">
          <wp:extent cx="1865630" cy="709295"/>
          <wp:effectExtent l="0" t="0" r="0" b="0"/>
          <wp:docPr id="16" name="Obraz 1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920E23" w:rsidRDefault="00920E2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067B352" wp14:editId="055738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0E23" w:rsidRPr="00C97596" w:rsidRDefault="00920E2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20E23" w:rsidRPr="00C97596" w:rsidRDefault="00920E2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23" w:rsidRDefault="00920E23">
    <w:pPr>
      <w:pStyle w:val="Nagwek"/>
    </w:pPr>
  </w:p>
  <w:p w:rsidR="00920E23" w:rsidRDefault="00920E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35pt;height:124.6pt;visibility:visible" o:bullet="t">
        <v:imagedata r:id="rId1" o:title=""/>
      </v:shape>
    </w:pict>
  </w:numPicBullet>
  <w:numPicBullet w:numPicBulletId="1">
    <w:pict>
      <v:shape id="_x0000_i1035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5882"/>
    <w:rsid w:val="00097840"/>
    <w:rsid w:val="000A057E"/>
    <w:rsid w:val="000A4BF7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A7E22"/>
    <w:rsid w:val="001B0E45"/>
    <w:rsid w:val="001B3CA7"/>
    <w:rsid w:val="001C3269"/>
    <w:rsid w:val="001D1DB4"/>
    <w:rsid w:val="001D5C9E"/>
    <w:rsid w:val="001D669C"/>
    <w:rsid w:val="001E1D9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6165"/>
    <w:rsid w:val="002412BC"/>
    <w:rsid w:val="00247B43"/>
    <w:rsid w:val="002574F9"/>
    <w:rsid w:val="00260F39"/>
    <w:rsid w:val="00262B61"/>
    <w:rsid w:val="0026302B"/>
    <w:rsid w:val="00265092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19A5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C4289"/>
    <w:rsid w:val="002C4659"/>
    <w:rsid w:val="002D0020"/>
    <w:rsid w:val="002D017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1B6F"/>
    <w:rsid w:val="00372411"/>
    <w:rsid w:val="00372E66"/>
    <w:rsid w:val="00373882"/>
    <w:rsid w:val="003751B5"/>
    <w:rsid w:val="003843DB"/>
    <w:rsid w:val="00384BFA"/>
    <w:rsid w:val="003901A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733F6"/>
    <w:rsid w:val="00474E69"/>
    <w:rsid w:val="00477F80"/>
    <w:rsid w:val="00491B74"/>
    <w:rsid w:val="00493217"/>
    <w:rsid w:val="004957AB"/>
    <w:rsid w:val="0049621B"/>
    <w:rsid w:val="0049705B"/>
    <w:rsid w:val="004B2EAB"/>
    <w:rsid w:val="004C1895"/>
    <w:rsid w:val="004C4610"/>
    <w:rsid w:val="004C6D40"/>
    <w:rsid w:val="004F0C3C"/>
    <w:rsid w:val="004F4BA0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31DAD"/>
    <w:rsid w:val="00633014"/>
    <w:rsid w:val="0063437B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701C5E"/>
    <w:rsid w:val="007034D7"/>
    <w:rsid w:val="007059D5"/>
    <w:rsid w:val="007162EB"/>
    <w:rsid w:val="007211B1"/>
    <w:rsid w:val="0072400B"/>
    <w:rsid w:val="00724688"/>
    <w:rsid w:val="007324DB"/>
    <w:rsid w:val="00733D55"/>
    <w:rsid w:val="007364D7"/>
    <w:rsid w:val="007379EB"/>
    <w:rsid w:val="00746187"/>
    <w:rsid w:val="00751D7D"/>
    <w:rsid w:val="00752A67"/>
    <w:rsid w:val="00761070"/>
    <w:rsid w:val="0076254F"/>
    <w:rsid w:val="0077194A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4A2D"/>
    <w:rsid w:val="007B74D8"/>
    <w:rsid w:val="007C161B"/>
    <w:rsid w:val="007D3319"/>
    <w:rsid w:val="007D335D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0D6F"/>
    <w:rsid w:val="008153B3"/>
    <w:rsid w:val="00820461"/>
    <w:rsid w:val="00820B10"/>
    <w:rsid w:val="00823290"/>
    <w:rsid w:val="0082498D"/>
    <w:rsid w:val="00825DC2"/>
    <w:rsid w:val="00831172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011AC"/>
    <w:rsid w:val="00905229"/>
    <w:rsid w:val="009127BA"/>
    <w:rsid w:val="00916782"/>
    <w:rsid w:val="00917264"/>
    <w:rsid w:val="00917CCF"/>
    <w:rsid w:val="00920E23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0F01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093A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17CE"/>
    <w:rsid w:val="009F5815"/>
    <w:rsid w:val="009F5CBC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6D25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66B66"/>
    <w:rsid w:val="00B70FDA"/>
    <w:rsid w:val="00B74022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702F"/>
    <w:rsid w:val="00C441AB"/>
    <w:rsid w:val="00C4500A"/>
    <w:rsid w:val="00C45479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83D7C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72F40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45BD"/>
    <w:rsid w:val="00E17A9F"/>
    <w:rsid w:val="00E17B77"/>
    <w:rsid w:val="00E23337"/>
    <w:rsid w:val="00E23761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696D"/>
    <w:rsid w:val="00EF7B36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E93"/>
    <w:rsid w:val="00F823A8"/>
    <w:rsid w:val="00F86024"/>
    <w:rsid w:val="00F8611A"/>
    <w:rsid w:val="00F86C02"/>
    <w:rsid w:val="00F90A0D"/>
    <w:rsid w:val="00F90BB1"/>
    <w:rsid w:val="00F92824"/>
    <w:rsid w:val="00F93CA3"/>
    <w:rsid w:val="00FA4663"/>
    <w:rsid w:val="00FA5128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communications-and-announcement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s://bdl.stat.gov.pl/BDL/start?lang=en" TargetMode="External"/><Relationship Id="rId42" Type="http://schemas.openxmlformats.org/officeDocument/2006/relationships/hyperlink" Target="http://bdm.stat.gov.pl/" TargetMode="External"/><Relationship Id="rId47" Type="http://schemas.openxmlformats.org/officeDocument/2006/relationships/hyperlink" Target="http://stat.gov.pl/en/metainformations/glossary/terms-used-in-official-statistics/32,term.html" TargetMode="External"/><Relationship Id="rId50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32,term.html" TargetMode="External"/><Relationship Id="rId46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://stat.gov.pl/en/metainformations/glossary/terms-used-in-official-statistics/711,term.html" TargetMode="External"/><Relationship Id="rId40" Type="http://schemas.openxmlformats.org/officeDocument/2006/relationships/hyperlink" Target="http://stat.gov.pl/en/latest-statistical-news/news-releases/" TargetMode="External"/><Relationship Id="rId45" Type="http://schemas.openxmlformats.org/officeDocument/2006/relationships/hyperlink" Target="http://stat.gov.pl/en/topics/prices-trade/prices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topics/prices-trade/prices/" TargetMode="External"/><Relationship Id="rId49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://stat.gov.pl/en/latest-statistical-news/news-releases/" TargetMode="External"/><Relationship Id="rId44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43" Type="http://schemas.openxmlformats.org/officeDocument/2006/relationships/hyperlink" Target="https://bdl.stat.gov.pl/BDL/start?lang=en" TargetMode="External"/><Relationship Id="rId48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WPŁYWY!$A$45:$A$52</c:f>
              <c:strCache>
                <c:ptCount val="8"/>
                <c:pt idx="0">
                  <c:v>Fuels for personal transport equipment</c:v>
                </c:pt>
                <c:pt idx="1">
                  <c:v>Telephone and telefax services</c:v>
                </c:pt>
                <c:pt idx="2">
                  <c:v>Vegetables</c:v>
                </c:pt>
                <c:pt idx="3">
                  <c:v>Cultural services</c:v>
                </c:pt>
                <c:pt idx="4">
                  <c:v>Electricity, gas and other fuels</c:v>
                </c:pt>
                <c:pt idx="5">
                  <c:v>Catering services</c:v>
                </c:pt>
                <c:pt idx="6">
                  <c:v>Fruit</c:v>
                </c:pt>
                <c:pt idx="7">
                  <c:v>Meat</c:v>
                </c:pt>
              </c:strCache>
            </c:strRef>
          </c:cat>
          <c:val>
            <c:numRef>
              <c:f>WPŁYWY!$C$45:$C$52</c:f>
              <c:numCache>
                <c:formatCode>0.00</c:formatCode>
                <c:ptCount val="8"/>
                <c:pt idx="0">
                  <c:v>-0.05</c:v>
                </c:pt>
                <c:pt idx="1">
                  <c:v>-0.04</c:v>
                </c:pt>
                <c:pt idx="2">
                  <c:v>-0.02</c:v>
                </c:pt>
                <c:pt idx="3">
                  <c:v>0.02</c:v>
                </c:pt>
                <c:pt idx="4">
                  <c:v>0.02</c:v>
                </c:pt>
                <c:pt idx="5">
                  <c:v>0.03</c:v>
                </c:pt>
                <c:pt idx="6">
                  <c:v>0.06</c:v>
                </c:pt>
                <c:pt idx="7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276800"/>
        <c:axId val="91278336"/>
      </c:barChart>
      <c:catAx>
        <c:axId val="9127680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1278336"/>
        <c:crossesAt val="0"/>
        <c:auto val="1"/>
        <c:lblAlgn val="ctr"/>
        <c:lblOffset val="200"/>
        <c:tickMarkSkip val="1"/>
        <c:noMultiLvlLbl val="0"/>
      </c:catAx>
      <c:valAx>
        <c:axId val="91278336"/>
        <c:scaling>
          <c:orientation val="minMax"/>
          <c:max val="0.1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1276800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7118080"/>
        <c:axId val="98344960"/>
      </c:barChart>
      <c:catAx>
        <c:axId val="97118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8344960"/>
        <c:crosses val="autoZero"/>
        <c:auto val="0"/>
        <c:lblAlgn val="ctr"/>
        <c:lblOffset val="100"/>
        <c:noMultiLvlLbl val="0"/>
      </c:catAx>
      <c:valAx>
        <c:axId val="9834496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71180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7296445032454E-2"/>
                  <c:y val="-1.3542585025387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1134436235769789E-4"/>
                  <c:y val="-3.44347150531442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8.7206635175138408E-2"/>
                  <c:y val="-3.6531217609092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8884084801899673E-2"/>
                  <c:y val="-4.4416452050898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079259892363591E-2"/>
                  <c:y val="-3.62994890430984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230864096349807E-2"/>
                  <c:y val="-2.545153654246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251132670916136E-2"/>
                  <c:y val="3.1841903945592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'M-1'!$B$50:$B$66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'M-1'!$C$50:$C$66</c:f>
              <c:numCache>
                <c:formatCode>0.0</c:formatCode>
                <c:ptCount val="17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437376"/>
        <c:axId val="116438912"/>
      </c:lineChart>
      <c:dateAx>
        <c:axId val="1164373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6438912"/>
        <c:crossesAt val="0"/>
        <c:auto val="0"/>
        <c:lblOffset val="100"/>
        <c:baseTimeUnit val="days"/>
      </c:dateAx>
      <c:valAx>
        <c:axId val="116438912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6437376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238772091861E-2"/>
          <c:y val="4.8511533892376182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063240487278906E-2"/>
                  <c:y val="3.2489922593582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294678205787156E-2"/>
                  <c:y val="-2.02110083529791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(+FE)'!$B$50:$B$66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'M-12 (+FE)'!$C$50:$C$66</c:f>
              <c:numCache>
                <c:formatCode>0.0</c:formatCode>
                <c:ptCount val="17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863744"/>
        <c:axId val="116865280"/>
      </c:lineChart>
      <c:dateAx>
        <c:axId val="1168637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6865280"/>
        <c:crossesAt val="0"/>
        <c:auto val="0"/>
        <c:lblOffset val="100"/>
        <c:baseTimeUnit val="days"/>
      </c:dateAx>
      <c:valAx>
        <c:axId val="11686528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686374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m-12'!$B$51:$B$67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'CPI_HICP m-12'!$C$51:$C$67</c:f>
              <c:numCache>
                <c:formatCode>0.0</c:formatCode>
                <c:ptCount val="17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m-12'!$B$51:$B$67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'CPI_HICP m-12'!$E$51:$E$66</c:f>
              <c:numCache>
                <c:formatCode>0.0</c:formatCode>
                <c:ptCount val="16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645888"/>
        <c:axId val="116647424"/>
      </c:lineChart>
      <c:catAx>
        <c:axId val="11664588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664742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16647424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6645888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79001178794972693"/>
          <c:y val="0.6494882485979004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0.06669</cdr:x>
      <cdr:y>0.92877</cdr:y>
    </cdr:from>
    <cdr:to>
      <cdr:x>0.67381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41644" y="2318382"/>
          <a:ext cx="3109965" cy="1581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0.67577</cdr:x>
      <cdr:y>0.92414</cdr:y>
    </cdr:from>
    <cdr:to>
      <cdr:x>0.93035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461657" y="2306824"/>
          <a:ext cx="1304103" cy="167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0.67448</cdr:x>
      <cdr:y>0.86508</cdr:y>
    </cdr:from>
    <cdr:to>
      <cdr:x>0.6746</cdr:x>
      <cdr:y>0.94631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V="1">
          <a:off x="3799286" y="2374870"/>
          <a:ext cx="676" cy="22299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0.61926</cdr:y>
    </cdr:from>
    <cdr:to>
      <cdr:x>0.92118</cdr:x>
      <cdr:y>0.62248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2402" y="1597688"/>
          <a:ext cx="4365251" cy="831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0.92314</cdr:x>
      <cdr:y>0.29405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7018" y="751169"/>
          <a:ext cx="4360683" cy="748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0.92877</cdr:y>
    </cdr:from>
    <cdr:to>
      <cdr:x>0.67638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6610" y="2396231"/>
          <a:ext cx="3100024" cy="1837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0.26731</cdr:x>
      <cdr:y>0.21484</cdr:y>
    </cdr:from>
    <cdr:to>
      <cdr:x>0.56735</cdr:x>
      <cdr:y>0.29374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366239" y="554350"/>
          <a:ext cx="1533527" cy="203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0.26751</cdr:x>
      <cdr:y>0.62013</cdr:y>
    </cdr:from>
    <cdr:to>
      <cdr:x>0.5487</cdr:x>
      <cdr:y>0.69902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367246" y="1600107"/>
          <a:ext cx="1437184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0.43038</cdr:x>
      <cdr:y>0.45196</cdr:y>
    </cdr:from>
    <cdr:to>
      <cdr:x>0.61955</cdr:x>
      <cdr:y>0.53876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1886" y="1168480"/>
          <a:ext cx="967827" cy="224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0.67528</cdr:x>
      <cdr:y>0.8773</cdr:y>
    </cdr:from>
    <cdr:to>
      <cdr:x>0.67543</cdr:x>
      <cdr:y>0.95684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3451021" y="2263449"/>
          <a:ext cx="767" cy="2052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n w="9525" cap="rnd">
              <a:solidFill>
                <a:schemeClr val="tx1"/>
              </a:solidFill>
              <a:round/>
            </a:ln>
          </a:endParaRPr>
        </a:p>
      </cdr:txBody>
    </cdr:sp>
  </cdr:relSizeAnchor>
  <cdr:relSizeAnchor xmlns:cdr="http://schemas.openxmlformats.org/drawingml/2006/chartDrawing">
    <cdr:from>
      <cdr:x>0.67442</cdr:x>
      <cdr:y>0.92877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446586" y="2396231"/>
          <a:ext cx="1299160" cy="1837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2624" y="78731"/>
          <a:ext cx="3598" cy="86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0.67539</cdr:x>
      <cdr:y>0.85218</cdr:y>
    </cdr:from>
    <cdr:to>
      <cdr:x>0.67575</cdr:x>
      <cdr:y>0.93577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H="1" flipV="1">
          <a:off x="3457143" y="2143966"/>
          <a:ext cx="1855" cy="21030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chemeClr val="tx1"/>
          </a:solidFill>
          <a:prstDash val="solid"/>
          <a:bevel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0.06514</cdr:x>
      <cdr:y>0.91998</cdr:y>
    </cdr:from>
    <cdr:to>
      <cdr:x>0.67431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434" y="2314550"/>
          <a:ext cx="3118175" cy="1775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30d47203-49ec-4c8c-a442-62231931aab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FC231-D0FA-4CB6-A93F-C77F88C7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May 2021</dc:title>
  <dc:subject>Consumer price indices</dc:subject>
  <dc:creator>Statistics Poland</dc:creator>
  <cp:keywords>price indices of consumer goods and services; retail prices; prices of goods and services; food; weighting systems; coicop; hicp; cpi; inflation</cp:keywords>
  <cp:lastPrinted>2021-06-14T12:53:00Z</cp:lastPrinted>
  <dcterms:created xsi:type="dcterms:W3CDTF">2021-06-14T12:52:00Z</dcterms:created>
  <dcterms:modified xsi:type="dcterms:W3CDTF">2021-06-15T07:18:00Z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