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2" w:rsidRPr="00714289" w:rsidRDefault="00BF0097" w:rsidP="003047EF">
      <w:pPr>
        <w:pStyle w:val="tytuinformacji"/>
        <w:rPr>
          <w:lang w:val="en-GB"/>
        </w:rPr>
      </w:pPr>
      <w:r w:rsidRPr="00714289">
        <w:rPr>
          <w:lang w:val="en-GB"/>
        </w:rPr>
        <w:t>Consumer price indices in March 2021</w:t>
      </w:r>
    </w:p>
    <w:p w:rsidR="00DA0C7E" w:rsidRPr="00714289" w:rsidRDefault="00DA0C7E" w:rsidP="003047EF">
      <w:pPr>
        <w:pStyle w:val="tytuinformacji"/>
        <w:rPr>
          <w:sz w:val="19"/>
          <w:szCs w:val="19"/>
          <w:highlight w:val="yellow"/>
          <w:lang w:val="en-GB"/>
        </w:rPr>
      </w:pPr>
    </w:p>
    <w:p w:rsidR="0061655B" w:rsidRPr="00714289" w:rsidRDefault="00022839" w:rsidP="00CF08EF">
      <w:pPr>
        <w:pStyle w:val="LID"/>
        <w:rPr>
          <w:noProof w:val="0"/>
          <w:lang w:val="en-GB"/>
        </w:rPr>
      </w:pPr>
      <w:r w:rsidRPr="00714289">
        <w:rPr>
          <w:noProof w:val="0"/>
          <w:spacing w:val="-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8.1pt;width:2in;height:96.1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022839" w:rsidRPr="00BF0097" w:rsidRDefault="00022839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620A5F08" wp14:editId="42ECA147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0097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BF009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3.2%</w:t>
                  </w:r>
                </w:p>
                <w:p w:rsidR="00022839" w:rsidRPr="00BF0097" w:rsidRDefault="00022839" w:rsidP="00A2752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AC3D2C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AC3D2C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BF0097" w:rsidRPr="00714289">
        <w:rPr>
          <w:noProof w:val="0"/>
          <w:lang w:val="en-GB" w:eastAsia="en-GB"/>
        </w:rPr>
        <w:t xml:space="preserve">Consumer prices </w:t>
      </w:r>
      <w:r w:rsidR="004D333E" w:rsidRPr="00714289">
        <w:rPr>
          <w:noProof w:val="0"/>
          <w:lang w:val="en-GB" w:eastAsia="en-GB"/>
        </w:rPr>
        <w:t xml:space="preserve">in March </w:t>
      </w:r>
      <w:r w:rsidR="000242DA" w:rsidRPr="00714289">
        <w:rPr>
          <w:noProof w:val="0"/>
          <w:spacing w:val="-4"/>
          <w:lang w:val="en-GB"/>
        </w:rPr>
        <w:t>2021</w:t>
      </w:r>
      <w:r w:rsidR="004D333E" w:rsidRPr="00714289">
        <w:rPr>
          <w:noProof w:val="0"/>
          <w:lang w:val="en-GB" w:eastAsia="en-GB"/>
        </w:rPr>
        <w:t xml:space="preserve">, compared with the corresponding month of the previous year, </w:t>
      </w:r>
      <w:r w:rsidR="004D333E" w:rsidRPr="00714289">
        <w:rPr>
          <w:noProof w:val="0"/>
          <w:lang w:val="en-GB" w:eastAsia="en-GB"/>
        </w:rPr>
        <w:br/>
        <w:t>increased by</w:t>
      </w:r>
      <w:r w:rsidR="00D2668A" w:rsidRPr="00714289">
        <w:rPr>
          <w:noProof w:val="0"/>
          <w:spacing w:val="-4"/>
          <w:lang w:val="en-GB"/>
        </w:rPr>
        <w:t> </w:t>
      </w:r>
      <w:r w:rsidR="000242DA" w:rsidRPr="00714289">
        <w:rPr>
          <w:noProof w:val="0"/>
          <w:spacing w:val="-4"/>
          <w:lang w:val="en-GB"/>
        </w:rPr>
        <w:t>3,2</w:t>
      </w:r>
      <w:r w:rsidR="00371BCE" w:rsidRPr="00714289">
        <w:rPr>
          <w:noProof w:val="0"/>
          <w:spacing w:val="-4"/>
          <w:lang w:val="en-GB"/>
        </w:rPr>
        <w:t>% (</w:t>
      </w:r>
      <w:r w:rsidR="004D333E" w:rsidRPr="00714289">
        <w:rPr>
          <w:noProof w:val="0"/>
          <w:lang w:val="en-GB"/>
        </w:rPr>
        <w:t xml:space="preserve">with an increase of prices </w:t>
      </w:r>
      <w:r w:rsidR="004D333E" w:rsidRPr="00714289">
        <w:rPr>
          <w:noProof w:val="0"/>
          <w:lang w:val="en-GB"/>
        </w:rPr>
        <w:br/>
        <w:t>of services</w:t>
      </w:r>
      <w:r w:rsidR="004D333E" w:rsidRPr="00714289">
        <w:rPr>
          <w:lang w:val="en-GB"/>
        </w:rPr>
        <w:t xml:space="preserve"> by </w:t>
      </w:r>
      <w:r w:rsidR="000242DA" w:rsidRPr="00714289">
        <w:rPr>
          <w:noProof w:val="0"/>
          <w:spacing w:val="-4"/>
          <w:lang w:val="en-GB"/>
        </w:rPr>
        <w:t>7,3</w:t>
      </w:r>
      <w:r w:rsidR="00145121" w:rsidRPr="00714289">
        <w:rPr>
          <w:noProof w:val="0"/>
          <w:spacing w:val="-4"/>
          <w:lang w:val="en-GB"/>
        </w:rPr>
        <w:t xml:space="preserve">% </w:t>
      </w:r>
      <w:r w:rsidR="004D333E" w:rsidRPr="00714289">
        <w:rPr>
          <w:noProof w:val="0"/>
          <w:spacing w:val="-4"/>
          <w:lang w:val="en-GB"/>
        </w:rPr>
        <w:t xml:space="preserve">and goods by </w:t>
      </w:r>
      <w:r w:rsidR="000242DA" w:rsidRPr="00714289">
        <w:rPr>
          <w:noProof w:val="0"/>
          <w:spacing w:val="-4"/>
          <w:lang w:val="en-GB"/>
        </w:rPr>
        <w:t>1</w:t>
      </w:r>
      <w:r w:rsidR="00005FA6" w:rsidRPr="00714289">
        <w:rPr>
          <w:noProof w:val="0"/>
          <w:spacing w:val="-4"/>
          <w:lang w:val="en-GB"/>
        </w:rPr>
        <w:t>,9</w:t>
      </w:r>
      <w:r w:rsidR="00E24A25" w:rsidRPr="00714289">
        <w:rPr>
          <w:noProof w:val="0"/>
          <w:spacing w:val="-4"/>
          <w:lang w:val="en-GB"/>
        </w:rPr>
        <w:t>%).</w:t>
      </w:r>
      <w:r w:rsidR="0000260E" w:rsidRPr="00714289">
        <w:rPr>
          <w:noProof w:val="0"/>
          <w:lang w:val="en-GB"/>
        </w:rPr>
        <w:br/>
      </w:r>
      <w:r w:rsidR="004D333E" w:rsidRPr="00714289">
        <w:rPr>
          <w:noProof w:val="0"/>
          <w:spacing w:val="-4"/>
          <w:lang w:val="en-GB" w:eastAsia="en-GB"/>
        </w:rPr>
        <w:t xml:space="preserve">As related to the previous month consumer prices </w:t>
      </w:r>
      <w:r w:rsidR="006A0955" w:rsidRPr="00714289">
        <w:rPr>
          <w:noProof w:val="0"/>
          <w:spacing w:val="-4"/>
          <w:lang w:val="en-GB" w:eastAsia="en-GB"/>
        </w:rPr>
        <w:br/>
      </w:r>
      <w:r w:rsidR="004D333E" w:rsidRPr="00714289">
        <w:rPr>
          <w:noProof w:val="0"/>
          <w:spacing w:val="-4"/>
          <w:lang w:val="en-GB" w:eastAsia="en-GB"/>
        </w:rPr>
        <w:t>increased by</w:t>
      </w:r>
      <w:r w:rsidR="004D333E" w:rsidRPr="00714289">
        <w:rPr>
          <w:noProof w:val="0"/>
          <w:lang w:val="en-GB"/>
        </w:rPr>
        <w:t xml:space="preserve"> </w:t>
      </w:r>
      <w:r w:rsidR="001C593F" w:rsidRPr="00714289">
        <w:rPr>
          <w:noProof w:val="0"/>
          <w:lang w:val="en-GB"/>
        </w:rPr>
        <w:t>1,0</w:t>
      </w:r>
      <w:r w:rsidR="00D538E4" w:rsidRPr="00714289">
        <w:rPr>
          <w:noProof w:val="0"/>
          <w:lang w:val="en-GB"/>
        </w:rPr>
        <w:t>% (</w:t>
      </w:r>
      <w:r w:rsidR="006A0955" w:rsidRPr="00714289">
        <w:rPr>
          <w:noProof w:val="0"/>
          <w:lang w:val="en-GB"/>
        </w:rPr>
        <w:t xml:space="preserve">of which goods by </w:t>
      </w:r>
      <w:r w:rsidR="001C593F" w:rsidRPr="00714289">
        <w:rPr>
          <w:noProof w:val="0"/>
          <w:lang w:val="en-GB"/>
        </w:rPr>
        <w:t>1</w:t>
      </w:r>
      <w:r w:rsidR="00AA569E" w:rsidRPr="00714289">
        <w:rPr>
          <w:noProof w:val="0"/>
          <w:lang w:val="en-GB"/>
        </w:rPr>
        <w:t>,</w:t>
      </w:r>
      <w:r w:rsidR="001C593F" w:rsidRPr="00714289">
        <w:rPr>
          <w:noProof w:val="0"/>
          <w:lang w:val="en-GB"/>
        </w:rPr>
        <w:t>0</w:t>
      </w:r>
      <w:r w:rsidR="00D538E4" w:rsidRPr="00714289">
        <w:rPr>
          <w:noProof w:val="0"/>
          <w:lang w:val="en-GB"/>
        </w:rPr>
        <w:t>%</w:t>
      </w:r>
      <w:r w:rsidR="006A0955" w:rsidRPr="00714289">
        <w:rPr>
          <w:noProof w:val="0"/>
          <w:lang w:val="en-GB"/>
        </w:rPr>
        <w:t xml:space="preserve"> and </w:t>
      </w:r>
      <w:r w:rsidR="006A0955" w:rsidRPr="00714289">
        <w:rPr>
          <w:noProof w:val="0"/>
          <w:lang w:val="en-GB"/>
        </w:rPr>
        <w:br/>
        <w:t xml:space="preserve">services by </w:t>
      </w:r>
      <w:r w:rsidR="001C593F" w:rsidRPr="00714289">
        <w:rPr>
          <w:noProof w:val="0"/>
          <w:lang w:val="en-GB"/>
        </w:rPr>
        <w:t>0,8%</w:t>
      </w:r>
      <w:r w:rsidR="009B2242" w:rsidRPr="00714289">
        <w:rPr>
          <w:noProof w:val="0"/>
          <w:lang w:val="en-GB"/>
        </w:rPr>
        <w:t>).</w:t>
      </w:r>
      <w:r w:rsidR="00D2668A" w:rsidRPr="00714289">
        <w:rPr>
          <w:noProof w:val="0"/>
          <w:highlight w:val="yellow"/>
          <w:lang w:val="en-GB"/>
        </w:rPr>
        <w:br/>
      </w:r>
    </w:p>
    <w:p w:rsidR="00A27522" w:rsidRPr="00714289" w:rsidRDefault="00A27522" w:rsidP="00CF08EF">
      <w:pPr>
        <w:pStyle w:val="LID"/>
        <w:rPr>
          <w:noProof w:val="0"/>
          <w:highlight w:val="yellow"/>
          <w:lang w:val="en-GB"/>
        </w:rPr>
      </w:pPr>
    </w:p>
    <w:tbl>
      <w:tblPr>
        <w:tblStyle w:val="Siatkatabelijasna11"/>
        <w:tblpPr w:leftFromText="141" w:rightFromText="141" w:vertAnchor="text" w:horzAnchor="margin" w:tblpY="876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76"/>
        <w:gridCol w:w="851"/>
        <w:gridCol w:w="992"/>
        <w:gridCol w:w="851"/>
        <w:gridCol w:w="947"/>
        <w:gridCol w:w="881"/>
        <w:gridCol w:w="1170"/>
      </w:tblGrid>
      <w:tr w:rsidR="002619FD" w:rsidRPr="00714289" w:rsidTr="00257539">
        <w:trPr>
          <w:cantSplit/>
          <w:trHeight w:val="367"/>
        </w:trPr>
        <w:tc>
          <w:tcPr>
            <w:tcW w:w="2376" w:type="dxa"/>
            <w:vMerge w:val="restart"/>
            <w:vAlign w:val="center"/>
          </w:tcPr>
          <w:p w:rsidR="002619FD" w:rsidRPr="00714289" w:rsidRDefault="006A0955" w:rsidP="00A4716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694" w:type="dxa"/>
            <w:gridSpan w:val="3"/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 2021</w:t>
            </w:r>
          </w:p>
        </w:tc>
        <w:tc>
          <w:tcPr>
            <w:tcW w:w="1828" w:type="dxa"/>
            <w:gridSpan w:val="2"/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I-III 2021</w:t>
            </w:r>
          </w:p>
        </w:tc>
        <w:tc>
          <w:tcPr>
            <w:tcW w:w="1170" w:type="dxa"/>
            <w:vMerge w:val="restart"/>
            <w:vAlign w:val="center"/>
          </w:tcPr>
          <w:p w:rsidR="002619FD" w:rsidRPr="00714289" w:rsidRDefault="006A0955" w:rsidP="00A4716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19FD" w:rsidRPr="00714289" w:rsidRDefault="002619FD" w:rsidP="00A4716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II 2021=</w:t>
            </w:r>
            <w:r w:rsidRPr="0071428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</w:tr>
      <w:tr w:rsidR="002619FD" w:rsidRPr="00714289" w:rsidTr="00257539">
        <w:trPr>
          <w:cantSplit/>
          <w:trHeight w:val="57"/>
        </w:trPr>
        <w:tc>
          <w:tcPr>
            <w:tcW w:w="2376" w:type="dxa"/>
            <w:vMerge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 2020=</w:t>
            </w: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XII 2020=</w:t>
            </w: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 2021=</w:t>
            </w: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47" w:type="dxa"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I-III 2020=100</w:t>
            </w:r>
          </w:p>
        </w:tc>
        <w:tc>
          <w:tcPr>
            <w:tcW w:w="881" w:type="dxa"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X-XII 2020=100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19FD" w:rsidRPr="00714289" w:rsidRDefault="002619FD" w:rsidP="00A4716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283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94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88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71428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0,20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71428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97,3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0,16</w:t>
            </w:r>
          </w:p>
        </w:tc>
      </w:tr>
      <w:tr w:rsidR="006A0955" w:rsidRPr="00714289" w:rsidTr="004D6889">
        <w:trPr>
          <w:cantSplit/>
          <w:trHeight w:val="593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106,6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0,38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0,13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4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6A0955" w:rsidRPr="00714289" w:rsidTr="00257539">
        <w:trPr>
          <w:cantSplit/>
          <w:trHeight w:val="57"/>
        </w:trPr>
        <w:tc>
          <w:tcPr>
            <w:tcW w:w="2376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283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947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881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vAlign w:val="center"/>
          </w:tcPr>
          <w:p w:rsidR="006A0955" w:rsidRPr="00714289" w:rsidRDefault="006A0955" w:rsidP="00026F64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</w:tbl>
    <w:p w:rsidR="00A47161" w:rsidRPr="00714289" w:rsidRDefault="00A47161" w:rsidP="00A90732">
      <w:pPr>
        <w:pStyle w:val="tytuwykresu"/>
        <w:spacing w:before="0" w:after="0"/>
        <w:rPr>
          <w:lang w:val="en-GB"/>
        </w:rPr>
      </w:pPr>
    </w:p>
    <w:p w:rsidR="000B60D7" w:rsidRPr="00714289" w:rsidRDefault="006A0955" w:rsidP="00A90732">
      <w:pPr>
        <w:pStyle w:val="tytuwykresu"/>
        <w:spacing w:before="0" w:after="0"/>
        <w:rPr>
          <w:bCs/>
          <w:shd w:val="clear" w:color="auto" w:fill="FFFFFF"/>
          <w:lang w:val="en-GB"/>
        </w:rPr>
      </w:pPr>
      <w:r w:rsidRPr="00714289">
        <w:rPr>
          <w:lang w:val="en-GB"/>
        </w:rPr>
        <w:t>Table 1. Consumer price indices in March 2021</w:t>
      </w:r>
    </w:p>
    <w:p w:rsidR="00FE377B" w:rsidRPr="00714289" w:rsidRDefault="00FE377B" w:rsidP="00A90732">
      <w:pPr>
        <w:pStyle w:val="tytuwykresu"/>
        <w:spacing w:before="0" w:after="0"/>
        <w:rPr>
          <w:bCs/>
          <w:shd w:val="clear" w:color="auto" w:fill="FFFFFF"/>
          <w:lang w:val="en-GB"/>
        </w:rPr>
      </w:pPr>
    </w:p>
    <w:p w:rsidR="00A07F00" w:rsidRPr="00714289" w:rsidRDefault="00257539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71428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714289" w:rsidRDefault="00022839" w:rsidP="00285768">
      <w:pPr>
        <w:rPr>
          <w:highlight w:val="yellow"/>
          <w:lang w:val="en-GB"/>
        </w:rPr>
      </w:pPr>
      <w:r w:rsidRPr="00714289">
        <w:rPr>
          <w:lang w:val="en-GB"/>
        </w:rPr>
        <w:t xml:space="preserve">In March </w:t>
      </w:r>
      <w:r w:rsidRPr="00714289">
        <w:rPr>
          <w:spacing w:val="-2"/>
          <w:lang w:val="en-GB"/>
        </w:rPr>
        <w:t>of the current year, compared with the previous mon</w:t>
      </w:r>
      <w:r w:rsidR="00F134BB" w:rsidRPr="00714289">
        <w:rPr>
          <w:spacing w:val="-2"/>
          <w:lang w:val="en-GB"/>
        </w:rPr>
        <w:t>th, the highest contribution to </w:t>
      </w:r>
      <w:r w:rsidRPr="00714289">
        <w:rPr>
          <w:spacing w:val="-2"/>
          <w:lang w:val="en-GB"/>
        </w:rPr>
        <w:t xml:space="preserve">the total consumer price index came from higher prices related to Transport </w:t>
      </w:r>
      <w:r w:rsidRPr="00714289">
        <w:rPr>
          <w:lang w:val="en-GB"/>
        </w:rPr>
        <w:t>(by</w:t>
      </w:r>
      <w:r w:rsidR="00FA0677" w:rsidRPr="00714289">
        <w:rPr>
          <w:lang w:val="en-GB"/>
        </w:rPr>
        <w:t> </w:t>
      </w:r>
      <w:r w:rsidR="00B66072" w:rsidRPr="00714289">
        <w:rPr>
          <w:lang w:val="en-GB"/>
        </w:rPr>
        <w:t>4</w:t>
      </w:r>
      <w:r w:rsidR="00026FBB" w:rsidRPr="00714289">
        <w:rPr>
          <w:lang w:val="en-GB"/>
        </w:rPr>
        <w:t>,1</w:t>
      </w:r>
      <w:r w:rsidR="006920EA" w:rsidRPr="00714289">
        <w:rPr>
          <w:lang w:val="en-GB"/>
        </w:rPr>
        <w:t>%)</w:t>
      </w:r>
      <w:r w:rsidR="00026FBB" w:rsidRPr="00714289">
        <w:rPr>
          <w:lang w:val="en-GB"/>
        </w:rPr>
        <w:t xml:space="preserve">, </w:t>
      </w:r>
      <w:r w:rsidRPr="00714289">
        <w:rPr>
          <w:lang w:val="en-GB"/>
        </w:rPr>
        <w:t>Food (by</w:t>
      </w:r>
      <w:r w:rsidR="00B66072" w:rsidRPr="00714289">
        <w:rPr>
          <w:lang w:val="en-GB"/>
        </w:rPr>
        <w:t xml:space="preserve"> 0,7%), </w:t>
      </w:r>
      <w:r w:rsidRPr="00714289">
        <w:rPr>
          <w:lang w:val="en-GB"/>
        </w:rPr>
        <w:t>Clothing and footwear (by</w:t>
      </w:r>
      <w:r w:rsidR="00B66072" w:rsidRPr="00714289">
        <w:rPr>
          <w:lang w:val="en-GB"/>
        </w:rPr>
        <w:t xml:space="preserve"> 4,1%) </w:t>
      </w:r>
      <w:r w:rsidRPr="00714289">
        <w:rPr>
          <w:lang w:val="en-GB"/>
        </w:rPr>
        <w:t>and Communication (by</w:t>
      </w:r>
      <w:r w:rsidR="00B66072" w:rsidRPr="00714289">
        <w:rPr>
          <w:lang w:val="en-GB"/>
        </w:rPr>
        <w:t xml:space="preserve"> 2,6%),</w:t>
      </w:r>
      <w:r w:rsidR="00B611C1" w:rsidRPr="00714289">
        <w:rPr>
          <w:lang w:val="en-GB"/>
        </w:rPr>
        <w:t xml:space="preserve"> </w:t>
      </w:r>
      <w:r w:rsidR="00256FA5">
        <w:rPr>
          <w:spacing w:val="-2"/>
          <w:lang w:val="en-GB"/>
        </w:rPr>
        <w:t>which increased the </w:t>
      </w:r>
      <w:r w:rsidRPr="00714289">
        <w:rPr>
          <w:spacing w:val="-2"/>
          <w:lang w:val="en-GB"/>
        </w:rPr>
        <w:t xml:space="preserve">index by </w:t>
      </w:r>
      <w:r w:rsidR="005B01E2" w:rsidRPr="00714289">
        <w:rPr>
          <w:lang w:val="en-GB"/>
        </w:rPr>
        <w:t>0,38</w:t>
      </w:r>
      <w:r w:rsidR="00DE64C5" w:rsidRPr="00714289">
        <w:rPr>
          <w:lang w:val="en-GB"/>
        </w:rPr>
        <w:t xml:space="preserve"> p</w:t>
      </w:r>
      <w:r w:rsidRPr="00714289">
        <w:rPr>
          <w:lang w:val="en-GB"/>
        </w:rPr>
        <w:t>p</w:t>
      </w:r>
      <w:r w:rsidR="005B01E2" w:rsidRPr="00714289">
        <w:rPr>
          <w:lang w:val="en-GB"/>
        </w:rPr>
        <w:t>, 0,18 p</w:t>
      </w:r>
      <w:r w:rsidRPr="00714289">
        <w:rPr>
          <w:lang w:val="en-GB"/>
        </w:rPr>
        <w:t>p</w:t>
      </w:r>
      <w:r w:rsidR="005B01E2" w:rsidRPr="00714289">
        <w:rPr>
          <w:lang w:val="en-GB"/>
        </w:rPr>
        <w:t>, 0,16 p</w:t>
      </w:r>
      <w:r w:rsidRPr="00714289">
        <w:rPr>
          <w:lang w:val="en-GB"/>
        </w:rPr>
        <w:t xml:space="preserve">p and </w:t>
      </w:r>
      <w:r w:rsidR="005B01E2" w:rsidRPr="00714289">
        <w:rPr>
          <w:lang w:val="en-GB"/>
        </w:rPr>
        <w:t>0,13 p</w:t>
      </w:r>
      <w:r w:rsidRPr="00714289">
        <w:rPr>
          <w:lang w:val="en-GB"/>
        </w:rPr>
        <w:t>p, respectively</w:t>
      </w:r>
      <w:r w:rsidR="005B01E2" w:rsidRPr="00714289">
        <w:rPr>
          <w:lang w:val="en-GB"/>
        </w:rPr>
        <w:t>.</w:t>
      </w:r>
      <w:r w:rsidR="00B611C1" w:rsidRPr="00714289">
        <w:rPr>
          <w:lang w:val="en-GB"/>
        </w:rPr>
        <w:t xml:space="preserve"> </w:t>
      </w:r>
      <w:r w:rsidR="00666E24" w:rsidRPr="00714289">
        <w:rPr>
          <w:spacing w:val="-2"/>
          <w:lang w:val="en-GB"/>
        </w:rPr>
        <w:t xml:space="preserve">Lower prices related to </w:t>
      </w:r>
      <w:r w:rsidR="00666E24" w:rsidRPr="00714289">
        <w:rPr>
          <w:spacing w:val="-2"/>
          <w:lang w:val="en-GB"/>
        </w:rPr>
        <w:t>Health (by</w:t>
      </w:r>
      <w:r w:rsidR="005B01E2" w:rsidRPr="00714289">
        <w:rPr>
          <w:spacing w:val="-2"/>
          <w:lang w:val="en-GB"/>
        </w:rPr>
        <w:t> 0,1</w:t>
      </w:r>
      <w:r w:rsidR="00534040" w:rsidRPr="00714289">
        <w:rPr>
          <w:spacing w:val="-2"/>
          <w:lang w:val="en-GB"/>
        </w:rPr>
        <w:t xml:space="preserve">%) </w:t>
      </w:r>
      <w:r w:rsidR="00666E24" w:rsidRPr="00714289">
        <w:rPr>
          <w:spacing w:val="-2"/>
          <w:lang w:val="en-GB"/>
        </w:rPr>
        <w:t xml:space="preserve">decreased the index by </w:t>
      </w:r>
      <w:r w:rsidR="00534040" w:rsidRPr="00714289">
        <w:rPr>
          <w:lang w:val="en-GB"/>
        </w:rPr>
        <w:t>0,0</w:t>
      </w:r>
      <w:r w:rsidR="005B01E2" w:rsidRPr="00714289">
        <w:rPr>
          <w:lang w:val="en-GB"/>
        </w:rPr>
        <w:t>1</w:t>
      </w:r>
      <w:r w:rsidR="00B611C1" w:rsidRPr="00714289">
        <w:rPr>
          <w:lang w:val="en-GB"/>
        </w:rPr>
        <w:t xml:space="preserve"> p</w:t>
      </w:r>
      <w:r w:rsidR="00666E24" w:rsidRPr="00714289">
        <w:rPr>
          <w:lang w:val="en-GB"/>
        </w:rPr>
        <w:t>p</w:t>
      </w:r>
      <w:r w:rsidR="005316C2" w:rsidRPr="00714289">
        <w:rPr>
          <w:lang w:val="en-GB"/>
        </w:rPr>
        <w:t>.</w:t>
      </w:r>
      <w:r w:rsidR="00917CCF" w:rsidRPr="00714289">
        <w:rPr>
          <w:highlight w:val="yellow"/>
          <w:lang w:val="en-GB"/>
        </w:rPr>
        <w:br/>
      </w:r>
      <w:r w:rsidR="00666E24" w:rsidRPr="00714289">
        <w:rPr>
          <w:color w:val="000000" w:themeColor="text1"/>
          <w:spacing w:val="-2"/>
          <w:lang w:val="en-GB"/>
        </w:rPr>
        <w:t>Compared with the corresponding month of the previous year, higher prices related to Dwel</w:t>
      </w:r>
      <w:r w:rsidR="00666E24" w:rsidRPr="00714289">
        <w:rPr>
          <w:color w:val="000000" w:themeColor="text1"/>
          <w:spacing w:val="-2"/>
          <w:lang w:val="en-GB"/>
        </w:rPr>
        <w:t>l</w:t>
      </w:r>
      <w:r w:rsidR="00666E24" w:rsidRPr="00714289">
        <w:rPr>
          <w:color w:val="000000" w:themeColor="text1"/>
          <w:spacing w:val="-2"/>
          <w:lang w:val="en-GB"/>
        </w:rPr>
        <w:t>ing</w:t>
      </w:r>
      <w:r w:rsidR="00451932" w:rsidRPr="00714289">
        <w:rPr>
          <w:lang w:val="en-GB"/>
        </w:rPr>
        <w:t xml:space="preserve"> </w:t>
      </w:r>
      <w:r w:rsidR="00666E24" w:rsidRPr="00714289">
        <w:rPr>
          <w:lang w:val="en-GB"/>
        </w:rPr>
        <w:t>(by</w:t>
      </w:r>
      <w:r w:rsidR="00A07F00" w:rsidRPr="00714289">
        <w:rPr>
          <w:lang w:val="en-GB"/>
        </w:rPr>
        <w:t> </w:t>
      </w:r>
      <w:r w:rsidR="00E33B04" w:rsidRPr="00714289">
        <w:rPr>
          <w:lang w:val="en-GB"/>
        </w:rPr>
        <w:t>5,1</w:t>
      </w:r>
      <w:r w:rsidR="00674A8B" w:rsidRPr="00714289">
        <w:rPr>
          <w:lang w:val="en-GB"/>
        </w:rPr>
        <w:t>%)</w:t>
      </w:r>
      <w:r w:rsidR="00413FD5" w:rsidRPr="00714289">
        <w:rPr>
          <w:lang w:val="en-GB"/>
        </w:rPr>
        <w:t>,</w:t>
      </w:r>
      <w:r w:rsidR="00E33B04" w:rsidRPr="00714289">
        <w:rPr>
          <w:lang w:val="en-GB"/>
        </w:rPr>
        <w:t xml:space="preserve"> </w:t>
      </w:r>
      <w:r w:rsidR="00666E24" w:rsidRPr="00714289">
        <w:rPr>
          <w:lang w:val="en-GB"/>
        </w:rPr>
        <w:t>Transport (by</w:t>
      </w:r>
      <w:r w:rsidR="00E33B04" w:rsidRPr="00714289">
        <w:rPr>
          <w:lang w:val="en-GB"/>
        </w:rPr>
        <w:t xml:space="preserve"> 5,4%)</w:t>
      </w:r>
      <w:r w:rsidR="00666E24" w:rsidRPr="00714289">
        <w:rPr>
          <w:lang w:val="en-GB"/>
        </w:rPr>
        <w:t xml:space="preserve"> and </w:t>
      </w:r>
      <w:r w:rsidR="006B5BD5" w:rsidRPr="00714289">
        <w:rPr>
          <w:lang w:val="en-GB"/>
        </w:rPr>
        <w:t>Communication</w:t>
      </w:r>
      <w:r w:rsidR="00666E24" w:rsidRPr="00714289">
        <w:rPr>
          <w:lang w:val="en-GB"/>
        </w:rPr>
        <w:t xml:space="preserve"> (by</w:t>
      </w:r>
      <w:r w:rsidR="00413FD5" w:rsidRPr="00714289">
        <w:rPr>
          <w:lang w:val="en-GB"/>
        </w:rPr>
        <w:t xml:space="preserve"> 7,4%)</w:t>
      </w:r>
      <w:r w:rsidR="00E33B04" w:rsidRPr="00714289">
        <w:rPr>
          <w:lang w:val="en-GB"/>
        </w:rPr>
        <w:t xml:space="preserve"> </w:t>
      </w:r>
      <w:r w:rsidR="006B5BD5" w:rsidRPr="00714289">
        <w:rPr>
          <w:spacing w:val="-2"/>
          <w:lang w:val="en-GB"/>
        </w:rPr>
        <w:t>increased the</w:t>
      </w:r>
      <w:r w:rsidR="00DA3CD9">
        <w:rPr>
          <w:spacing w:val="-2"/>
          <w:lang w:val="en-GB"/>
        </w:rPr>
        <w:t xml:space="preserve"> consumer</w:t>
      </w:r>
      <w:r w:rsidR="006B5BD5" w:rsidRPr="00714289">
        <w:rPr>
          <w:spacing w:val="-2"/>
          <w:lang w:val="en-GB"/>
        </w:rPr>
        <w:t xml:space="preserve"> price</w:t>
      </w:r>
      <w:r w:rsidR="006B5BD5" w:rsidRPr="00714289">
        <w:rPr>
          <w:spacing w:val="-2"/>
          <w:lang w:val="en-GB"/>
        </w:rPr>
        <w:t xml:space="preserve"> index by</w:t>
      </w:r>
      <w:r w:rsidR="006B5BD5" w:rsidRPr="00714289">
        <w:rPr>
          <w:lang w:val="en-GB"/>
        </w:rPr>
        <w:t> </w:t>
      </w:r>
      <w:r w:rsidR="00E33B04" w:rsidRPr="00714289">
        <w:rPr>
          <w:lang w:val="en-GB"/>
        </w:rPr>
        <w:t>1,25</w:t>
      </w:r>
      <w:r w:rsidR="00A07F00" w:rsidRPr="00714289">
        <w:rPr>
          <w:lang w:val="en-GB"/>
        </w:rPr>
        <w:t xml:space="preserve"> p</w:t>
      </w:r>
      <w:r w:rsidR="006B5BD5" w:rsidRPr="00714289">
        <w:rPr>
          <w:lang w:val="en-GB"/>
        </w:rPr>
        <w:t>p</w:t>
      </w:r>
      <w:r w:rsidR="00413FD5" w:rsidRPr="00714289">
        <w:rPr>
          <w:lang w:val="en-GB"/>
        </w:rPr>
        <w:t xml:space="preserve">, </w:t>
      </w:r>
      <w:r w:rsidR="009D1423" w:rsidRPr="00714289">
        <w:rPr>
          <w:lang w:val="en-GB"/>
        </w:rPr>
        <w:t>0,</w:t>
      </w:r>
      <w:r w:rsidR="00E33B04" w:rsidRPr="00714289">
        <w:rPr>
          <w:lang w:val="en-GB"/>
        </w:rPr>
        <w:t>50</w:t>
      </w:r>
      <w:r w:rsidR="00FA0677" w:rsidRPr="00714289">
        <w:rPr>
          <w:lang w:val="en-GB"/>
        </w:rPr>
        <w:t> </w:t>
      </w:r>
      <w:r w:rsidR="009D1423" w:rsidRPr="00714289">
        <w:rPr>
          <w:lang w:val="en-GB"/>
        </w:rPr>
        <w:t>p</w:t>
      </w:r>
      <w:r w:rsidR="006B5BD5" w:rsidRPr="00714289">
        <w:rPr>
          <w:lang w:val="en-GB"/>
        </w:rPr>
        <w:t xml:space="preserve">p and </w:t>
      </w:r>
      <w:r w:rsidR="00413FD5" w:rsidRPr="00714289">
        <w:rPr>
          <w:lang w:val="en-GB"/>
        </w:rPr>
        <w:t>0,36 p</w:t>
      </w:r>
      <w:r w:rsidR="006B5BD5" w:rsidRPr="00714289">
        <w:rPr>
          <w:lang w:val="en-GB"/>
        </w:rPr>
        <w:t>p, respectively</w:t>
      </w:r>
      <w:r w:rsidR="00413FD5" w:rsidRPr="00714289">
        <w:rPr>
          <w:lang w:val="en-GB"/>
        </w:rPr>
        <w:t>.</w:t>
      </w:r>
      <w:r w:rsidR="004B4C23" w:rsidRPr="00714289">
        <w:rPr>
          <w:lang w:val="en-GB"/>
        </w:rPr>
        <w:t xml:space="preserve"> </w:t>
      </w:r>
      <w:r w:rsidR="006B5BD5" w:rsidRPr="00714289">
        <w:rPr>
          <w:spacing w:val="-2"/>
          <w:lang w:val="en-GB"/>
        </w:rPr>
        <w:t xml:space="preserve">Lower prices related to </w:t>
      </w:r>
      <w:r w:rsidR="006B5BD5" w:rsidRPr="00714289">
        <w:rPr>
          <w:spacing w:val="-2"/>
          <w:lang w:val="en-GB"/>
        </w:rPr>
        <w:t>Clothing and foo</w:t>
      </w:r>
      <w:r w:rsidR="006B5BD5" w:rsidRPr="00714289">
        <w:rPr>
          <w:spacing w:val="-2"/>
          <w:lang w:val="en-GB"/>
        </w:rPr>
        <w:t>t</w:t>
      </w:r>
      <w:r w:rsidR="006B5BD5" w:rsidRPr="00714289">
        <w:rPr>
          <w:spacing w:val="-2"/>
          <w:lang w:val="en-GB"/>
        </w:rPr>
        <w:t>wear (by</w:t>
      </w:r>
      <w:r w:rsidR="006D5D88" w:rsidRPr="00714289">
        <w:rPr>
          <w:spacing w:val="-2"/>
          <w:lang w:val="en-GB"/>
        </w:rPr>
        <w:t> 1,4</w:t>
      </w:r>
      <w:r w:rsidR="003405A4" w:rsidRPr="00714289">
        <w:rPr>
          <w:spacing w:val="-2"/>
          <w:lang w:val="en-GB"/>
        </w:rPr>
        <w:t>%)</w:t>
      </w:r>
      <w:r w:rsidR="009B1414" w:rsidRPr="00714289">
        <w:rPr>
          <w:spacing w:val="-2"/>
          <w:lang w:val="en-GB"/>
        </w:rPr>
        <w:t xml:space="preserve"> </w:t>
      </w:r>
      <w:r w:rsidR="006B5BD5" w:rsidRPr="00714289">
        <w:rPr>
          <w:spacing w:val="-2"/>
          <w:lang w:val="en-GB"/>
        </w:rPr>
        <w:t xml:space="preserve">decreased the index by </w:t>
      </w:r>
      <w:r w:rsidR="006D5D88" w:rsidRPr="00714289">
        <w:rPr>
          <w:spacing w:val="-2"/>
          <w:lang w:val="en-GB"/>
        </w:rPr>
        <w:t>0,0</w:t>
      </w:r>
      <w:r w:rsidR="00C11CBD" w:rsidRPr="00714289">
        <w:rPr>
          <w:spacing w:val="-2"/>
          <w:lang w:val="en-GB"/>
        </w:rPr>
        <w:t>6</w:t>
      </w:r>
      <w:r w:rsidR="00A06D23" w:rsidRPr="00714289">
        <w:rPr>
          <w:spacing w:val="-2"/>
          <w:lang w:val="en-GB"/>
        </w:rPr>
        <w:t> </w:t>
      </w:r>
      <w:r w:rsidR="003A7D83" w:rsidRPr="00714289">
        <w:rPr>
          <w:spacing w:val="-2"/>
          <w:lang w:val="en-GB"/>
        </w:rPr>
        <w:t>p</w:t>
      </w:r>
      <w:r w:rsidR="006B5BD5" w:rsidRPr="00714289">
        <w:rPr>
          <w:spacing w:val="-2"/>
          <w:lang w:val="en-GB"/>
        </w:rPr>
        <w:t>p</w:t>
      </w:r>
      <w:r w:rsidR="00A07F00" w:rsidRPr="00714289">
        <w:rPr>
          <w:spacing w:val="-2"/>
          <w:lang w:val="en-GB"/>
        </w:rPr>
        <w:t>.</w:t>
      </w:r>
    </w:p>
    <w:p w:rsidR="00A07F00" w:rsidRPr="00714289" w:rsidRDefault="00A07F00" w:rsidP="00C27D75">
      <w:pPr>
        <w:rPr>
          <w:highlight w:val="yellow"/>
          <w:lang w:val="en-GB"/>
        </w:rPr>
      </w:pPr>
    </w:p>
    <w:p w:rsidR="00A07F00" w:rsidRPr="00714289" w:rsidRDefault="00951DEA" w:rsidP="00E66E92">
      <w:pPr>
        <w:pStyle w:val="tytuwykresu"/>
        <w:ind w:left="652" w:hanging="652"/>
        <w:rPr>
          <w:highlight w:val="yellow"/>
          <w:shd w:val="clear" w:color="auto" w:fill="FFFFFF"/>
          <w:lang w:val="en-GB"/>
        </w:rPr>
      </w:pPr>
      <w:r w:rsidRPr="00714289">
        <w:rPr>
          <w:noProof/>
          <w:lang w:val="en-GB" w:eastAsia="en-GB"/>
        </w:rPr>
        <w:drawing>
          <wp:anchor distT="0" distB="0" distL="114300" distR="114300" simplePos="0" relativeHeight="251801600" behindDoc="0" locked="0" layoutInCell="1" allowOverlap="1" wp14:anchorId="16358919" wp14:editId="1ED94BDE">
            <wp:simplePos x="0" y="0"/>
            <wp:positionH relativeFrom="column">
              <wp:posOffset>-41910</wp:posOffset>
            </wp:positionH>
            <wp:positionV relativeFrom="paragraph">
              <wp:posOffset>412115</wp:posOffset>
            </wp:positionV>
            <wp:extent cx="5122545" cy="214185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539" w:rsidRPr="00714289">
        <w:rPr>
          <w:noProof/>
          <w:lang w:val="en-GB" w:eastAsia="en-GB"/>
        </w:rPr>
        <w:t xml:space="preserve">Chart 1. Contribution of price changes of selected groups of </w:t>
      </w:r>
      <w:r w:rsidR="00952930">
        <w:rPr>
          <w:noProof/>
          <w:lang w:val="en-GB" w:eastAsia="en-GB"/>
        </w:rPr>
        <w:t>consumer goods and services in </w:t>
      </w:r>
      <w:r w:rsidR="00257539" w:rsidRPr="00714289">
        <w:rPr>
          <w:noProof/>
          <w:lang w:val="en-GB" w:eastAsia="en-GB"/>
        </w:rPr>
        <w:t>March</w:t>
      </w:r>
      <w:r w:rsidR="00952930">
        <w:rPr>
          <w:noProof/>
          <w:lang w:val="en-GB" w:eastAsia="en-GB"/>
        </w:rPr>
        <w:t> </w:t>
      </w:r>
      <w:r w:rsidR="00257539" w:rsidRPr="00714289">
        <w:rPr>
          <w:noProof/>
          <w:lang w:val="en-GB" w:eastAsia="en-GB"/>
        </w:rPr>
        <w:t>2021 (change in pp compared with the previous period</w:t>
      </w:r>
      <w:r w:rsidR="0085115B">
        <w:rPr>
          <w:noProof/>
          <w:lang w:val="en-GB" w:eastAsia="en-GB"/>
        </w:rPr>
        <w:t>)</w:t>
      </w:r>
    </w:p>
    <w:p w:rsidR="00F60B5D" w:rsidRPr="00714289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B705DB" w:rsidRPr="00714289" w:rsidRDefault="00606703" w:rsidP="00B617A5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714289">
        <w:rPr>
          <w:noProof/>
          <w:lang w:val="en-GB" w:eastAsia="en-GB"/>
        </w:rPr>
        <w:drawing>
          <wp:anchor distT="0" distB="0" distL="114300" distR="114300" simplePos="0" relativeHeight="251802624" behindDoc="0" locked="0" layoutInCell="1" allowOverlap="1" wp14:anchorId="11403794" wp14:editId="67A0D785">
            <wp:simplePos x="0" y="0"/>
            <wp:positionH relativeFrom="column">
              <wp:posOffset>3175</wp:posOffset>
            </wp:positionH>
            <wp:positionV relativeFrom="paragraph">
              <wp:posOffset>315595</wp:posOffset>
            </wp:positionV>
            <wp:extent cx="5120640" cy="324739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539" w:rsidRPr="00714289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="00257539" w:rsidRPr="00714289">
        <w:rPr>
          <w:noProof/>
          <w:lang w:val="en-GB" w:eastAsia="en-GB"/>
        </w:rPr>
        <w:t xml:space="preserve"> </w:t>
      </w:r>
      <w:r w:rsidR="002619FD" w:rsidRPr="00714289">
        <w:rPr>
          <w:b/>
          <w:spacing w:val="-2"/>
          <w:sz w:val="18"/>
          <w:lang w:val="en-GB"/>
        </w:rPr>
        <w:t>2021</w:t>
      </w:r>
    </w:p>
    <w:p w:rsidR="00B742C5" w:rsidRPr="00714289" w:rsidRDefault="00B742C5" w:rsidP="00B617A5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C73B5E" w:rsidRPr="00714289" w:rsidRDefault="00C73B5E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 w:rsidRPr="00714289">
        <w:rPr>
          <w:highlight w:val="yellow"/>
          <w:lang w:val="en-GB"/>
        </w:rPr>
        <w:br w:type="page"/>
      </w:r>
    </w:p>
    <w:p w:rsidR="003A440F" w:rsidRPr="00714289" w:rsidRDefault="00B742C5" w:rsidP="00C27D75">
      <w:pPr>
        <w:pStyle w:val="tytuwykresu"/>
        <w:rPr>
          <w:b w:val="0"/>
          <w:highlight w:val="yellow"/>
          <w:shd w:val="clear" w:color="auto" w:fill="FFFFFF"/>
          <w:lang w:val="en-GB" w:eastAsia="pl-PL"/>
        </w:rPr>
      </w:pPr>
      <w:r w:rsidRPr="00714289">
        <w:rPr>
          <w:noProof/>
          <w:lang w:val="en-GB" w:eastAsia="en-GB"/>
        </w:rPr>
        <w:lastRenderedPageBreak/>
        <w:drawing>
          <wp:anchor distT="0" distB="0" distL="114300" distR="114300" simplePos="0" relativeHeight="251793408" behindDoc="0" locked="0" layoutInCell="1" allowOverlap="1" wp14:anchorId="2078F058" wp14:editId="5AA93071">
            <wp:simplePos x="0" y="0"/>
            <wp:positionH relativeFrom="column">
              <wp:posOffset>-14605</wp:posOffset>
            </wp:positionH>
            <wp:positionV relativeFrom="paragraph">
              <wp:posOffset>263525</wp:posOffset>
            </wp:positionV>
            <wp:extent cx="5122545" cy="25596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1A" w:rsidRPr="00714289">
        <w:rPr>
          <w:lang w:val="en-GB"/>
        </w:rPr>
        <w:t xml:space="preserve"> Chart</w:t>
      </w:r>
      <w:r w:rsidR="003A440F" w:rsidRPr="00714289">
        <w:rPr>
          <w:lang w:val="en-GB"/>
        </w:rPr>
        <w:t xml:space="preserve"> </w:t>
      </w:r>
      <w:r w:rsidR="00CF08EF" w:rsidRPr="00714289">
        <w:rPr>
          <w:lang w:val="en-GB"/>
        </w:rPr>
        <w:t>3</w:t>
      </w:r>
      <w:r w:rsidR="003A440F" w:rsidRPr="00714289">
        <w:rPr>
          <w:lang w:val="en-GB"/>
        </w:rPr>
        <w:t>.</w:t>
      </w:r>
      <w:r w:rsidR="003A440F" w:rsidRPr="00714289">
        <w:rPr>
          <w:shd w:val="clear" w:color="auto" w:fill="FFFFFF"/>
          <w:lang w:val="en-GB"/>
        </w:rPr>
        <w:t xml:space="preserve"> </w:t>
      </w:r>
      <w:r w:rsidR="006D2F1A" w:rsidRPr="00714289">
        <w:rPr>
          <w:shd w:val="clear" w:color="auto" w:fill="FFFFFF"/>
          <w:lang w:val="en-GB"/>
        </w:rPr>
        <w:t xml:space="preserve">Changes in consumer prices as related to </w:t>
      </w:r>
      <w:r w:rsidR="006D2F1A" w:rsidRPr="00714289">
        <w:rPr>
          <w:lang w:val="en-GB"/>
        </w:rPr>
        <w:t>the previous period (in</w:t>
      </w:r>
      <w:r w:rsidR="006D2F1A" w:rsidRPr="00714289">
        <w:rPr>
          <w:shd w:val="clear" w:color="auto" w:fill="FFFFFF"/>
          <w:lang w:val="en-GB"/>
        </w:rPr>
        <w:t xml:space="preserve"> %)</w:t>
      </w:r>
    </w:p>
    <w:p w:rsidR="00214CA5" w:rsidRPr="00714289" w:rsidRDefault="00214CA5" w:rsidP="00C27D75">
      <w:pPr>
        <w:pStyle w:val="tytuwykresu"/>
        <w:rPr>
          <w:b w:val="0"/>
          <w:highlight w:val="yellow"/>
          <w:shd w:val="clear" w:color="auto" w:fill="FFFFFF"/>
          <w:lang w:val="en-GB" w:eastAsia="pl-PL"/>
        </w:rPr>
      </w:pPr>
    </w:p>
    <w:p w:rsidR="00034160" w:rsidRPr="00714289" w:rsidRDefault="006D2F1A" w:rsidP="006D2F1A">
      <w:pPr>
        <w:pStyle w:val="tytuwykresu"/>
        <w:spacing w:after="0"/>
        <w:ind w:left="822" w:hanging="822"/>
        <w:rPr>
          <w:shd w:val="clear" w:color="auto" w:fill="FFFFFF"/>
          <w:lang w:val="en-GB"/>
        </w:rPr>
      </w:pPr>
      <w:r w:rsidRPr="00714289">
        <w:rPr>
          <w:lang w:val="en-GB"/>
        </w:rPr>
        <w:t>Chart</w:t>
      </w:r>
      <w:r w:rsidR="00034160" w:rsidRPr="00714289">
        <w:rPr>
          <w:lang w:val="en-GB"/>
        </w:rPr>
        <w:t xml:space="preserve"> </w:t>
      </w:r>
      <w:r w:rsidR="00CF08EF" w:rsidRPr="00714289">
        <w:rPr>
          <w:lang w:val="en-GB"/>
        </w:rPr>
        <w:t>4</w:t>
      </w:r>
      <w:r w:rsidR="00034160" w:rsidRPr="00714289">
        <w:rPr>
          <w:lang w:val="en-GB"/>
        </w:rPr>
        <w:t>.</w:t>
      </w:r>
      <w:r w:rsidR="00034160" w:rsidRPr="00714289">
        <w:rPr>
          <w:shd w:val="clear" w:color="auto" w:fill="FFFFFF"/>
          <w:lang w:val="en-GB"/>
        </w:rPr>
        <w:t xml:space="preserve"> </w:t>
      </w:r>
      <w:r w:rsidRPr="00714289">
        <w:rPr>
          <w:shd w:val="clear" w:color="auto" w:fill="FFFFFF"/>
          <w:lang w:val="en-GB"/>
        </w:rPr>
        <w:t>Changes in c</w:t>
      </w:r>
      <w:r w:rsidRPr="00714289">
        <w:rPr>
          <w:spacing w:val="-4"/>
          <w:lang w:val="en-GB"/>
        </w:rPr>
        <w:t>onsumer prices</w:t>
      </w:r>
      <w:r w:rsidRPr="00714289">
        <w:rPr>
          <w:spacing w:val="-4"/>
          <w:shd w:val="clear" w:color="auto" w:fill="FFFFFF"/>
          <w:lang w:val="en-GB"/>
        </w:rPr>
        <w:t xml:space="preserve"> as related to the </w:t>
      </w:r>
      <w:r w:rsidRPr="00714289">
        <w:rPr>
          <w:spacing w:val="-4"/>
          <w:lang w:val="en-GB"/>
        </w:rPr>
        <w:t>corresponding period of the previous year</w:t>
      </w:r>
      <w:r w:rsidRPr="00714289">
        <w:rPr>
          <w:spacing w:val="-4"/>
          <w:shd w:val="clear" w:color="auto" w:fill="FFFFFF"/>
          <w:lang w:val="en-GB"/>
        </w:rPr>
        <w:t xml:space="preserve"> (in %)</w:t>
      </w:r>
    </w:p>
    <w:p w:rsidR="008A23B4" w:rsidRPr="00714289" w:rsidRDefault="00022839" w:rsidP="008A23B4">
      <w:pPr>
        <w:pStyle w:val="tytuwykresu"/>
        <w:spacing w:before="0" w:after="0"/>
        <w:ind w:left="822" w:hanging="822"/>
        <w:rPr>
          <w:highlight w:val="yellow"/>
          <w:shd w:val="clear" w:color="auto" w:fill="FFFFFF"/>
          <w:lang w:val="en-GB"/>
        </w:rPr>
      </w:pPr>
      <w:r w:rsidRPr="00714289">
        <w:rPr>
          <w:lang w:val="en-GB" w:eastAsia="en-GB"/>
        </w:rPr>
        <w:pict>
          <v:shape id="Text Box 25" o:spid="_x0000_s1029" type="#_x0000_t202" style="position:absolute;left:0;text-align:left;margin-left:414.75pt;margin-top:315.75pt;width:135.85pt;height:96.3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022839" w:rsidRPr="004657B2" w:rsidRDefault="00022839" w:rsidP="006D2F1A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6D2F1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March 2021 the consumer price index was </w:t>
                  </w:r>
                  <w:r w:rsidR="00881260"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within the deviations from inflation target</w:t>
                  </w:r>
                  <w:r w:rsidR="00881260"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determined by the Mon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tary Policy Council (2,5% +/- 1 pp)</w:t>
                  </w:r>
                </w:p>
                <w:p w:rsidR="00022839" w:rsidRPr="006D2F1A" w:rsidRDefault="00022839" w:rsidP="004C01B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</w:p>
              </w:txbxContent>
            </v:textbox>
            <w10:wrap type="tight" anchory="page"/>
          </v:shape>
        </w:pict>
      </w:r>
    </w:p>
    <w:p w:rsidR="00034160" w:rsidRPr="00714289" w:rsidRDefault="00B742C5" w:rsidP="00740107">
      <w:pPr>
        <w:spacing w:before="0" w:line="259" w:lineRule="auto"/>
        <w:rPr>
          <w:sz w:val="18"/>
          <w:highlight w:val="yellow"/>
          <w:lang w:val="en-GB"/>
        </w:rPr>
      </w:pPr>
      <w:r w:rsidRPr="00714289">
        <w:rPr>
          <w:noProof/>
          <w:lang w:val="en-GB" w:eastAsia="en-GB"/>
        </w:rPr>
        <w:drawing>
          <wp:anchor distT="0" distB="0" distL="114300" distR="114300" simplePos="0" relativeHeight="251794432" behindDoc="0" locked="0" layoutInCell="1" allowOverlap="1" wp14:anchorId="27B43C0A" wp14:editId="48700F11">
            <wp:simplePos x="0" y="0"/>
            <wp:positionH relativeFrom="column">
              <wp:posOffset>46990</wp:posOffset>
            </wp:positionH>
            <wp:positionV relativeFrom="paragraph">
              <wp:posOffset>3411220</wp:posOffset>
            </wp:positionV>
            <wp:extent cx="5117465" cy="251587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289">
        <w:rPr>
          <w:noProof/>
          <w:lang w:val="en-GB" w:eastAsia="en-GB"/>
        </w:rPr>
        <w:drawing>
          <wp:anchor distT="0" distB="0" distL="114300" distR="114300" simplePos="0" relativeHeight="251792384" behindDoc="0" locked="0" layoutInCell="1" allowOverlap="1" wp14:anchorId="0DFEEB4D" wp14:editId="0795A09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114290" cy="262572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Pr="00714289" w:rsidRDefault="006D2F1A" w:rsidP="009B3B03">
      <w:pPr>
        <w:pStyle w:val="tytuwykresu"/>
        <w:ind w:left="652" w:hanging="652"/>
        <w:rPr>
          <w:b w:val="0"/>
          <w:szCs w:val="19"/>
          <w:highlight w:val="yellow"/>
          <w:lang w:val="en-GB" w:eastAsia="pl-PL"/>
        </w:rPr>
      </w:pPr>
      <w:r w:rsidRPr="00714289">
        <w:rPr>
          <w:lang w:val="en-GB"/>
        </w:rPr>
        <w:t>Chart</w:t>
      </w:r>
      <w:r w:rsidR="00883763" w:rsidRPr="00714289">
        <w:rPr>
          <w:lang w:val="en-GB"/>
        </w:rPr>
        <w:t xml:space="preserve"> </w:t>
      </w:r>
      <w:r w:rsidR="00CF08EF" w:rsidRPr="00714289">
        <w:rPr>
          <w:lang w:val="en-GB"/>
        </w:rPr>
        <w:t>5</w:t>
      </w:r>
      <w:r w:rsidR="00883763" w:rsidRPr="00714289">
        <w:rPr>
          <w:lang w:val="en-GB"/>
        </w:rPr>
        <w:t>.</w:t>
      </w:r>
      <w:r w:rsidR="00883763" w:rsidRPr="00714289">
        <w:rPr>
          <w:shd w:val="clear" w:color="auto" w:fill="FFFFFF"/>
          <w:lang w:val="en-GB"/>
        </w:rPr>
        <w:t xml:space="preserve"> </w:t>
      </w:r>
      <w:r w:rsidRPr="00714289">
        <w:rPr>
          <w:shd w:val="clear" w:color="auto" w:fill="FFFFFF"/>
          <w:lang w:val="en-GB"/>
        </w:rPr>
        <w:t>Changes in prices according to c</w:t>
      </w:r>
      <w:r w:rsidRPr="00714289">
        <w:rPr>
          <w:bCs/>
          <w:shd w:val="clear" w:color="auto" w:fill="FFFFFF"/>
          <w:lang w:val="en-GB"/>
        </w:rPr>
        <w:t>onsumer price index (CPI) and harmonised index of co</w:t>
      </w:r>
      <w:r w:rsidRPr="00714289">
        <w:rPr>
          <w:bCs/>
          <w:shd w:val="clear" w:color="auto" w:fill="FFFFFF"/>
          <w:lang w:val="en-GB"/>
        </w:rPr>
        <w:t>n</w:t>
      </w:r>
      <w:r w:rsidRPr="00714289">
        <w:rPr>
          <w:bCs/>
          <w:shd w:val="clear" w:color="auto" w:fill="FFFFFF"/>
          <w:lang w:val="en-GB"/>
        </w:rPr>
        <w:t>sumer prices (HICP) as related to the corresponding period of the previous year (in %)</w:t>
      </w:r>
      <w:r w:rsidR="00820461" w:rsidRPr="00714289">
        <w:rPr>
          <w:highlight w:val="yellow"/>
          <w:lang w:val="en-GB"/>
        </w:rPr>
        <w:br w:type="page"/>
      </w:r>
    </w:p>
    <w:p w:rsidR="00516A50" w:rsidRPr="00714289" w:rsidRDefault="006D2F1A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  <w:r w:rsidRPr="00714289">
        <w:rPr>
          <w:sz w:val="18"/>
          <w:lang w:val="en-GB"/>
        </w:rPr>
        <w:lastRenderedPageBreak/>
        <w:t>Table</w:t>
      </w:r>
      <w:r w:rsidR="00516A50" w:rsidRPr="00714289">
        <w:rPr>
          <w:noProof w:val="0"/>
          <w:sz w:val="18"/>
          <w:lang w:val="en-GB"/>
        </w:rPr>
        <w:t xml:space="preserve"> </w:t>
      </w:r>
      <w:r w:rsidR="00CF08EF" w:rsidRPr="00714289">
        <w:rPr>
          <w:noProof w:val="0"/>
          <w:sz w:val="18"/>
          <w:lang w:val="en-GB"/>
        </w:rPr>
        <w:t>2</w:t>
      </w:r>
      <w:r w:rsidR="00516A50" w:rsidRPr="00714289">
        <w:rPr>
          <w:noProof w:val="0"/>
          <w:sz w:val="18"/>
          <w:lang w:val="en-GB"/>
        </w:rPr>
        <w:t>.</w:t>
      </w:r>
      <w:r w:rsidR="00516A50" w:rsidRPr="00714289">
        <w:rPr>
          <w:noProof w:val="0"/>
          <w:sz w:val="18"/>
          <w:shd w:val="clear" w:color="auto" w:fill="FFFFFF"/>
          <w:lang w:val="en-GB"/>
        </w:rPr>
        <w:t xml:space="preserve"> </w:t>
      </w:r>
      <w:r w:rsidRPr="00714289">
        <w:rPr>
          <w:bCs/>
          <w:noProof w:val="0"/>
          <w:sz w:val="18"/>
          <w:shd w:val="clear" w:color="auto" w:fill="FFFFFF"/>
          <w:lang w:val="en-GB"/>
        </w:rPr>
        <w:t>Consumer price indices in March</w:t>
      </w:r>
      <w:r w:rsidR="000B60D7" w:rsidRPr="00714289">
        <w:rPr>
          <w:bCs/>
          <w:noProof w:val="0"/>
          <w:sz w:val="18"/>
          <w:shd w:val="clear" w:color="auto" w:fill="FFFFFF"/>
          <w:lang w:val="en-GB"/>
        </w:rPr>
        <w:t xml:space="preserve"> </w:t>
      </w:r>
      <w:r w:rsidR="003033FD" w:rsidRPr="00714289">
        <w:rPr>
          <w:noProof w:val="0"/>
          <w:sz w:val="18"/>
          <w:lang w:val="en-GB"/>
        </w:rPr>
        <w:t>202</w:t>
      </w:r>
      <w:r w:rsidR="00460EFF" w:rsidRPr="00714289">
        <w:rPr>
          <w:noProof w:val="0"/>
          <w:sz w:val="18"/>
          <w:lang w:val="en-GB"/>
        </w:rPr>
        <w:t>1</w:t>
      </w:r>
    </w:p>
    <w:p w:rsidR="00460EFF" w:rsidRPr="00714289" w:rsidRDefault="00460EFF" w:rsidP="00516A50">
      <w:pPr>
        <w:pStyle w:val="LID"/>
        <w:rPr>
          <w:bCs/>
          <w:noProof w:val="0"/>
          <w:sz w:val="18"/>
          <w:shd w:val="clear" w:color="auto" w:fill="FFFFFF"/>
          <w:lang w:val="en-GB"/>
        </w:rPr>
      </w:pPr>
    </w:p>
    <w:tbl>
      <w:tblPr>
        <w:tblW w:w="81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972"/>
        <w:gridCol w:w="972"/>
        <w:gridCol w:w="979"/>
        <w:gridCol w:w="972"/>
        <w:gridCol w:w="973"/>
        <w:gridCol w:w="21"/>
      </w:tblGrid>
      <w:tr w:rsidR="00460EFF" w:rsidRPr="00714289" w:rsidTr="00460EFF">
        <w:trPr>
          <w:cantSplit/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60EFF" w:rsidRPr="00714289" w:rsidRDefault="006D2F1A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III 2021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I-III 2021</w:t>
            </w:r>
          </w:p>
        </w:tc>
      </w:tr>
      <w:tr w:rsidR="00460EFF" w:rsidRPr="00714289" w:rsidTr="00460EFF">
        <w:trPr>
          <w:gridAfter w:val="1"/>
          <w:wAfter w:w="21" w:type="dxa"/>
          <w:cantSplit/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III 2020=</w:t>
            </w: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XII 2020=</w:t>
            </w: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II 2021=</w:t>
            </w: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I-III 2020= =100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460EFF" w:rsidRPr="00714289" w:rsidRDefault="00460EFF" w:rsidP="00460EF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Calibri"/>
                <w:sz w:val="16"/>
                <w:szCs w:val="16"/>
                <w:lang w:val="en-GB" w:eastAsia="pl-PL"/>
              </w:rPr>
              <w:t>X-XII 2020= =100</w:t>
            </w:r>
          </w:p>
        </w:tc>
      </w:tr>
      <w:tr w:rsidR="00B314A5" w:rsidRPr="00714289" w:rsidTr="00BB52D7">
        <w:trPr>
          <w:gridAfter w:val="1"/>
          <w:wAfter w:w="21" w:type="dxa"/>
          <w:trHeight w:val="314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lang w:val="en-GB"/>
              </w:rPr>
            </w:pPr>
            <w:r w:rsidRPr="0071428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B314A5" w:rsidRPr="00714289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B314A5" w:rsidRPr="00714289" w:rsidRDefault="00B314A5" w:rsidP="00B256C4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B314A5" w:rsidRPr="00714289" w:rsidTr="00BB52D7">
        <w:trPr>
          <w:gridAfter w:val="1"/>
          <w:wAfter w:w="21" w:type="dxa"/>
          <w:trHeight w:val="239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B314A5" w:rsidRPr="00714289" w:rsidTr="00BB52D7">
        <w:trPr>
          <w:gridAfter w:val="1"/>
          <w:wAfter w:w="21" w:type="dxa"/>
          <w:trHeight w:val="2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B314A5" w:rsidRPr="00714289" w:rsidTr="00BB52D7">
        <w:trPr>
          <w:gridAfter w:val="1"/>
          <w:wAfter w:w="21" w:type="dxa"/>
          <w:trHeight w:val="25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B314A5" w:rsidRPr="00714289" w:rsidTr="00BB52D7">
        <w:trPr>
          <w:gridAfter w:val="1"/>
          <w:wAfter w:w="21" w:type="dxa"/>
          <w:trHeight w:val="15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B314A5" w:rsidRPr="00714289" w:rsidTr="00B314A5">
        <w:trPr>
          <w:gridAfter w:val="1"/>
          <w:wAfter w:w="21" w:type="dxa"/>
          <w:trHeight w:val="183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B314A5" w:rsidRPr="00714289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</w:t>
            </w: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i</w:t>
            </w: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lar milk-based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B314A5" w:rsidRPr="00714289" w:rsidTr="00B742C5">
        <w:trPr>
          <w:gridAfter w:val="1"/>
          <w:wAfter w:w="21" w:type="dxa"/>
          <w:cantSplit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</w:tr>
      <w:tr w:rsidR="00B314A5" w:rsidRPr="00714289" w:rsidTr="00B742C5">
        <w:trPr>
          <w:gridAfter w:val="1"/>
          <w:wAfter w:w="21" w:type="dxa"/>
          <w:trHeight w:val="307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95,5</w:t>
            </w:r>
          </w:p>
        </w:tc>
      </w:tr>
      <w:tr w:rsidR="00B314A5" w:rsidRPr="00714289" w:rsidTr="00B742C5">
        <w:trPr>
          <w:gridAfter w:val="1"/>
          <w:wAfter w:w="21" w:type="dxa"/>
          <w:trHeight w:val="29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B314A5" w:rsidRPr="00714289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B314A5" w:rsidRPr="00714289" w:rsidTr="00B742C5">
        <w:trPr>
          <w:gridAfter w:val="1"/>
          <w:wAfter w:w="21" w:type="dxa"/>
          <w:trHeight w:val="17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109,9</w:t>
            </w:r>
          </w:p>
        </w:tc>
      </w:tr>
      <w:tr w:rsidR="00B314A5" w:rsidRPr="00714289" w:rsidTr="00B742C5">
        <w:trPr>
          <w:gridAfter w:val="1"/>
          <w:wAfter w:w="21" w:type="dxa"/>
          <w:trHeight w:val="26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</w:tr>
      <w:tr w:rsidR="00B314A5" w:rsidRPr="00714289" w:rsidTr="00B742C5">
        <w:trPr>
          <w:gridAfter w:val="1"/>
          <w:wAfter w:w="21" w:type="dxa"/>
          <w:trHeight w:val="27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B314A5" w:rsidRPr="00714289" w:rsidTr="00B742C5">
        <w:trPr>
          <w:gridAfter w:val="1"/>
          <w:wAfter w:w="21" w:type="dxa"/>
          <w:trHeight w:val="26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B314A5" w:rsidRPr="00714289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B52D7">
        <w:trPr>
          <w:gridAfter w:val="1"/>
          <w:wAfter w:w="21" w:type="dxa"/>
          <w:trHeight w:val="37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</w:tr>
      <w:tr w:rsidR="00B314A5" w:rsidRPr="00714289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B314A5" w:rsidRPr="00714289" w:rsidTr="00B742C5">
        <w:trPr>
          <w:gridAfter w:val="1"/>
          <w:wAfter w:w="21" w:type="dxa"/>
          <w:trHeight w:val="257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B314A5" w:rsidRPr="00714289" w:rsidTr="00B742C5">
        <w:trPr>
          <w:gridAfter w:val="1"/>
          <w:wAfter w:w="21" w:type="dxa"/>
          <w:trHeight w:val="279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</w:tr>
      <w:tr w:rsidR="00B314A5" w:rsidRPr="00714289" w:rsidTr="00B742C5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110,6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1D7AB6">
        <w:trPr>
          <w:gridAfter w:val="1"/>
          <w:wAfter w:w="21" w:type="dxa"/>
          <w:trHeight w:val="45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</w:t>
            </w: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r</w:t>
            </w: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mation processing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B314A5" w:rsidRPr="00714289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sporting </w:t>
            </w:r>
            <w:proofErr w:type="spellStart"/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  <w:r w:rsidRPr="00714289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113,0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110,9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B314A5" w:rsidRPr="00714289" w:rsidTr="00B742C5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</w:t>
            </w:r>
            <w:proofErr w:type="spellStart"/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714289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domestic </w:t>
            </w:r>
            <w:proofErr w:type="spellStart"/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714289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Package international </w:t>
            </w:r>
            <w:proofErr w:type="spellStart"/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holidays</w:t>
            </w:r>
            <w:r w:rsidRPr="00714289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314A5" w:rsidRPr="00714289" w:rsidTr="00952930">
        <w:trPr>
          <w:gridAfter w:val="1"/>
          <w:wAfter w:w="21" w:type="dxa"/>
          <w:trHeight w:val="61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B314A5" w:rsidRPr="00714289" w:rsidTr="001D7AB6">
        <w:trPr>
          <w:gridAfter w:val="1"/>
          <w:wAfter w:w="21" w:type="dxa"/>
          <w:trHeight w:val="40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</w:t>
            </w:r>
            <w:r w:rsidRPr="0071428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l</w:t>
            </w:r>
            <w:r w:rsidRPr="00714289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ness, esoteric products and beauty products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110,4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110,7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B314A5" w:rsidRPr="00714289" w:rsidTr="00B742C5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</w:tr>
      <w:tr w:rsidR="00B314A5" w:rsidRPr="00714289" w:rsidTr="00B742C5">
        <w:trPr>
          <w:gridAfter w:val="1"/>
          <w:wAfter w:w="21" w:type="dxa"/>
          <w:trHeight w:val="45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14A5" w:rsidRPr="00714289" w:rsidRDefault="00B314A5" w:rsidP="00B256C4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14289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147,6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148,5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4A5" w:rsidRPr="00714289" w:rsidRDefault="00B314A5" w:rsidP="00B742C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71428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</w:tbl>
    <w:p w:rsidR="00864AD8" w:rsidRPr="00714289" w:rsidRDefault="00864AD8" w:rsidP="00BE297F">
      <w:pPr>
        <w:pStyle w:val="NormalnyWeb"/>
        <w:spacing w:before="360" w:beforeAutospacing="0" w:after="120" w:afterAutospacing="0"/>
        <w:rPr>
          <w:rFonts w:ascii="Fira Sans" w:hAnsi="Fira Sans"/>
          <w:color w:val="222222"/>
          <w:sz w:val="16"/>
          <w:szCs w:val="16"/>
        </w:rPr>
      </w:pPr>
      <w:r w:rsidRPr="00714289">
        <w:rPr>
          <w:rFonts w:ascii="Fira Sans" w:hAnsi="Fira Sans"/>
          <w:color w:val="222222"/>
          <w:sz w:val="16"/>
          <w:szCs w:val="16"/>
        </w:rPr>
        <w:t xml:space="preserve">u  </w:t>
      </w:r>
      <w:r w:rsidR="006D2F1A" w:rsidRPr="00714289">
        <w:rPr>
          <w:rFonts w:ascii="Fira Sans" w:hAnsi="Fira Sans"/>
          <w:color w:val="222222"/>
          <w:sz w:val="16"/>
          <w:szCs w:val="16"/>
        </w:rPr>
        <w:t>The share of estimated data for an aggregate more than 50%</w:t>
      </w:r>
    </w:p>
    <w:p w:rsidR="00467181" w:rsidRPr="00714289" w:rsidRDefault="00467181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0F68E3" w:rsidRPr="00714289" w:rsidRDefault="000F68E3" w:rsidP="00952930">
      <w:pPr>
        <w:spacing w:line="259" w:lineRule="auto"/>
        <w:rPr>
          <w:color w:val="222222"/>
          <w:szCs w:val="19"/>
          <w:lang w:val="en-GB"/>
        </w:rPr>
      </w:pPr>
      <w:r w:rsidRPr="00714289">
        <w:rPr>
          <w:color w:val="222222"/>
          <w:szCs w:val="19"/>
          <w:lang w:val="en-GB"/>
        </w:rPr>
        <w:t>The guidelines in the context of the COVID-19 pandemi</w:t>
      </w:r>
      <w:r w:rsidR="00714289" w:rsidRPr="00714289">
        <w:rPr>
          <w:color w:val="222222"/>
          <w:szCs w:val="19"/>
          <w:lang w:val="en-GB"/>
        </w:rPr>
        <w:t xml:space="preserve">c crisis </w:t>
      </w:r>
      <w:r w:rsidRPr="00714289">
        <w:rPr>
          <w:color w:val="222222"/>
          <w:szCs w:val="19"/>
          <w:lang w:val="en-GB"/>
        </w:rPr>
        <w:t xml:space="preserve">recommended by Eurostat concerning consumer price indices and weighting system are presented under the link </w:t>
      </w:r>
      <w:hyperlink r:id="rId18" w:history="1">
        <w:r w:rsidRPr="00714289">
          <w:rPr>
            <w:rStyle w:val="Hipercze"/>
            <w:szCs w:val="19"/>
            <w:lang w:val="en-GB"/>
          </w:rPr>
          <w:t>https://stat.gov.pl/obszary-tematyczne/ceny-handel/wskazniki-cen/wytyczne-dotyczace-opracowania-hicp-w-kontekscie-kryzysu-zwiazanego-z-covid-19,19,1</w:t>
        </w:r>
        <w:r w:rsidRPr="00714289">
          <w:rPr>
            <w:rStyle w:val="Hipercze"/>
            <w:szCs w:val="19"/>
            <w:lang w:val="en-GB"/>
          </w:rPr>
          <w:t>.</w:t>
        </w:r>
        <w:r w:rsidRPr="00714289">
          <w:rPr>
            <w:rStyle w:val="Hipercze"/>
            <w:szCs w:val="19"/>
            <w:lang w:val="en-GB"/>
          </w:rPr>
          <w:t>html</w:t>
        </w:r>
      </w:hyperlink>
    </w:p>
    <w:p w:rsidR="00BE297F" w:rsidRPr="00714289" w:rsidRDefault="00BE297F" w:rsidP="00864AD8">
      <w:pPr>
        <w:spacing w:before="0" w:after="160" w:line="259" w:lineRule="auto"/>
        <w:rPr>
          <w:color w:val="222222"/>
          <w:lang w:val="en-GB"/>
        </w:rPr>
      </w:pPr>
      <w:bookmarkStart w:id="0" w:name="_GoBack"/>
      <w:bookmarkEnd w:id="0"/>
    </w:p>
    <w:p w:rsidR="00685123" w:rsidRPr="00714289" w:rsidRDefault="006D2F1A" w:rsidP="00864AD8">
      <w:pPr>
        <w:spacing w:before="0" w:after="160" w:line="259" w:lineRule="auto"/>
        <w:rPr>
          <w:b/>
          <w:szCs w:val="19"/>
          <w:highlight w:val="yellow"/>
          <w:lang w:val="en-GB" w:eastAsia="pl-PL"/>
        </w:rPr>
        <w:sectPr w:rsidR="00685123" w:rsidRPr="00714289" w:rsidSect="00EF7B36"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14289">
        <w:rPr>
          <w:color w:val="222222"/>
          <w:lang w:val="en-GB"/>
        </w:rPr>
        <w:t>In case of quoting Statistics Poland data, please provide information: “Source of data: Stati</w:t>
      </w:r>
      <w:r w:rsidRPr="00714289">
        <w:rPr>
          <w:color w:val="222222"/>
          <w:lang w:val="en-GB"/>
        </w:rPr>
        <w:t>s</w:t>
      </w:r>
      <w:r w:rsidRPr="00714289">
        <w:rPr>
          <w:color w:val="222222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0470AA" w:rsidRPr="00714289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2F6650" w:rsidRPr="00714289" w:rsidTr="002F6650">
        <w:trPr>
          <w:trHeight w:val="1912"/>
        </w:trPr>
        <w:tc>
          <w:tcPr>
            <w:tcW w:w="4356" w:type="dxa"/>
          </w:tcPr>
          <w:p w:rsidR="002F6650" w:rsidRPr="00714289" w:rsidRDefault="002F6650" w:rsidP="002F6650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2F6650" w:rsidRPr="00714289" w:rsidRDefault="002F6650" w:rsidP="002F665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2F6650" w:rsidRPr="00714289" w:rsidRDefault="002F6650" w:rsidP="002F665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2F6650" w:rsidRPr="00714289" w:rsidRDefault="002F6650" w:rsidP="002F665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71428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2F6650" w:rsidRPr="00714289" w:rsidRDefault="002F6650" w:rsidP="002F665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71428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71428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2F6650" w:rsidRPr="00714289" w:rsidRDefault="002F6650" w:rsidP="002F665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14289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2F6650" w:rsidRPr="00714289" w:rsidRDefault="002F6650" w:rsidP="002F665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71428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71428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2F6650" w:rsidRPr="00714289" w:rsidRDefault="002F6650" w:rsidP="002F665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71428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2F6650" w:rsidRPr="00714289" w:rsidRDefault="002F6650" w:rsidP="002F665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714289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2F6650" w:rsidRPr="00714289" w:rsidTr="00022839">
        <w:trPr>
          <w:trHeight w:val="610"/>
        </w:trPr>
        <w:tc>
          <w:tcPr>
            <w:tcW w:w="2721" w:type="pct"/>
            <w:vMerge w:val="restart"/>
          </w:tcPr>
          <w:p w:rsidR="002F6650" w:rsidRPr="00714289" w:rsidRDefault="002F6650" w:rsidP="00022839">
            <w:pPr>
              <w:spacing w:before="240"/>
              <w:rPr>
                <w:b/>
                <w:sz w:val="20"/>
                <w:lang w:val="en-GB"/>
              </w:rPr>
            </w:pPr>
            <w:r w:rsidRPr="00714289">
              <w:rPr>
                <w:b/>
                <w:sz w:val="20"/>
                <w:lang w:val="en-GB"/>
              </w:rPr>
              <w:t>Press Office</w:t>
            </w:r>
          </w:p>
          <w:p w:rsidR="002F6650" w:rsidRPr="00714289" w:rsidRDefault="002F6650" w:rsidP="00022839">
            <w:pPr>
              <w:rPr>
                <w:sz w:val="20"/>
                <w:lang w:val="en-GB"/>
              </w:rPr>
            </w:pPr>
            <w:r w:rsidRPr="0071428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714289">
              <w:rPr>
                <w:sz w:val="20"/>
                <w:lang w:val="en-GB"/>
              </w:rPr>
              <w:t xml:space="preserve">608 34 91, 608 38 04 </w:t>
            </w:r>
          </w:p>
          <w:p w:rsidR="002F6650" w:rsidRPr="00714289" w:rsidRDefault="002F6650" w:rsidP="00022839">
            <w:pPr>
              <w:rPr>
                <w:sz w:val="18"/>
                <w:lang w:val="en-GB"/>
              </w:rPr>
            </w:pPr>
            <w:r w:rsidRPr="00714289">
              <w:rPr>
                <w:b/>
                <w:sz w:val="20"/>
                <w:lang w:val="en-GB"/>
              </w:rPr>
              <w:t>e-mail:</w:t>
            </w:r>
            <w:r w:rsidRPr="00714289">
              <w:rPr>
                <w:sz w:val="20"/>
                <w:lang w:val="en-GB"/>
              </w:rPr>
              <w:t xml:space="preserve"> </w:t>
            </w:r>
            <w:hyperlink r:id="rId23" w:history="1">
              <w:r w:rsidRPr="0071428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F6650" w:rsidRPr="00714289" w:rsidRDefault="002F6650" w:rsidP="00022839">
            <w:pPr>
              <w:rPr>
                <w:sz w:val="18"/>
                <w:lang w:val="en-GB"/>
              </w:rPr>
            </w:pPr>
            <w:r w:rsidRPr="0071428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8528" behindDoc="0" locked="0" layoutInCell="1" allowOverlap="1" wp14:anchorId="123DD257" wp14:editId="68BB0A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F6650" w:rsidRPr="00714289" w:rsidRDefault="00022839" w:rsidP="00022839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2F6650" w:rsidRPr="0071428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2F6650" w:rsidRPr="00714289" w:rsidTr="00022839">
        <w:trPr>
          <w:trHeight w:val="436"/>
        </w:trPr>
        <w:tc>
          <w:tcPr>
            <w:tcW w:w="2721" w:type="pct"/>
            <w:vMerge/>
            <w:vAlign w:val="center"/>
          </w:tcPr>
          <w:p w:rsidR="002F6650" w:rsidRPr="00714289" w:rsidRDefault="002F6650" w:rsidP="0002283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2F6650" w:rsidRPr="00714289" w:rsidRDefault="002F6650" w:rsidP="00022839">
            <w:pPr>
              <w:rPr>
                <w:sz w:val="18"/>
                <w:lang w:val="en-GB"/>
              </w:rPr>
            </w:pPr>
            <w:r w:rsidRPr="0071428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99552" behindDoc="0" locked="0" layoutInCell="1" allowOverlap="1" wp14:anchorId="6A815CFF" wp14:editId="7FD992E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F6650" w:rsidRPr="00714289" w:rsidRDefault="00022839" w:rsidP="00022839">
            <w:pPr>
              <w:rPr>
                <w:sz w:val="18"/>
                <w:lang w:val="en-GB"/>
              </w:rPr>
            </w:pPr>
            <w:hyperlink r:id="rId27" w:history="1">
              <w:r w:rsidR="002F6650" w:rsidRPr="0071428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2F6650" w:rsidRPr="0071428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2F6650" w:rsidRPr="00714289" w:rsidTr="00022839">
        <w:trPr>
          <w:trHeight w:val="436"/>
        </w:trPr>
        <w:tc>
          <w:tcPr>
            <w:tcW w:w="2721" w:type="pct"/>
            <w:vMerge/>
            <w:vAlign w:val="center"/>
          </w:tcPr>
          <w:p w:rsidR="002F6650" w:rsidRPr="00714289" w:rsidRDefault="002F6650" w:rsidP="0002283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2F6650" w:rsidRPr="00714289" w:rsidRDefault="002F6650" w:rsidP="00022839">
            <w:pPr>
              <w:rPr>
                <w:sz w:val="18"/>
                <w:lang w:val="en-GB"/>
              </w:rPr>
            </w:pPr>
            <w:r w:rsidRPr="0071428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0576" behindDoc="0" locked="0" layoutInCell="1" allowOverlap="1" wp14:anchorId="58E49F53" wp14:editId="55C1080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F6650" w:rsidRPr="00714289" w:rsidRDefault="00022839" w:rsidP="00022839">
            <w:pPr>
              <w:rPr>
                <w:sz w:val="20"/>
                <w:lang w:val="en-GB"/>
              </w:rPr>
            </w:pPr>
            <w:hyperlink r:id="rId29" w:history="1">
              <w:r w:rsidR="002F6650" w:rsidRPr="0071428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2F6650" w:rsidRPr="0071428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2F6650" w:rsidRPr="00714289" w:rsidRDefault="00022839" w:rsidP="002F6650">
      <w:pPr>
        <w:rPr>
          <w:sz w:val="18"/>
          <w:lang w:val="en-GB"/>
        </w:rPr>
      </w:pPr>
      <w:r w:rsidRPr="00714289">
        <w:rPr>
          <w:noProof/>
          <w:lang w:val="en-GB"/>
        </w:rPr>
        <w:pict>
          <v:shape id="_x0000_s1035" type="#_x0000_t202" style="position:absolute;margin-left:1.5pt;margin-top:34.7pt;width:516.5pt;height:349.8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022839" w:rsidRDefault="00022839" w:rsidP="002F6650">
                  <w:pPr>
                    <w:rPr>
                      <w:b/>
                    </w:rPr>
                  </w:pPr>
                </w:p>
                <w:p w:rsidR="00022839" w:rsidRPr="00941435" w:rsidRDefault="00022839" w:rsidP="002F6650">
                  <w:pPr>
                    <w:rPr>
                      <w:b/>
                      <w:lang w:val="en-GB"/>
                    </w:rPr>
                  </w:pPr>
                  <w:r w:rsidRPr="00941435">
                    <w:rPr>
                      <w:b/>
                      <w:lang w:val="en-GB"/>
                    </w:rPr>
                    <w:t>Related information</w:t>
                  </w:r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022839" w:rsidRPr="00941435" w:rsidRDefault="00022839" w:rsidP="002F6650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022839" w:rsidRPr="00941435" w:rsidRDefault="00022839" w:rsidP="002F6650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022839" w:rsidRPr="00941435" w:rsidRDefault="00022839" w:rsidP="002F6650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022839" w:rsidRPr="00941435" w:rsidRDefault="00022839" w:rsidP="002F6650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941435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022839" w:rsidRPr="00941435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022839" w:rsidRPr="00BD7810" w:rsidRDefault="00022839" w:rsidP="002F665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Pr="0094143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D261A2" w:rsidRPr="00714289" w:rsidRDefault="00D261A2" w:rsidP="00E76D26">
      <w:pPr>
        <w:rPr>
          <w:sz w:val="18"/>
          <w:lang w:val="en-GB"/>
        </w:rPr>
      </w:pPr>
    </w:p>
    <w:sectPr w:rsidR="00D261A2" w:rsidRPr="00714289" w:rsidSect="00EF7B36">
      <w:headerReference w:type="default" r:id="rId39"/>
      <w:footerReference w:type="default" r:id="rId4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39" w:rsidRDefault="00022839" w:rsidP="000662E2">
      <w:pPr>
        <w:spacing w:after="0" w:line="240" w:lineRule="auto"/>
      </w:pPr>
      <w:r>
        <w:separator/>
      </w:r>
    </w:p>
  </w:endnote>
  <w:endnote w:type="continuationSeparator" w:id="0">
    <w:p w:rsidR="00022839" w:rsidRDefault="000228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022839" w:rsidRDefault="000228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022839" w:rsidRDefault="000228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022839" w:rsidRDefault="000228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3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39" w:rsidRDefault="00022839" w:rsidP="000662E2">
      <w:pPr>
        <w:spacing w:after="0" w:line="240" w:lineRule="auto"/>
      </w:pPr>
      <w:r>
        <w:separator/>
      </w:r>
    </w:p>
  </w:footnote>
  <w:footnote w:type="continuationSeparator" w:id="0">
    <w:p w:rsidR="00022839" w:rsidRDefault="0002283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839" w:rsidRDefault="00022839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022839" w:rsidRDefault="000228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839" w:rsidRDefault="00022839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1ADA918B" wp14:editId="4E0E5245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022839" w:rsidRPr="003C6C8D" w:rsidRDefault="00022839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BF0097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</w:p>
  <w:p w:rsidR="00022839" w:rsidRDefault="00022839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022839" w:rsidRPr="00C97596" w:rsidRDefault="00022839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15.04.2021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839" w:rsidRDefault="00022839">
    <w:pPr>
      <w:pStyle w:val="Nagwek"/>
    </w:pPr>
  </w:p>
  <w:p w:rsidR="00022839" w:rsidRDefault="00022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260E"/>
    <w:rsid w:val="00003437"/>
    <w:rsid w:val="00005FA6"/>
    <w:rsid w:val="0000709F"/>
    <w:rsid w:val="000108B8"/>
    <w:rsid w:val="000152F5"/>
    <w:rsid w:val="0001700C"/>
    <w:rsid w:val="000201FC"/>
    <w:rsid w:val="00022839"/>
    <w:rsid w:val="000242DA"/>
    <w:rsid w:val="00024B66"/>
    <w:rsid w:val="00024EE7"/>
    <w:rsid w:val="00026BA3"/>
    <w:rsid w:val="00026F64"/>
    <w:rsid w:val="00026FBB"/>
    <w:rsid w:val="00027748"/>
    <w:rsid w:val="00030ACD"/>
    <w:rsid w:val="00034160"/>
    <w:rsid w:val="0003614E"/>
    <w:rsid w:val="0004015D"/>
    <w:rsid w:val="0004582E"/>
    <w:rsid w:val="0004646A"/>
    <w:rsid w:val="000470AA"/>
    <w:rsid w:val="000531EB"/>
    <w:rsid w:val="00054B2E"/>
    <w:rsid w:val="00057CA1"/>
    <w:rsid w:val="000609C1"/>
    <w:rsid w:val="00065CCC"/>
    <w:rsid w:val="00065E4D"/>
    <w:rsid w:val="000662E2"/>
    <w:rsid w:val="00066883"/>
    <w:rsid w:val="00072D35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08EE"/>
    <w:rsid w:val="000C135D"/>
    <w:rsid w:val="000C68F7"/>
    <w:rsid w:val="000D1D43"/>
    <w:rsid w:val="000D225C"/>
    <w:rsid w:val="000D2465"/>
    <w:rsid w:val="000D2A5C"/>
    <w:rsid w:val="000E0918"/>
    <w:rsid w:val="000F2650"/>
    <w:rsid w:val="000F68E3"/>
    <w:rsid w:val="001011C3"/>
    <w:rsid w:val="00102EAC"/>
    <w:rsid w:val="00107FC7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5121"/>
    <w:rsid w:val="00146621"/>
    <w:rsid w:val="00162325"/>
    <w:rsid w:val="001640C2"/>
    <w:rsid w:val="00165856"/>
    <w:rsid w:val="00171DA5"/>
    <w:rsid w:val="001772F8"/>
    <w:rsid w:val="00194845"/>
    <w:rsid w:val="00194DE1"/>
    <w:rsid w:val="001951DA"/>
    <w:rsid w:val="001A3A7F"/>
    <w:rsid w:val="001A7573"/>
    <w:rsid w:val="001A78D0"/>
    <w:rsid w:val="001B7E7B"/>
    <w:rsid w:val="001C1375"/>
    <w:rsid w:val="001C3269"/>
    <w:rsid w:val="001C593F"/>
    <w:rsid w:val="001C7312"/>
    <w:rsid w:val="001D1DB4"/>
    <w:rsid w:val="001D7AB6"/>
    <w:rsid w:val="001E1D94"/>
    <w:rsid w:val="001E4443"/>
    <w:rsid w:val="001E7DBB"/>
    <w:rsid w:val="001F439C"/>
    <w:rsid w:val="001F60D1"/>
    <w:rsid w:val="00212DE8"/>
    <w:rsid w:val="00214CA5"/>
    <w:rsid w:val="00216F18"/>
    <w:rsid w:val="002268BB"/>
    <w:rsid w:val="0024416D"/>
    <w:rsid w:val="00244DD1"/>
    <w:rsid w:val="00256FA5"/>
    <w:rsid w:val="002574F9"/>
    <w:rsid w:val="00257539"/>
    <w:rsid w:val="00257A17"/>
    <w:rsid w:val="002619FD"/>
    <w:rsid w:val="002621B1"/>
    <w:rsid w:val="00262B61"/>
    <w:rsid w:val="0026302B"/>
    <w:rsid w:val="002724FF"/>
    <w:rsid w:val="00275FA6"/>
    <w:rsid w:val="00276811"/>
    <w:rsid w:val="00276C9A"/>
    <w:rsid w:val="00276F83"/>
    <w:rsid w:val="00280D7C"/>
    <w:rsid w:val="00282699"/>
    <w:rsid w:val="00285768"/>
    <w:rsid w:val="00285C5A"/>
    <w:rsid w:val="002906EA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086A"/>
    <w:rsid w:val="002E6140"/>
    <w:rsid w:val="002E6985"/>
    <w:rsid w:val="002E71B6"/>
    <w:rsid w:val="002F321F"/>
    <w:rsid w:val="002F6650"/>
    <w:rsid w:val="002F77C8"/>
    <w:rsid w:val="003033FD"/>
    <w:rsid w:val="003047EF"/>
    <w:rsid w:val="00304F22"/>
    <w:rsid w:val="00305162"/>
    <w:rsid w:val="00306C7C"/>
    <w:rsid w:val="003077B5"/>
    <w:rsid w:val="00310F90"/>
    <w:rsid w:val="00317C90"/>
    <w:rsid w:val="00322EDD"/>
    <w:rsid w:val="00325FA3"/>
    <w:rsid w:val="00332320"/>
    <w:rsid w:val="00336B88"/>
    <w:rsid w:val="003404C9"/>
    <w:rsid w:val="003405A4"/>
    <w:rsid w:val="003412A8"/>
    <w:rsid w:val="00341C29"/>
    <w:rsid w:val="00343BBC"/>
    <w:rsid w:val="00347D72"/>
    <w:rsid w:val="00351D21"/>
    <w:rsid w:val="00357611"/>
    <w:rsid w:val="00364CB3"/>
    <w:rsid w:val="00367237"/>
    <w:rsid w:val="0037077F"/>
    <w:rsid w:val="00371BCE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2A33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EAA"/>
    <w:rsid w:val="003E6F8F"/>
    <w:rsid w:val="003F4C97"/>
    <w:rsid w:val="003F54AA"/>
    <w:rsid w:val="003F7FE6"/>
    <w:rsid w:val="00400193"/>
    <w:rsid w:val="004002CD"/>
    <w:rsid w:val="004009D2"/>
    <w:rsid w:val="00413FD5"/>
    <w:rsid w:val="00417625"/>
    <w:rsid w:val="004212E7"/>
    <w:rsid w:val="0042446D"/>
    <w:rsid w:val="004276B0"/>
    <w:rsid w:val="00427BF8"/>
    <w:rsid w:val="00431C02"/>
    <w:rsid w:val="00435D6D"/>
    <w:rsid w:val="00437395"/>
    <w:rsid w:val="00445047"/>
    <w:rsid w:val="004469A3"/>
    <w:rsid w:val="004513A3"/>
    <w:rsid w:val="00451932"/>
    <w:rsid w:val="00453304"/>
    <w:rsid w:val="00454E14"/>
    <w:rsid w:val="004566AB"/>
    <w:rsid w:val="0045762F"/>
    <w:rsid w:val="004601AC"/>
    <w:rsid w:val="00460C26"/>
    <w:rsid w:val="00460EFF"/>
    <w:rsid w:val="00463E39"/>
    <w:rsid w:val="004657FC"/>
    <w:rsid w:val="00467181"/>
    <w:rsid w:val="004733F6"/>
    <w:rsid w:val="00474E69"/>
    <w:rsid w:val="0048486C"/>
    <w:rsid w:val="00486EE6"/>
    <w:rsid w:val="0049189D"/>
    <w:rsid w:val="00493217"/>
    <w:rsid w:val="0049621B"/>
    <w:rsid w:val="004B2431"/>
    <w:rsid w:val="004B2465"/>
    <w:rsid w:val="004B4C23"/>
    <w:rsid w:val="004B782B"/>
    <w:rsid w:val="004C01B5"/>
    <w:rsid w:val="004C1895"/>
    <w:rsid w:val="004C6D40"/>
    <w:rsid w:val="004D119F"/>
    <w:rsid w:val="004D333E"/>
    <w:rsid w:val="004D3ABE"/>
    <w:rsid w:val="004D6889"/>
    <w:rsid w:val="004E21A3"/>
    <w:rsid w:val="004F0C3C"/>
    <w:rsid w:val="004F63FC"/>
    <w:rsid w:val="00501254"/>
    <w:rsid w:val="00501F76"/>
    <w:rsid w:val="00502E6F"/>
    <w:rsid w:val="00505A92"/>
    <w:rsid w:val="005077D1"/>
    <w:rsid w:val="00510BE8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3632"/>
    <w:rsid w:val="00534040"/>
    <w:rsid w:val="0053648F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5D06"/>
    <w:rsid w:val="005875EB"/>
    <w:rsid w:val="005877DE"/>
    <w:rsid w:val="005916D7"/>
    <w:rsid w:val="0059573F"/>
    <w:rsid w:val="005A2784"/>
    <w:rsid w:val="005A698C"/>
    <w:rsid w:val="005A69F2"/>
    <w:rsid w:val="005A6C7D"/>
    <w:rsid w:val="005B01E2"/>
    <w:rsid w:val="005C1AF8"/>
    <w:rsid w:val="005C209B"/>
    <w:rsid w:val="005C778E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6703"/>
    <w:rsid w:val="00607CC5"/>
    <w:rsid w:val="00613AEC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6DED"/>
    <w:rsid w:val="00666E24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0955"/>
    <w:rsid w:val="006A4686"/>
    <w:rsid w:val="006B0B72"/>
    <w:rsid w:val="006B0E9E"/>
    <w:rsid w:val="006B208D"/>
    <w:rsid w:val="006B20B4"/>
    <w:rsid w:val="006B5AE4"/>
    <w:rsid w:val="006B5BD5"/>
    <w:rsid w:val="006B78EF"/>
    <w:rsid w:val="006D1507"/>
    <w:rsid w:val="006D2F1A"/>
    <w:rsid w:val="006D4054"/>
    <w:rsid w:val="006D5C42"/>
    <w:rsid w:val="006D5D88"/>
    <w:rsid w:val="006D6B72"/>
    <w:rsid w:val="006E02EC"/>
    <w:rsid w:val="006E14B3"/>
    <w:rsid w:val="006E2D00"/>
    <w:rsid w:val="006E2DCF"/>
    <w:rsid w:val="006F145E"/>
    <w:rsid w:val="006F6B1F"/>
    <w:rsid w:val="007059D5"/>
    <w:rsid w:val="007063C3"/>
    <w:rsid w:val="007122CC"/>
    <w:rsid w:val="00714289"/>
    <w:rsid w:val="007162EB"/>
    <w:rsid w:val="007211B1"/>
    <w:rsid w:val="00721712"/>
    <w:rsid w:val="0072400B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76D7"/>
    <w:rsid w:val="00774934"/>
    <w:rsid w:val="00776D79"/>
    <w:rsid w:val="00777295"/>
    <w:rsid w:val="007801F5"/>
    <w:rsid w:val="00781552"/>
    <w:rsid w:val="00783CA4"/>
    <w:rsid w:val="007842FB"/>
    <w:rsid w:val="00786124"/>
    <w:rsid w:val="0078756B"/>
    <w:rsid w:val="0079022D"/>
    <w:rsid w:val="00792E24"/>
    <w:rsid w:val="00793154"/>
    <w:rsid w:val="007948D4"/>
    <w:rsid w:val="0079514B"/>
    <w:rsid w:val="00797060"/>
    <w:rsid w:val="00797771"/>
    <w:rsid w:val="007A2DC1"/>
    <w:rsid w:val="007A77F5"/>
    <w:rsid w:val="007B74D8"/>
    <w:rsid w:val="007D3319"/>
    <w:rsid w:val="007D335D"/>
    <w:rsid w:val="007D4406"/>
    <w:rsid w:val="007E3314"/>
    <w:rsid w:val="007E4B03"/>
    <w:rsid w:val="007E71CF"/>
    <w:rsid w:val="007F045B"/>
    <w:rsid w:val="007F324B"/>
    <w:rsid w:val="007F3983"/>
    <w:rsid w:val="007F6195"/>
    <w:rsid w:val="008006E1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115B"/>
    <w:rsid w:val="00852448"/>
    <w:rsid w:val="00860851"/>
    <w:rsid w:val="00864AD8"/>
    <w:rsid w:val="00866B61"/>
    <w:rsid w:val="00873B73"/>
    <w:rsid w:val="00876337"/>
    <w:rsid w:val="00881260"/>
    <w:rsid w:val="0088258A"/>
    <w:rsid w:val="008832C4"/>
    <w:rsid w:val="00883763"/>
    <w:rsid w:val="00885F63"/>
    <w:rsid w:val="00886332"/>
    <w:rsid w:val="00887348"/>
    <w:rsid w:val="00892238"/>
    <w:rsid w:val="008A23B4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5DD4"/>
    <w:rsid w:val="008F6F31"/>
    <w:rsid w:val="008F74DF"/>
    <w:rsid w:val="0091008E"/>
    <w:rsid w:val="009127BA"/>
    <w:rsid w:val="00912EB7"/>
    <w:rsid w:val="00916782"/>
    <w:rsid w:val="00917CCF"/>
    <w:rsid w:val="00920A9B"/>
    <w:rsid w:val="00920FC4"/>
    <w:rsid w:val="009227A6"/>
    <w:rsid w:val="00927AD2"/>
    <w:rsid w:val="00932D7A"/>
    <w:rsid w:val="00933B26"/>
    <w:rsid w:val="00933EC1"/>
    <w:rsid w:val="00942DCA"/>
    <w:rsid w:val="0094622C"/>
    <w:rsid w:val="00951DEA"/>
    <w:rsid w:val="00952930"/>
    <w:rsid w:val="009530DB"/>
    <w:rsid w:val="00953676"/>
    <w:rsid w:val="009662EB"/>
    <w:rsid w:val="009668F9"/>
    <w:rsid w:val="009705EE"/>
    <w:rsid w:val="00971217"/>
    <w:rsid w:val="009731D6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206F"/>
    <w:rsid w:val="009A6EA0"/>
    <w:rsid w:val="009A703D"/>
    <w:rsid w:val="009B1399"/>
    <w:rsid w:val="009B1414"/>
    <w:rsid w:val="009B2242"/>
    <w:rsid w:val="009B3B03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E4F34"/>
    <w:rsid w:val="009F3EB0"/>
    <w:rsid w:val="009F4D4A"/>
    <w:rsid w:val="009F5815"/>
    <w:rsid w:val="009F5AB7"/>
    <w:rsid w:val="009F70CD"/>
    <w:rsid w:val="009F7A99"/>
    <w:rsid w:val="00A06D23"/>
    <w:rsid w:val="00A07F00"/>
    <w:rsid w:val="00A12435"/>
    <w:rsid w:val="00A139F5"/>
    <w:rsid w:val="00A15A51"/>
    <w:rsid w:val="00A2136A"/>
    <w:rsid w:val="00A27522"/>
    <w:rsid w:val="00A3060E"/>
    <w:rsid w:val="00A34C24"/>
    <w:rsid w:val="00A35F89"/>
    <w:rsid w:val="00A365F4"/>
    <w:rsid w:val="00A37CE0"/>
    <w:rsid w:val="00A459FF"/>
    <w:rsid w:val="00A460E6"/>
    <w:rsid w:val="00A46BD5"/>
    <w:rsid w:val="00A47161"/>
    <w:rsid w:val="00A47937"/>
    <w:rsid w:val="00A47D80"/>
    <w:rsid w:val="00A51051"/>
    <w:rsid w:val="00A51BB2"/>
    <w:rsid w:val="00A53132"/>
    <w:rsid w:val="00A563F2"/>
    <w:rsid w:val="00A566E8"/>
    <w:rsid w:val="00A60AEE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0732"/>
    <w:rsid w:val="00A93892"/>
    <w:rsid w:val="00AA16CA"/>
    <w:rsid w:val="00AA569E"/>
    <w:rsid w:val="00AA6976"/>
    <w:rsid w:val="00AA710D"/>
    <w:rsid w:val="00AB0B8F"/>
    <w:rsid w:val="00AB27B9"/>
    <w:rsid w:val="00AB6D25"/>
    <w:rsid w:val="00AB7B31"/>
    <w:rsid w:val="00AD4947"/>
    <w:rsid w:val="00AD5F17"/>
    <w:rsid w:val="00AE20FD"/>
    <w:rsid w:val="00AE2D4B"/>
    <w:rsid w:val="00AE3075"/>
    <w:rsid w:val="00AE4F99"/>
    <w:rsid w:val="00AE777C"/>
    <w:rsid w:val="00B048A4"/>
    <w:rsid w:val="00B04E38"/>
    <w:rsid w:val="00B06265"/>
    <w:rsid w:val="00B10BBE"/>
    <w:rsid w:val="00B11B69"/>
    <w:rsid w:val="00B14952"/>
    <w:rsid w:val="00B170E7"/>
    <w:rsid w:val="00B2412D"/>
    <w:rsid w:val="00B24B6C"/>
    <w:rsid w:val="00B250D5"/>
    <w:rsid w:val="00B31357"/>
    <w:rsid w:val="00B314A5"/>
    <w:rsid w:val="00B31E5A"/>
    <w:rsid w:val="00B322EC"/>
    <w:rsid w:val="00B36425"/>
    <w:rsid w:val="00B42DDD"/>
    <w:rsid w:val="00B529AD"/>
    <w:rsid w:val="00B56D54"/>
    <w:rsid w:val="00B609CE"/>
    <w:rsid w:val="00B611C1"/>
    <w:rsid w:val="00B617A5"/>
    <w:rsid w:val="00B653AB"/>
    <w:rsid w:val="00B65F9E"/>
    <w:rsid w:val="00B66072"/>
    <w:rsid w:val="00B66B19"/>
    <w:rsid w:val="00B674A5"/>
    <w:rsid w:val="00B705DB"/>
    <w:rsid w:val="00B742C5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08C3"/>
    <w:rsid w:val="00BB27AF"/>
    <w:rsid w:val="00BB4BE0"/>
    <w:rsid w:val="00BB4D90"/>
    <w:rsid w:val="00BB4F09"/>
    <w:rsid w:val="00BB52D7"/>
    <w:rsid w:val="00BB6447"/>
    <w:rsid w:val="00BB6E9C"/>
    <w:rsid w:val="00BC17C7"/>
    <w:rsid w:val="00BC2318"/>
    <w:rsid w:val="00BC427F"/>
    <w:rsid w:val="00BD3777"/>
    <w:rsid w:val="00BD4E33"/>
    <w:rsid w:val="00BE297F"/>
    <w:rsid w:val="00BE4B65"/>
    <w:rsid w:val="00BF0097"/>
    <w:rsid w:val="00BF2E22"/>
    <w:rsid w:val="00BF790C"/>
    <w:rsid w:val="00C00EDA"/>
    <w:rsid w:val="00C030DE"/>
    <w:rsid w:val="00C057E5"/>
    <w:rsid w:val="00C10E86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4CE"/>
    <w:rsid w:val="00C96FAA"/>
    <w:rsid w:val="00C97A04"/>
    <w:rsid w:val="00CA107B"/>
    <w:rsid w:val="00CA484D"/>
    <w:rsid w:val="00CA4FB6"/>
    <w:rsid w:val="00CA5C74"/>
    <w:rsid w:val="00CC17BD"/>
    <w:rsid w:val="00CC6180"/>
    <w:rsid w:val="00CC72FC"/>
    <w:rsid w:val="00CC739E"/>
    <w:rsid w:val="00CC75D3"/>
    <w:rsid w:val="00CD1E2E"/>
    <w:rsid w:val="00CD352D"/>
    <w:rsid w:val="00CD58B7"/>
    <w:rsid w:val="00CE5D59"/>
    <w:rsid w:val="00CF08EF"/>
    <w:rsid w:val="00CF09F2"/>
    <w:rsid w:val="00CF4099"/>
    <w:rsid w:val="00D00796"/>
    <w:rsid w:val="00D02D2C"/>
    <w:rsid w:val="00D14C59"/>
    <w:rsid w:val="00D1564D"/>
    <w:rsid w:val="00D261A2"/>
    <w:rsid w:val="00D2668A"/>
    <w:rsid w:val="00D3440A"/>
    <w:rsid w:val="00D34567"/>
    <w:rsid w:val="00D401C9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3CD9"/>
    <w:rsid w:val="00DA433C"/>
    <w:rsid w:val="00DA52A7"/>
    <w:rsid w:val="00DA7C1C"/>
    <w:rsid w:val="00DB147A"/>
    <w:rsid w:val="00DB1B7A"/>
    <w:rsid w:val="00DC6708"/>
    <w:rsid w:val="00DC7CFA"/>
    <w:rsid w:val="00DE4262"/>
    <w:rsid w:val="00DE64C5"/>
    <w:rsid w:val="00DF712D"/>
    <w:rsid w:val="00DF7E46"/>
    <w:rsid w:val="00E01436"/>
    <w:rsid w:val="00E045BD"/>
    <w:rsid w:val="00E17A9F"/>
    <w:rsid w:val="00E17B77"/>
    <w:rsid w:val="00E212CB"/>
    <w:rsid w:val="00E23337"/>
    <w:rsid w:val="00E24A25"/>
    <w:rsid w:val="00E259EA"/>
    <w:rsid w:val="00E27E85"/>
    <w:rsid w:val="00E30793"/>
    <w:rsid w:val="00E32061"/>
    <w:rsid w:val="00E33B04"/>
    <w:rsid w:val="00E33B99"/>
    <w:rsid w:val="00E41FCF"/>
    <w:rsid w:val="00E42801"/>
    <w:rsid w:val="00E42FF9"/>
    <w:rsid w:val="00E4714C"/>
    <w:rsid w:val="00E51AEB"/>
    <w:rsid w:val="00E52175"/>
    <w:rsid w:val="00E522A7"/>
    <w:rsid w:val="00E54452"/>
    <w:rsid w:val="00E63312"/>
    <w:rsid w:val="00E664C5"/>
    <w:rsid w:val="00E66E92"/>
    <w:rsid w:val="00E671A2"/>
    <w:rsid w:val="00E67A17"/>
    <w:rsid w:val="00E75596"/>
    <w:rsid w:val="00E76D26"/>
    <w:rsid w:val="00E82C7E"/>
    <w:rsid w:val="00E93CDB"/>
    <w:rsid w:val="00E963C8"/>
    <w:rsid w:val="00EB02C9"/>
    <w:rsid w:val="00EB1390"/>
    <w:rsid w:val="00EB199D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028A"/>
    <w:rsid w:val="00F037A4"/>
    <w:rsid w:val="00F04465"/>
    <w:rsid w:val="00F04C11"/>
    <w:rsid w:val="00F10D63"/>
    <w:rsid w:val="00F12FEC"/>
    <w:rsid w:val="00F134BB"/>
    <w:rsid w:val="00F26013"/>
    <w:rsid w:val="00F27C8F"/>
    <w:rsid w:val="00F30A0C"/>
    <w:rsid w:val="00F32749"/>
    <w:rsid w:val="00F37172"/>
    <w:rsid w:val="00F42746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197B"/>
    <w:rsid w:val="00F86024"/>
    <w:rsid w:val="00F8611A"/>
    <w:rsid w:val="00F86C02"/>
    <w:rsid w:val="00F90BB1"/>
    <w:rsid w:val="00F93CA3"/>
    <w:rsid w:val="00FA0677"/>
    <w:rsid w:val="00FA0AB4"/>
    <w:rsid w:val="00FA5128"/>
    <w:rsid w:val="00FB2D00"/>
    <w:rsid w:val="00FB42D4"/>
    <w:rsid w:val="00FB5906"/>
    <w:rsid w:val="00FB762F"/>
    <w:rsid w:val="00FC1516"/>
    <w:rsid w:val="00FC2AED"/>
    <w:rsid w:val="00FC6AF0"/>
    <w:rsid w:val="00FD39F6"/>
    <w:rsid w:val="00FD5EA7"/>
    <w:rsid w:val="00FD7DB8"/>
    <w:rsid w:val="00FE377B"/>
    <w:rsid w:val="00FF1C4E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864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topics/prices-trade/prices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WPŁYWY!$A$44:$A$54</c:f>
              <c:strCache>
                <c:ptCount val="11"/>
                <c:pt idx="0">
                  <c:v>Insurance</c:v>
                </c:pt>
                <c:pt idx="1">
                  <c:v>Fruit</c:v>
                </c:pt>
                <c:pt idx="2">
                  <c:v>Bread and cereals</c:v>
                </c:pt>
                <c:pt idx="3">
                  <c:v>Alcoholic beverages</c:v>
                </c:pt>
                <c:pt idx="4">
                  <c:v>Cultural services</c:v>
                </c:pt>
                <c:pt idx="5">
                  <c:v>Footwear</c:v>
                </c:pt>
                <c:pt idx="6">
                  <c:v>Vegetables</c:v>
                </c:pt>
                <c:pt idx="7">
                  <c:v>Meat</c:v>
                </c:pt>
                <c:pt idx="8">
                  <c:v>Garments</c:v>
                </c:pt>
                <c:pt idx="9">
                  <c:v>Telephone and telefax services</c:v>
                </c:pt>
                <c:pt idx="10">
                  <c:v>Fuels for personal transport equipment</c:v>
                </c:pt>
              </c:strCache>
            </c:strRef>
          </c:cat>
          <c:val>
            <c:numRef>
              <c:f>WPŁYWY!$C$44:$C$54</c:f>
              <c:numCache>
                <c:formatCode>0.00</c:formatCode>
                <c:ptCount val="11"/>
                <c:pt idx="0">
                  <c:v>-0.03</c:v>
                </c:pt>
                <c:pt idx="1">
                  <c:v>-0.02</c:v>
                </c:pt>
                <c:pt idx="2">
                  <c:v>0.03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0.05</c:v>
                </c:pt>
                <c:pt idx="7">
                  <c:v>0.09</c:v>
                </c:pt>
                <c:pt idx="8">
                  <c:v>0.12</c:v>
                </c:pt>
                <c:pt idx="9">
                  <c:v>0.13</c:v>
                </c:pt>
                <c:pt idx="10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86304"/>
        <c:axId val="133187840"/>
      </c:barChart>
      <c:catAx>
        <c:axId val="13318630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3187840"/>
        <c:crossesAt val="0"/>
        <c:auto val="1"/>
        <c:lblAlgn val="ctr"/>
        <c:lblOffset val="200"/>
        <c:tickMarkSkip val="1"/>
        <c:noMultiLvlLbl val="0"/>
      </c:catAx>
      <c:valAx>
        <c:axId val="133187840"/>
        <c:scaling>
          <c:orientation val="minMax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3186304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500928"/>
        <c:axId val="166295424"/>
      </c:barChart>
      <c:catAx>
        <c:axId val="117500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66295424"/>
        <c:crosses val="autoZero"/>
        <c:auto val="0"/>
        <c:lblAlgn val="ctr"/>
        <c:lblOffset val="100"/>
        <c:noMultiLvlLbl val="0"/>
      </c:catAx>
      <c:valAx>
        <c:axId val="16629542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75009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'M-1'!$B$38:$B$64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'M-1'!$C$38:$C$64</c:f>
              <c:numCache>
                <c:formatCode>0.0</c:formatCode>
                <c:ptCount val="27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1.3</c:v>
                </c:pt>
                <c:pt idx="25">
                  <c:v>0.5</c:v>
                </c:pt>
                <c:pt idx="26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688064"/>
        <c:axId val="57689600"/>
      </c:lineChart>
      <c:dateAx>
        <c:axId val="576880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7689600"/>
        <c:crossesAt val="0"/>
        <c:auto val="0"/>
        <c:lblOffset val="100"/>
        <c:baseTimeUnit val="days"/>
      </c:dateAx>
      <c:valAx>
        <c:axId val="57689600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7688064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m-12'!$B$39:$B$65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m-12'!$C$39:$C$65</c:f>
              <c:numCache>
                <c:formatCode>0.0</c:formatCode>
                <c:ptCount val="2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2.6</c:v>
                </c:pt>
                <c:pt idx="25">
                  <c:v>2.4</c:v>
                </c:pt>
                <c:pt idx="26">
                  <c:v>3.2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m-12'!$B$39:$B$65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m-12'!$E$39:$E$65</c:f>
              <c:numCache>
                <c:formatCode>0.0</c:formatCode>
                <c:ptCount val="27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  <c:pt idx="20">
                  <c:v>3.8</c:v>
                </c:pt>
                <c:pt idx="21">
                  <c:v>3.8</c:v>
                </c:pt>
                <c:pt idx="22">
                  <c:v>3.7</c:v>
                </c:pt>
                <c:pt idx="23">
                  <c:v>3.4</c:v>
                </c:pt>
                <c:pt idx="24">
                  <c:v>3.6</c:v>
                </c:pt>
                <c:pt idx="25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807616"/>
        <c:axId val="57809152"/>
      </c:lineChart>
      <c:catAx>
        <c:axId val="5780761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5780915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780915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57807616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0613166744"/>
          <c:y val="0.6239401296153235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248120674167937E-2"/>
                  <c:y val="-4.065592075147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357354447323932E-2"/>
                  <c:y val="1.916548673847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(+FE)'!$B$38:$B$64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(+FE)'!$C$38:$C$64</c:f>
              <c:numCache>
                <c:formatCode>0.0</c:formatCode>
                <c:ptCount val="2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2.6</c:v>
                </c:pt>
                <c:pt idx="25">
                  <c:v>2.4</c:v>
                </c:pt>
                <c:pt idx="26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936512"/>
        <c:axId val="57946496"/>
      </c:lineChart>
      <c:dateAx>
        <c:axId val="579365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7946496"/>
        <c:crossesAt val="0"/>
        <c:auto val="0"/>
        <c:lblOffset val="100"/>
        <c:baseTimeUnit val="days"/>
      </c:dateAx>
      <c:valAx>
        <c:axId val="5794649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793651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0.44998</cdr:x>
      <cdr:y>0.86968</cdr:y>
    </cdr:from>
    <cdr:to>
      <cdr:x>0.45041</cdr:x>
      <cdr:y>0.94615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310070" y="2231345"/>
          <a:ext cx="2208" cy="19619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0.06738</cdr:x>
      <cdr:y>0.9299</cdr:y>
    </cdr:from>
    <cdr:to>
      <cdr:x>0.45144</cdr:x>
      <cdr:y>0.99126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45913" y="2385843"/>
          <a:ext cx="1971680" cy="157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0.45144</cdr:x>
      <cdr:y>0.92877</cdr:y>
    </cdr:from>
    <cdr:to>
      <cdr:x>0.8367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317593" y="2382943"/>
          <a:ext cx="1977838" cy="162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0.83561</cdr:x>
      <cdr:y>0.92414</cdr:y>
    </cdr:from>
    <cdr:to>
      <cdr:x>0.92729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4289828" y="2371064"/>
          <a:ext cx="470647" cy="1724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0.83452</cdr:x>
      <cdr:y>0.8641</cdr:y>
    </cdr:from>
    <cdr:to>
      <cdr:x>0.83464</cdr:x>
      <cdr:y>0.94533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4284225" y="2217022"/>
          <a:ext cx="626" cy="208404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0.06424</cdr:x>
      <cdr:y>0.91859</cdr:y>
    </cdr:from>
    <cdr:to>
      <cdr:x>0.45017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28765" y="2311199"/>
          <a:ext cx="1975095" cy="177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0.44894</cdr:x>
      <cdr:y>0.85216</cdr:y>
    </cdr:from>
    <cdr:to>
      <cdr:x>0.44929</cdr:x>
      <cdr:y>0.93575</cdr:y>
    </cdr:to>
    <cdr:sp macro="" textlink="">
      <cdr:nvSpPr>
        <cdr:cNvPr id="10" name="Łącznik prosty 8"/>
        <cdr:cNvSpPr/>
      </cdr:nvSpPr>
      <cdr:spPr bwMode="auto">
        <a:xfrm xmlns:a="http://schemas.openxmlformats.org/drawingml/2006/main" flipV="1">
          <a:off x="2297559" y="2144054"/>
          <a:ext cx="1791" cy="2103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0.83349</cdr:x>
      <cdr:y>0.85305</cdr:y>
    </cdr:from>
    <cdr:to>
      <cdr:x>0.83384</cdr:x>
      <cdr:y>0.93664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4265601" y="2146299"/>
          <a:ext cx="1791" cy="2103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0.44901</cdr:x>
      <cdr:y>0.91998</cdr:y>
    </cdr:from>
    <cdr:to>
      <cdr:x>0.8352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2297908" y="2314696"/>
          <a:ext cx="1976436" cy="177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0.83341</cdr:x>
      <cdr:y>0.92219</cdr:y>
    </cdr:from>
    <cdr:to>
      <cdr:x>0.92941</cdr:x>
      <cdr:y>0.98729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64925" y="2320120"/>
          <a:ext cx="491320" cy="163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  <a:endParaRPr lang="en-GB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442" y="1606171"/>
          <a:ext cx="4400791" cy="7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0.06004</cdr:x>
      <cdr:y>0.29367</cdr:y>
    </cdr:from>
    <cdr:to>
      <cdr:x>0.92444</cdr:x>
      <cdr:y>0.29664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07075" y="771099"/>
          <a:ext cx="4420779" cy="779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0.92877</cdr:y>
    </cdr:from>
    <cdr:to>
      <cdr:x>0.45038</cdr:x>
      <cdr:y>1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231" y="2396484"/>
          <a:ext cx="1957694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0.45038</cdr:x>
      <cdr:y>0.92877</cdr:y>
    </cdr:from>
    <cdr:to>
      <cdr:x>0.8317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301925" y="2396484"/>
          <a:ext cx="1948962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0.45101</cdr:x>
      <cdr:y>0.86543</cdr:y>
    </cdr:from>
    <cdr:to>
      <cdr:x>0.45112</cdr:x>
      <cdr:y>0.94869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V="1">
          <a:off x="2305152" y="2233044"/>
          <a:ext cx="563" cy="2148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0.14872</cdr:x>
      <cdr:y>0.21792</cdr:y>
    </cdr:from>
    <cdr:to>
      <cdr:x>0.44876</cdr:x>
      <cdr:y>0.29682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760613" y="572201"/>
          <a:ext cx="1534491" cy="2071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0.14605</cdr:x>
      <cdr:y>0.61753</cdr:y>
    </cdr:from>
    <cdr:to>
      <cdr:x>0.42724</cdr:x>
      <cdr:y>0.69642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746957" y="1621467"/>
          <a:ext cx="1438088" cy="207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0.43038</cdr:x>
      <cdr:y>0.45196</cdr:y>
    </cdr:from>
    <cdr:to>
      <cdr:x>0.61955</cdr:x>
      <cdr:y>0.53876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01886" y="1168480"/>
          <a:ext cx="967827" cy="2244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0.8317</cdr:x>
      <cdr:y>0.86596</cdr:y>
    </cdr:from>
    <cdr:to>
      <cdr:x>0.83242</cdr:x>
      <cdr:y>0.95115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4250884" y="2234409"/>
          <a:ext cx="3666" cy="2198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0.83313</cdr:x>
      <cdr:y>0.92877</cdr:y>
    </cdr:from>
    <cdr:to>
      <cdr:x>0.92775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4258214" y="2396484"/>
          <a:ext cx="483577" cy="183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5BD8EE-6CD4-49D1-8BC9-E6E7561A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7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11</cp:revision>
  <cp:lastPrinted>2020-01-13T15:33:00Z</cp:lastPrinted>
  <dcterms:created xsi:type="dcterms:W3CDTF">2018-07-11T11:36:00Z</dcterms:created>
  <dcterms:modified xsi:type="dcterms:W3CDTF">2021-04-15T07:45:00Z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