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23" w:rsidRPr="00AE4E32" w:rsidRDefault="00143392" w:rsidP="00685123">
      <w:pPr>
        <w:pStyle w:val="tytuinformacji"/>
        <w:rPr>
          <w:lang w:val="en-GB"/>
        </w:rPr>
      </w:pPr>
      <w:r w:rsidRPr="00AE4E32">
        <w:rPr>
          <w:lang w:val="en-GB"/>
        </w:rPr>
        <w:t xml:space="preserve">Consumer price indices in February </w:t>
      </w:r>
      <w:r w:rsidR="003F14A0" w:rsidRPr="00AE4E32">
        <w:rPr>
          <w:lang w:val="en-GB"/>
        </w:rPr>
        <w:t>2021</w:t>
      </w:r>
    </w:p>
    <w:p w:rsidR="00AD4947" w:rsidRPr="00AE4E32" w:rsidRDefault="00AD4947" w:rsidP="00AD4947">
      <w:pPr>
        <w:pStyle w:val="tytuinformacji"/>
        <w:rPr>
          <w:sz w:val="32"/>
          <w:lang w:val="en-GB"/>
        </w:rPr>
      </w:pPr>
    </w:p>
    <w:p w:rsidR="00E82DA4" w:rsidRPr="00AE4E32" w:rsidRDefault="00044FA8" w:rsidP="00E82DA4">
      <w:pPr>
        <w:pStyle w:val="LID"/>
        <w:spacing w:after="0"/>
        <w:rPr>
          <w:highlight w:val="yellow"/>
          <w:lang w:val="en-GB"/>
        </w:rPr>
      </w:pPr>
      <w:r w:rsidRPr="00AE4E3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4509E84" wp14:editId="53DE1940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828800" cy="12001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C7D" w:rsidRPr="00143392" w:rsidRDefault="006E1C7D" w:rsidP="00D538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val="en-GB" w:eastAsia="en-GB"/>
                              </w:rPr>
                              <w:drawing>
                                <wp:inline distT="0" distB="0" distL="0" distR="0" wp14:anchorId="7BBDE896" wp14:editId="3F90B98E">
                                  <wp:extent cx="334645" cy="334645"/>
                                  <wp:effectExtent l="0" t="0" r="0" b="0"/>
                                  <wp:docPr id="8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3392">
                              <w:rPr>
                                <w:noProof/>
                                <w:color w:val="001D77"/>
                                <w:lang w:val="en-GB" w:eastAsia="pl-PL"/>
                              </w:rPr>
                              <w:t xml:space="preserve"> </w:t>
                            </w:r>
                            <w:r w:rsidRPr="0014339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 xml:space="preserve"> 2.4%</w:t>
                            </w:r>
                          </w:p>
                          <w:p w:rsidR="006E1C7D" w:rsidRPr="00143392" w:rsidRDefault="006E1C7D" w:rsidP="00D7075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AC3D2C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 corresponding month of </w:t>
                            </w:r>
                            <w:r w:rsidRPr="00AC3D2C">
                              <w:rPr>
                                <w:lang w:val="en-GB"/>
                              </w:rPr>
                              <w:t>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2pt;width:2in;height:94.5pt;z-index:251772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" fillcolor="#001d77" stroked="f">
                <v:textbox>
                  <w:txbxContent>
                    <w:p w:rsidR="006E1C7D" w:rsidRPr="00143392" w:rsidRDefault="006E1C7D" w:rsidP="00D538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val="en-GB" w:eastAsia="en-GB"/>
                        </w:rPr>
                        <w:drawing>
                          <wp:inline distT="0" distB="0" distL="0" distR="0" wp14:anchorId="7BBDE896" wp14:editId="3F90B98E">
                            <wp:extent cx="334645" cy="334645"/>
                            <wp:effectExtent l="0" t="0" r="0" b="0"/>
                            <wp:docPr id="8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3392">
                        <w:rPr>
                          <w:noProof/>
                          <w:color w:val="001D77"/>
                          <w:lang w:val="en-GB" w:eastAsia="pl-PL"/>
                        </w:rPr>
                        <w:t xml:space="preserve"> </w:t>
                      </w:r>
                      <w:r w:rsidRPr="0014339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 xml:space="preserve"> 2.4%</w:t>
                      </w:r>
                    </w:p>
                    <w:p w:rsidR="006E1C7D" w:rsidRPr="00143392" w:rsidRDefault="006E1C7D" w:rsidP="00D7075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r w:rsidRPr="00AC3D2C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 corresponding month of </w:t>
                      </w:r>
                      <w:r w:rsidRPr="00AC3D2C">
                        <w:rPr>
                          <w:lang w:val="en-GB"/>
                        </w:rPr>
                        <w:t>the previous 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29EA" w:rsidRPr="00AE4E32">
        <w:rPr>
          <w:noProof w:val="0"/>
          <w:lang w:val="en-GB" w:eastAsia="en-GB"/>
        </w:rPr>
        <w:t>Consumer prices in</w:t>
      </w:r>
      <w:r w:rsidR="000929EA" w:rsidRPr="00AE4E32">
        <w:rPr>
          <w:lang w:val="en-GB"/>
        </w:rPr>
        <w:t xml:space="preserve"> February 2</w:t>
      </w:r>
      <w:r w:rsidR="003F14A0" w:rsidRPr="00AE4E32">
        <w:rPr>
          <w:lang w:val="en-GB"/>
        </w:rPr>
        <w:t>021</w:t>
      </w:r>
      <w:r w:rsidR="000929EA" w:rsidRPr="00AE4E32">
        <w:rPr>
          <w:noProof w:val="0"/>
          <w:lang w:val="en-GB" w:eastAsia="en-GB"/>
        </w:rPr>
        <w:t>, compared with the corresponding month of the previous year, increased by</w:t>
      </w:r>
      <w:r w:rsidR="00E82DA4" w:rsidRPr="00AE4E32">
        <w:rPr>
          <w:lang w:val="en-GB"/>
        </w:rPr>
        <w:t xml:space="preserve"> </w:t>
      </w:r>
      <w:r w:rsidR="004A683E" w:rsidRPr="00AE4E32">
        <w:rPr>
          <w:lang w:val="en-GB"/>
        </w:rPr>
        <w:t>2,4</w:t>
      </w:r>
      <w:r w:rsidR="00E82DA4" w:rsidRPr="00AE4E32">
        <w:rPr>
          <w:lang w:val="en-GB"/>
        </w:rPr>
        <w:t>% (</w:t>
      </w:r>
      <w:r w:rsidR="008D291E" w:rsidRPr="00AE4E32">
        <w:rPr>
          <w:noProof w:val="0"/>
          <w:lang w:val="en-GB"/>
        </w:rPr>
        <w:t>with an increase of prices of services</w:t>
      </w:r>
      <w:r w:rsidR="008D291E" w:rsidRPr="00AE4E32">
        <w:rPr>
          <w:lang w:val="en-GB"/>
        </w:rPr>
        <w:t xml:space="preserve"> by </w:t>
      </w:r>
      <w:r w:rsidR="00170B46" w:rsidRPr="00AE4E32">
        <w:rPr>
          <w:lang w:val="en-GB"/>
        </w:rPr>
        <w:t>7,0</w:t>
      </w:r>
      <w:r w:rsidR="008D291E" w:rsidRPr="00AE4E32">
        <w:rPr>
          <w:lang w:val="en-GB"/>
        </w:rPr>
        <w:t>% and goods</w:t>
      </w:r>
      <w:r w:rsidR="00170B46" w:rsidRPr="00AE4E32">
        <w:rPr>
          <w:lang w:val="en-GB"/>
        </w:rPr>
        <w:t xml:space="preserve"> – </w:t>
      </w:r>
      <w:r w:rsidR="008D291E" w:rsidRPr="00AE4E32">
        <w:rPr>
          <w:lang w:val="en-GB"/>
        </w:rPr>
        <w:t>by</w:t>
      </w:r>
      <w:r w:rsidR="00170B46" w:rsidRPr="00AE4E32">
        <w:rPr>
          <w:lang w:val="en-GB"/>
        </w:rPr>
        <w:t xml:space="preserve"> 1</w:t>
      </w:r>
      <w:r w:rsidR="00F004D1" w:rsidRPr="00AE4E32">
        <w:rPr>
          <w:lang w:val="en-GB"/>
        </w:rPr>
        <w:t>,1</w:t>
      </w:r>
      <w:r w:rsidR="00E82DA4" w:rsidRPr="00AE4E32">
        <w:rPr>
          <w:lang w:val="en-GB"/>
        </w:rPr>
        <w:t>%).</w:t>
      </w:r>
    </w:p>
    <w:p w:rsidR="00D538E4" w:rsidRPr="00AE4E32" w:rsidRDefault="008D291E" w:rsidP="008D291E">
      <w:pPr>
        <w:pStyle w:val="LID"/>
        <w:spacing w:before="0" w:after="0"/>
        <w:rPr>
          <w:lang w:val="en-GB"/>
        </w:rPr>
      </w:pPr>
      <w:r w:rsidRPr="00AE4E32">
        <w:rPr>
          <w:noProof w:val="0"/>
          <w:spacing w:val="-4"/>
          <w:lang w:val="en-GB" w:eastAsia="en-GB"/>
        </w:rPr>
        <w:t>As related to the previous month consumer prices increased by</w:t>
      </w:r>
      <w:r w:rsidR="00F004D1" w:rsidRPr="00AE4E32">
        <w:rPr>
          <w:lang w:val="en-GB"/>
        </w:rPr>
        <w:t xml:space="preserve"> 0,</w:t>
      </w:r>
      <w:r w:rsidR="00C47F3B" w:rsidRPr="00AE4E32">
        <w:rPr>
          <w:lang w:val="en-GB"/>
        </w:rPr>
        <w:t>5</w:t>
      </w:r>
      <w:r w:rsidR="00E82DA4" w:rsidRPr="00AE4E32">
        <w:rPr>
          <w:lang w:val="en-GB"/>
        </w:rPr>
        <w:t>% (</w:t>
      </w:r>
      <w:r w:rsidR="00333FCC" w:rsidRPr="00AE4E32">
        <w:rPr>
          <w:noProof w:val="0"/>
          <w:lang w:val="en-GB"/>
        </w:rPr>
        <w:t>with an increase of prices of services</w:t>
      </w:r>
      <w:r w:rsidR="00333FCC" w:rsidRPr="00AE4E32">
        <w:rPr>
          <w:noProof w:val="0"/>
          <w:lang w:val="en-GB" w:eastAsia="en-GB"/>
        </w:rPr>
        <w:t xml:space="preserve"> by </w:t>
      </w:r>
      <w:r w:rsidR="00C47F3B" w:rsidRPr="00AE4E32">
        <w:rPr>
          <w:lang w:val="en-GB"/>
        </w:rPr>
        <w:t>0,7</w:t>
      </w:r>
      <w:r w:rsidR="00E82DA4" w:rsidRPr="00AE4E32">
        <w:rPr>
          <w:lang w:val="en-GB"/>
        </w:rPr>
        <w:t xml:space="preserve">% </w:t>
      </w:r>
      <w:r w:rsidR="00333FCC" w:rsidRPr="00AE4E32">
        <w:rPr>
          <w:lang w:val="en-GB"/>
        </w:rPr>
        <w:t>and goods</w:t>
      </w:r>
      <w:r w:rsidR="00F004D1" w:rsidRPr="00AE4E32">
        <w:rPr>
          <w:lang w:val="en-GB"/>
        </w:rPr>
        <w:t xml:space="preserve"> </w:t>
      </w:r>
      <w:r w:rsidR="001F3316" w:rsidRPr="00AE4E32">
        <w:rPr>
          <w:lang w:val="en-GB"/>
        </w:rPr>
        <w:t>–</w:t>
      </w:r>
      <w:r w:rsidR="00305039" w:rsidRPr="00AE4E32">
        <w:rPr>
          <w:lang w:val="en-GB"/>
        </w:rPr>
        <w:t xml:space="preserve"> </w:t>
      </w:r>
      <w:r w:rsidR="00333FCC" w:rsidRPr="00AE4E32">
        <w:rPr>
          <w:lang w:val="en-GB"/>
        </w:rPr>
        <w:t>by</w:t>
      </w:r>
      <w:r w:rsidR="00F004D1" w:rsidRPr="00AE4E32">
        <w:rPr>
          <w:lang w:val="en-GB"/>
        </w:rPr>
        <w:t xml:space="preserve"> 0,</w:t>
      </w:r>
      <w:r w:rsidR="00C47F3B" w:rsidRPr="00AE4E32">
        <w:rPr>
          <w:lang w:val="en-GB"/>
        </w:rPr>
        <w:t>4</w:t>
      </w:r>
      <w:r w:rsidR="00F004D1" w:rsidRPr="00AE4E32">
        <w:rPr>
          <w:lang w:val="en-GB"/>
        </w:rPr>
        <w:t>%</w:t>
      </w:r>
      <w:r w:rsidR="00E82DA4" w:rsidRPr="00AE4E32">
        <w:rPr>
          <w:lang w:val="en-GB"/>
        </w:rPr>
        <w:t>).</w:t>
      </w:r>
    </w:p>
    <w:p w:rsidR="00333FCC" w:rsidRPr="00AE4E32" w:rsidRDefault="00333FCC" w:rsidP="00342186">
      <w:pPr>
        <w:pStyle w:val="tytuwykresu"/>
        <w:spacing w:after="240"/>
        <w:rPr>
          <w:lang w:val="en-GB"/>
        </w:rPr>
      </w:pPr>
    </w:p>
    <w:p w:rsidR="00AD4947" w:rsidRPr="00AE4E32" w:rsidRDefault="00333FCC" w:rsidP="00342186">
      <w:pPr>
        <w:pStyle w:val="tytuwykresu"/>
        <w:spacing w:after="240"/>
        <w:rPr>
          <w:bCs/>
          <w:shd w:val="clear" w:color="auto" w:fill="FFFFFF"/>
          <w:lang w:val="en-GB"/>
        </w:rPr>
      </w:pPr>
      <w:r w:rsidRPr="00AE4E32">
        <w:rPr>
          <w:lang w:val="en-GB"/>
        </w:rPr>
        <w:t>Table 1. Consumer price indices</w:t>
      </w:r>
      <w:r w:rsidRPr="00AE4E32">
        <w:rPr>
          <w:bCs/>
          <w:shd w:val="clear" w:color="auto" w:fill="FFFFFF"/>
          <w:lang w:val="en-GB"/>
        </w:rPr>
        <w:t xml:space="preserve"> in January and February </w:t>
      </w:r>
      <w:r w:rsidR="003F14A0" w:rsidRPr="00AE4E32">
        <w:rPr>
          <w:lang w:val="en-GB"/>
        </w:rPr>
        <w:t>2021</w:t>
      </w:r>
    </w:p>
    <w:tbl>
      <w:tblPr>
        <w:tblStyle w:val="Siatkatabelijasna11"/>
        <w:tblW w:w="8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58"/>
        <w:gridCol w:w="858"/>
        <w:gridCol w:w="858"/>
        <w:gridCol w:w="858"/>
        <w:gridCol w:w="858"/>
        <w:gridCol w:w="858"/>
        <w:gridCol w:w="920"/>
      </w:tblGrid>
      <w:tr w:rsidR="00516A50" w:rsidRPr="00AE4E32" w:rsidTr="005341B7">
        <w:trPr>
          <w:trHeight w:val="57"/>
        </w:trPr>
        <w:tc>
          <w:tcPr>
            <w:tcW w:w="2858" w:type="dxa"/>
            <w:vMerge w:val="restart"/>
            <w:vAlign w:val="center"/>
          </w:tcPr>
          <w:p w:rsidR="00516A50" w:rsidRPr="00AE4E32" w:rsidRDefault="00333FCC" w:rsidP="00516A5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highlight w:val="yellow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1716" w:type="dxa"/>
            <w:gridSpan w:val="2"/>
            <w:vAlign w:val="center"/>
          </w:tcPr>
          <w:p w:rsidR="00516A50" w:rsidRPr="00AE4E32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 2021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*</w:t>
            </w:r>
          </w:p>
        </w:tc>
        <w:tc>
          <w:tcPr>
            <w:tcW w:w="2574" w:type="dxa"/>
            <w:gridSpan w:val="3"/>
            <w:vAlign w:val="center"/>
          </w:tcPr>
          <w:p w:rsidR="00516A50" w:rsidRPr="00AE4E32" w:rsidRDefault="00516A5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II </w:t>
            </w:r>
            <w:r w:rsidR="003F14A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2021</w:t>
            </w:r>
          </w:p>
        </w:tc>
        <w:tc>
          <w:tcPr>
            <w:tcW w:w="920" w:type="dxa"/>
          </w:tcPr>
          <w:p w:rsidR="00516A50" w:rsidRPr="00AE4E32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I-II 2021</w:t>
            </w:r>
          </w:p>
        </w:tc>
      </w:tr>
      <w:tr w:rsidR="00516A50" w:rsidRPr="00AE4E32" w:rsidTr="005341B7">
        <w:trPr>
          <w:trHeight w:val="57"/>
        </w:trPr>
        <w:tc>
          <w:tcPr>
            <w:tcW w:w="2858" w:type="dxa"/>
            <w:vMerge/>
            <w:tcBorders>
              <w:bottom w:val="single" w:sz="12" w:space="0" w:color="212492"/>
            </w:tcBorders>
            <w:vAlign w:val="center"/>
          </w:tcPr>
          <w:p w:rsidR="00516A50" w:rsidRPr="00AE4E32" w:rsidRDefault="00516A50" w:rsidP="00516A50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  <w:lang w:val="en-GB"/>
              </w:rPr>
            </w:pP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08724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 2020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XII 2020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II 2020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3F14A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XII 2020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858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7B518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 2021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920" w:type="dxa"/>
            <w:tcBorders>
              <w:bottom w:val="single" w:sz="12" w:space="0" w:color="212492"/>
            </w:tcBorders>
            <w:vAlign w:val="center"/>
          </w:tcPr>
          <w:p w:rsidR="00516A50" w:rsidRPr="00AE4E32" w:rsidRDefault="003F14A0" w:rsidP="0008724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I-II 2020</w:t>
            </w:r>
            <w:r w:rsidR="00516A50"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= =100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b/>
                <w:color w:val="000000" w:themeColor="text1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102,6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101,3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102,4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101,8</w:t>
            </w:r>
          </w:p>
        </w:tc>
        <w:tc>
          <w:tcPr>
            <w:tcW w:w="85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9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  <w:t>102,5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Food and non-alcoholic </w:t>
            </w: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br/>
              <w:t>beverages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100,6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100,7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Alcoholic beverages </w:t>
            </w: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br/>
              <w:t>and tobacco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102,7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96,3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95,9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97,1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95,4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99,5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96,7</w:t>
            </w:r>
          </w:p>
        </w:tc>
      </w:tr>
      <w:tr w:rsidR="00333FCC" w:rsidRPr="00AE4E32" w:rsidTr="008F5CD8">
        <w:trPr>
          <w:trHeight w:val="541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Housing, water, electricity, gas and other fuels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107,6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106,1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100,1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106,8</w:t>
            </w:r>
          </w:p>
        </w:tc>
      </w:tr>
      <w:tr w:rsidR="00333FCC" w:rsidRPr="00AE4E32" w:rsidTr="008F5CD8">
        <w:trPr>
          <w:trHeight w:val="636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Furnishings, household equipment and routine household maint</w:t>
            </w: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e</w:t>
            </w: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nance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101,8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102,0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Health 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104,5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104,5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104,5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96,0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98,4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101,7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97,2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Communication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105,7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101,2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100,1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105,4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Recreation and culture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104,1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100,9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103,9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Education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100,6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105,5</w:t>
            </w:r>
          </w:p>
        </w:tc>
      </w:tr>
      <w:tr w:rsidR="00333FCC" w:rsidRPr="00AE4E32" w:rsidTr="008F5CD8">
        <w:trPr>
          <w:trHeight w:val="57"/>
        </w:trPr>
        <w:tc>
          <w:tcPr>
            <w:tcW w:w="2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Restaurants and hotels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105,4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104,9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101,0</w:t>
            </w:r>
          </w:p>
        </w:tc>
        <w:tc>
          <w:tcPr>
            <w:tcW w:w="85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9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105,1</w:t>
            </w:r>
          </w:p>
        </w:tc>
      </w:tr>
      <w:tr w:rsidR="00333FCC" w:rsidRPr="00AE4E32" w:rsidTr="00305039">
        <w:trPr>
          <w:trHeight w:val="28"/>
        </w:trPr>
        <w:tc>
          <w:tcPr>
            <w:tcW w:w="2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Miscellaneous goods and services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99,9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858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920" w:type="dxa"/>
            <w:tcBorders>
              <w:top w:val="single" w:sz="4" w:space="0" w:color="212492"/>
              <w:bottom w:val="nil"/>
            </w:tcBorders>
            <w:vAlign w:val="center"/>
          </w:tcPr>
          <w:p w:rsidR="00333FCC" w:rsidRPr="00AE4E32" w:rsidRDefault="00333FCC" w:rsidP="00333F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102,4</w:t>
            </w:r>
          </w:p>
        </w:tc>
      </w:tr>
    </w:tbl>
    <w:p w:rsidR="005877DE" w:rsidRPr="00AE4E32" w:rsidRDefault="005877DE" w:rsidP="005341B7">
      <w:pPr>
        <w:tabs>
          <w:tab w:val="right" w:leader="dot" w:pos="4156"/>
        </w:tabs>
        <w:spacing w:before="240"/>
        <w:rPr>
          <w:rFonts w:cstheme="majorBidi"/>
          <w:bCs/>
          <w:color w:val="000000" w:themeColor="text1"/>
          <w:sz w:val="16"/>
          <w:szCs w:val="16"/>
          <w:lang w:val="en-GB"/>
        </w:rPr>
      </w:pPr>
      <w:r w:rsidRPr="00AE4E32">
        <w:rPr>
          <w:rFonts w:cstheme="majorBidi"/>
          <w:bCs/>
          <w:color w:val="000000" w:themeColor="text1"/>
          <w:sz w:val="16"/>
          <w:szCs w:val="16"/>
          <w:lang w:val="en-GB"/>
        </w:rPr>
        <w:t xml:space="preserve">* </w:t>
      </w:r>
      <w:r w:rsidR="004E2226" w:rsidRPr="00AE4E32">
        <w:rPr>
          <w:rFonts w:cstheme="majorBidi"/>
          <w:bCs/>
          <w:color w:val="000000" w:themeColor="text1"/>
          <w:sz w:val="16"/>
          <w:szCs w:val="16"/>
          <w:lang w:val="en-GB"/>
        </w:rPr>
        <w:t>Final data compiled after introducing the annually updated weighting system, which is based on the stru</w:t>
      </w:r>
      <w:r w:rsidR="004E2226" w:rsidRPr="00AE4E32">
        <w:rPr>
          <w:rFonts w:cstheme="majorBidi"/>
          <w:bCs/>
          <w:color w:val="000000" w:themeColor="text1"/>
          <w:sz w:val="16"/>
          <w:szCs w:val="16"/>
          <w:lang w:val="en-GB"/>
        </w:rPr>
        <w:t>c</w:t>
      </w:r>
      <w:r w:rsidR="004E2226" w:rsidRPr="00AE4E32">
        <w:rPr>
          <w:rFonts w:cstheme="majorBidi"/>
          <w:bCs/>
          <w:color w:val="000000" w:themeColor="text1"/>
          <w:sz w:val="16"/>
          <w:szCs w:val="16"/>
          <w:lang w:val="en-GB"/>
        </w:rPr>
        <w:t>ture of households’ expenditure (excluding own consumption) from the year preceding the surveyed year.</w:t>
      </w:r>
    </w:p>
    <w:p w:rsidR="004E2226" w:rsidRPr="00AE4E32" w:rsidRDefault="004E2226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</w:pPr>
      <w:r w:rsidRPr="00AE4E32">
        <w:rPr>
          <w:shd w:val="clear" w:color="auto" w:fill="FFFFFF"/>
          <w:lang w:val="en-GB"/>
        </w:rPr>
        <w:br w:type="page"/>
      </w:r>
    </w:p>
    <w:p w:rsidR="005877DE" w:rsidRPr="00AE4E32" w:rsidRDefault="00044FA8" w:rsidP="005877DE">
      <w:pPr>
        <w:pStyle w:val="Nagwek1"/>
        <w:rPr>
          <w:lang w:val="en-GB"/>
        </w:rPr>
      </w:pPr>
      <w:r w:rsidRPr="00AE4E32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A7B8A4A" wp14:editId="4074EAC9">
                <wp:simplePos x="0" y="0"/>
                <wp:positionH relativeFrom="column">
                  <wp:posOffset>5267325</wp:posOffset>
                </wp:positionH>
                <wp:positionV relativeFrom="paragraph">
                  <wp:posOffset>69215</wp:posOffset>
                </wp:positionV>
                <wp:extent cx="1725295" cy="1240155"/>
                <wp:effectExtent l="0" t="0" r="0" b="0"/>
                <wp:wrapTight wrapText="bothSides">
                  <wp:wrapPolygon edited="0">
                    <wp:start x="477" y="0"/>
                    <wp:lineTo x="477" y="21235"/>
                    <wp:lineTo x="20749" y="21235"/>
                    <wp:lineTo x="20749" y="0"/>
                    <wp:lineTo x="477" y="0"/>
                  </wp:wrapPolygon>
                </wp:wrapTight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C7D" w:rsidRPr="004E2226" w:rsidRDefault="006E1C7D" w:rsidP="009F5815">
                            <w:pPr>
                              <w:rPr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 January 2021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, </w:t>
                            </w:r>
                            <w:r w:rsidR="00AE4E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as related to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January 2020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, consumer pric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es increased by 2,6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 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o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mp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red with the prelim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nar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ly est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mated in</w:t>
                            </w:r>
                            <w:r w:rsidR="00AE4E3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crease (of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2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7</w:t>
                            </w:r>
                            <w:r w:rsidRPr="00C033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414.75pt;margin-top:5.45pt;width:135.85pt;height:97.6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IRtw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" filled="f" stroked="f">
                <v:textbox>
                  <w:txbxContent>
                    <w:p w:rsidR="006E1C7D" w:rsidRPr="004E2226" w:rsidRDefault="006E1C7D" w:rsidP="009F5815">
                      <w:pPr>
                        <w:rPr>
                          <w:szCs w:val="18"/>
                          <w:lang w:val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 January 2021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, </w:t>
                      </w:r>
                      <w:r w:rsidR="00AE4E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as related to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January 2020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, consumer pric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es increased by 2,6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 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o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mp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red with the prelim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nar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ly est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mated in</w:t>
                      </w:r>
                      <w:r w:rsidR="00AE4E3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crease (of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2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7</w:t>
                      </w:r>
                      <w:r w:rsidRPr="00C033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E2226" w:rsidRPr="00AE4E32">
        <w:rPr>
          <w:noProof/>
          <w:lang w:val="en-GB"/>
        </w:rPr>
        <w:t>Annual update of the weighting system</w:t>
      </w:r>
    </w:p>
    <w:p w:rsidR="004715CB" w:rsidRPr="00AE4E32" w:rsidRDefault="00825675" w:rsidP="00920D31">
      <w:pPr>
        <w:rPr>
          <w:lang w:val="en-GB"/>
        </w:rPr>
      </w:pPr>
      <w:r w:rsidRPr="00AE4E32">
        <w:rPr>
          <w:lang w:val="en-GB"/>
        </w:rPr>
        <w:t xml:space="preserve">Statistics Poland, similarly to previous years, in February of the current year carried out an update of the weighting system used in the compilations of the consumer price index. </w:t>
      </w:r>
      <w:r w:rsidR="003B0CE5" w:rsidRPr="00AE4E32">
        <w:rPr>
          <w:lang w:val="en-GB"/>
        </w:rPr>
        <w:br/>
        <w:t>In accordance with</w:t>
      </w:r>
      <w:r w:rsidR="00484342" w:rsidRPr="00AE4E32">
        <w:rPr>
          <w:lang w:val="en-GB"/>
        </w:rPr>
        <w:t xml:space="preserve"> the </w:t>
      </w:r>
      <w:r w:rsidR="003B0CE5" w:rsidRPr="00AE4E32">
        <w:rPr>
          <w:lang w:val="en-GB"/>
        </w:rPr>
        <w:t>existing rules t</w:t>
      </w:r>
      <w:r w:rsidRPr="00AE4E32">
        <w:rPr>
          <w:lang w:val="en-GB"/>
        </w:rPr>
        <w:t>he weighting syst</w:t>
      </w:r>
      <w:r w:rsidR="006B7DCC">
        <w:rPr>
          <w:lang w:val="en-GB"/>
        </w:rPr>
        <w:t>em is based on the structure of </w:t>
      </w:r>
      <w:r w:rsidRPr="00AE4E32">
        <w:rPr>
          <w:lang w:val="en-GB"/>
        </w:rPr>
        <w:t>households’ expenditures on purchasing consumer goods and services from the year pr</w:t>
      </w:r>
      <w:r w:rsidRPr="00AE4E32">
        <w:rPr>
          <w:lang w:val="en-GB"/>
        </w:rPr>
        <w:t>e</w:t>
      </w:r>
      <w:r w:rsidRPr="00AE4E32">
        <w:rPr>
          <w:lang w:val="en-GB"/>
        </w:rPr>
        <w:t>ce</w:t>
      </w:r>
      <w:r w:rsidRPr="00AE4E32">
        <w:rPr>
          <w:lang w:val="en-GB"/>
        </w:rPr>
        <w:t>d</w:t>
      </w:r>
      <w:r w:rsidRPr="00AE4E32">
        <w:rPr>
          <w:lang w:val="en-GB"/>
        </w:rPr>
        <w:t xml:space="preserve">ing the surveyed year, obtained from the household budget survey. </w:t>
      </w:r>
      <w:r w:rsidR="004715CB" w:rsidRPr="00AE4E32">
        <w:rPr>
          <w:lang w:val="en-GB"/>
        </w:rPr>
        <w:t xml:space="preserve">The use of weighting system based on </w:t>
      </w:r>
      <w:r w:rsidR="004863E5" w:rsidRPr="00AE4E32">
        <w:rPr>
          <w:lang w:val="en-GB"/>
        </w:rPr>
        <w:t xml:space="preserve">2020 </w:t>
      </w:r>
      <w:r w:rsidR="004715CB" w:rsidRPr="00AE4E32">
        <w:rPr>
          <w:lang w:val="en-GB"/>
        </w:rPr>
        <w:t>expenditures</w:t>
      </w:r>
      <w:r w:rsidR="004863E5" w:rsidRPr="00AE4E32">
        <w:rPr>
          <w:lang w:val="en-GB"/>
        </w:rPr>
        <w:t xml:space="preserve">, i.e. including the changes in the structure of </w:t>
      </w:r>
      <w:r w:rsidR="00744A75" w:rsidRPr="00AE4E32">
        <w:rPr>
          <w:lang w:val="en-GB"/>
        </w:rPr>
        <w:t>consum</w:t>
      </w:r>
      <w:r w:rsidR="00744A75" w:rsidRPr="00AE4E32">
        <w:rPr>
          <w:lang w:val="en-GB"/>
        </w:rPr>
        <w:t>p</w:t>
      </w:r>
      <w:r w:rsidR="00744A75" w:rsidRPr="00AE4E32">
        <w:rPr>
          <w:lang w:val="en-GB"/>
        </w:rPr>
        <w:t>tion caused by the COVID-19 pandemic, is in accordance</w:t>
      </w:r>
      <w:r w:rsidR="001A6D1C" w:rsidRPr="00AE4E32">
        <w:rPr>
          <w:lang w:val="en-GB"/>
        </w:rPr>
        <w:t xml:space="preserve"> with current Eurostat guidelines.</w:t>
      </w:r>
    </w:p>
    <w:p w:rsidR="001A6D1C" w:rsidRPr="00AE4E32" w:rsidRDefault="001A6D1C" w:rsidP="000570D6">
      <w:pPr>
        <w:rPr>
          <w:color w:val="000000" w:themeColor="text1"/>
          <w:lang w:val="en-GB"/>
        </w:rPr>
      </w:pPr>
      <w:r w:rsidRPr="00AE4E32">
        <w:rPr>
          <w:color w:val="000000" w:themeColor="text1"/>
          <w:lang w:val="en-GB"/>
        </w:rPr>
        <w:t>There was an increase in the share of expenditures</w:t>
      </w:r>
      <w:r w:rsidR="00E84A5C" w:rsidRPr="00AE4E32">
        <w:rPr>
          <w:color w:val="000000" w:themeColor="text1"/>
          <w:lang w:val="en-GB"/>
        </w:rPr>
        <w:t xml:space="preserve"> for</w:t>
      </w:r>
      <w:r w:rsidRPr="00AE4E32">
        <w:rPr>
          <w:color w:val="000000" w:themeColor="text1"/>
          <w:lang w:val="en-GB"/>
        </w:rPr>
        <w:t xml:space="preserve">, among others, </w:t>
      </w:r>
      <w:r w:rsidR="00F212CE" w:rsidRPr="00AE4E32">
        <w:rPr>
          <w:color w:val="000000" w:themeColor="text1"/>
          <w:lang w:val="en-GB"/>
        </w:rPr>
        <w:t>Food and non-alcoho</w:t>
      </w:r>
      <w:r w:rsidR="00F212CE" w:rsidRPr="00AE4E32">
        <w:rPr>
          <w:color w:val="000000" w:themeColor="text1"/>
          <w:lang w:val="en-GB"/>
        </w:rPr>
        <w:t>l</w:t>
      </w:r>
      <w:r w:rsidR="00F212CE" w:rsidRPr="00AE4E32">
        <w:rPr>
          <w:color w:val="000000" w:themeColor="text1"/>
          <w:lang w:val="en-GB"/>
        </w:rPr>
        <w:t xml:space="preserve">ic beverages, Housing, water, electricity, gas and other fuels, Alcoholic beverages </w:t>
      </w:r>
      <w:r w:rsidR="006B7DCC">
        <w:rPr>
          <w:color w:val="000000" w:themeColor="text1"/>
          <w:lang w:val="en-GB"/>
        </w:rPr>
        <w:t>and </w:t>
      </w:r>
      <w:r w:rsidR="00F212CE" w:rsidRPr="00AE4E32">
        <w:rPr>
          <w:color w:val="000000" w:themeColor="text1"/>
          <w:lang w:val="en-GB"/>
        </w:rPr>
        <w:t xml:space="preserve">tobacco </w:t>
      </w:r>
      <w:r w:rsidR="00045C89" w:rsidRPr="00AE4E32">
        <w:rPr>
          <w:color w:val="000000" w:themeColor="text1"/>
          <w:lang w:val="en-GB"/>
        </w:rPr>
        <w:t xml:space="preserve">and Communication. </w:t>
      </w:r>
      <w:r w:rsidRPr="00AE4E32">
        <w:rPr>
          <w:color w:val="000000" w:themeColor="text1"/>
          <w:lang w:val="en-GB"/>
        </w:rPr>
        <w:t>On the other hand, there was a decrease in the share of expenditures</w:t>
      </w:r>
      <w:r w:rsidR="00E84A5C" w:rsidRPr="00AE4E32">
        <w:rPr>
          <w:color w:val="000000" w:themeColor="text1"/>
          <w:lang w:val="en-GB"/>
        </w:rPr>
        <w:t xml:space="preserve"> for</w:t>
      </w:r>
      <w:r w:rsidRPr="00AE4E32">
        <w:rPr>
          <w:color w:val="000000" w:themeColor="text1"/>
          <w:lang w:val="en-GB"/>
        </w:rPr>
        <w:t xml:space="preserve">, among others, </w:t>
      </w:r>
      <w:r w:rsidR="00045C89" w:rsidRPr="00AE4E32">
        <w:rPr>
          <w:color w:val="000000" w:themeColor="text1"/>
          <w:lang w:val="en-GB"/>
        </w:rPr>
        <w:t>Restaurants and hotels</w:t>
      </w:r>
      <w:r w:rsidR="00286350" w:rsidRPr="00AE4E32">
        <w:rPr>
          <w:color w:val="000000" w:themeColor="text1"/>
          <w:lang w:val="en-GB"/>
        </w:rPr>
        <w:t>, Transport, Recreation and cu</w:t>
      </w:r>
      <w:r w:rsidR="00286350" w:rsidRPr="00AE4E32">
        <w:rPr>
          <w:color w:val="000000" w:themeColor="text1"/>
          <w:lang w:val="en-GB"/>
        </w:rPr>
        <w:t>l</w:t>
      </w:r>
      <w:r w:rsidR="00286350" w:rsidRPr="00AE4E32">
        <w:rPr>
          <w:color w:val="000000" w:themeColor="text1"/>
          <w:lang w:val="en-GB"/>
        </w:rPr>
        <w:t>ture</w:t>
      </w:r>
      <w:r w:rsidR="007E7553" w:rsidRPr="00AE4E32">
        <w:rPr>
          <w:color w:val="000000" w:themeColor="text1"/>
          <w:lang w:val="en-GB"/>
        </w:rPr>
        <w:t xml:space="preserve"> and </w:t>
      </w:r>
      <w:r w:rsidR="00286350" w:rsidRPr="00AE4E32">
        <w:rPr>
          <w:color w:val="000000" w:themeColor="text1"/>
          <w:lang w:val="en-GB"/>
        </w:rPr>
        <w:t>Clothing and footwear</w:t>
      </w:r>
      <w:r w:rsidR="00A804EC" w:rsidRPr="00AE4E32">
        <w:rPr>
          <w:color w:val="000000" w:themeColor="text1"/>
          <w:lang w:val="en-GB"/>
        </w:rPr>
        <w:t xml:space="preserve">. </w:t>
      </w:r>
      <w:r w:rsidRPr="00AE4E32">
        <w:rPr>
          <w:color w:val="000000" w:themeColor="text1"/>
          <w:lang w:val="en-GB"/>
        </w:rPr>
        <w:t xml:space="preserve">Therefore, </w:t>
      </w:r>
      <w:r w:rsidR="00A804EC" w:rsidRPr="00AE4E32">
        <w:rPr>
          <w:color w:val="000000" w:themeColor="text1"/>
          <w:lang w:val="en-GB"/>
        </w:rPr>
        <w:t>the</w:t>
      </w:r>
      <w:r w:rsidRPr="00AE4E32">
        <w:rPr>
          <w:color w:val="000000" w:themeColor="text1"/>
          <w:lang w:val="en-GB"/>
        </w:rPr>
        <w:t xml:space="preserve"> contribution of price changes in particular groups to the total consumer price index </w:t>
      </w:r>
      <w:r w:rsidR="00912885" w:rsidRPr="00AE4E32">
        <w:rPr>
          <w:color w:val="000000" w:themeColor="text1"/>
          <w:lang w:val="en-GB"/>
        </w:rPr>
        <w:t xml:space="preserve">differs from the one </w:t>
      </w:r>
      <w:r w:rsidR="00FE432E" w:rsidRPr="00AE4E32">
        <w:rPr>
          <w:color w:val="000000" w:themeColor="text1"/>
          <w:lang w:val="en-GB"/>
        </w:rPr>
        <w:t>recorded for the compilations of pr</w:t>
      </w:r>
      <w:r w:rsidR="00FE432E" w:rsidRPr="00AE4E32">
        <w:rPr>
          <w:color w:val="000000" w:themeColor="text1"/>
          <w:lang w:val="en-GB"/>
        </w:rPr>
        <w:t>e</w:t>
      </w:r>
      <w:r w:rsidR="00FE432E" w:rsidRPr="00AE4E32">
        <w:rPr>
          <w:color w:val="000000" w:themeColor="text1"/>
          <w:lang w:val="en-GB"/>
        </w:rPr>
        <w:t xml:space="preserve">liminary data for January of the current year. </w:t>
      </w:r>
      <w:r w:rsidR="00572DE7" w:rsidRPr="00AE4E32">
        <w:rPr>
          <w:color w:val="000000" w:themeColor="text1"/>
          <w:lang w:val="en-GB"/>
        </w:rPr>
        <w:t>According to final data in January of the current year,</w:t>
      </w:r>
      <w:r w:rsidRPr="00AE4E32">
        <w:rPr>
          <w:color w:val="000000" w:themeColor="text1"/>
          <w:lang w:val="en-GB"/>
        </w:rPr>
        <w:t xml:space="preserve"> as related to January of the previous year, consumer prices increased by </w:t>
      </w:r>
      <w:r w:rsidR="00572DE7" w:rsidRPr="00AE4E32">
        <w:rPr>
          <w:color w:val="000000" w:themeColor="text1"/>
          <w:lang w:val="en-GB"/>
        </w:rPr>
        <w:t xml:space="preserve">2,6%, </w:t>
      </w:r>
      <w:r w:rsidRPr="00AE4E32">
        <w:rPr>
          <w:color w:val="000000" w:themeColor="text1"/>
          <w:lang w:val="en-GB"/>
        </w:rPr>
        <w:t>co</w:t>
      </w:r>
      <w:r w:rsidRPr="00AE4E32">
        <w:rPr>
          <w:color w:val="000000" w:themeColor="text1"/>
          <w:lang w:val="en-GB"/>
        </w:rPr>
        <w:t>m</w:t>
      </w:r>
      <w:r w:rsidRPr="00AE4E32">
        <w:rPr>
          <w:color w:val="000000" w:themeColor="text1"/>
          <w:lang w:val="en-GB"/>
        </w:rPr>
        <w:t>pared with the preliminarily estimated increase of </w:t>
      </w:r>
      <w:r w:rsidR="00572DE7" w:rsidRPr="00AE4E32">
        <w:rPr>
          <w:color w:val="000000" w:themeColor="text1"/>
          <w:lang w:val="en-GB"/>
        </w:rPr>
        <w:t>2,7</w:t>
      </w:r>
      <w:r w:rsidRPr="00AE4E32">
        <w:rPr>
          <w:color w:val="000000" w:themeColor="text1"/>
          <w:lang w:val="en-GB"/>
        </w:rPr>
        <w:t>%.</w:t>
      </w:r>
      <w:r w:rsidR="00737BAF" w:rsidRPr="00AE4E32">
        <w:rPr>
          <w:color w:val="000000" w:themeColor="text1"/>
          <w:lang w:val="en-GB"/>
        </w:rPr>
        <w:t xml:space="preserve"> As related to the previous month, </w:t>
      </w:r>
      <w:r w:rsidRPr="00AE4E32">
        <w:rPr>
          <w:color w:val="000000" w:themeColor="text1"/>
          <w:lang w:val="en-GB"/>
        </w:rPr>
        <w:t>consumer price</w:t>
      </w:r>
      <w:r w:rsidR="00737BAF" w:rsidRPr="00AE4E32">
        <w:rPr>
          <w:color w:val="000000" w:themeColor="text1"/>
          <w:lang w:val="en-GB"/>
        </w:rPr>
        <w:t>s increased by 1,3%</w:t>
      </w:r>
      <w:r w:rsidR="00EB298F" w:rsidRPr="00AE4E32">
        <w:rPr>
          <w:color w:val="000000" w:themeColor="text1"/>
          <w:lang w:val="en-GB"/>
        </w:rPr>
        <w:t>, compared with the preliminarily estimated in</w:t>
      </w:r>
      <w:r w:rsidR="006B7DCC">
        <w:rPr>
          <w:color w:val="000000" w:themeColor="text1"/>
          <w:lang w:val="en-GB"/>
        </w:rPr>
        <w:t>crease by </w:t>
      </w:r>
      <w:r w:rsidR="00EB298F" w:rsidRPr="00AE4E32">
        <w:rPr>
          <w:color w:val="000000" w:themeColor="text1"/>
          <w:lang w:val="en-GB"/>
        </w:rPr>
        <w:t>1,2%. As a result of the update of the weighting system, in January of the current year</w:t>
      </w:r>
      <w:r w:rsidR="006B7DCC">
        <w:rPr>
          <w:color w:val="000000" w:themeColor="text1"/>
          <w:lang w:val="en-GB"/>
        </w:rPr>
        <w:t xml:space="preserve"> the </w:t>
      </w:r>
      <w:r w:rsidR="00EF4B38" w:rsidRPr="00AE4E32">
        <w:rPr>
          <w:color w:val="000000" w:themeColor="text1"/>
          <w:lang w:val="en-GB"/>
        </w:rPr>
        <w:t xml:space="preserve">share of estimated data in the total index decreased (from </w:t>
      </w:r>
      <w:r w:rsidR="00EF4B38" w:rsidRPr="00AE4E32">
        <w:rPr>
          <w:spacing w:val="-2"/>
          <w:lang w:val="en-GB"/>
        </w:rPr>
        <w:t>8,3% to 6,6%).</w:t>
      </w:r>
    </w:p>
    <w:p w:rsidR="005877DE" w:rsidRPr="00AE4E32" w:rsidRDefault="005877DE" w:rsidP="00D2436A">
      <w:pPr>
        <w:rPr>
          <w:lang w:val="en-GB"/>
        </w:rPr>
      </w:pPr>
    </w:p>
    <w:p w:rsidR="005877DE" w:rsidRPr="00AE4E32" w:rsidRDefault="00EF4B38" w:rsidP="001A1D6F">
      <w:pPr>
        <w:pStyle w:val="tytuwykresu"/>
        <w:ind w:left="794" w:hanging="794"/>
        <w:rPr>
          <w:shd w:val="clear" w:color="auto" w:fill="FFFFFF"/>
          <w:lang w:val="en-GB"/>
        </w:rPr>
      </w:pPr>
      <w:r w:rsidRPr="00AE4E32">
        <w:rPr>
          <w:noProof/>
          <w:lang w:val="en-GB" w:eastAsia="pl-PL"/>
        </w:rPr>
        <w:t xml:space="preserve">Table 2. Weighting system used in the compilations of consumer price indices in the years </w:t>
      </w:r>
      <w:r w:rsidR="0057579D" w:rsidRPr="00AE4E32">
        <w:rPr>
          <w:bCs/>
          <w:shd w:val="clear" w:color="auto" w:fill="FFFFFF"/>
          <w:lang w:val="en-GB"/>
        </w:rPr>
        <w:t>2017-2021</w:t>
      </w:r>
    </w:p>
    <w:tbl>
      <w:tblPr>
        <w:tblStyle w:val="Siatkatabelijasna1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27"/>
        <w:gridCol w:w="968"/>
        <w:gridCol w:w="968"/>
        <w:gridCol w:w="968"/>
        <w:gridCol w:w="968"/>
        <w:gridCol w:w="968"/>
      </w:tblGrid>
      <w:tr w:rsidR="0057579D" w:rsidRPr="00AE4E32" w:rsidTr="0057579D">
        <w:trPr>
          <w:trHeight w:val="57"/>
        </w:trPr>
        <w:tc>
          <w:tcPr>
            <w:tcW w:w="3227" w:type="dxa"/>
            <w:tcBorders>
              <w:bottom w:val="single" w:sz="12" w:space="0" w:color="212492"/>
            </w:tcBorders>
            <w:vAlign w:val="center"/>
          </w:tcPr>
          <w:p w:rsidR="0057579D" w:rsidRPr="00AE4E32" w:rsidRDefault="00F212CE" w:rsidP="00D7075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AE4E32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2017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AE4E32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2018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AE4E32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2019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:rsidR="0057579D" w:rsidRPr="00AE4E32" w:rsidRDefault="0057579D" w:rsidP="00D7075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2020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</w:tcPr>
          <w:p w:rsidR="0057579D" w:rsidRPr="00AE4E32" w:rsidRDefault="0057579D" w:rsidP="00A44345">
            <w:pPr>
              <w:pStyle w:val="Nagwek3"/>
              <w:spacing w:before="142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2021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Food and non-alcoholic </w:t>
            </w: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br/>
              <w:t>beverages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24,28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24,36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24,89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25,24</w:t>
            </w:r>
          </w:p>
        </w:tc>
        <w:tc>
          <w:tcPr>
            <w:tcW w:w="9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27,77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Alcoholic beverages </w:t>
            </w:r>
            <w:r w:rsidRPr="00AE4E32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br/>
              <w:t>and tobacco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6,38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6,19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6,91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5,68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5,37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4,94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4,21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Housing, water, electricity, gas </w:t>
            </w:r>
            <w:r w:rsidRPr="00AE4E32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br/>
              <w:t>and other fuels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20,53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20,35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19,17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18,44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19,14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Furnishings, household equipment </w:t>
            </w: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br/>
              <w:t>and routine household maintenance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5,14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5,25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5,70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5,80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5,83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Health 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5,56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5,69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5,29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5,39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8,63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8,74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10,34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9,89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8,88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Communication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5,20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4,87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4,18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4,54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5,00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Recreation and culture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6,89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6,92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6,44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6,62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5,78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Education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0,97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1,00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1,07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1,15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1,02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Restaurants and hotels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5,23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5,71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6,20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6,12</w:t>
            </w:r>
          </w:p>
        </w:tc>
        <w:tc>
          <w:tcPr>
            <w:tcW w:w="968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4,56</w:t>
            </w:r>
          </w:p>
        </w:tc>
      </w:tr>
      <w:tr w:rsidR="00F212CE" w:rsidRPr="00AE4E32" w:rsidTr="00F114E7">
        <w:trPr>
          <w:trHeight w:val="57"/>
        </w:trPr>
        <w:tc>
          <w:tcPr>
            <w:tcW w:w="3227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212CE" w:rsidRPr="00AE4E32" w:rsidRDefault="00F212CE" w:rsidP="006E1C7D">
            <w:pPr>
              <w:tabs>
                <w:tab w:val="right" w:leader="dot" w:pos="4156"/>
              </w:tabs>
              <w:contextualSpacing/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theme="majorBidi"/>
                <w:bCs/>
                <w:color w:val="000000" w:themeColor="text1"/>
                <w:sz w:val="16"/>
                <w:szCs w:val="16"/>
                <w:lang w:val="en-GB"/>
              </w:rPr>
              <w:t>Miscellaneous goods and services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5,51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5,55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5,58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5,72</w:t>
            </w:r>
          </w:p>
        </w:tc>
        <w:tc>
          <w:tcPr>
            <w:tcW w:w="968" w:type="dxa"/>
            <w:tcBorders>
              <w:top w:val="single" w:sz="4" w:space="0" w:color="212492"/>
              <w:bottom w:val="nil"/>
            </w:tcBorders>
            <w:vAlign w:val="center"/>
          </w:tcPr>
          <w:p w:rsidR="00F212CE" w:rsidRPr="00AE4E32" w:rsidRDefault="00F212CE" w:rsidP="00F114E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5,51</w:t>
            </w:r>
          </w:p>
        </w:tc>
      </w:tr>
    </w:tbl>
    <w:p w:rsidR="00C27D75" w:rsidRPr="00AE4E32" w:rsidRDefault="00C27D75" w:rsidP="00A07F00">
      <w:pPr>
        <w:pStyle w:val="Nagwek1"/>
        <w:rPr>
          <w:shd w:val="clear" w:color="auto" w:fill="FFFFFF"/>
          <w:lang w:val="en-GB"/>
        </w:rPr>
      </w:pPr>
    </w:p>
    <w:p w:rsidR="00C27D75" w:rsidRPr="00AE4E32" w:rsidRDefault="00C27D75" w:rsidP="00C27D75">
      <w:pPr>
        <w:rPr>
          <w:rFonts w:ascii="Fira Sans SemiBold" w:eastAsia="Times New Roman" w:hAnsi="Fira Sans SemiBold" w:cs="Times New Roman"/>
          <w:color w:val="001D77"/>
          <w:szCs w:val="24"/>
          <w:shd w:val="clear" w:color="auto" w:fill="FFFFFF"/>
          <w:lang w:val="en-GB" w:eastAsia="pl-PL"/>
        </w:rPr>
      </w:pPr>
      <w:r w:rsidRPr="00AE4E32">
        <w:rPr>
          <w:shd w:val="clear" w:color="auto" w:fill="FFFFFF"/>
          <w:lang w:val="en-GB"/>
        </w:rPr>
        <w:br w:type="page"/>
      </w:r>
    </w:p>
    <w:p w:rsidR="00A07F00" w:rsidRPr="00AE4E32" w:rsidRDefault="00C96563" w:rsidP="00C27D75">
      <w:pPr>
        <w:pStyle w:val="Nagwek1"/>
        <w:spacing w:before="120" w:line="240" w:lineRule="exact"/>
        <w:rPr>
          <w:lang w:val="en-GB"/>
        </w:rPr>
      </w:pPr>
      <w:r w:rsidRPr="00AE4E32">
        <w:rPr>
          <w:noProof/>
          <w:lang w:val="en-GB" w:eastAsia="en-GB"/>
        </w:rPr>
        <w:lastRenderedPageBreak/>
        <w:drawing>
          <wp:anchor distT="0" distB="0" distL="114300" distR="114300" simplePos="0" relativeHeight="251796480" behindDoc="0" locked="0" layoutInCell="1" allowOverlap="1" wp14:anchorId="605FF9CF" wp14:editId="5CFF5D67">
            <wp:simplePos x="0" y="0"/>
            <wp:positionH relativeFrom="column">
              <wp:posOffset>3810</wp:posOffset>
            </wp:positionH>
            <wp:positionV relativeFrom="paragraph">
              <wp:posOffset>2009140</wp:posOffset>
            </wp:positionV>
            <wp:extent cx="5122545" cy="224980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B38" w:rsidRPr="00AE4E32">
        <w:rPr>
          <w:shd w:val="clear" w:color="auto" w:fill="FFFFFF"/>
          <w:lang w:val="en-GB"/>
        </w:rPr>
        <w:t>Contribution</w:t>
      </w:r>
      <w:r w:rsidR="00DB1D89" w:rsidRPr="00AE4E32">
        <w:rPr>
          <w:shd w:val="clear" w:color="auto" w:fill="FFFFFF"/>
          <w:lang w:val="en-GB"/>
        </w:rPr>
        <w:t>s</w:t>
      </w:r>
      <w:r w:rsidR="00EF4B38" w:rsidRPr="00AE4E32">
        <w:rPr>
          <w:shd w:val="clear" w:color="auto" w:fill="FFFFFF"/>
          <w:lang w:val="en-GB"/>
        </w:rPr>
        <w:t xml:space="preserve"> of price changes to the total consumer price index</w:t>
      </w:r>
    </w:p>
    <w:p w:rsidR="000570D6" w:rsidRPr="00AE4E32" w:rsidRDefault="0075078D" w:rsidP="000570D6">
      <w:pPr>
        <w:rPr>
          <w:spacing w:val="-2"/>
          <w:lang w:val="en-GB"/>
        </w:rPr>
      </w:pPr>
      <w:r w:rsidRPr="00AE4E32">
        <w:rPr>
          <w:lang w:val="en-GB"/>
        </w:rPr>
        <w:t xml:space="preserve">In February </w:t>
      </w:r>
      <w:r w:rsidRPr="00AE4E32">
        <w:rPr>
          <w:spacing w:val="-2"/>
          <w:lang w:val="en-GB"/>
        </w:rPr>
        <w:t>of the current year, compared with the previous mon</w:t>
      </w:r>
      <w:r w:rsidR="006B7DCC">
        <w:rPr>
          <w:spacing w:val="-2"/>
          <w:lang w:val="en-GB"/>
        </w:rPr>
        <w:t>th, the highest contribution to </w:t>
      </w:r>
      <w:r w:rsidRPr="00AE4E32">
        <w:rPr>
          <w:spacing w:val="-2"/>
          <w:lang w:val="en-GB"/>
        </w:rPr>
        <w:t xml:space="preserve">the total consumer price index came from higher prices related to Transport </w:t>
      </w:r>
      <w:r w:rsidR="00E41FCF" w:rsidRPr="00AE4E32">
        <w:rPr>
          <w:lang w:val="en-GB"/>
        </w:rPr>
        <w:t>(</w:t>
      </w:r>
      <w:r w:rsidRPr="00AE4E32">
        <w:rPr>
          <w:lang w:val="en-GB"/>
        </w:rPr>
        <w:t>by</w:t>
      </w:r>
      <w:r w:rsidR="00674A8B" w:rsidRPr="00AE4E32">
        <w:rPr>
          <w:lang w:val="en-GB"/>
        </w:rPr>
        <w:t> </w:t>
      </w:r>
      <w:r w:rsidR="0051069D" w:rsidRPr="00AE4E32">
        <w:rPr>
          <w:lang w:val="en-GB"/>
        </w:rPr>
        <w:t>1,7</w:t>
      </w:r>
      <w:r w:rsidR="00E41FCF" w:rsidRPr="00AE4E32">
        <w:rPr>
          <w:lang w:val="en-GB"/>
        </w:rPr>
        <w:t>%)</w:t>
      </w:r>
      <w:r w:rsidR="00DE26A0" w:rsidRPr="00AE4E32">
        <w:rPr>
          <w:lang w:val="en-GB"/>
        </w:rPr>
        <w:t xml:space="preserve"> </w:t>
      </w:r>
      <w:r w:rsidRPr="00AE4E32">
        <w:rPr>
          <w:lang w:val="en-GB"/>
        </w:rPr>
        <w:t>and Food (by</w:t>
      </w:r>
      <w:r w:rsidR="003417DF" w:rsidRPr="00AE4E32">
        <w:rPr>
          <w:lang w:val="en-GB"/>
        </w:rPr>
        <w:t xml:space="preserve"> 0,4</w:t>
      </w:r>
      <w:r w:rsidR="00916339" w:rsidRPr="00AE4E32">
        <w:rPr>
          <w:lang w:val="en-GB"/>
        </w:rPr>
        <w:t xml:space="preserve">%), </w:t>
      </w:r>
      <w:r w:rsidRPr="00AE4E32">
        <w:rPr>
          <w:spacing w:val="-2"/>
          <w:lang w:val="en-GB"/>
        </w:rPr>
        <w:t>which increased the index by</w:t>
      </w:r>
      <w:r w:rsidR="00A07F00" w:rsidRPr="00AE4E32">
        <w:rPr>
          <w:lang w:val="en-GB"/>
        </w:rPr>
        <w:t xml:space="preserve"> 0,</w:t>
      </w:r>
      <w:r w:rsidR="00D642DA" w:rsidRPr="00AE4E32">
        <w:rPr>
          <w:lang w:val="en-GB"/>
        </w:rPr>
        <w:t>16</w:t>
      </w:r>
      <w:r w:rsidR="00674A8B" w:rsidRPr="00AE4E32">
        <w:rPr>
          <w:lang w:val="en-GB"/>
        </w:rPr>
        <w:t xml:space="preserve"> p</w:t>
      </w:r>
      <w:r w:rsidRPr="00AE4E32">
        <w:rPr>
          <w:lang w:val="en-GB"/>
        </w:rPr>
        <w:t xml:space="preserve">p and </w:t>
      </w:r>
      <w:r w:rsidR="00D642DA" w:rsidRPr="00AE4E32">
        <w:rPr>
          <w:lang w:val="en-GB"/>
        </w:rPr>
        <w:t>0,1</w:t>
      </w:r>
      <w:r w:rsidR="00DC0EA4" w:rsidRPr="00AE4E32">
        <w:rPr>
          <w:lang w:val="en-GB"/>
        </w:rPr>
        <w:t>1 p</w:t>
      </w:r>
      <w:r w:rsidRPr="00AE4E32">
        <w:rPr>
          <w:lang w:val="en-GB"/>
        </w:rPr>
        <w:t xml:space="preserve">p, respectively. </w:t>
      </w:r>
      <w:r w:rsidRPr="00AE4E32">
        <w:rPr>
          <w:spacing w:val="-2"/>
          <w:lang w:val="en-GB"/>
        </w:rPr>
        <w:t xml:space="preserve">Lower prices </w:t>
      </w:r>
      <w:r w:rsidR="00DB1D89" w:rsidRPr="00AE4E32">
        <w:rPr>
          <w:spacing w:val="-2"/>
          <w:lang w:val="en-GB"/>
        </w:rPr>
        <w:t>of </w:t>
      </w:r>
      <w:r w:rsidRPr="00AE4E32">
        <w:rPr>
          <w:spacing w:val="-2"/>
          <w:lang w:val="en-GB"/>
        </w:rPr>
        <w:t>Clothing and footwear</w:t>
      </w:r>
      <w:r w:rsidR="00CF4CEE" w:rsidRPr="00AE4E32">
        <w:rPr>
          <w:lang w:val="en-GB"/>
        </w:rPr>
        <w:t xml:space="preserve"> </w:t>
      </w:r>
      <w:r w:rsidRPr="00AE4E32">
        <w:rPr>
          <w:lang w:val="en-GB"/>
        </w:rPr>
        <w:t>(by</w:t>
      </w:r>
      <w:r w:rsidR="00DE26A0" w:rsidRPr="00AE4E32">
        <w:rPr>
          <w:lang w:val="en-GB"/>
        </w:rPr>
        <w:t> </w:t>
      </w:r>
      <w:r w:rsidR="00813521" w:rsidRPr="00AE4E32">
        <w:rPr>
          <w:lang w:val="en-GB"/>
        </w:rPr>
        <w:t>0,5</w:t>
      </w:r>
      <w:r w:rsidR="00A07F00" w:rsidRPr="00AE4E32">
        <w:rPr>
          <w:lang w:val="en-GB"/>
        </w:rPr>
        <w:t>%)</w:t>
      </w:r>
      <w:r w:rsidR="00503FD4" w:rsidRPr="00AE4E32">
        <w:rPr>
          <w:lang w:val="en-GB"/>
        </w:rPr>
        <w:t xml:space="preserve"> </w:t>
      </w:r>
      <w:r w:rsidRPr="00AE4E32">
        <w:rPr>
          <w:spacing w:val="-2"/>
          <w:lang w:val="en-GB"/>
        </w:rPr>
        <w:t xml:space="preserve">decreased the index by </w:t>
      </w:r>
      <w:r w:rsidR="00A07F00" w:rsidRPr="00AE4E32">
        <w:rPr>
          <w:lang w:val="en-GB"/>
        </w:rPr>
        <w:t>0,</w:t>
      </w:r>
      <w:r w:rsidR="00B609CE" w:rsidRPr="00AE4E32">
        <w:rPr>
          <w:lang w:val="en-GB"/>
        </w:rPr>
        <w:t>0</w:t>
      </w:r>
      <w:r w:rsidR="00813521" w:rsidRPr="00AE4E32">
        <w:rPr>
          <w:lang w:val="en-GB"/>
        </w:rPr>
        <w:t>2</w:t>
      </w:r>
      <w:r w:rsidR="00A07F00" w:rsidRPr="00AE4E32">
        <w:rPr>
          <w:lang w:val="en-GB"/>
        </w:rPr>
        <w:t xml:space="preserve"> p</w:t>
      </w:r>
      <w:r w:rsidRPr="00AE4E32">
        <w:rPr>
          <w:lang w:val="en-GB"/>
        </w:rPr>
        <w:t>p</w:t>
      </w:r>
      <w:r w:rsidR="00A07F00" w:rsidRPr="00AE4E32">
        <w:rPr>
          <w:lang w:val="en-GB"/>
        </w:rPr>
        <w:t>.</w:t>
      </w:r>
      <w:r w:rsidR="00561049" w:rsidRPr="00AE4E32">
        <w:rPr>
          <w:b/>
          <w:lang w:val="en-GB"/>
        </w:rPr>
        <w:br/>
      </w:r>
      <w:r w:rsidR="002C67C9" w:rsidRPr="00AE4E32">
        <w:rPr>
          <w:color w:val="000000" w:themeColor="text1"/>
          <w:spacing w:val="-2"/>
          <w:lang w:val="en-GB"/>
        </w:rPr>
        <w:t>Compared with the corresponding month of the previous year, higher prices related to Dwel</w:t>
      </w:r>
      <w:r w:rsidR="002C67C9" w:rsidRPr="00AE4E32">
        <w:rPr>
          <w:color w:val="000000" w:themeColor="text1"/>
          <w:spacing w:val="-2"/>
          <w:lang w:val="en-GB"/>
        </w:rPr>
        <w:t>l</w:t>
      </w:r>
      <w:r w:rsidR="002C67C9" w:rsidRPr="00AE4E32">
        <w:rPr>
          <w:color w:val="000000" w:themeColor="text1"/>
          <w:spacing w:val="-2"/>
          <w:lang w:val="en-GB"/>
        </w:rPr>
        <w:t>ing</w:t>
      </w:r>
      <w:r w:rsidR="002C67C9" w:rsidRPr="00AE4E32">
        <w:rPr>
          <w:lang w:val="en-GB"/>
        </w:rPr>
        <w:t xml:space="preserve"> </w:t>
      </w:r>
      <w:r w:rsidR="00A07F00" w:rsidRPr="00AE4E32">
        <w:rPr>
          <w:spacing w:val="-2"/>
          <w:lang w:val="en-GB"/>
        </w:rPr>
        <w:t>(</w:t>
      </w:r>
      <w:r w:rsidR="002C67C9" w:rsidRPr="00AE4E32">
        <w:rPr>
          <w:spacing w:val="-2"/>
          <w:lang w:val="en-GB"/>
        </w:rPr>
        <w:t>by</w:t>
      </w:r>
      <w:r w:rsidR="00A07F00" w:rsidRPr="00AE4E32">
        <w:rPr>
          <w:spacing w:val="-2"/>
          <w:lang w:val="en-GB"/>
        </w:rPr>
        <w:t> </w:t>
      </w:r>
      <w:r w:rsidR="000C53DE" w:rsidRPr="00AE4E32">
        <w:rPr>
          <w:spacing w:val="-2"/>
          <w:lang w:val="en-GB"/>
        </w:rPr>
        <w:t>5,2</w:t>
      </w:r>
      <w:r w:rsidR="00674A8B" w:rsidRPr="00AE4E32">
        <w:rPr>
          <w:spacing w:val="-2"/>
          <w:lang w:val="en-GB"/>
        </w:rPr>
        <w:t xml:space="preserve">%) </w:t>
      </w:r>
      <w:r w:rsidR="001A3374" w:rsidRPr="00AE4E32">
        <w:rPr>
          <w:spacing w:val="-2"/>
          <w:lang w:val="en-GB"/>
        </w:rPr>
        <w:t xml:space="preserve">increased the index by </w:t>
      </w:r>
      <w:r w:rsidR="00181853" w:rsidRPr="00AE4E32">
        <w:rPr>
          <w:spacing w:val="-2"/>
          <w:lang w:val="en-GB"/>
        </w:rPr>
        <w:t>1</w:t>
      </w:r>
      <w:r w:rsidR="00A07F00" w:rsidRPr="00AE4E32">
        <w:rPr>
          <w:spacing w:val="-2"/>
          <w:lang w:val="en-GB"/>
        </w:rPr>
        <w:t>,</w:t>
      </w:r>
      <w:r w:rsidR="00326D89" w:rsidRPr="00AE4E32">
        <w:rPr>
          <w:spacing w:val="-2"/>
          <w:lang w:val="en-GB"/>
        </w:rPr>
        <w:t>29</w:t>
      </w:r>
      <w:r w:rsidR="00561049" w:rsidRPr="00AE4E32">
        <w:rPr>
          <w:spacing w:val="-2"/>
          <w:lang w:val="en-GB"/>
        </w:rPr>
        <w:t xml:space="preserve"> p</w:t>
      </w:r>
      <w:r w:rsidR="001A3374" w:rsidRPr="00AE4E32">
        <w:rPr>
          <w:spacing w:val="-2"/>
          <w:lang w:val="en-GB"/>
        </w:rPr>
        <w:t>p</w:t>
      </w:r>
      <w:r w:rsidR="00A07F00" w:rsidRPr="00AE4E32">
        <w:rPr>
          <w:spacing w:val="-2"/>
          <w:lang w:val="en-GB"/>
        </w:rPr>
        <w:t xml:space="preserve">. </w:t>
      </w:r>
      <w:r w:rsidR="001A3374" w:rsidRPr="00AE4E32">
        <w:rPr>
          <w:spacing w:val="-2"/>
          <w:lang w:val="en-GB"/>
        </w:rPr>
        <w:t>Lower prices related to Transport (by</w:t>
      </w:r>
      <w:r w:rsidR="00690BA9" w:rsidRPr="00AE4E32">
        <w:rPr>
          <w:spacing w:val="-2"/>
          <w:lang w:val="en-GB"/>
        </w:rPr>
        <w:t xml:space="preserve"> 1,6%) </w:t>
      </w:r>
      <w:r w:rsidR="001A3374" w:rsidRPr="00AE4E32">
        <w:rPr>
          <w:spacing w:val="-2"/>
          <w:lang w:val="en-GB"/>
        </w:rPr>
        <w:t xml:space="preserve">and </w:t>
      </w:r>
      <w:r w:rsidR="001A3374" w:rsidRPr="00AE4E32">
        <w:rPr>
          <w:lang w:val="en-GB"/>
        </w:rPr>
        <w:t xml:space="preserve">Clothing and footwear </w:t>
      </w:r>
      <w:r w:rsidR="001A3374" w:rsidRPr="00AE4E32">
        <w:rPr>
          <w:spacing w:val="-2"/>
          <w:lang w:val="en-GB"/>
        </w:rPr>
        <w:t>(by</w:t>
      </w:r>
      <w:r w:rsidR="00A07F00" w:rsidRPr="00AE4E32">
        <w:rPr>
          <w:spacing w:val="-2"/>
          <w:lang w:val="en-GB"/>
        </w:rPr>
        <w:t xml:space="preserve"> </w:t>
      </w:r>
      <w:r w:rsidR="00392563" w:rsidRPr="00AE4E32">
        <w:rPr>
          <w:spacing w:val="-2"/>
          <w:lang w:val="en-GB"/>
        </w:rPr>
        <w:t>2</w:t>
      </w:r>
      <w:r w:rsidR="00A07F00" w:rsidRPr="00AE4E32">
        <w:rPr>
          <w:spacing w:val="-2"/>
          <w:lang w:val="en-GB"/>
        </w:rPr>
        <w:t>,</w:t>
      </w:r>
      <w:r w:rsidR="00392563" w:rsidRPr="00AE4E32">
        <w:rPr>
          <w:spacing w:val="-2"/>
          <w:lang w:val="en-GB"/>
        </w:rPr>
        <w:t>9</w:t>
      </w:r>
      <w:r w:rsidR="00A72D71" w:rsidRPr="00AE4E32">
        <w:rPr>
          <w:spacing w:val="-2"/>
          <w:lang w:val="en-GB"/>
        </w:rPr>
        <w:t xml:space="preserve">%) </w:t>
      </w:r>
      <w:r w:rsidR="001A3374" w:rsidRPr="00AE4E32">
        <w:rPr>
          <w:spacing w:val="-2"/>
          <w:lang w:val="en-GB"/>
        </w:rPr>
        <w:t xml:space="preserve">decreased the index by </w:t>
      </w:r>
      <w:r w:rsidR="00A07F00" w:rsidRPr="00AE4E32">
        <w:rPr>
          <w:spacing w:val="-2"/>
          <w:lang w:val="en-GB"/>
        </w:rPr>
        <w:t>0,</w:t>
      </w:r>
      <w:r w:rsidR="00392563" w:rsidRPr="00AE4E32">
        <w:rPr>
          <w:spacing w:val="-2"/>
          <w:lang w:val="en-GB"/>
        </w:rPr>
        <w:t>1</w:t>
      </w:r>
      <w:r w:rsidR="00181853" w:rsidRPr="00AE4E32">
        <w:rPr>
          <w:spacing w:val="-2"/>
          <w:lang w:val="en-GB"/>
        </w:rPr>
        <w:t>5 p</w:t>
      </w:r>
      <w:r w:rsidR="001A3374" w:rsidRPr="00AE4E32">
        <w:rPr>
          <w:spacing w:val="-2"/>
          <w:lang w:val="en-GB"/>
        </w:rPr>
        <w:t xml:space="preserve">p and </w:t>
      </w:r>
      <w:r w:rsidR="00392563" w:rsidRPr="00AE4E32">
        <w:rPr>
          <w:spacing w:val="-2"/>
          <w:lang w:val="en-GB"/>
        </w:rPr>
        <w:t>0,12 p</w:t>
      </w:r>
      <w:r w:rsidR="001A3374" w:rsidRPr="00AE4E32">
        <w:rPr>
          <w:spacing w:val="-2"/>
          <w:lang w:val="en-GB"/>
        </w:rPr>
        <w:t>p, respectively</w:t>
      </w:r>
      <w:r w:rsidR="00392563" w:rsidRPr="00AE4E32">
        <w:rPr>
          <w:spacing w:val="-2"/>
          <w:lang w:val="en-GB"/>
        </w:rPr>
        <w:t>.</w:t>
      </w:r>
    </w:p>
    <w:p w:rsidR="00BC561E" w:rsidRPr="00AE4E32" w:rsidRDefault="00BC561E" w:rsidP="00706787">
      <w:pPr>
        <w:pStyle w:val="tytuwykresu"/>
        <w:ind w:left="794" w:hanging="794"/>
        <w:rPr>
          <w:lang w:val="en-GB"/>
        </w:rPr>
      </w:pPr>
    </w:p>
    <w:p w:rsidR="00A07F00" w:rsidRPr="00AE4E32" w:rsidRDefault="001A3374" w:rsidP="003359BE">
      <w:pPr>
        <w:pStyle w:val="tytuwykresu"/>
        <w:ind w:left="697" w:hanging="697"/>
        <w:rPr>
          <w:shd w:val="clear" w:color="auto" w:fill="FFFFFF"/>
          <w:lang w:val="en-GB"/>
        </w:rPr>
      </w:pPr>
      <w:r w:rsidRPr="00AE4E32">
        <w:rPr>
          <w:lang w:val="en-GB"/>
        </w:rPr>
        <w:t xml:space="preserve"> </w:t>
      </w:r>
      <w:r w:rsidRPr="00AE4E32">
        <w:rPr>
          <w:lang w:val="en-GB" w:eastAsia="en-GB"/>
        </w:rPr>
        <w:t xml:space="preserve">Chart 1. Contribution of price changes of selected groups of consumer goods and services </w:t>
      </w:r>
      <w:r w:rsidRPr="00AE4E32">
        <w:rPr>
          <w:lang w:val="en-GB" w:eastAsia="en-GB"/>
        </w:rPr>
        <w:br/>
        <w:t>in Febr</w:t>
      </w:r>
      <w:r w:rsidRPr="00AE4E32">
        <w:rPr>
          <w:lang w:val="en-GB" w:eastAsia="en-GB"/>
        </w:rPr>
        <w:t>u</w:t>
      </w:r>
      <w:r w:rsidRPr="00AE4E32">
        <w:rPr>
          <w:lang w:val="en-GB" w:eastAsia="en-GB"/>
        </w:rPr>
        <w:t xml:space="preserve">ary </w:t>
      </w:r>
      <w:r w:rsidR="00FA6B1C" w:rsidRPr="00AE4E32">
        <w:rPr>
          <w:shd w:val="clear" w:color="auto" w:fill="FFFFFF"/>
          <w:lang w:val="en-GB"/>
        </w:rPr>
        <w:t>2021</w:t>
      </w:r>
      <w:r w:rsidR="00A07F00" w:rsidRPr="00AE4E32">
        <w:rPr>
          <w:noProof/>
          <w:shd w:val="clear" w:color="auto" w:fill="FFFFFF"/>
          <w:lang w:val="en-GB" w:eastAsia="pl-PL"/>
        </w:rPr>
        <w:t xml:space="preserve"> </w:t>
      </w:r>
      <w:r w:rsidR="003359BE" w:rsidRPr="00AE4E32">
        <w:rPr>
          <w:lang w:val="en-GB" w:eastAsia="en-GB"/>
        </w:rPr>
        <w:t>(in pp compared with the previous period)</w:t>
      </w:r>
    </w:p>
    <w:p w:rsidR="0072703F" w:rsidRPr="00AE4E32" w:rsidRDefault="0072703F" w:rsidP="00706787">
      <w:pPr>
        <w:pStyle w:val="tytuwykresu"/>
        <w:ind w:left="794" w:hanging="794"/>
        <w:rPr>
          <w:noProof/>
          <w:shd w:val="clear" w:color="auto" w:fill="FFFFFF"/>
          <w:lang w:val="en-GB" w:eastAsia="pl-PL"/>
        </w:rPr>
      </w:pPr>
    </w:p>
    <w:p w:rsidR="00A07F00" w:rsidRPr="00AE4E32" w:rsidRDefault="005F4C8D" w:rsidP="00C27D75">
      <w:pPr>
        <w:pStyle w:val="tytuwykresu"/>
        <w:rPr>
          <w:b w:val="0"/>
          <w:shd w:val="clear" w:color="auto" w:fill="FFFFFF"/>
          <w:lang w:val="en-GB"/>
        </w:rPr>
      </w:pPr>
      <w:r w:rsidRPr="00AE4E32"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4BAF2523" wp14:editId="19309F10">
            <wp:simplePos x="0" y="0"/>
            <wp:positionH relativeFrom="column">
              <wp:posOffset>-77470</wp:posOffset>
            </wp:positionH>
            <wp:positionV relativeFrom="paragraph">
              <wp:posOffset>497840</wp:posOffset>
            </wp:positionV>
            <wp:extent cx="5122545" cy="2526665"/>
            <wp:effectExtent l="0" t="0" r="0" b="260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0F" w:rsidRPr="00AE4E32" w:rsidRDefault="006B232E" w:rsidP="00C27D75">
      <w:pPr>
        <w:pStyle w:val="tytuwykresu"/>
        <w:rPr>
          <w:b w:val="0"/>
          <w:noProof/>
          <w:shd w:val="clear" w:color="auto" w:fill="FFFFFF"/>
          <w:lang w:val="en-GB" w:eastAsia="pl-PL"/>
        </w:rPr>
      </w:pPr>
      <w:r w:rsidRPr="00AE4E32">
        <w:rPr>
          <w:lang w:val="en-GB"/>
        </w:rPr>
        <w:t>Chart</w:t>
      </w:r>
      <w:r w:rsidR="003A440F" w:rsidRPr="00AE4E32">
        <w:rPr>
          <w:lang w:val="en-GB"/>
        </w:rPr>
        <w:t xml:space="preserve"> </w:t>
      </w:r>
      <w:r w:rsidR="00761070" w:rsidRPr="00AE4E32">
        <w:rPr>
          <w:lang w:val="en-GB"/>
        </w:rPr>
        <w:t>2</w:t>
      </w:r>
      <w:r w:rsidR="003A440F" w:rsidRPr="00AE4E32">
        <w:rPr>
          <w:lang w:val="en-GB"/>
        </w:rPr>
        <w:t>.</w:t>
      </w:r>
      <w:r w:rsidR="003A440F" w:rsidRPr="00AE4E32">
        <w:rPr>
          <w:shd w:val="clear" w:color="auto" w:fill="FFFFFF"/>
          <w:lang w:val="en-GB"/>
        </w:rPr>
        <w:t xml:space="preserve"> </w:t>
      </w:r>
      <w:r w:rsidRPr="00AE4E32">
        <w:rPr>
          <w:shd w:val="clear" w:color="auto" w:fill="FFFFFF"/>
          <w:lang w:val="en-GB"/>
        </w:rPr>
        <w:t>Change</w:t>
      </w:r>
      <w:r w:rsidR="00BA78D5" w:rsidRPr="00AE4E32">
        <w:rPr>
          <w:shd w:val="clear" w:color="auto" w:fill="FFFFFF"/>
          <w:lang w:val="en-GB"/>
        </w:rPr>
        <w:t>s</w:t>
      </w:r>
      <w:r w:rsidRPr="00AE4E32">
        <w:rPr>
          <w:shd w:val="clear" w:color="auto" w:fill="FFFFFF"/>
          <w:lang w:val="en-GB"/>
        </w:rPr>
        <w:t xml:space="preserve"> in consumer prices </w:t>
      </w:r>
      <w:r w:rsidR="00BA78D5" w:rsidRPr="00AE4E32">
        <w:rPr>
          <w:shd w:val="clear" w:color="auto" w:fill="FFFFFF"/>
          <w:lang w:val="en-GB"/>
        </w:rPr>
        <w:t xml:space="preserve">as related </w:t>
      </w:r>
      <w:r w:rsidR="004657B2" w:rsidRPr="00AE4E32">
        <w:rPr>
          <w:shd w:val="clear" w:color="auto" w:fill="FFFFFF"/>
          <w:lang w:val="en-GB"/>
        </w:rPr>
        <w:t xml:space="preserve">to </w:t>
      </w:r>
      <w:r w:rsidR="004657B2" w:rsidRPr="00AE4E32">
        <w:rPr>
          <w:lang w:val="en-GB"/>
        </w:rPr>
        <w:t>the previous period (in</w:t>
      </w:r>
      <w:r w:rsidR="00305039" w:rsidRPr="00AE4E32">
        <w:rPr>
          <w:shd w:val="clear" w:color="auto" w:fill="FFFFFF"/>
          <w:lang w:val="en-GB"/>
        </w:rPr>
        <w:t xml:space="preserve"> %</w:t>
      </w:r>
      <w:r w:rsidR="003A440F" w:rsidRPr="00AE4E32">
        <w:rPr>
          <w:shd w:val="clear" w:color="auto" w:fill="FFFFFF"/>
          <w:lang w:val="en-GB"/>
        </w:rPr>
        <w:t>)</w:t>
      </w:r>
      <w:r w:rsidR="003A440F" w:rsidRPr="00AE4E32">
        <w:rPr>
          <w:b w:val="0"/>
          <w:noProof/>
          <w:shd w:val="clear" w:color="auto" w:fill="FFFFFF"/>
          <w:lang w:val="en-GB" w:eastAsia="pl-PL"/>
        </w:rPr>
        <w:t xml:space="preserve"> </w:t>
      </w:r>
    </w:p>
    <w:p w:rsidR="003A440F" w:rsidRPr="00AE4E32" w:rsidRDefault="003A440F" w:rsidP="00C27D75">
      <w:pPr>
        <w:pStyle w:val="LID"/>
        <w:rPr>
          <w:lang w:val="en-GB"/>
        </w:rPr>
      </w:pPr>
    </w:p>
    <w:p w:rsidR="00A07F00" w:rsidRPr="00AE4E32" w:rsidRDefault="00A07F00" w:rsidP="00C27D75">
      <w:pPr>
        <w:rPr>
          <w:lang w:val="en-GB"/>
        </w:rPr>
      </w:pPr>
    </w:p>
    <w:p w:rsidR="00DA0243" w:rsidRPr="00AE4E32" w:rsidRDefault="00DA0243">
      <w:pPr>
        <w:spacing w:before="0" w:after="160" w:line="259" w:lineRule="auto"/>
        <w:rPr>
          <w:b/>
          <w:spacing w:val="-2"/>
          <w:sz w:val="18"/>
          <w:lang w:val="en-GB"/>
        </w:rPr>
      </w:pPr>
      <w:r w:rsidRPr="00AE4E32">
        <w:rPr>
          <w:lang w:val="en-GB"/>
        </w:rPr>
        <w:br w:type="page"/>
      </w:r>
    </w:p>
    <w:p w:rsidR="00034160" w:rsidRPr="00AE4E32" w:rsidRDefault="001A1D6F" w:rsidP="00706787">
      <w:pPr>
        <w:pStyle w:val="tytuwykresu"/>
        <w:spacing w:after="360"/>
        <w:ind w:left="794" w:hanging="794"/>
        <w:rPr>
          <w:shd w:val="clear" w:color="auto" w:fill="FFFFFF"/>
          <w:lang w:val="en-GB"/>
        </w:rPr>
      </w:pPr>
      <w:r w:rsidRPr="00AE4E32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7952D923" wp14:editId="7A6119FC">
                <wp:simplePos x="0" y="0"/>
                <wp:positionH relativeFrom="column">
                  <wp:posOffset>5267325</wp:posOffset>
                </wp:positionH>
                <wp:positionV relativeFrom="paragraph">
                  <wp:posOffset>506730</wp:posOffset>
                </wp:positionV>
                <wp:extent cx="1725295" cy="953770"/>
                <wp:effectExtent l="0" t="0" r="0" b="0"/>
                <wp:wrapTight wrapText="bothSides">
                  <wp:wrapPolygon edited="0">
                    <wp:start x="477" y="0"/>
                    <wp:lineTo x="477" y="21140"/>
                    <wp:lineTo x="20749" y="21140"/>
                    <wp:lineTo x="20749" y="0"/>
                    <wp:lineTo x="477" y="0"/>
                  </wp:wrapPolygon>
                </wp:wrapTight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C7D" w:rsidRPr="004657B2" w:rsidRDefault="006E1C7D" w:rsidP="0003416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4657B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February 2021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co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n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sumer price index was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below 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inflation target dete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r</w:t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mined by the Monetary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br/>
                            </w:r>
                            <w:r w:rsidRPr="004A78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Policy Council (2,5% +/- 1 pp)</w:t>
                            </w:r>
                          </w:p>
                          <w:p w:rsidR="006E1C7D" w:rsidRPr="004657B2" w:rsidRDefault="006E1C7D" w:rsidP="0003416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414.75pt;margin-top:39.9pt;width:135.85pt;height:75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" filled="f" stroked="f">
                <v:textbox>
                  <w:txbxContent>
                    <w:p w:rsidR="006E1C7D" w:rsidRPr="004657B2" w:rsidRDefault="006E1C7D" w:rsidP="0003416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4657B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February 2021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co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n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sumer price index was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below 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inflation target dete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r</w:t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mined by the Monetary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br/>
                      </w:r>
                      <w:r w:rsidRPr="004A78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Policy Council (2,5% +/- 1 pp)</w:t>
                      </w:r>
                    </w:p>
                    <w:p w:rsidR="006E1C7D" w:rsidRPr="004657B2" w:rsidRDefault="006E1C7D" w:rsidP="0003416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32F50" w:rsidRPr="00AE4E32"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7A2EC590" wp14:editId="6F5E309A">
            <wp:simplePos x="0" y="0"/>
            <wp:positionH relativeFrom="column">
              <wp:posOffset>3175</wp:posOffset>
            </wp:positionH>
            <wp:positionV relativeFrom="paragraph">
              <wp:posOffset>584200</wp:posOffset>
            </wp:positionV>
            <wp:extent cx="5115560" cy="2585085"/>
            <wp:effectExtent l="0" t="0" r="8890" b="5715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B2" w:rsidRPr="00AE4E32">
        <w:rPr>
          <w:lang w:val="en-GB"/>
        </w:rPr>
        <w:t>Chart</w:t>
      </w:r>
      <w:r w:rsidR="00034160" w:rsidRPr="00AE4E32">
        <w:rPr>
          <w:lang w:val="en-GB"/>
        </w:rPr>
        <w:t xml:space="preserve"> </w:t>
      </w:r>
      <w:r w:rsidR="00761070" w:rsidRPr="00AE4E32">
        <w:rPr>
          <w:lang w:val="en-GB"/>
        </w:rPr>
        <w:t>3</w:t>
      </w:r>
      <w:r w:rsidR="00034160" w:rsidRPr="00AE4E32">
        <w:rPr>
          <w:lang w:val="en-GB"/>
        </w:rPr>
        <w:t>.</w:t>
      </w:r>
      <w:r w:rsidR="00034160" w:rsidRPr="00AE4E32">
        <w:rPr>
          <w:shd w:val="clear" w:color="auto" w:fill="FFFFFF"/>
          <w:lang w:val="en-GB"/>
        </w:rPr>
        <w:t xml:space="preserve"> </w:t>
      </w:r>
      <w:r w:rsidR="004657B2" w:rsidRPr="00AE4E32">
        <w:rPr>
          <w:shd w:val="clear" w:color="auto" w:fill="FFFFFF"/>
          <w:lang w:val="en-GB"/>
        </w:rPr>
        <w:t>Changes in c</w:t>
      </w:r>
      <w:r w:rsidR="004657B2" w:rsidRPr="00AE4E32">
        <w:rPr>
          <w:spacing w:val="-4"/>
          <w:lang w:val="en-GB"/>
        </w:rPr>
        <w:t>onsumer prices</w:t>
      </w:r>
      <w:r w:rsidR="004657B2" w:rsidRPr="00AE4E32">
        <w:rPr>
          <w:spacing w:val="-4"/>
          <w:shd w:val="clear" w:color="auto" w:fill="FFFFFF"/>
          <w:lang w:val="en-GB"/>
        </w:rPr>
        <w:t xml:space="preserve"> as related to the </w:t>
      </w:r>
      <w:r w:rsidR="004657B2" w:rsidRPr="00AE4E32">
        <w:rPr>
          <w:spacing w:val="-4"/>
          <w:lang w:val="en-GB"/>
        </w:rPr>
        <w:t>corresponding period of the prev</w:t>
      </w:r>
      <w:r w:rsidR="004657B2" w:rsidRPr="00AE4E32">
        <w:rPr>
          <w:spacing w:val="-4"/>
          <w:lang w:val="en-GB"/>
        </w:rPr>
        <w:t>i</w:t>
      </w:r>
      <w:r w:rsidR="004657B2" w:rsidRPr="00AE4E32">
        <w:rPr>
          <w:spacing w:val="-4"/>
          <w:lang w:val="en-GB"/>
        </w:rPr>
        <w:t>ous year</w:t>
      </w:r>
      <w:r w:rsidR="004657B2" w:rsidRPr="00AE4E32">
        <w:rPr>
          <w:spacing w:val="-4"/>
          <w:shd w:val="clear" w:color="auto" w:fill="FFFFFF"/>
          <w:lang w:val="en-GB"/>
        </w:rPr>
        <w:t xml:space="preserve"> (in %)</w:t>
      </w:r>
    </w:p>
    <w:p w:rsidR="00034160" w:rsidRPr="00AE4E32" w:rsidRDefault="00034160" w:rsidP="00034160">
      <w:pPr>
        <w:spacing w:before="0" w:after="160" w:line="259" w:lineRule="auto"/>
        <w:rPr>
          <w:lang w:val="en-GB"/>
        </w:rPr>
      </w:pPr>
    </w:p>
    <w:p w:rsidR="002E116F" w:rsidRPr="00AE4E32" w:rsidRDefault="002E116F" w:rsidP="00034160">
      <w:pPr>
        <w:spacing w:before="0" w:after="160" w:line="259" w:lineRule="auto"/>
        <w:rPr>
          <w:lang w:val="en-GB"/>
        </w:rPr>
      </w:pPr>
    </w:p>
    <w:p w:rsidR="00E27C54" w:rsidRPr="00AE4E32" w:rsidRDefault="00E27C54" w:rsidP="00034160">
      <w:pPr>
        <w:spacing w:before="0" w:after="160" w:line="259" w:lineRule="auto"/>
        <w:rPr>
          <w:lang w:val="en-GB"/>
        </w:rPr>
      </w:pPr>
    </w:p>
    <w:p w:rsidR="001E7DBB" w:rsidRPr="00AE4E32" w:rsidRDefault="00D8186E" w:rsidP="00260918">
      <w:pPr>
        <w:pStyle w:val="tytuwykresu"/>
        <w:spacing w:after="360"/>
        <w:ind w:left="709" w:hanging="709"/>
        <w:rPr>
          <w:bCs/>
          <w:shd w:val="clear" w:color="auto" w:fill="FFFFFF"/>
          <w:lang w:val="en-GB"/>
        </w:rPr>
      </w:pPr>
      <w:r w:rsidRPr="00AE4E32"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0B7B7790" wp14:editId="1AA68D48">
            <wp:simplePos x="0" y="0"/>
            <wp:positionH relativeFrom="column">
              <wp:posOffset>2540</wp:posOffset>
            </wp:positionH>
            <wp:positionV relativeFrom="paragraph">
              <wp:posOffset>708025</wp:posOffset>
            </wp:positionV>
            <wp:extent cx="5117465" cy="2515870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B2" w:rsidRPr="00AE4E32">
        <w:rPr>
          <w:lang w:val="en-GB"/>
        </w:rPr>
        <w:t xml:space="preserve"> Chart </w:t>
      </w:r>
      <w:r w:rsidR="00761070" w:rsidRPr="00AE4E32">
        <w:rPr>
          <w:lang w:val="en-GB"/>
        </w:rPr>
        <w:t>4</w:t>
      </w:r>
      <w:r w:rsidR="00883763" w:rsidRPr="00AE4E32">
        <w:rPr>
          <w:lang w:val="en-GB"/>
        </w:rPr>
        <w:t>.</w:t>
      </w:r>
      <w:r w:rsidR="00883763" w:rsidRPr="00AE4E32">
        <w:rPr>
          <w:shd w:val="clear" w:color="auto" w:fill="FFFFFF"/>
          <w:lang w:val="en-GB"/>
        </w:rPr>
        <w:t xml:space="preserve"> </w:t>
      </w:r>
      <w:r w:rsidR="00FA516E" w:rsidRPr="00AE4E32">
        <w:rPr>
          <w:shd w:val="clear" w:color="auto" w:fill="FFFFFF"/>
          <w:lang w:val="en-GB"/>
        </w:rPr>
        <w:t>Changes in prices according to c</w:t>
      </w:r>
      <w:r w:rsidR="004657B2" w:rsidRPr="00AE4E32">
        <w:rPr>
          <w:bCs/>
          <w:shd w:val="clear" w:color="auto" w:fill="FFFFFF"/>
          <w:lang w:val="en-GB"/>
        </w:rPr>
        <w:t>onsumer price index (CPI) and harmonised index of co</w:t>
      </w:r>
      <w:r w:rsidR="004657B2" w:rsidRPr="00AE4E32">
        <w:rPr>
          <w:bCs/>
          <w:shd w:val="clear" w:color="auto" w:fill="FFFFFF"/>
          <w:lang w:val="en-GB"/>
        </w:rPr>
        <w:t>n</w:t>
      </w:r>
      <w:r w:rsidR="004657B2" w:rsidRPr="00AE4E32">
        <w:rPr>
          <w:bCs/>
          <w:shd w:val="clear" w:color="auto" w:fill="FFFFFF"/>
          <w:lang w:val="en-GB"/>
        </w:rPr>
        <w:t xml:space="preserve">sumer prices (HICP) </w:t>
      </w:r>
      <w:r w:rsidR="00FA516E" w:rsidRPr="00AE4E32">
        <w:rPr>
          <w:bCs/>
          <w:shd w:val="clear" w:color="auto" w:fill="FFFFFF"/>
          <w:lang w:val="en-GB"/>
        </w:rPr>
        <w:t xml:space="preserve">as related to the </w:t>
      </w:r>
      <w:r w:rsidR="004657B2" w:rsidRPr="00AE4E32">
        <w:rPr>
          <w:bCs/>
          <w:shd w:val="clear" w:color="auto" w:fill="FFFFFF"/>
          <w:lang w:val="en-GB"/>
        </w:rPr>
        <w:t>corresponding period of the previ</w:t>
      </w:r>
      <w:r w:rsidR="00FA516E" w:rsidRPr="00AE4E32">
        <w:rPr>
          <w:bCs/>
          <w:shd w:val="clear" w:color="auto" w:fill="FFFFFF"/>
          <w:lang w:val="en-GB"/>
        </w:rPr>
        <w:t>ous year (in %)</w:t>
      </w:r>
    </w:p>
    <w:p w:rsidR="007B74D8" w:rsidRPr="00AE4E32" w:rsidRDefault="007B74D8">
      <w:pPr>
        <w:spacing w:before="0" w:after="160" w:line="259" w:lineRule="auto"/>
        <w:rPr>
          <w:noProof/>
          <w:lang w:val="en-GB" w:eastAsia="pl-PL"/>
        </w:rPr>
      </w:pPr>
    </w:p>
    <w:p w:rsidR="00B9262E" w:rsidRPr="00AE4E32" w:rsidRDefault="00B9262E" w:rsidP="001A1D6F">
      <w:pPr>
        <w:spacing w:before="0" w:after="160" w:line="259" w:lineRule="auto"/>
        <w:rPr>
          <w:b/>
          <w:noProof/>
          <w:sz w:val="18"/>
          <w:szCs w:val="19"/>
          <w:lang w:val="en-GB" w:eastAsia="pl-PL"/>
        </w:rPr>
      </w:pPr>
      <w:r w:rsidRPr="00AE4E32">
        <w:rPr>
          <w:sz w:val="18"/>
          <w:lang w:val="en-GB"/>
        </w:rPr>
        <w:br w:type="page"/>
      </w:r>
    </w:p>
    <w:p w:rsidR="00516A50" w:rsidRPr="00AE4E32" w:rsidRDefault="00516A50" w:rsidP="00516A50">
      <w:pPr>
        <w:pStyle w:val="LID"/>
        <w:rPr>
          <w:bCs/>
          <w:sz w:val="18"/>
          <w:shd w:val="clear" w:color="auto" w:fill="FFFFFF"/>
          <w:lang w:val="en-GB"/>
        </w:rPr>
      </w:pPr>
      <w:r w:rsidRPr="00AE4E32">
        <w:rPr>
          <w:sz w:val="18"/>
          <w:lang w:val="en-GB"/>
        </w:rPr>
        <w:lastRenderedPageBreak/>
        <w:t>T</w:t>
      </w:r>
      <w:r w:rsidR="00FA516E" w:rsidRPr="00AE4E32">
        <w:rPr>
          <w:sz w:val="18"/>
          <w:lang w:val="en-GB"/>
        </w:rPr>
        <w:t>able</w:t>
      </w:r>
      <w:r w:rsidRPr="00AE4E32">
        <w:rPr>
          <w:sz w:val="18"/>
          <w:lang w:val="en-GB"/>
        </w:rPr>
        <w:t xml:space="preserve"> </w:t>
      </w:r>
      <w:r w:rsidR="001E7DBB" w:rsidRPr="00AE4E32">
        <w:rPr>
          <w:sz w:val="18"/>
          <w:lang w:val="en-GB"/>
        </w:rPr>
        <w:t>3</w:t>
      </w:r>
      <w:r w:rsidRPr="00AE4E32">
        <w:rPr>
          <w:sz w:val="18"/>
          <w:lang w:val="en-GB"/>
        </w:rPr>
        <w:t>.</w:t>
      </w:r>
      <w:r w:rsidRPr="00AE4E32">
        <w:rPr>
          <w:sz w:val="18"/>
          <w:shd w:val="clear" w:color="auto" w:fill="FFFFFF"/>
          <w:lang w:val="en-GB"/>
        </w:rPr>
        <w:t xml:space="preserve"> </w:t>
      </w:r>
      <w:r w:rsidR="00FA516E" w:rsidRPr="00AE4E32">
        <w:rPr>
          <w:bCs/>
          <w:noProof w:val="0"/>
          <w:sz w:val="18"/>
          <w:shd w:val="clear" w:color="auto" w:fill="FFFFFF"/>
          <w:lang w:val="en-GB"/>
        </w:rPr>
        <w:t>Consumer price indices in January and February 2</w:t>
      </w:r>
      <w:r w:rsidR="00AF45E0" w:rsidRPr="00AE4E32">
        <w:rPr>
          <w:sz w:val="18"/>
          <w:lang w:val="en-GB"/>
        </w:rPr>
        <w:t>021</w:t>
      </w:r>
    </w:p>
    <w:p w:rsidR="003E5318" w:rsidRPr="00AE4E32" w:rsidRDefault="003E5318" w:rsidP="00516A50">
      <w:pPr>
        <w:pStyle w:val="LID"/>
        <w:rPr>
          <w:bCs/>
          <w:sz w:val="18"/>
          <w:shd w:val="clear" w:color="auto" w:fill="FFFFFF"/>
          <w:lang w:val="en-GB"/>
        </w:rPr>
      </w:pPr>
    </w:p>
    <w:tbl>
      <w:tblPr>
        <w:tblW w:w="8222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1"/>
        <w:gridCol w:w="710"/>
        <w:gridCol w:w="851"/>
        <w:gridCol w:w="850"/>
        <w:gridCol w:w="851"/>
        <w:gridCol w:w="708"/>
        <w:gridCol w:w="851"/>
      </w:tblGrid>
      <w:tr w:rsidR="00167883" w:rsidRPr="00AE4E32" w:rsidTr="00B93056">
        <w:trPr>
          <w:trHeight w:val="315"/>
          <w:tblHeader/>
        </w:trPr>
        <w:tc>
          <w:tcPr>
            <w:tcW w:w="3401" w:type="dxa"/>
            <w:vMerge w:val="restar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167883" w:rsidRPr="00AE4E32" w:rsidRDefault="00FA516E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167883" w:rsidRPr="00AE4E32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 2021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167883" w:rsidRPr="00AE4E32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II 2021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AE4E32" w:rsidRDefault="00B93056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I-</w:t>
            </w:r>
            <w:r w:rsidR="00AF45E0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II 2021</w:t>
            </w:r>
          </w:p>
        </w:tc>
      </w:tr>
      <w:tr w:rsidR="00167883" w:rsidRPr="00AE4E32" w:rsidTr="00B93056">
        <w:trPr>
          <w:trHeight w:val="465"/>
          <w:tblHeader/>
        </w:trPr>
        <w:tc>
          <w:tcPr>
            <w:tcW w:w="3401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:rsidR="00167883" w:rsidRPr="00AE4E32" w:rsidRDefault="00167883" w:rsidP="00167883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AE4E32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 2020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167883" w:rsidRPr="00AE4E32" w:rsidRDefault="00AF45E0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XII 2020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br/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AE4E32" w:rsidRDefault="00B93056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</w:t>
            </w:r>
            <w:r w:rsidR="00AF45E0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 2020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br/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AE4E32" w:rsidRDefault="00B93056" w:rsidP="00167883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X</w:t>
            </w:r>
            <w:r w:rsidR="00AF45E0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II 2020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br/>
              <w:t>=100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:rsidR="00167883" w:rsidRPr="00AE4E32" w:rsidRDefault="00B93056" w:rsidP="00680135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</w:t>
            </w:r>
            <w:r w:rsidR="002F7E74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 xml:space="preserve"> 202</w:t>
            </w:r>
            <w:r w:rsidR="00680135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1</w:t>
            </w: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br/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=100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:rsidR="00B93056" w:rsidRPr="00AE4E32" w:rsidRDefault="00B93056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I-</w:t>
            </w:r>
            <w:r w:rsidR="00167883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II</w:t>
            </w: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 xml:space="preserve"> 2</w:t>
            </w:r>
            <w:r w:rsidR="00AF45E0"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020</w:t>
            </w: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</w:t>
            </w:r>
          </w:p>
          <w:p w:rsidR="00167883" w:rsidRPr="00AE4E32" w:rsidRDefault="00167883" w:rsidP="00B93056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Calibri"/>
                <w:sz w:val="16"/>
                <w:szCs w:val="16"/>
                <w:lang w:val="en-GB" w:eastAsia="pl-PL"/>
              </w:rPr>
              <w:t>=100</w:t>
            </w:r>
          </w:p>
        </w:tc>
      </w:tr>
      <w:tr w:rsidR="00D26A2F" w:rsidRPr="00AE4E32" w:rsidTr="00297C7B">
        <w:trPr>
          <w:trHeight w:val="314"/>
        </w:trPr>
        <w:tc>
          <w:tcPr>
            <w:tcW w:w="340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297C7B">
            <w:pPr>
              <w:spacing w:before="100" w:after="10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71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102,6</w:t>
            </w:r>
          </w:p>
        </w:tc>
        <w:tc>
          <w:tcPr>
            <w:tcW w:w="851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101,3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102,4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101,8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297C7B">
            <w:pPr>
              <w:spacing w:before="0" w:after="0" w:line="240" w:lineRule="auto"/>
              <w:jc w:val="right"/>
              <w:rPr>
                <w:lang w:val="en-GB"/>
              </w:rPr>
            </w:pPr>
            <w:r w:rsidRPr="00AE4E32">
              <w:rPr>
                <w:rFonts w:cs="Calibri"/>
                <w:b/>
                <w:bCs/>
                <w:color w:val="000000"/>
                <w:sz w:val="16"/>
                <w:szCs w:val="16"/>
                <w:lang w:val="en-GB"/>
              </w:rPr>
              <w:t>102,5</w:t>
            </w:r>
          </w:p>
        </w:tc>
      </w:tr>
      <w:tr w:rsidR="00D26A2F" w:rsidRPr="00AE4E32" w:rsidTr="00297C7B">
        <w:trPr>
          <w:trHeight w:val="24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40" w:after="4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Goods</w:t>
            </w:r>
          </w:p>
        </w:tc>
        <w:tc>
          <w:tcPr>
            <w:tcW w:w="71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</w:tr>
      <w:tr w:rsidR="00D26A2F" w:rsidRPr="00AE4E32" w:rsidTr="00297C7B">
        <w:trPr>
          <w:trHeight w:val="18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40" w:after="4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Services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107,2</w:t>
            </w:r>
          </w:p>
        </w:tc>
      </w:tr>
      <w:tr w:rsidR="00D26A2F" w:rsidRPr="00AE4E32" w:rsidTr="00297C7B">
        <w:trPr>
          <w:trHeight w:val="39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297C7B">
            <w:pPr>
              <w:spacing w:before="40" w:after="0" w:line="240" w:lineRule="auto"/>
              <w:rPr>
                <w:rFonts w:eastAsia="Times New Roman" w:cs="Arial"/>
                <w:caps/>
                <w:color w:val="000000"/>
                <w:spacing w:val="-2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aps/>
                <w:color w:val="000000"/>
                <w:spacing w:val="-2"/>
                <w:sz w:val="16"/>
                <w:szCs w:val="16"/>
                <w:lang w:val="en-GB" w:eastAsia="pl-PL"/>
              </w:rPr>
              <w:t xml:space="preserve">FOOD, NON-ALCOHOLIC BEVERAGES, </w:t>
            </w:r>
          </w:p>
          <w:p w:rsidR="00D26A2F" w:rsidRPr="00AE4E32" w:rsidRDefault="00D26A2F" w:rsidP="00297C7B">
            <w:pPr>
              <w:spacing w:before="0" w:after="40" w:line="240" w:lineRule="auto"/>
              <w:rPr>
                <w:rFonts w:eastAsia="Times New Roman" w:cs="Calibri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aps/>
                <w:color w:val="000000"/>
                <w:spacing w:val="-2"/>
                <w:sz w:val="16"/>
                <w:szCs w:val="16"/>
                <w:lang w:val="en-GB" w:eastAsia="pl-PL"/>
              </w:rPr>
              <w:t>ALCOHOLIC BEVERAGES AND TOBACCO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</w:tr>
      <w:tr w:rsidR="00D26A2F" w:rsidRPr="00AE4E32" w:rsidTr="001A1D6F">
        <w:trPr>
          <w:trHeight w:val="3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rPr>
                <w:rFonts w:cs="Arial"/>
                <w:color w:val="000000"/>
                <w:spacing w:val="-6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pacing w:val="-6"/>
                <w:sz w:val="16"/>
                <w:szCs w:val="16"/>
                <w:lang w:val="en-GB"/>
              </w:rPr>
              <w:t>FOOD AND NON-ALCOHOLIC BEVERAGES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</w:tr>
      <w:tr w:rsidR="00D26A2F" w:rsidRPr="00AE4E32" w:rsidTr="00297C7B">
        <w:trPr>
          <w:trHeight w:val="18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297C7B">
            <w:pPr>
              <w:spacing w:before="40" w:after="4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Food</w:t>
            </w:r>
          </w:p>
        </w:tc>
        <w:tc>
          <w:tcPr>
            <w:tcW w:w="71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</w:tr>
      <w:tr w:rsidR="00D26A2F" w:rsidRPr="00AE4E32" w:rsidTr="00297C7B">
        <w:trPr>
          <w:trHeight w:val="24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Rice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107,7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Flour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104,4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Bread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106,3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Pasta products and couscous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Meat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97,5</w:t>
            </w:r>
          </w:p>
        </w:tc>
      </w:tr>
      <w:tr w:rsidR="00D26A2F" w:rsidRPr="00AE4E32" w:rsidTr="00525165">
        <w:trPr>
          <w:trHeight w:val="201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340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Beef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Veal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Pork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87,4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Poultry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108,2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98,0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Dried, salted or smoked meat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Fish and seafood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Milk, cheese and eggs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0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</w:tr>
      <w:tr w:rsidR="00D26A2F" w:rsidRPr="00AE4E32" w:rsidTr="00297C7B">
        <w:trPr>
          <w:trHeight w:val="27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340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Milk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104,1</w:t>
            </w:r>
          </w:p>
        </w:tc>
      </w:tr>
      <w:tr w:rsidR="00D26A2F" w:rsidRPr="00AE4E32" w:rsidTr="00297C7B">
        <w:trPr>
          <w:trHeight w:val="775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Cheese and curd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Eggs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Oils and fats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98,2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Vegetable fats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Animal fats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96,7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454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of which butter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96,3</w:t>
            </w:r>
          </w:p>
        </w:tc>
      </w:tr>
      <w:tr w:rsidR="00D26A2F" w:rsidRPr="00AE4E32" w:rsidTr="00297C7B">
        <w:trPr>
          <w:trHeight w:val="29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Fruit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103,0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Vegetables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106,5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97,4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Sugar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</w:tr>
      <w:tr w:rsidR="00D26A2F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Non-alcoholic beverages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104,9</w:t>
            </w:r>
          </w:p>
        </w:tc>
      </w:tr>
      <w:tr w:rsidR="00D26A2F" w:rsidRPr="00AE4E32" w:rsidTr="00297C7B">
        <w:trPr>
          <w:trHeight w:val="238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D26A2F" w:rsidRPr="00AE4E32" w:rsidRDefault="00D26A2F" w:rsidP="00297C7B">
            <w:pPr>
              <w:spacing w:before="40" w:after="40" w:line="240" w:lineRule="auto"/>
              <w:ind w:left="227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D26A2F" w:rsidRPr="00AE4E32" w:rsidTr="00525165">
        <w:trPr>
          <w:trHeight w:val="22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Coffee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</w:tr>
      <w:tr w:rsidR="00D26A2F" w:rsidRPr="00AE4E32" w:rsidTr="00525165">
        <w:trPr>
          <w:trHeight w:val="17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Tea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99,5</w:t>
            </w:r>
          </w:p>
        </w:tc>
      </w:tr>
      <w:tr w:rsidR="00D26A2F" w:rsidRPr="00AE4E32" w:rsidTr="00525165">
        <w:trPr>
          <w:trHeight w:val="165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Cocoa and powdered chocolate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103,5</w:t>
            </w:r>
          </w:p>
        </w:tc>
      </w:tr>
      <w:tr w:rsidR="00D26A2F" w:rsidRPr="00AE4E32" w:rsidTr="00525165">
        <w:trPr>
          <w:trHeight w:val="1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Mineral or spring waters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106,3</w:t>
            </w:r>
          </w:p>
        </w:tc>
      </w:tr>
      <w:tr w:rsidR="00D26A2F" w:rsidRPr="00AE4E32" w:rsidTr="00525165">
        <w:trPr>
          <w:trHeight w:val="173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26A2F" w:rsidRPr="00AE4E32" w:rsidRDefault="00D26A2F" w:rsidP="00525165">
            <w:pPr>
              <w:spacing w:before="20" w:after="20"/>
              <w:ind w:left="227"/>
              <w:rPr>
                <w:rFonts w:eastAsia="Times New Roman" w:cs="Calibri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Fruit and vegetable juices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26A2F" w:rsidRPr="00AE4E32" w:rsidRDefault="00D26A2F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lastRenderedPageBreak/>
              <w:t>ALCOHOLIC BEVERAGES AND TOBACCO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Alcoholic beverages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Tobacco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103,1</w:t>
            </w:r>
          </w:p>
        </w:tc>
      </w:tr>
      <w:tr w:rsidR="007D51E3" w:rsidRPr="00AE4E32" w:rsidTr="001A1D6F">
        <w:trPr>
          <w:trHeight w:val="30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96,7</w:t>
            </w:r>
          </w:p>
        </w:tc>
      </w:tr>
      <w:tr w:rsidR="007D51E3" w:rsidRPr="00AE4E32" w:rsidTr="001A1D6F">
        <w:trPr>
          <w:trHeight w:val="24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Garments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96,4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Footwear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96,8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DWELLING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105,7</w:t>
            </w:r>
          </w:p>
        </w:tc>
      </w:tr>
      <w:tr w:rsidR="007D51E3" w:rsidRPr="00AE4E32" w:rsidTr="001A1D6F">
        <w:trPr>
          <w:trHeight w:val="46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HOUSING, WATER, ELECTRICITY, GAS 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br/>
              <w:t>AND OTHER FUELS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106,8</w:t>
            </w:r>
          </w:p>
        </w:tc>
      </w:tr>
      <w:tr w:rsidR="007D51E3" w:rsidRPr="00AE4E32" w:rsidTr="001A1D6F">
        <w:trPr>
          <w:trHeight w:val="18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Actual rentals for housing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102,9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Water supply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104,1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Refuse collection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141,9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136,9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139,3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Sewage collection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104,2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Electricity, gas and other fuels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Electricity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112,2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20" w:after="2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Gas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95,4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Liquid and solid fuels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40" w:after="4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Heat energy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</w:tr>
      <w:tr w:rsidR="007D51E3" w:rsidRPr="00AE4E32" w:rsidTr="001A1D6F">
        <w:trPr>
          <w:trHeight w:val="436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FURNISHINGS, HOUSEHOLD EQUIPMENT AND ROUTINE HOUSEHOLD MAINTENANCE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</w:tr>
      <w:tr w:rsidR="007D51E3" w:rsidRPr="00AE4E32" w:rsidTr="001A1D6F">
        <w:trPr>
          <w:trHeight w:val="258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49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60" w:after="6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Furniture and furnishings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102,9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60" w:after="6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Household appliances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60" w:after="60"/>
              <w:ind w:left="113"/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Cleaning and maintenance products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</w:tr>
      <w:tr w:rsidR="007D51E3" w:rsidRPr="00AE4E32" w:rsidTr="001A1D6F">
        <w:trPr>
          <w:trHeight w:val="45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2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Domestic services and household 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br/>
              <w:t>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107,0</w:t>
            </w:r>
          </w:p>
        </w:tc>
      </w:tr>
      <w:tr w:rsidR="007D51E3" w:rsidRPr="00AE4E32" w:rsidTr="001A1D6F">
        <w:trPr>
          <w:trHeight w:val="282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HEALTH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104,5</w:t>
            </w:r>
          </w:p>
        </w:tc>
      </w:tr>
      <w:tr w:rsidR="007D51E3" w:rsidRPr="00AE4E32" w:rsidTr="001A1D6F">
        <w:trPr>
          <w:trHeight w:val="27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Pharmaceutical products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102,5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Therapeutic appliances and equipment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Medical 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108,0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Dental 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112,7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112,7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Hospital services</w:t>
            </w:r>
            <w:bookmarkStart w:id="0" w:name="_GoBack"/>
            <w:bookmarkEnd w:id="0"/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105,8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97,2</w:t>
            </w:r>
          </w:p>
        </w:tc>
      </w:tr>
      <w:tr w:rsidR="007D51E3" w:rsidRPr="00AE4E32" w:rsidTr="001A1D6F">
        <w:trPr>
          <w:trHeight w:val="29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Purchase of vehicles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of which motor cars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Fuels for personal transport equipment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94,4</w:t>
            </w:r>
          </w:p>
        </w:tc>
      </w:tr>
      <w:tr w:rsidR="007D51E3" w:rsidRPr="00AE4E32" w:rsidTr="001A1D6F">
        <w:trPr>
          <w:trHeight w:val="299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 w:line="240" w:lineRule="auto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Diesel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92,9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91,4</w:t>
            </w:r>
          </w:p>
        </w:tc>
      </w:tr>
      <w:tr w:rsidR="007D51E3" w:rsidRPr="00AE4E32" w:rsidTr="001A1D6F">
        <w:trPr>
          <w:trHeight w:val="24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 w:line="240" w:lineRule="auto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Petrol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104,8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95,8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Liquid petroleum gas and other fuels for personal transport equipment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107,6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96,6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Transport 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103,0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lastRenderedPageBreak/>
              <w:t>COMMUNICATION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105,4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Telephone and telefax equipment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90,2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89,5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Telephone and telefax 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106,3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RECREATION AND CULTURE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104,1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103,9</w:t>
            </w:r>
          </w:p>
        </w:tc>
      </w:tr>
      <w:tr w:rsidR="007D51E3" w:rsidRPr="00AE4E32" w:rsidTr="006E1C7D">
        <w:trPr>
          <w:trHeight w:val="196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20" w:after="2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Audio-visual, photographic and info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mation processing equipment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102,1</w:t>
            </w:r>
          </w:p>
        </w:tc>
      </w:tr>
      <w:tr w:rsidR="00D37EAD" w:rsidRPr="00AE4E32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D37EAD" w:rsidRPr="00AE4E32" w:rsidRDefault="007D51E3" w:rsidP="00952753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Recreational and cultural services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108,9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102,0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D37EAD" w:rsidRPr="00AE4E32" w:rsidRDefault="00D37EAD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108,6</w:t>
            </w:r>
          </w:p>
        </w:tc>
      </w:tr>
      <w:tr w:rsidR="007D51E3" w:rsidRPr="00AE4E32" w:rsidTr="006E1C7D">
        <w:trPr>
          <w:trHeight w:val="170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20" w:after="2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Recreational and sporting </w:t>
            </w:r>
            <w:proofErr w:type="spellStart"/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services</w:t>
            </w:r>
            <w:r w:rsidRPr="00AE4E3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pl-PL"/>
              </w:rPr>
              <w:t>u</w:t>
            </w:r>
            <w:proofErr w:type="spellEnd"/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105,6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Cultural services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109,9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34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of which television and radio licence fees, subscriptions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112,6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Books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99,3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103,7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Newspapers and periodicals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40" w:after="4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Stationery and drawing materials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103,4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Package </w:t>
            </w:r>
            <w:proofErr w:type="spellStart"/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holidays</w:t>
            </w:r>
            <w:r w:rsidRPr="00AE4E3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pl-PL"/>
              </w:rPr>
              <w:t>u</w:t>
            </w:r>
            <w:proofErr w:type="spellEnd"/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98,9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101,5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b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Package domestic </w:t>
            </w:r>
            <w:proofErr w:type="spellStart"/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holidays</w:t>
            </w:r>
            <w:r w:rsidRPr="00AE4E3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pl-PL"/>
              </w:rPr>
              <w:t>u</w:t>
            </w:r>
            <w:proofErr w:type="spellEnd"/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106,2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103,6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106,0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Package international </w:t>
            </w:r>
            <w:proofErr w:type="spellStart"/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holidays</w:t>
            </w:r>
            <w:r w:rsidRPr="00AE4E32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GB" w:eastAsia="pl-PL"/>
              </w:rPr>
              <w:t>u</w:t>
            </w:r>
            <w:proofErr w:type="spellEnd"/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86,6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92,7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94,8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109,4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90,7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EDUCATION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100,3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105,5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RESTAURANTS AND HOTELS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104,9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101,0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105,1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MISCELLANEOUS GOODS AND SERVICES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</w:tr>
      <w:tr w:rsidR="007D51E3" w:rsidRPr="00AE4E32" w:rsidTr="006E1C7D">
        <w:trPr>
          <w:trHeight w:val="23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20" w:after="20"/>
              <w:ind w:left="113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Personal care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99,7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102,4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102,7</w:t>
            </w:r>
          </w:p>
        </w:tc>
      </w:tr>
      <w:tr w:rsidR="007D51E3" w:rsidRPr="00AE4E32" w:rsidTr="006E1C7D">
        <w:trPr>
          <w:trHeight w:val="20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20" w:after="20"/>
              <w:ind w:left="227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</w:p>
        </w:tc>
      </w:tr>
      <w:tr w:rsidR="007D51E3" w:rsidRPr="00AE4E32" w:rsidTr="006E1C7D">
        <w:trPr>
          <w:trHeight w:val="574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Hairdressing salons and personal groo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m</w:t>
            </w: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ing establishments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111,9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101,5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111,2</w:t>
            </w:r>
          </w:p>
        </w:tc>
      </w:tr>
      <w:tr w:rsidR="007D51E3" w:rsidRPr="00AE4E32" w:rsidTr="006E1C7D">
        <w:trPr>
          <w:trHeight w:val="540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227"/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Articles for personal hygiene and wel</w:t>
            </w: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l</w:t>
            </w: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ness, esoteric products and beauty pro</w:t>
            </w: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d</w:t>
            </w:r>
            <w:r w:rsidRPr="00AE4E32">
              <w:rPr>
                <w:rFonts w:cs="Arial"/>
                <w:color w:val="000000"/>
                <w:spacing w:val="-2"/>
                <w:sz w:val="16"/>
                <w:szCs w:val="16"/>
                <w:lang w:val="en-GB"/>
              </w:rPr>
              <w:t>ucts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101,6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99,5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101,1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99,2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99,8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101,3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Social protection</w:t>
            </w:r>
          </w:p>
        </w:tc>
        <w:tc>
          <w:tcPr>
            <w:tcW w:w="71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111,3</w:t>
            </w:r>
          </w:p>
        </w:tc>
        <w:tc>
          <w:tcPr>
            <w:tcW w:w="851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101,8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102,3</w:t>
            </w:r>
          </w:p>
        </w:tc>
        <w:tc>
          <w:tcPr>
            <w:tcW w:w="70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110,9</w:t>
            </w:r>
          </w:p>
        </w:tc>
      </w:tr>
      <w:tr w:rsidR="007D51E3" w:rsidRPr="00AE4E32" w:rsidTr="001A1D6F">
        <w:trPr>
          <w:trHeight w:val="317"/>
        </w:trPr>
        <w:tc>
          <w:tcPr>
            <w:tcW w:w="340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Insurance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100,2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100,6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103,7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103,5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99,1</w:t>
            </w:r>
          </w:p>
        </w:tc>
      </w:tr>
      <w:tr w:rsidR="007D51E3" w:rsidRPr="00AE4E32" w:rsidTr="001A1D6F">
        <w:trPr>
          <w:trHeight w:val="298"/>
        </w:trPr>
        <w:tc>
          <w:tcPr>
            <w:tcW w:w="340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:rsidR="007D51E3" w:rsidRPr="00AE4E32" w:rsidRDefault="007D51E3" w:rsidP="006E1C7D">
            <w:pPr>
              <w:spacing w:before="0" w:after="0"/>
              <w:ind w:left="113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E4E32">
              <w:rPr>
                <w:rFonts w:cs="Arial"/>
                <w:color w:val="000000"/>
                <w:sz w:val="16"/>
                <w:szCs w:val="16"/>
                <w:lang w:val="en-GB"/>
              </w:rPr>
              <w:t>Charges by banks and post offices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147,9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100,0</w:t>
            </w:r>
          </w:p>
        </w:tc>
        <w:tc>
          <w:tcPr>
            <w:tcW w:w="850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150,0</w:t>
            </w:r>
          </w:p>
        </w:tc>
        <w:tc>
          <w:tcPr>
            <w:tcW w:w="851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70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101,4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:rsidR="007D51E3" w:rsidRPr="00AE4E32" w:rsidRDefault="007D51E3" w:rsidP="001A1D6F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</w:pPr>
            <w:r w:rsidRPr="00AE4E32">
              <w:rPr>
                <w:rFonts w:eastAsia="Times New Roman" w:cs="Arial"/>
                <w:color w:val="000000"/>
                <w:sz w:val="16"/>
                <w:szCs w:val="16"/>
                <w:lang w:val="en-GB" w:eastAsia="pl-PL"/>
              </w:rPr>
              <w:t>149,0</w:t>
            </w:r>
          </w:p>
        </w:tc>
      </w:tr>
    </w:tbl>
    <w:p w:rsidR="00BA415B" w:rsidRPr="00AE4E32" w:rsidRDefault="00BA415B" w:rsidP="00CB7787">
      <w:pPr>
        <w:pStyle w:val="NormalnyWeb"/>
        <w:spacing w:before="360" w:beforeAutospacing="0" w:after="120" w:afterAutospacing="0"/>
        <w:rPr>
          <w:rFonts w:ascii="Fira Sans" w:hAnsi="Fira Sans"/>
          <w:color w:val="222222"/>
          <w:sz w:val="16"/>
          <w:szCs w:val="16"/>
          <w:lang w:val="en-GB"/>
        </w:rPr>
      </w:pPr>
      <w:r w:rsidRPr="00AE4E32">
        <w:rPr>
          <w:rFonts w:ascii="Fira Sans" w:hAnsi="Fira Sans"/>
          <w:color w:val="222222"/>
          <w:sz w:val="16"/>
          <w:szCs w:val="16"/>
          <w:lang w:val="en-GB"/>
        </w:rPr>
        <w:t xml:space="preserve">u  </w:t>
      </w:r>
      <w:r w:rsidR="007D51E3" w:rsidRPr="00AE4E32">
        <w:rPr>
          <w:rFonts w:ascii="Fira Sans" w:hAnsi="Fira Sans"/>
          <w:color w:val="222222"/>
          <w:sz w:val="16"/>
          <w:szCs w:val="16"/>
          <w:lang w:val="en-GB"/>
        </w:rPr>
        <w:t>The share of estimated data for an aggregate more than 50%</w:t>
      </w:r>
    </w:p>
    <w:p w:rsidR="006E1C7D" w:rsidRPr="00AE4E32" w:rsidRDefault="006E1C7D" w:rsidP="006E1C7D">
      <w:pPr>
        <w:spacing w:before="360" w:after="160" w:line="259" w:lineRule="auto"/>
        <w:rPr>
          <w:color w:val="222222"/>
          <w:sz w:val="16"/>
          <w:szCs w:val="16"/>
          <w:lang w:val="en-GB"/>
        </w:rPr>
      </w:pPr>
      <w:r w:rsidRPr="00AE4E32">
        <w:rPr>
          <w:sz w:val="16"/>
          <w:szCs w:val="16"/>
          <w:lang w:val="en-GB"/>
        </w:rPr>
        <w:t xml:space="preserve">Documents </w:t>
      </w:r>
      <w:r w:rsidRPr="00AE4E32">
        <w:rPr>
          <w:color w:val="222222"/>
          <w:sz w:val="16"/>
          <w:szCs w:val="16"/>
          <w:lang w:val="en-GB"/>
        </w:rPr>
        <w:t>‘</w:t>
      </w:r>
      <w:r w:rsidRPr="00AE4E32">
        <w:rPr>
          <w:i/>
          <w:color w:val="222222"/>
          <w:sz w:val="16"/>
          <w:szCs w:val="16"/>
          <w:lang w:val="en-GB"/>
        </w:rPr>
        <w:t>Guidance on the compilation of the HICP in the context of the COVID-19 crisis</w:t>
      </w:r>
      <w:r w:rsidRPr="00AE4E32">
        <w:rPr>
          <w:color w:val="222222"/>
          <w:sz w:val="16"/>
          <w:szCs w:val="16"/>
          <w:lang w:val="en-GB"/>
        </w:rPr>
        <w:t>’ and ‘</w:t>
      </w:r>
      <w:r w:rsidRPr="00AE4E32">
        <w:rPr>
          <w:i/>
          <w:color w:val="222222"/>
          <w:sz w:val="16"/>
          <w:szCs w:val="16"/>
          <w:lang w:val="en-GB"/>
        </w:rPr>
        <w:t>Guidance note on HICP issues emerging from the lifting of lockdown measures</w:t>
      </w:r>
      <w:r w:rsidRPr="00AE4E32">
        <w:rPr>
          <w:color w:val="222222"/>
          <w:sz w:val="16"/>
          <w:szCs w:val="16"/>
          <w:lang w:val="en-GB"/>
        </w:rPr>
        <w:t>’ were published by Eurostat under the follo</w:t>
      </w:r>
      <w:r w:rsidRPr="00AE4E32">
        <w:rPr>
          <w:color w:val="222222"/>
          <w:sz w:val="16"/>
          <w:szCs w:val="16"/>
          <w:lang w:val="en-GB"/>
        </w:rPr>
        <w:t>w</w:t>
      </w:r>
      <w:r w:rsidRPr="00AE4E32">
        <w:rPr>
          <w:color w:val="222222"/>
          <w:sz w:val="16"/>
          <w:szCs w:val="16"/>
          <w:lang w:val="en-GB"/>
        </w:rPr>
        <w:t xml:space="preserve">ing links </w:t>
      </w:r>
      <w:hyperlink r:id="rId17" w:history="1">
        <w:r w:rsidRPr="00AE4E32">
          <w:rPr>
            <w:rStyle w:val="Hipercze"/>
            <w:sz w:val="16"/>
            <w:szCs w:val="16"/>
            <w:lang w:val="en-GB"/>
          </w:rPr>
          <w:t>https://ec.europa.eu/eurostat/documents/10186/10693286/HICP_guidance.pdf</w:t>
        </w:r>
      </w:hyperlink>
      <w:r w:rsidRPr="00AE4E32">
        <w:rPr>
          <w:color w:val="222222"/>
          <w:sz w:val="16"/>
          <w:szCs w:val="16"/>
          <w:lang w:val="en-GB"/>
        </w:rPr>
        <w:t xml:space="preserve">, </w:t>
      </w:r>
      <w:hyperlink r:id="rId18" w:history="1">
        <w:r w:rsidRPr="00AE4E32">
          <w:rPr>
            <w:rStyle w:val="Hipercze"/>
            <w:sz w:val="16"/>
            <w:szCs w:val="16"/>
            <w:lang w:val="en-GB"/>
          </w:rPr>
          <w:t>https://ec.europa.eu/eurostat/documents/10186/10693286/HICP_lifting_lockdown_measures_guidance.pdf</w:t>
        </w:r>
      </w:hyperlink>
    </w:p>
    <w:p w:rsidR="006E1C7D" w:rsidRPr="00AE4E32" w:rsidRDefault="006E1C7D" w:rsidP="006E1C7D">
      <w:pPr>
        <w:spacing w:before="0" w:after="240" w:line="259" w:lineRule="auto"/>
        <w:rPr>
          <w:color w:val="222222"/>
          <w:sz w:val="16"/>
          <w:szCs w:val="16"/>
          <w:lang w:val="en-GB"/>
        </w:rPr>
      </w:pPr>
      <w:r w:rsidRPr="00AE4E32">
        <w:rPr>
          <w:color w:val="222222"/>
          <w:sz w:val="16"/>
          <w:szCs w:val="16"/>
          <w:lang w:val="en-GB"/>
        </w:rPr>
        <w:t xml:space="preserve">The guidelines recommended by Eurostat concerning consumer price indices are also presented in Polish under the link </w:t>
      </w:r>
      <w:hyperlink r:id="rId19" w:history="1">
        <w:r w:rsidRPr="00AE4E32">
          <w:rPr>
            <w:rStyle w:val="Hipercze"/>
            <w:sz w:val="16"/>
            <w:szCs w:val="16"/>
            <w:lang w:val="en-GB"/>
          </w:rPr>
          <w:t>https://stat.gov.pl/obszary-tematyczne/ceny-handel/wskazniki-cen/wytyczne-dotyczace-opracowania-hicp-w-kontekscie-kryzysu-zwiazanego-z-covid-19,19,1.html</w:t>
        </w:r>
      </w:hyperlink>
    </w:p>
    <w:p w:rsidR="00685123" w:rsidRPr="00AE4E32" w:rsidRDefault="006E1C7D" w:rsidP="006E1C7D">
      <w:pPr>
        <w:spacing w:before="0" w:after="160" w:line="259" w:lineRule="auto"/>
        <w:rPr>
          <w:b/>
          <w:noProof/>
          <w:szCs w:val="19"/>
          <w:lang w:val="en-GB" w:eastAsia="pl-PL"/>
        </w:rPr>
        <w:sectPr w:rsidR="00685123" w:rsidRPr="00AE4E32" w:rsidSect="00EF7B36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AE4E32">
        <w:rPr>
          <w:color w:val="222222"/>
          <w:lang w:val="en-GB"/>
        </w:rPr>
        <w:t>In case of quoting Statistics Poland data, please provide information: “Source of data: Stati</w:t>
      </w:r>
      <w:r w:rsidRPr="00AE4E32">
        <w:rPr>
          <w:color w:val="222222"/>
          <w:lang w:val="en-GB"/>
        </w:rPr>
        <w:t>s</w:t>
      </w:r>
      <w:r w:rsidRPr="00AE4E32">
        <w:rPr>
          <w:color w:val="222222"/>
          <w:lang w:val="en-GB"/>
        </w:rPr>
        <w:t>tics Poland”, and in case of publishing calculations made on data published by Statistics Poland, please include the following disclaimer: “Own study based on figures from Statistics Poland”.</w:t>
      </w:r>
    </w:p>
    <w:p w:rsidR="000470AA" w:rsidRPr="00AE4E32" w:rsidRDefault="00044FA8" w:rsidP="000470AA">
      <w:pPr>
        <w:rPr>
          <w:sz w:val="18"/>
          <w:lang w:val="en-GB"/>
        </w:rPr>
      </w:pPr>
      <w:r w:rsidRPr="00AE4E32">
        <w:rPr>
          <w:noProof/>
          <w:sz w:val="1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86BEF4" wp14:editId="0658482C">
                <wp:simplePos x="0" y="0"/>
                <wp:positionH relativeFrom="column">
                  <wp:posOffset>-1371600</wp:posOffset>
                </wp:positionH>
                <wp:positionV relativeFrom="paragraph">
                  <wp:posOffset>-1183005</wp:posOffset>
                </wp:positionV>
                <wp:extent cx="914400" cy="914400"/>
                <wp:effectExtent l="9525" t="5080" r="9525" b="1397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C7D" w:rsidRDefault="006E1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-108pt;margin-top:-93.15pt;width:1in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">
                <v:textbox>
                  <w:txbxContent>
                    <w:p w:rsidR="006E1C7D" w:rsidRDefault="006E1C7D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1A7C50" w:rsidRPr="00AE4E32" w:rsidTr="00167883">
        <w:trPr>
          <w:trHeight w:val="1912"/>
        </w:trPr>
        <w:tc>
          <w:tcPr>
            <w:tcW w:w="4358" w:type="dxa"/>
          </w:tcPr>
          <w:p w:rsidR="001A7C50" w:rsidRPr="00AE4E32" w:rsidRDefault="001A7C50" w:rsidP="001A7C5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20"/>
                <w:lang w:val="en-GB"/>
              </w:rPr>
              <w:t>Prepared by:</w:t>
            </w:r>
          </w:p>
          <w:p w:rsidR="001A7C50" w:rsidRPr="00AE4E32" w:rsidRDefault="001A7C50" w:rsidP="001A7C5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:rsidR="001A7C50" w:rsidRPr="00AE4E32" w:rsidRDefault="001A7C50" w:rsidP="001A7C5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20"/>
                <w:lang w:val="en-GB"/>
              </w:rPr>
              <w:t>Director Ewa Adach-Stankiewicz</w:t>
            </w:r>
          </w:p>
          <w:p w:rsidR="001A7C50" w:rsidRPr="00AE4E32" w:rsidRDefault="001A7C50" w:rsidP="001A7C5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  <w:r w:rsidRPr="00AE4E3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Office: tel. (+48 22) 608 31 24</w:t>
            </w:r>
          </w:p>
        </w:tc>
        <w:tc>
          <w:tcPr>
            <w:tcW w:w="3925" w:type="dxa"/>
          </w:tcPr>
          <w:p w:rsidR="001A7C50" w:rsidRPr="00AE4E32" w:rsidRDefault="001A7C50" w:rsidP="001A7C5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  <w:r w:rsidRPr="00AE4E32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Pr="00AE4E3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1A7C50" w:rsidRPr="00AE4E32" w:rsidRDefault="001A7C50" w:rsidP="001A7C5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AE4E32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1A7C50" w:rsidRPr="00AE4E32" w:rsidRDefault="001A7C50" w:rsidP="001A7C50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AE4E32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Karolina</w:t>
            </w:r>
            <w:r w:rsidRPr="00AE4E32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 Banaszek</w:t>
            </w:r>
          </w:p>
          <w:p w:rsidR="001A7C50" w:rsidRPr="00AE4E32" w:rsidRDefault="001A7C50" w:rsidP="001A7C5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AE4E3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695 255 011</w:t>
            </w:r>
          </w:p>
          <w:p w:rsidR="001A7C50" w:rsidRPr="00AE4E32" w:rsidRDefault="001A7C50" w:rsidP="001A7C5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:rsidR="000470AA" w:rsidRPr="00AE4E32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1A7C50" w:rsidRPr="00AE4E32" w:rsidTr="00B44A4C">
        <w:trPr>
          <w:trHeight w:val="610"/>
        </w:trPr>
        <w:tc>
          <w:tcPr>
            <w:tcW w:w="2721" w:type="pct"/>
            <w:vMerge w:val="restart"/>
          </w:tcPr>
          <w:p w:rsidR="001A7C50" w:rsidRPr="00AE4E32" w:rsidRDefault="001A7C50" w:rsidP="001A7C50">
            <w:pPr>
              <w:spacing w:before="240"/>
              <w:rPr>
                <w:b/>
                <w:sz w:val="20"/>
                <w:lang w:val="en-GB"/>
              </w:rPr>
            </w:pPr>
            <w:r w:rsidRPr="00AE4E32">
              <w:rPr>
                <w:b/>
                <w:sz w:val="20"/>
                <w:lang w:val="en-GB"/>
              </w:rPr>
              <w:t>Press Office</w:t>
            </w:r>
          </w:p>
          <w:p w:rsidR="001A7C50" w:rsidRPr="00AE4E32" w:rsidRDefault="001A7C50" w:rsidP="004F2589">
            <w:pPr>
              <w:rPr>
                <w:sz w:val="20"/>
                <w:lang w:val="en-GB"/>
              </w:rPr>
            </w:pPr>
            <w:r w:rsidRPr="00AE4E32">
              <w:rPr>
                <w:rFonts w:cs="Arial"/>
                <w:color w:val="000000" w:themeColor="text1"/>
                <w:sz w:val="20"/>
                <w:szCs w:val="24"/>
                <w:lang w:val="en-GB"/>
              </w:rPr>
              <w:t xml:space="preserve">Office: tel. (+48 22) </w:t>
            </w:r>
            <w:r w:rsidRPr="00AE4E32">
              <w:rPr>
                <w:sz w:val="20"/>
                <w:lang w:val="en-GB"/>
              </w:rPr>
              <w:t xml:space="preserve">608 34 91, 608 38 04 </w:t>
            </w:r>
          </w:p>
          <w:p w:rsidR="001A7C50" w:rsidRPr="00AE4E32" w:rsidRDefault="001A7C50" w:rsidP="004F2589">
            <w:pPr>
              <w:rPr>
                <w:sz w:val="18"/>
                <w:lang w:val="en-GB"/>
              </w:rPr>
            </w:pPr>
            <w:r w:rsidRPr="00AE4E32">
              <w:rPr>
                <w:b/>
                <w:sz w:val="20"/>
                <w:lang w:val="en-GB"/>
              </w:rPr>
              <w:t>e-mail:</w:t>
            </w:r>
            <w:r w:rsidRPr="00AE4E32">
              <w:rPr>
                <w:sz w:val="20"/>
                <w:lang w:val="en-GB"/>
              </w:rPr>
              <w:t xml:space="preserve"> </w:t>
            </w:r>
            <w:hyperlink r:id="rId24" w:history="1">
              <w:r w:rsidRPr="00AE4E32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1A7C50" w:rsidRPr="00AE4E32" w:rsidRDefault="001A7C50" w:rsidP="004F2589">
            <w:pPr>
              <w:rPr>
                <w:sz w:val="18"/>
                <w:lang w:val="en-GB"/>
              </w:rPr>
            </w:pPr>
            <w:r w:rsidRPr="00AE4E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03D575F0" wp14:editId="2F1A3A4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1A7C50" w:rsidRPr="00AE4E32" w:rsidRDefault="001A7C50" w:rsidP="004F2589">
            <w:pPr>
              <w:rPr>
                <w:color w:val="000000" w:themeColor="text1"/>
                <w:sz w:val="18"/>
                <w:lang w:val="en-GB"/>
              </w:rPr>
            </w:pPr>
            <w:hyperlink r:id="rId26" w:history="1">
              <w:r w:rsidRPr="00AE4E3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www.stat.gov.pl/en/</w:t>
              </w:r>
            </w:hyperlink>
          </w:p>
        </w:tc>
      </w:tr>
      <w:tr w:rsidR="001A7C50" w:rsidRPr="00AE4E3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1A7C50" w:rsidRPr="00AE4E32" w:rsidRDefault="001A7C50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1A7C50" w:rsidRPr="00AE4E32" w:rsidRDefault="001A7C50" w:rsidP="000470AA">
            <w:pPr>
              <w:rPr>
                <w:sz w:val="18"/>
                <w:lang w:val="en-GB"/>
              </w:rPr>
            </w:pPr>
            <w:r w:rsidRPr="00AE4E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4432" behindDoc="0" locked="0" layoutInCell="1" allowOverlap="1" wp14:anchorId="1C3A4339" wp14:editId="0231996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1A7C50" w:rsidRPr="00AE4E32" w:rsidRDefault="001A7C50" w:rsidP="000470AA">
            <w:pPr>
              <w:rPr>
                <w:sz w:val="18"/>
                <w:lang w:val="en-GB"/>
              </w:rPr>
            </w:pPr>
            <w:hyperlink r:id="rId28" w:history="1">
              <w:r w:rsidRPr="00AE4E3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AE4E3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StatPoland</w:t>
              </w:r>
              <w:proofErr w:type="spellEnd"/>
            </w:hyperlink>
          </w:p>
        </w:tc>
      </w:tr>
      <w:tr w:rsidR="001A7C50" w:rsidRPr="00AE4E3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1A7C50" w:rsidRPr="00AE4E32" w:rsidRDefault="001A7C50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1A7C50" w:rsidRPr="00AE4E32" w:rsidRDefault="001A7C50" w:rsidP="000470AA">
            <w:pPr>
              <w:rPr>
                <w:sz w:val="18"/>
                <w:lang w:val="en-GB"/>
              </w:rPr>
            </w:pPr>
            <w:r w:rsidRPr="00AE4E3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5456" behindDoc="0" locked="0" layoutInCell="1" allowOverlap="1" wp14:anchorId="43D76670" wp14:editId="3981C0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1A7C50" w:rsidRPr="00AE4E32" w:rsidRDefault="001A7C50" w:rsidP="000470AA">
            <w:pPr>
              <w:rPr>
                <w:sz w:val="20"/>
                <w:lang w:val="en-GB"/>
              </w:rPr>
            </w:pPr>
            <w:hyperlink r:id="rId30" w:history="1">
              <w:r w:rsidRPr="00AE4E3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AE4E32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</w:p>
        </w:tc>
      </w:tr>
    </w:tbl>
    <w:p w:rsidR="00D261A2" w:rsidRPr="00AE4E32" w:rsidRDefault="00044FA8" w:rsidP="00E76D26">
      <w:pPr>
        <w:rPr>
          <w:sz w:val="18"/>
          <w:lang w:val="en-GB"/>
        </w:rPr>
      </w:pPr>
      <w:r w:rsidRPr="00AE4E32">
        <w:rPr>
          <w:noProof/>
          <w:sz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1C6A7F1" wp14:editId="7D2593C6">
                <wp:simplePos x="0" y="0"/>
                <wp:positionH relativeFrom="margin">
                  <wp:posOffset>19050</wp:posOffset>
                </wp:positionH>
                <wp:positionV relativeFrom="paragraph">
                  <wp:posOffset>440690</wp:posOffset>
                </wp:positionV>
                <wp:extent cx="6559550" cy="4443095"/>
                <wp:effectExtent l="0" t="0" r="12700" b="1460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C7D" w:rsidRDefault="006E1C7D" w:rsidP="00883763">
                            <w:pPr>
                              <w:rPr>
                                <w:b/>
                              </w:rPr>
                            </w:pPr>
                          </w:p>
                          <w:p w:rsidR="001A7C50" w:rsidRPr="00941435" w:rsidRDefault="001A7C50" w:rsidP="001A7C50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941435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1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Communications and Announcements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2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News releases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:rsidR="001A7C50" w:rsidRPr="00941435" w:rsidRDefault="001A7C50" w:rsidP="001A7C5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94143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3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Knowledge Database Prices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4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Macroeconomic Data Bank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5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Local Data Bank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6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Price indices (Topics: Prices, Trade)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7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Prices (Topics: Prices, Trade)</w:t>
                              </w:r>
                            </w:hyperlink>
                          </w:p>
                          <w:p w:rsidR="001A7C50" w:rsidRPr="00941435" w:rsidRDefault="001A7C50" w:rsidP="001A7C5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:rsidR="001A7C50" w:rsidRPr="00941435" w:rsidRDefault="001A7C50" w:rsidP="001A7C5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94143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1A7C50" w:rsidRPr="00941435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hyperlink r:id="rId38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Price index of consumer goods and services</w:t>
                              </w:r>
                            </w:hyperlink>
                          </w:p>
                          <w:p w:rsidR="006E1C7D" w:rsidRPr="00BD7810" w:rsidRDefault="001A7C50" w:rsidP="001A7C5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Pr="0094143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GB"/>
                                </w:rPr>
                                <w:t>Retail price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5pt;margin-top:34.7pt;width:516.5pt;height:349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" fillcolor="#f2f2f2 [3052]" strokecolor="white [3212]">
                <v:textbox>
                  <w:txbxContent>
                    <w:p w:rsidR="006E1C7D" w:rsidRDefault="006E1C7D" w:rsidP="00883763">
                      <w:pPr>
                        <w:rPr>
                          <w:b/>
                        </w:rPr>
                      </w:pPr>
                    </w:p>
                    <w:p w:rsidR="001A7C50" w:rsidRPr="00941435" w:rsidRDefault="001A7C50" w:rsidP="001A7C50">
                      <w:pPr>
                        <w:rPr>
                          <w:b/>
                          <w:lang w:val="en-GB"/>
                        </w:rPr>
                      </w:pPr>
                      <w:r w:rsidRPr="00941435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0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Communications and Announcements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1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News releases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:rsidR="001A7C50" w:rsidRPr="00941435" w:rsidRDefault="001A7C50" w:rsidP="001A7C5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94143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2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Knowledge Database Prices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3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Macroeconomic Data Bank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4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Local Data Bank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5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Price indices (Topics: Prices, Trade)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6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Prices (Topics: Prices, Trade)</w:t>
                        </w:r>
                      </w:hyperlink>
                    </w:p>
                    <w:p w:rsidR="001A7C50" w:rsidRPr="00941435" w:rsidRDefault="001A7C50" w:rsidP="001A7C5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:rsidR="001A7C50" w:rsidRPr="00941435" w:rsidRDefault="001A7C50" w:rsidP="001A7C5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94143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="001A7C50" w:rsidRPr="00941435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hyperlink r:id="rId47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Price index of consumer goods and services</w:t>
                        </w:r>
                      </w:hyperlink>
                    </w:p>
                    <w:p w:rsidR="006E1C7D" w:rsidRPr="00BD7810" w:rsidRDefault="001A7C50" w:rsidP="001A7C5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Pr="0094143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GB"/>
                          </w:rPr>
                          <w:t>Retail price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AE4E32" w:rsidSect="00EF7B36">
      <w:headerReference w:type="default" r:id="rId49"/>
      <w:footerReference w:type="default" r:id="rId50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7D" w:rsidRDefault="006E1C7D" w:rsidP="000662E2">
      <w:pPr>
        <w:spacing w:after="0" w:line="240" w:lineRule="auto"/>
      </w:pPr>
      <w:r>
        <w:separator/>
      </w:r>
    </w:p>
  </w:endnote>
  <w:endnote w:type="continuationSeparator" w:id="0">
    <w:p w:rsidR="006E1C7D" w:rsidRDefault="006E1C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C587520-F72F-438C-BE96-08EC8159A32C}"/>
    <w:embedBold r:id="rId2" w:fontKey="{68555800-E547-4D46-B60F-CED5280B2797}"/>
    <w:embedItalic r:id="rId3" w:fontKey="{88F970F9-6D87-4591-905B-6725FB3DFBB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57DE9C2-9519-4B7D-B871-8F3865A34484}"/>
    <w:embedBold r:id="rId5" w:fontKey="{D7010302-B2AE-4363-A41B-764A9A814FDD}"/>
    <w:embedItalic r:id="rId6" w:fontKey="{3DF5748A-4AF6-443C-9A7E-F49009A66C8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C06F408-7974-45F8-A833-FD3AD6EF5903}"/>
    <w:embedBold r:id="rId8" w:fontKey="{E2E97CC7-2EB4-42FA-8740-15E4BC4BBC8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EA3566D-F4A8-4B62-BA13-C54E6DBFAC4D}"/>
    <w:embedItalic r:id="rId10" w:fontKey="{E3FDDBCF-04CD-40DA-83D9-DD67B6DE2F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0AE4E7B-DBB8-402D-8B76-CE56800345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678DE3A-A61F-487B-B2DC-F6072A69E3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C7052C7D-DA97-42BA-AC5C-808FD9F0B35B}"/>
    <w:embedBold r:id="rId14" w:fontKey="{9BC59E67-D59F-423B-823B-484D86CA03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0487"/>
      <w:docPartObj>
        <w:docPartGallery w:val="Page Numbers (Bottom of Page)"/>
        <w:docPartUnique/>
      </w:docPartObj>
    </w:sdtPr>
    <w:sdtContent>
      <w:p w:rsidR="006E1C7D" w:rsidRDefault="006E1C7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A5A6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0488"/>
      <w:docPartObj>
        <w:docPartGallery w:val="Page Numbers (Bottom of Page)"/>
        <w:docPartUnique/>
      </w:docPartObj>
    </w:sdtPr>
    <w:sdtContent>
      <w:p w:rsidR="006E1C7D" w:rsidRDefault="006E1C7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A5A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636839"/>
      <w:docPartObj>
        <w:docPartGallery w:val="Page Numbers (Bottom of Page)"/>
        <w:docPartUnique/>
      </w:docPartObj>
    </w:sdtPr>
    <w:sdtContent>
      <w:p w:rsidR="006E1C7D" w:rsidRDefault="006E1C7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A5A6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7D" w:rsidRDefault="006E1C7D" w:rsidP="000662E2">
      <w:pPr>
        <w:spacing w:after="0" w:line="240" w:lineRule="auto"/>
      </w:pPr>
      <w:r>
        <w:separator/>
      </w:r>
    </w:p>
  </w:footnote>
  <w:footnote w:type="continuationSeparator" w:id="0">
    <w:p w:rsidR="006E1C7D" w:rsidRDefault="006E1C7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C7D" w:rsidRDefault="006E1C7D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604933" wp14:editId="19E4FD4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6E1C7D" w:rsidRDefault="006E1C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C7D" w:rsidRDefault="006E1C7D" w:rsidP="00E63910">
    <w:pPr>
      <w:pStyle w:val="Nagwek"/>
      <w:tabs>
        <w:tab w:val="clear" w:pos="4536"/>
        <w:tab w:val="clear" w:pos="9072"/>
        <w:tab w:val="left" w:pos="4575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D6294D" wp14:editId="32FB1689">
              <wp:simplePos x="0" y="0"/>
              <wp:positionH relativeFrom="column">
                <wp:posOffset>5219700</wp:posOffset>
              </wp:positionH>
              <wp:positionV relativeFrom="paragraph">
                <wp:posOffset>556260</wp:posOffset>
              </wp:positionV>
              <wp:extent cx="1871980" cy="9953625"/>
              <wp:effectExtent l="0" t="0" r="0" b="9525"/>
              <wp:wrapTight wrapText="bothSides">
                <wp:wrapPolygon edited="0">
                  <wp:start x="0" y="0"/>
                  <wp:lineTo x="0" y="21579"/>
                  <wp:lineTo x="21322" y="21579"/>
                  <wp:lineTo x="21322" y="0"/>
                  <wp:lineTo x="0" y="0"/>
                </wp:wrapPolygon>
              </wp:wrapTight>
              <wp:docPr id="6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995362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0" o:spid="_x0000_s1026" style="position:absolute;margin-left:411pt;margin-top:43.8pt;width:147.4pt;height:78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9C5C03" wp14:editId="3A82C70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E1C7D" w:rsidRPr="003C6C8D" w:rsidRDefault="006E1C7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D7F33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ytRQ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BfqDytRQYAACMs&#10;AAAOAAAAAAAAAAAAAAAAAC4CAABkcnMvZTJvRG9jLnhtbFBLAQItABQABgAIAAAAIQAwTwz13gAA&#10;AAoBAAAPAAAAAAAAAAAAAAAAAJ8IAABkcnMvZG93bnJldi54bWxQSwUGAAAAAAQABADzAAAAqg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E1C7D" w:rsidRPr="003C6C8D" w:rsidRDefault="006E1C7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1D7F33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61B2BCB" wp14:editId="1B6BDE12">
          <wp:extent cx="1865630" cy="709295"/>
          <wp:effectExtent l="0" t="0" r="0" b="0"/>
          <wp:docPr id="16" name="Obraz 16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6E1C7D" w:rsidRDefault="006E1C7D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30B6B" wp14:editId="0549C82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1C7D" w:rsidRPr="00C97596" w:rsidRDefault="006E1C7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fhEAIAAP4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KeUfh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6E1C7D" w:rsidRPr="00C97596" w:rsidRDefault="006E1C7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C7D" w:rsidRDefault="006E1C7D">
    <w:pPr>
      <w:pStyle w:val="Nagwek"/>
    </w:pPr>
  </w:p>
  <w:p w:rsidR="006E1C7D" w:rsidRDefault="006E1C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123.35pt;height:124.6pt;visibility:visible" o:bullet="t">
        <v:imagedata r:id="rId1" o:title=""/>
      </v:shape>
    </w:pict>
  </w:numPicBullet>
  <w:numPicBullet w:numPicBulletId="1">
    <w:pict>
      <v:shape id="_x0000_i1271" type="#_x0000_t75" style="width:123.95pt;height:124.6pt;visibility:visibl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709F"/>
    <w:rsid w:val="00007F94"/>
    <w:rsid w:val="000108B8"/>
    <w:rsid w:val="000152F5"/>
    <w:rsid w:val="00034160"/>
    <w:rsid w:val="00044FA8"/>
    <w:rsid w:val="0004582E"/>
    <w:rsid w:val="00045C89"/>
    <w:rsid w:val="0004646A"/>
    <w:rsid w:val="00046597"/>
    <w:rsid w:val="000470AA"/>
    <w:rsid w:val="000570D6"/>
    <w:rsid w:val="00057CA1"/>
    <w:rsid w:val="000662E2"/>
    <w:rsid w:val="00066883"/>
    <w:rsid w:val="00067B1B"/>
    <w:rsid w:val="00074DD8"/>
    <w:rsid w:val="000806F7"/>
    <w:rsid w:val="00087247"/>
    <w:rsid w:val="000929EA"/>
    <w:rsid w:val="00097840"/>
    <w:rsid w:val="000A6963"/>
    <w:rsid w:val="000A7F1A"/>
    <w:rsid w:val="000B0727"/>
    <w:rsid w:val="000B0E62"/>
    <w:rsid w:val="000B0F61"/>
    <w:rsid w:val="000C135D"/>
    <w:rsid w:val="000C53DE"/>
    <w:rsid w:val="000D0112"/>
    <w:rsid w:val="000D067F"/>
    <w:rsid w:val="000D1D43"/>
    <w:rsid w:val="000D225C"/>
    <w:rsid w:val="000D2A5C"/>
    <w:rsid w:val="000E0918"/>
    <w:rsid w:val="000F6E98"/>
    <w:rsid w:val="001011C3"/>
    <w:rsid w:val="00107A30"/>
    <w:rsid w:val="00110D87"/>
    <w:rsid w:val="001149A1"/>
    <w:rsid w:val="00114DB9"/>
    <w:rsid w:val="00116087"/>
    <w:rsid w:val="00130296"/>
    <w:rsid w:val="00135B65"/>
    <w:rsid w:val="00142037"/>
    <w:rsid w:val="001423B6"/>
    <w:rsid w:val="00143392"/>
    <w:rsid w:val="001448A7"/>
    <w:rsid w:val="00146621"/>
    <w:rsid w:val="0015700F"/>
    <w:rsid w:val="00162325"/>
    <w:rsid w:val="00167883"/>
    <w:rsid w:val="00170B46"/>
    <w:rsid w:val="00181853"/>
    <w:rsid w:val="0018602D"/>
    <w:rsid w:val="00194AFE"/>
    <w:rsid w:val="001951DA"/>
    <w:rsid w:val="001A1D6F"/>
    <w:rsid w:val="001A3374"/>
    <w:rsid w:val="001A4874"/>
    <w:rsid w:val="001A6D1C"/>
    <w:rsid w:val="001A7C50"/>
    <w:rsid w:val="001B123B"/>
    <w:rsid w:val="001B1450"/>
    <w:rsid w:val="001B2F90"/>
    <w:rsid w:val="001C0A85"/>
    <w:rsid w:val="001C3269"/>
    <w:rsid w:val="001D1DB4"/>
    <w:rsid w:val="001D4170"/>
    <w:rsid w:val="001D45F7"/>
    <w:rsid w:val="001E1D94"/>
    <w:rsid w:val="001E7DBB"/>
    <w:rsid w:val="001F3316"/>
    <w:rsid w:val="002114DC"/>
    <w:rsid w:val="00220E7C"/>
    <w:rsid w:val="002354B7"/>
    <w:rsid w:val="0023583F"/>
    <w:rsid w:val="002400CF"/>
    <w:rsid w:val="00244624"/>
    <w:rsid w:val="00245C13"/>
    <w:rsid w:val="00255748"/>
    <w:rsid w:val="002574F9"/>
    <w:rsid w:val="00260918"/>
    <w:rsid w:val="00262B61"/>
    <w:rsid w:val="00265859"/>
    <w:rsid w:val="00265F3B"/>
    <w:rsid w:val="002675F4"/>
    <w:rsid w:val="00276811"/>
    <w:rsid w:val="00276C9A"/>
    <w:rsid w:val="00282699"/>
    <w:rsid w:val="00283B82"/>
    <w:rsid w:val="00286350"/>
    <w:rsid w:val="002926DF"/>
    <w:rsid w:val="00296697"/>
    <w:rsid w:val="00297C7B"/>
    <w:rsid w:val="002A27FB"/>
    <w:rsid w:val="002A4D80"/>
    <w:rsid w:val="002A6FD9"/>
    <w:rsid w:val="002B0472"/>
    <w:rsid w:val="002B0C34"/>
    <w:rsid w:val="002B6B12"/>
    <w:rsid w:val="002C267F"/>
    <w:rsid w:val="002C4DAA"/>
    <w:rsid w:val="002C67C9"/>
    <w:rsid w:val="002D0020"/>
    <w:rsid w:val="002E0C0A"/>
    <w:rsid w:val="002E116F"/>
    <w:rsid w:val="002E6140"/>
    <w:rsid w:val="002E6985"/>
    <w:rsid w:val="002E71B6"/>
    <w:rsid w:val="002F77C8"/>
    <w:rsid w:val="002F7E74"/>
    <w:rsid w:val="00304F22"/>
    <w:rsid w:val="00305039"/>
    <w:rsid w:val="00305162"/>
    <w:rsid w:val="00306C7C"/>
    <w:rsid w:val="00316108"/>
    <w:rsid w:val="00321D70"/>
    <w:rsid w:val="00322EDD"/>
    <w:rsid w:val="00326B42"/>
    <w:rsid w:val="00326D89"/>
    <w:rsid w:val="00332320"/>
    <w:rsid w:val="00333FCC"/>
    <w:rsid w:val="003359BE"/>
    <w:rsid w:val="003417DF"/>
    <w:rsid w:val="00342186"/>
    <w:rsid w:val="00347D72"/>
    <w:rsid w:val="00357611"/>
    <w:rsid w:val="00367237"/>
    <w:rsid w:val="0037077F"/>
    <w:rsid w:val="00372411"/>
    <w:rsid w:val="00373882"/>
    <w:rsid w:val="00384355"/>
    <w:rsid w:val="003843DB"/>
    <w:rsid w:val="00386E75"/>
    <w:rsid w:val="003901AC"/>
    <w:rsid w:val="00392563"/>
    <w:rsid w:val="00393761"/>
    <w:rsid w:val="00397D18"/>
    <w:rsid w:val="003A1B36"/>
    <w:rsid w:val="003A4229"/>
    <w:rsid w:val="003A440F"/>
    <w:rsid w:val="003B0CE5"/>
    <w:rsid w:val="003B1454"/>
    <w:rsid w:val="003B18B6"/>
    <w:rsid w:val="003C59E0"/>
    <w:rsid w:val="003C6C8D"/>
    <w:rsid w:val="003D4F95"/>
    <w:rsid w:val="003D5F42"/>
    <w:rsid w:val="003D60A9"/>
    <w:rsid w:val="003E3487"/>
    <w:rsid w:val="003E5318"/>
    <w:rsid w:val="003F14A0"/>
    <w:rsid w:val="003F4C97"/>
    <w:rsid w:val="003F7FE6"/>
    <w:rsid w:val="00400193"/>
    <w:rsid w:val="004016AB"/>
    <w:rsid w:val="00414D07"/>
    <w:rsid w:val="004212E7"/>
    <w:rsid w:val="00422E75"/>
    <w:rsid w:val="0042446D"/>
    <w:rsid w:val="00427BF8"/>
    <w:rsid w:val="00431C02"/>
    <w:rsid w:val="00437395"/>
    <w:rsid w:val="00437F22"/>
    <w:rsid w:val="004402C6"/>
    <w:rsid w:val="00445047"/>
    <w:rsid w:val="004556BE"/>
    <w:rsid w:val="004566AB"/>
    <w:rsid w:val="004601AC"/>
    <w:rsid w:val="00463E39"/>
    <w:rsid w:val="004657B2"/>
    <w:rsid w:val="004657FC"/>
    <w:rsid w:val="004715CB"/>
    <w:rsid w:val="004733F6"/>
    <w:rsid w:val="00474E69"/>
    <w:rsid w:val="00484342"/>
    <w:rsid w:val="004863E5"/>
    <w:rsid w:val="0049621B"/>
    <w:rsid w:val="004A683E"/>
    <w:rsid w:val="004C1895"/>
    <w:rsid w:val="004C2FDF"/>
    <w:rsid w:val="004C55C1"/>
    <w:rsid w:val="004C6D40"/>
    <w:rsid w:val="004E2226"/>
    <w:rsid w:val="004F0C3C"/>
    <w:rsid w:val="004F63FC"/>
    <w:rsid w:val="00502E6F"/>
    <w:rsid w:val="00503FD4"/>
    <w:rsid w:val="00505A92"/>
    <w:rsid w:val="0051069D"/>
    <w:rsid w:val="0051646A"/>
    <w:rsid w:val="00516A50"/>
    <w:rsid w:val="005203F1"/>
    <w:rsid w:val="0052058B"/>
    <w:rsid w:val="00521BC3"/>
    <w:rsid w:val="00525165"/>
    <w:rsid w:val="00526A58"/>
    <w:rsid w:val="005273A3"/>
    <w:rsid w:val="00532F50"/>
    <w:rsid w:val="00533632"/>
    <w:rsid w:val="005341B7"/>
    <w:rsid w:val="0053648F"/>
    <w:rsid w:val="00541E6E"/>
    <w:rsid w:val="0054251F"/>
    <w:rsid w:val="005520D8"/>
    <w:rsid w:val="00556CF1"/>
    <w:rsid w:val="00556D75"/>
    <w:rsid w:val="00561049"/>
    <w:rsid w:val="00562059"/>
    <w:rsid w:val="00571D0E"/>
    <w:rsid w:val="00572DE7"/>
    <w:rsid w:val="0057579D"/>
    <w:rsid w:val="005762A7"/>
    <w:rsid w:val="00584B80"/>
    <w:rsid w:val="005877DE"/>
    <w:rsid w:val="005916D7"/>
    <w:rsid w:val="005A698C"/>
    <w:rsid w:val="005C1AF8"/>
    <w:rsid w:val="005D470D"/>
    <w:rsid w:val="005E0799"/>
    <w:rsid w:val="005F4C8D"/>
    <w:rsid w:val="005F5A80"/>
    <w:rsid w:val="005F5DE9"/>
    <w:rsid w:val="006044FF"/>
    <w:rsid w:val="00607CC5"/>
    <w:rsid w:val="006131C6"/>
    <w:rsid w:val="00633014"/>
    <w:rsid w:val="0063437B"/>
    <w:rsid w:val="00653418"/>
    <w:rsid w:val="00664E7A"/>
    <w:rsid w:val="006673CA"/>
    <w:rsid w:val="00673C26"/>
    <w:rsid w:val="00674A8B"/>
    <w:rsid w:val="00680135"/>
    <w:rsid w:val="006812AF"/>
    <w:rsid w:val="0068327D"/>
    <w:rsid w:val="00685123"/>
    <w:rsid w:val="00690BA9"/>
    <w:rsid w:val="00691225"/>
    <w:rsid w:val="00694AF0"/>
    <w:rsid w:val="006A4229"/>
    <w:rsid w:val="006A4686"/>
    <w:rsid w:val="006B0E9E"/>
    <w:rsid w:val="006B208D"/>
    <w:rsid w:val="006B232E"/>
    <w:rsid w:val="006B5AE4"/>
    <w:rsid w:val="006B7DCC"/>
    <w:rsid w:val="006D0DD8"/>
    <w:rsid w:val="006D1507"/>
    <w:rsid w:val="006D1726"/>
    <w:rsid w:val="006D4054"/>
    <w:rsid w:val="006D6B72"/>
    <w:rsid w:val="006E02EC"/>
    <w:rsid w:val="006E1C7D"/>
    <w:rsid w:val="006E1EAA"/>
    <w:rsid w:val="007059D5"/>
    <w:rsid w:val="00706787"/>
    <w:rsid w:val="007162EB"/>
    <w:rsid w:val="007211B1"/>
    <w:rsid w:val="00725495"/>
    <w:rsid w:val="0072703F"/>
    <w:rsid w:val="00733D55"/>
    <w:rsid w:val="00737BAF"/>
    <w:rsid w:val="00744A75"/>
    <w:rsid w:val="00746187"/>
    <w:rsid w:val="0075078D"/>
    <w:rsid w:val="00751C16"/>
    <w:rsid w:val="00752A67"/>
    <w:rsid w:val="00754679"/>
    <w:rsid w:val="00755FF7"/>
    <w:rsid w:val="00761070"/>
    <w:rsid w:val="0076254F"/>
    <w:rsid w:val="00774FE9"/>
    <w:rsid w:val="007801F5"/>
    <w:rsid w:val="00782ADA"/>
    <w:rsid w:val="00783CA4"/>
    <w:rsid w:val="007842FB"/>
    <w:rsid w:val="00786124"/>
    <w:rsid w:val="0078756B"/>
    <w:rsid w:val="0079514B"/>
    <w:rsid w:val="007A2DC1"/>
    <w:rsid w:val="007B3A0B"/>
    <w:rsid w:val="007B5183"/>
    <w:rsid w:val="007B74D8"/>
    <w:rsid w:val="007C17A2"/>
    <w:rsid w:val="007D3319"/>
    <w:rsid w:val="007D335D"/>
    <w:rsid w:val="007D51E3"/>
    <w:rsid w:val="007D660D"/>
    <w:rsid w:val="007E3314"/>
    <w:rsid w:val="007E4B03"/>
    <w:rsid w:val="007E7553"/>
    <w:rsid w:val="007F324B"/>
    <w:rsid w:val="00802CA9"/>
    <w:rsid w:val="0080440E"/>
    <w:rsid w:val="0080553C"/>
    <w:rsid w:val="00805B46"/>
    <w:rsid w:val="00813521"/>
    <w:rsid w:val="00813B5A"/>
    <w:rsid w:val="00820B10"/>
    <w:rsid w:val="0082498D"/>
    <w:rsid w:val="00825675"/>
    <w:rsid w:val="00825DC2"/>
    <w:rsid w:val="008260CB"/>
    <w:rsid w:val="00830754"/>
    <w:rsid w:val="00831172"/>
    <w:rsid w:val="00832F57"/>
    <w:rsid w:val="00834AD3"/>
    <w:rsid w:val="00843795"/>
    <w:rsid w:val="00843E8B"/>
    <w:rsid w:val="00845172"/>
    <w:rsid w:val="00847F0F"/>
    <w:rsid w:val="00852448"/>
    <w:rsid w:val="0088258A"/>
    <w:rsid w:val="008832C4"/>
    <w:rsid w:val="00883763"/>
    <w:rsid w:val="00886332"/>
    <w:rsid w:val="008875D4"/>
    <w:rsid w:val="008A19ED"/>
    <w:rsid w:val="008A26D9"/>
    <w:rsid w:val="008A31EA"/>
    <w:rsid w:val="008A3FBB"/>
    <w:rsid w:val="008C0C29"/>
    <w:rsid w:val="008C7A01"/>
    <w:rsid w:val="008D291E"/>
    <w:rsid w:val="008E2E57"/>
    <w:rsid w:val="008F3638"/>
    <w:rsid w:val="008F4441"/>
    <w:rsid w:val="008F44C8"/>
    <w:rsid w:val="008F5CD8"/>
    <w:rsid w:val="008F6580"/>
    <w:rsid w:val="008F6F31"/>
    <w:rsid w:val="008F74DF"/>
    <w:rsid w:val="009127BA"/>
    <w:rsid w:val="00912885"/>
    <w:rsid w:val="00916339"/>
    <w:rsid w:val="00916782"/>
    <w:rsid w:val="00920D31"/>
    <w:rsid w:val="009227A6"/>
    <w:rsid w:val="00933B26"/>
    <w:rsid w:val="00933EC1"/>
    <w:rsid w:val="00935CA7"/>
    <w:rsid w:val="00944DFF"/>
    <w:rsid w:val="00952753"/>
    <w:rsid w:val="009530DB"/>
    <w:rsid w:val="00953676"/>
    <w:rsid w:val="009705EE"/>
    <w:rsid w:val="00977927"/>
    <w:rsid w:val="0098119B"/>
    <w:rsid w:val="0098135C"/>
    <w:rsid w:val="0098156A"/>
    <w:rsid w:val="00990133"/>
    <w:rsid w:val="00991BAC"/>
    <w:rsid w:val="00994FE1"/>
    <w:rsid w:val="009971A4"/>
    <w:rsid w:val="009A6EA0"/>
    <w:rsid w:val="009B1399"/>
    <w:rsid w:val="009B1AFB"/>
    <w:rsid w:val="009B3196"/>
    <w:rsid w:val="009B424E"/>
    <w:rsid w:val="009C1335"/>
    <w:rsid w:val="009C1AB2"/>
    <w:rsid w:val="009C23D1"/>
    <w:rsid w:val="009C5407"/>
    <w:rsid w:val="009C7251"/>
    <w:rsid w:val="009C7885"/>
    <w:rsid w:val="009D07E3"/>
    <w:rsid w:val="009E2E91"/>
    <w:rsid w:val="009E378D"/>
    <w:rsid w:val="009E3BF4"/>
    <w:rsid w:val="009F5815"/>
    <w:rsid w:val="00A0030D"/>
    <w:rsid w:val="00A04ACB"/>
    <w:rsid w:val="00A07F00"/>
    <w:rsid w:val="00A1170D"/>
    <w:rsid w:val="00A12435"/>
    <w:rsid w:val="00A139F5"/>
    <w:rsid w:val="00A2136A"/>
    <w:rsid w:val="00A33E71"/>
    <w:rsid w:val="00A3441D"/>
    <w:rsid w:val="00A34C24"/>
    <w:rsid w:val="00A3594B"/>
    <w:rsid w:val="00A35A55"/>
    <w:rsid w:val="00A365F4"/>
    <w:rsid w:val="00A37CE0"/>
    <w:rsid w:val="00A44345"/>
    <w:rsid w:val="00A460E6"/>
    <w:rsid w:val="00A46BD5"/>
    <w:rsid w:val="00A47D80"/>
    <w:rsid w:val="00A53132"/>
    <w:rsid w:val="00A563F2"/>
    <w:rsid w:val="00A566E8"/>
    <w:rsid w:val="00A72D71"/>
    <w:rsid w:val="00A73B67"/>
    <w:rsid w:val="00A804EC"/>
    <w:rsid w:val="00A810F9"/>
    <w:rsid w:val="00A852EC"/>
    <w:rsid w:val="00A86ECC"/>
    <w:rsid w:val="00A86FCC"/>
    <w:rsid w:val="00A94465"/>
    <w:rsid w:val="00A94647"/>
    <w:rsid w:val="00A95B8D"/>
    <w:rsid w:val="00AA513E"/>
    <w:rsid w:val="00AA710D"/>
    <w:rsid w:val="00AB6D25"/>
    <w:rsid w:val="00AC3836"/>
    <w:rsid w:val="00AC64A7"/>
    <w:rsid w:val="00AD4947"/>
    <w:rsid w:val="00AE20FD"/>
    <w:rsid w:val="00AE2D4B"/>
    <w:rsid w:val="00AE3075"/>
    <w:rsid w:val="00AE4E32"/>
    <w:rsid w:val="00AE4F99"/>
    <w:rsid w:val="00AF45E0"/>
    <w:rsid w:val="00B11B69"/>
    <w:rsid w:val="00B14952"/>
    <w:rsid w:val="00B20511"/>
    <w:rsid w:val="00B20A71"/>
    <w:rsid w:val="00B21A47"/>
    <w:rsid w:val="00B31E5A"/>
    <w:rsid w:val="00B322EC"/>
    <w:rsid w:val="00B44A4C"/>
    <w:rsid w:val="00B609CE"/>
    <w:rsid w:val="00B60C1F"/>
    <w:rsid w:val="00B653AB"/>
    <w:rsid w:val="00B65F9E"/>
    <w:rsid w:val="00B66B19"/>
    <w:rsid w:val="00B765C0"/>
    <w:rsid w:val="00B768F0"/>
    <w:rsid w:val="00B8385C"/>
    <w:rsid w:val="00B914E9"/>
    <w:rsid w:val="00B9262E"/>
    <w:rsid w:val="00B93056"/>
    <w:rsid w:val="00B94737"/>
    <w:rsid w:val="00B956EE"/>
    <w:rsid w:val="00B97152"/>
    <w:rsid w:val="00BA2BA1"/>
    <w:rsid w:val="00BA3562"/>
    <w:rsid w:val="00BA415B"/>
    <w:rsid w:val="00BA5A42"/>
    <w:rsid w:val="00BA78D5"/>
    <w:rsid w:val="00BB4F09"/>
    <w:rsid w:val="00BC5049"/>
    <w:rsid w:val="00BC561E"/>
    <w:rsid w:val="00BD4E33"/>
    <w:rsid w:val="00BD7810"/>
    <w:rsid w:val="00BE0F88"/>
    <w:rsid w:val="00BE6B1A"/>
    <w:rsid w:val="00C00EDA"/>
    <w:rsid w:val="00C030DE"/>
    <w:rsid w:val="00C22105"/>
    <w:rsid w:val="00C244B6"/>
    <w:rsid w:val="00C27183"/>
    <w:rsid w:val="00C27D75"/>
    <w:rsid w:val="00C3702F"/>
    <w:rsid w:val="00C4500A"/>
    <w:rsid w:val="00C47F3B"/>
    <w:rsid w:val="00C55C91"/>
    <w:rsid w:val="00C64A37"/>
    <w:rsid w:val="00C7158E"/>
    <w:rsid w:val="00C7250B"/>
    <w:rsid w:val="00C7346B"/>
    <w:rsid w:val="00C77408"/>
    <w:rsid w:val="00C77C0E"/>
    <w:rsid w:val="00C8000E"/>
    <w:rsid w:val="00C91687"/>
    <w:rsid w:val="00C924A8"/>
    <w:rsid w:val="00C945FE"/>
    <w:rsid w:val="00C950B4"/>
    <w:rsid w:val="00C96563"/>
    <w:rsid w:val="00C96FAA"/>
    <w:rsid w:val="00C97A04"/>
    <w:rsid w:val="00CA107B"/>
    <w:rsid w:val="00CA484D"/>
    <w:rsid w:val="00CA4FB6"/>
    <w:rsid w:val="00CB7787"/>
    <w:rsid w:val="00CC576D"/>
    <w:rsid w:val="00CC739E"/>
    <w:rsid w:val="00CD1E2E"/>
    <w:rsid w:val="00CD58B7"/>
    <w:rsid w:val="00CF4099"/>
    <w:rsid w:val="00CF4CEE"/>
    <w:rsid w:val="00D00796"/>
    <w:rsid w:val="00D02D2C"/>
    <w:rsid w:val="00D2436A"/>
    <w:rsid w:val="00D261A2"/>
    <w:rsid w:val="00D26A2F"/>
    <w:rsid w:val="00D37841"/>
    <w:rsid w:val="00D37EAD"/>
    <w:rsid w:val="00D439FC"/>
    <w:rsid w:val="00D538E4"/>
    <w:rsid w:val="00D616D2"/>
    <w:rsid w:val="00D63B5F"/>
    <w:rsid w:val="00D642DA"/>
    <w:rsid w:val="00D7066F"/>
    <w:rsid w:val="00D7075D"/>
    <w:rsid w:val="00D70EF7"/>
    <w:rsid w:val="00D773A0"/>
    <w:rsid w:val="00D815F5"/>
    <w:rsid w:val="00D8186E"/>
    <w:rsid w:val="00D8397C"/>
    <w:rsid w:val="00D936C8"/>
    <w:rsid w:val="00D94EED"/>
    <w:rsid w:val="00D96026"/>
    <w:rsid w:val="00DA0243"/>
    <w:rsid w:val="00DA433C"/>
    <w:rsid w:val="00DA7C1C"/>
    <w:rsid w:val="00DB147A"/>
    <w:rsid w:val="00DB1B7A"/>
    <w:rsid w:val="00DB1D89"/>
    <w:rsid w:val="00DC0EA4"/>
    <w:rsid w:val="00DC6708"/>
    <w:rsid w:val="00DC6C66"/>
    <w:rsid w:val="00DD3949"/>
    <w:rsid w:val="00DE26A0"/>
    <w:rsid w:val="00DE3FFF"/>
    <w:rsid w:val="00DF712D"/>
    <w:rsid w:val="00E01436"/>
    <w:rsid w:val="00E03AC4"/>
    <w:rsid w:val="00E045BD"/>
    <w:rsid w:val="00E13DC8"/>
    <w:rsid w:val="00E156D8"/>
    <w:rsid w:val="00E17A9F"/>
    <w:rsid w:val="00E17B77"/>
    <w:rsid w:val="00E23337"/>
    <w:rsid w:val="00E25294"/>
    <w:rsid w:val="00E259EA"/>
    <w:rsid w:val="00E27C54"/>
    <w:rsid w:val="00E27E85"/>
    <w:rsid w:val="00E30793"/>
    <w:rsid w:val="00E32061"/>
    <w:rsid w:val="00E41FCF"/>
    <w:rsid w:val="00E42FF9"/>
    <w:rsid w:val="00E4714C"/>
    <w:rsid w:val="00E51AEB"/>
    <w:rsid w:val="00E522A7"/>
    <w:rsid w:val="00E54452"/>
    <w:rsid w:val="00E63910"/>
    <w:rsid w:val="00E63F5D"/>
    <w:rsid w:val="00E64B54"/>
    <w:rsid w:val="00E664C5"/>
    <w:rsid w:val="00E671A2"/>
    <w:rsid w:val="00E74A41"/>
    <w:rsid w:val="00E76D26"/>
    <w:rsid w:val="00E82DA4"/>
    <w:rsid w:val="00E849E1"/>
    <w:rsid w:val="00E84A5C"/>
    <w:rsid w:val="00E94239"/>
    <w:rsid w:val="00EA143C"/>
    <w:rsid w:val="00EA5A6D"/>
    <w:rsid w:val="00EB02C9"/>
    <w:rsid w:val="00EB1390"/>
    <w:rsid w:val="00EB298F"/>
    <w:rsid w:val="00EB2C71"/>
    <w:rsid w:val="00EB4340"/>
    <w:rsid w:val="00EB556D"/>
    <w:rsid w:val="00EB5A7D"/>
    <w:rsid w:val="00EC6501"/>
    <w:rsid w:val="00ED55C0"/>
    <w:rsid w:val="00ED682B"/>
    <w:rsid w:val="00EE41D5"/>
    <w:rsid w:val="00EE696D"/>
    <w:rsid w:val="00EF4B38"/>
    <w:rsid w:val="00EF7B36"/>
    <w:rsid w:val="00F004D1"/>
    <w:rsid w:val="00F037A4"/>
    <w:rsid w:val="00F10168"/>
    <w:rsid w:val="00F114E7"/>
    <w:rsid w:val="00F11981"/>
    <w:rsid w:val="00F12FEC"/>
    <w:rsid w:val="00F212CE"/>
    <w:rsid w:val="00F26013"/>
    <w:rsid w:val="00F27C8F"/>
    <w:rsid w:val="00F30A0C"/>
    <w:rsid w:val="00F32749"/>
    <w:rsid w:val="00F33831"/>
    <w:rsid w:val="00F37172"/>
    <w:rsid w:val="00F4272F"/>
    <w:rsid w:val="00F4477E"/>
    <w:rsid w:val="00F45717"/>
    <w:rsid w:val="00F65EEC"/>
    <w:rsid w:val="00F6637E"/>
    <w:rsid w:val="00F67D8F"/>
    <w:rsid w:val="00F739B3"/>
    <w:rsid w:val="00F74B10"/>
    <w:rsid w:val="00F77858"/>
    <w:rsid w:val="00F80247"/>
    <w:rsid w:val="00F802BE"/>
    <w:rsid w:val="00F80E93"/>
    <w:rsid w:val="00F86024"/>
    <w:rsid w:val="00F8611A"/>
    <w:rsid w:val="00F86C02"/>
    <w:rsid w:val="00F87711"/>
    <w:rsid w:val="00F90BB1"/>
    <w:rsid w:val="00F95867"/>
    <w:rsid w:val="00FA2470"/>
    <w:rsid w:val="00FA5128"/>
    <w:rsid w:val="00FA516E"/>
    <w:rsid w:val="00FA6B1C"/>
    <w:rsid w:val="00FB3654"/>
    <w:rsid w:val="00FB42D4"/>
    <w:rsid w:val="00FB5906"/>
    <w:rsid w:val="00FB762F"/>
    <w:rsid w:val="00FC2AED"/>
    <w:rsid w:val="00FC739C"/>
    <w:rsid w:val="00FD5EA7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1">
    <w:name w:val="Siatka tabeli — jasna1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63910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9B42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1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1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10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1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108"/>
    <w:rPr>
      <w:rFonts w:ascii="Fira Sans" w:hAnsi="Fira San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1">
    <w:name w:val="Siatka tabeli — jasna1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E63910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9B42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1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1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10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1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108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ec.europa.eu/eurostat/documents/10186/10693286/HICP_lifting_lockdown_measures_guidance.pdf" TargetMode="External"/><Relationship Id="rId26" Type="http://schemas.openxmlformats.org/officeDocument/2006/relationships/hyperlink" Target="https://stat.gov.pl/en/" TargetMode="External"/><Relationship Id="rId39" Type="http://schemas.openxmlformats.org/officeDocument/2006/relationships/hyperlink" Target="http://stat.gov.pl/en/metainformations/glossary/terms-used-in-official-statistics/32,term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yperlink" Target="http://bdm.stat.gov.pl/" TargetMode="External"/><Relationship Id="rId42" Type="http://schemas.openxmlformats.org/officeDocument/2006/relationships/hyperlink" Target="http://swaid.stat.gov.pl/EN/SitePagesDBW/Ceny.aspx" TargetMode="External"/><Relationship Id="rId47" Type="http://schemas.openxmlformats.org/officeDocument/2006/relationships/hyperlink" Target="http://stat.gov.pl/en/metainformations/glossary/terms-used-in-official-statistics/711,term.html" TargetMode="External"/><Relationship Id="rId50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hyperlink" Target="https://ec.europa.eu/eurostat/documents/10186/10693286/HICP_guidance.pdf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://stat.gov.pl/en/metainformations/glossary/terms-used-in-official-statistics/711,term.html" TargetMode="External"/><Relationship Id="rId46" Type="http://schemas.openxmlformats.org/officeDocument/2006/relationships/hyperlink" Target="http://stat.gov.pl/en/topics/prices-trade/prices/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1.xml"/><Relationship Id="rId29" Type="http://schemas.openxmlformats.org/officeDocument/2006/relationships/image" Target="media/image7.png"/><Relationship Id="rId41" Type="http://schemas.openxmlformats.org/officeDocument/2006/relationships/hyperlink" Target="http://stat.gov.pl/en/latest-statistical-news/news-releas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en/latest-statistical-news/news-releases/" TargetMode="External"/><Relationship Id="rId37" Type="http://schemas.openxmlformats.org/officeDocument/2006/relationships/hyperlink" Target="http://stat.gov.pl/en/topics/prices-trade/prices/" TargetMode="External"/><Relationship Id="rId40" Type="http://schemas.openxmlformats.org/officeDocument/2006/relationships/hyperlink" Target="http://stat.gov.pl/en/latest-statistical-news/communications-and-announcements/" TargetMode="External"/><Relationship Id="rId45" Type="http://schemas.openxmlformats.org/officeDocument/2006/relationships/hyperlink" Target="http://stat.gov.pl/en/topics/prices-trade/price-indices/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footer" Target="footer2.xml"/><Relationship Id="rId28" Type="http://schemas.openxmlformats.org/officeDocument/2006/relationships/hyperlink" Target="https://twitter.com/StatPoland" TargetMode="External"/><Relationship Id="rId36" Type="http://schemas.openxmlformats.org/officeDocument/2006/relationships/hyperlink" Target="http://stat.gov.pl/en/topics/prices-trade/price-indices/" TargetMode="External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31" Type="http://schemas.openxmlformats.org/officeDocument/2006/relationships/hyperlink" Target="http://stat.gov.pl/en/latest-statistical-news/communications-and-announcements/" TargetMode="External"/><Relationship Id="rId44" Type="http://schemas.openxmlformats.org/officeDocument/2006/relationships/hyperlink" Target="https://bdl.stat.gov.pl/BDL/start?lang=en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image" Target="media/image6.png"/><Relationship Id="rId30" Type="http://schemas.openxmlformats.org/officeDocument/2006/relationships/hyperlink" Target="https://www.facebook.com/GlownyUrzadStatystyczny/" TargetMode="External"/><Relationship Id="rId35" Type="http://schemas.openxmlformats.org/officeDocument/2006/relationships/hyperlink" Target="https://bdl.stat.gov.pl/BDL/start?lang=en" TargetMode="External"/><Relationship Id="rId43" Type="http://schemas.openxmlformats.org/officeDocument/2006/relationships/hyperlink" Target="http://bdm.stat.gov.pl/" TargetMode="External"/><Relationship Id="rId48" Type="http://schemas.openxmlformats.org/officeDocument/2006/relationships/hyperlink" Target="http://stat.gov.pl/en/metainformations/glossary/terms-used-in-official-statistics/32,term.html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mfgus01a\d04a\cenydet\dyskF\ROBOCZY\Ula\Ci&#261;gutka_pier_str\WST_2021\WYKRESY\02_2021_01_2021_ost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573497194536257"/>
          <c:y val="5.3855356053736994E-2"/>
          <c:w val="0.52658061332077077"/>
          <c:h val="0.830296655722462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7.4279464360269484E-3"/>
                  <c:y val="9.151541316541554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438316152645201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438316152645201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954768209071298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950857116038219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95887743509679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95887743509679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9588774350968982E-3"/>
                  <c:y val="-3.993507008366277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948386428271628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09818427616871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9129952044939755E-3"/>
                  <c:y val="-3.416951606715857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WPŁYWY!$A$42:$A$50</c:f>
              <c:strCache>
                <c:ptCount val="9"/>
                <c:pt idx="0">
                  <c:v>Electricity, gas and other fuels</c:v>
                </c:pt>
                <c:pt idx="1">
                  <c:v>Meat</c:v>
                </c:pt>
                <c:pt idx="2">
                  <c:v>Refuse collection</c:v>
                </c:pt>
                <c:pt idx="3">
                  <c:v>Bread and cereals</c:v>
                </c:pt>
                <c:pt idx="4">
                  <c:v>Insurance</c:v>
                </c:pt>
                <c:pt idx="5">
                  <c:v>Fruit</c:v>
                </c:pt>
                <c:pt idx="6">
                  <c:v>Vegetables</c:v>
                </c:pt>
                <c:pt idx="7">
                  <c:v>Non-alcoholic beverages</c:v>
                </c:pt>
                <c:pt idx="8">
                  <c:v>Fuels for personal transport equipment</c:v>
                </c:pt>
              </c:strCache>
            </c:strRef>
          </c:cat>
          <c:val>
            <c:numRef>
              <c:f>WPŁYWY!$C$42:$C$50</c:f>
              <c:numCache>
                <c:formatCode>0.00</c:formatCode>
                <c:ptCount val="9"/>
                <c:pt idx="0">
                  <c:v>-0.03</c:v>
                </c:pt>
                <c:pt idx="1">
                  <c:v>-0.01</c:v>
                </c:pt>
                <c:pt idx="2">
                  <c:v>0.03</c:v>
                </c:pt>
                <c:pt idx="3">
                  <c:v>0.03</c:v>
                </c:pt>
                <c:pt idx="4">
                  <c:v>0.03</c:v>
                </c:pt>
                <c:pt idx="5">
                  <c:v>0.04</c:v>
                </c:pt>
                <c:pt idx="6">
                  <c:v>0.04</c:v>
                </c:pt>
                <c:pt idx="7">
                  <c:v>0.05</c:v>
                </c:pt>
                <c:pt idx="8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825920"/>
        <c:axId val="163831808"/>
      </c:barChart>
      <c:catAx>
        <c:axId val="163825920"/>
        <c:scaling>
          <c:orientation val="minMax"/>
        </c:scaling>
        <c:delete val="0"/>
        <c:axPos val="l"/>
        <c:numFmt formatCode="@" sourceLinked="0"/>
        <c:majorTickMark val="none"/>
        <c:minorTickMark val="none"/>
        <c:tickLblPos val="low"/>
        <c:spPr>
          <a:noFill/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163831808"/>
        <c:crossesAt val="0"/>
        <c:auto val="1"/>
        <c:lblAlgn val="ctr"/>
        <c:lblOffset val="750"/>
        <c:tickMarkSkip val="1"/>
        <c:noMultiLvlLbl val="0"/>
      </c:catAx>
      <c:valAx>
        <c:axId val="163831808"/>
        <c:scaling>
          <c:orientation val="minMax"/>
          <c:max val="0.15000000000000002"/>
          <c:min val="-5.000000000000001E-2"/>
        </c:scaling>
        <c:delete val="0"/>
        <c:axPos val="b"/>
        <c:majorGridlines>
          <c:spPr>
            <a:ln w="3175">
              <a:solidFill>
                <a:srgbClr val="C0C0C0"/>
              </a:solidFill>
              <a:prstDash val="sysDot"/>
            </a:ln>
          </c:spPr>
        </c:majorGridlines>
        <c:numFmt formatCode="0.00" sourceLinked="1"/>
        <c:majorTickMark val="out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163825920"/>
        <c:crosses val="autoZero"/>
        <c:crossBetween val="between"/>
        <c:majorUnit val="5.000000000000001E-2"/>
        <c:minorUnit val="5.000000000000001E-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187331061229512E-2"/>
          <c:y val="4.8511576626240394E-2"/>
          <c:w val="0.85896472395921109"/>
          <c:h val="0.81880214256569661"/>
        </c:manualLayout>
      </c:layout>
      <c:lineChart>
        <c:grouping val="standard"/>
        <c:varyColors val="0"/>
        <c:ser>
          <c:idx val="0"/>
          <c:order val="0"/>
          <c:spPr>
            <a:ln w="22225">
              <a:solidFill>
                <a:srgbClr val="001D77"/>
              </a:solidFill>
            </a:ln>
          </c:spPr>
          <c:marker>
            <c:symbol val="diamond"/>
            <c:size val="6"/>
            <c:spPr>
              <a:solidFill>
                <a:srgbClr val="001D77"/>
              </a:solidFill>
              <a:ln>
                <a:noFill/>
              </a:ln>
            </c:spPr>
          </c:marker>
          <c:dPt>
            <c:idx val="24"/>
            <c:bubble3D val="0"/>
          </c:dPt>
          <c:dPt>
            <c:idx val="25"/>
            <c:bubble3D val="0"/>
          </c:dPt>
          <c:dLbls>
            <c:dLbl>
              <c:idx val="0"/>
              <c:layout>
                <c:manualLayout>
                  <c:x val="-4.1462322130901709E-2"/>
                  <c:y val="4.1864066666407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082859766814122E-2"/>
                  <c:y val="2.5424524823300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86190088169113E-2"/>
                  <c:y val="2.0937731048057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573981114021586E-2"/>
                  <c:y val="-4.454226972492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599079354789142E-2"/>
                  <c:y val="3.0088453984149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650145085820135E-2"/>
                  <c:y val="-2.7279937179459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247716857724923E-2"/>
                  <c:y val="4.107391800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227975323367521E-2"/>
                  <c:y val="4.1545357936431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5867348435223836E-2"/>
                  <c:y val="3.98871606608057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270582150507206E-2"/>
                  <c:y val="-4.4211051898794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7129501773629281E-2"/>
                  <c:y val="2.5589322579096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6771994710827676E-2"/>
                  <c:y val="9.640789284171107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7965913138518742E-2"/>
                  <c:y val="-4.34774593115367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0444456371647304E-2"/>
                  <c:y val="-2.34607518363819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3773249047039556E-2"/>
                  <c:y val="-2.19875718538586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7036273874512248E-2"/>
                  <c:y val="1.8926723619299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3.5976911103846362E-2"/>
                  <c:y val="4.175601325075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9118164432355619E-2"/>
                  <c:y val="-4.375517387375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9165316280444451E-2"/>
                  <c:y val="4.094532179260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8852143131304185E-2"/>
                  <c:y val="2.56779782720917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3.2935119678364398E-2"/>
                  <c:y val="-4.45502952926702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5.0197574164179297E-2"/>
                  <c:y val="2.5940173123091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5099401505062335E-2"/>
                  <c:y val="2.7965705439271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046740856278519E-2"/>
                      <c:h val="5.7987352364877884E-2"/>
                    </c:manualLayout>
                  </c15:layout>
                </c:ext>
              </c:extLst>
            </c:dLbl>
            <c:dLbl>
              <c:idx val="23"/>
              <c:layout>
                <c:manualLayout>
                  <c:x val="-2.0207080109406424E-2"/>
                  <c:y val="2.4581435829328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2706263649173445E-2"/>
                  <c:y val="-1.17930705636631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0805536778012678E-2"/>
                  <c:y val="3.5187216772928874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000">
                        <a:latin typeface="Fira Sans" pitchFamily="34" charset="0"/>
                        <a:ea typeface="Fira Sans" pitchFamily="34" charset="0"/>
                      </a:defRPr>
                    </a:pPr>
                    <a:r>
                      <a:rPr lang="en-US" sz="800"/>
                      <a:t>0,5</a:t>
                    </a:r>
                  </a:p>
                </c:rich>
              </c:tx>
              <c:spPr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2.3522786084724048E-2"/>
                  <c:y val="2.7183200707218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'M-1'!$B$38:$B$63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'M-1'!$C$38:$C$63</c:f>
              <c:numCache>
                <c:formatCode>0.0</c:formatCode>
                <c:ptCount val="26"/>
                <c:pt idx="0">
                  <c:v>-0.2</c:v>
                </c:pt>
                <c:pt idx="1">
                  <c:v>0.4</c:v>
                </c:pt>
                <c:pt idx="2">
                  <c:v>0.3</c:v>
                </c:pt>
                <c:pt idx="3">
                  <c:v>1.1000000000000001</c:v>
                </c:pt>
                <c:pt idx="4">
                  <c:v>0.2</c:v>
                </c:pt>
                <c:pt idx="5">
                  <c:v>0.3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</c:v>
                </c:pt>
                <c:pt idx="10">
                  <c:v>0.1</c:v>
                </c:pt>
                <c:pt idx="11">
                  <c:v>0.8</c:v>
                </c:pt>
                <c:pt idx="12">
                  <c:v>0.9</c:v>
                </c:pt>
                <c:pt idx="13">
                  <c:v>0.7</c:v>
                </c:pt>
                <c:pt idx="14">
                  <c:v>0.2</c:v>
                </c:pt>
                <c:pt idx="15">
                  <c:v>-0.1</c:v>
                </c:pt>
                <c:pt idx="16">
                  <c:v>-0.2</c:v>
                </c:pt>
                <c:pt idx="17">
                  <c:v>0.6</c:v>
                </c:pt>
                <c:pt idx="18">
                  <c:v>-0.2</c:v>
                </c:pt>
                <c:pt idx="19">
                  <c:v>-0.1</c:v>
                </c:pt>
                <c:pt idx="20">
                  <c:v>0.2</c:v>
                </c:pt>
                <c:pt idx="21">
                  <c:v>0.1</c:v>
                </c:pt>
                <c:pt idx="22">
                  <c:v>0.1</c:v>
                </c:pt>
                <c:pt idx="23">
                  <c:v>0.1</c:v>
                </c:pt>
                <c:pt idx="24">
                  <c:v>1.3</c:v>
                </c:pt>
                <c:pt idx="25">
                  <c:v>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279104"/>
        <c:axId val="69301376"/>
      </c:lineChart>
      <c:dateAx>
        <c:axId val="69279104"/>
        <c:scaling>
          <c:orientation val="minMax"/>
        </c:scaling>
        <c:delete val="0"/>
        <c:axPos val="b"/>
        <c:numFmt formatCode="[$-415]mmmmm;@" sourceLinked="0"/>
        <c:majorTickMark val="out"/>
        <c:minorTickMark val="none"/>
        <c:tickLblPos val="low"/>
        <c:spPr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69301376"/>
        <c:crossesAt val="0"/>
        <c:auto val="0"/>
        <c:lblOffset val="100"/>
        <c:baseTimeUnit val="days"/>
      </c:dateAx>
      <c:valAx>
        <c:axId val="69301376"/>
        <c:scaling>
          <c:orientation val="minMax"/>
          <c:max val="1.6"/>
          <c:min val="-0.60000000000000009"/>
        </c:scaling>
        <c:delete val="0"/>
        <c:axPos val="l"/>
        <c:majorGridlines>
          <c:spPr>
            <a:ln w="3175">
              <a:solidFill>
                <a:schemeClr val="bg1">
                  <a:lumMod val="50000"/>
                </a:schemeClr>
              </a:solidFill>
              <a:prstDash val="sysDot"/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69279104"/>
        <c:crossesAt val="1"/>
        <c:crossBetween val="between"/>
        <c:majorUnit val="0.2"/>
        <c:minorUnit val="0.1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187331061229512E-2"/>
          <c:y val="4.8511576626240394E-2"/>
          <c:w val="0.85896472395921109"/>
          <c:h val="0.81880214256569661"/>
        </c:manualLayout>
      </c:layout>
      <c:lineChart>
        <c:grouping val="standard"/>
        <c:varyColors val="0"/>
        <c:ser>
          <c:idx val="0"/>
          <c:order val="0"/>
          <c:spPr>
            <a:ln w="22225">
              <a:solidFill>
                <a:srgbClr val="001D77"/>
              </a:solidFill>
            </a:ln>
          </c:spPr>
          <c:marker>
            <c:symbol val="diamond"/>
            <c:size val="6"/>
            <c:spPr>
              <a:solidFill>
                <a:srgbClr val="001D77"/>
              </a:solidFill>
              <a:ln>
                <a:noFill/>
              </a:ln>
            </c:spPr>
          </c:marker>
          <c:dPt>
            <c:idx val="24"/>
            <c:bubble3D val="0"/>
          </c:dPt>
          <c:dPt>
            <c:idx val="27"/>
            <c:marker>
              <c:symbol val="diamond"/>
              <c:size val="8"/>
              <c:spPr>
                <a:solidFill>
                  <a:srgbClr val="008542"/>
                </a:solidFill>
                <a:ln>
                  <a:noFill/>
                </a:ln>
              </c:spPr>
            </c:marker>
            <c:bubble3D val="0"/>
          </c:dPt>
          <c:dLbls>
            <c:dLbl>
              <c:idx val="0"/>
              <c:layout>
                <c:manualLayout>
                  <c:x val="-3.6712576468564982E-2"/>
                  <c:y val="-5.03081221470171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385861817637717E-2"/>
                  <c:y val="-2.5356108609086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868407881250148E-2"/>
                  <c:y val="-3.5217877234158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0083590846914286E-2"/>
                  <c:y val="-3.0561633815515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107876545614117E-2"/>
                  <c:y val="-3.9890996379663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7613921579997982E-2"/>
                  <c:y val="-4.0131046828641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265991626910811E-2"/>
                  <c:y val="-4.14095702817566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9124135916658552E-2"/>
                  <c:y val="-4.13391311191563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0799351293540451E-2"/>
                  <c:y val="-4.2914604213421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197722914833453E-2"/>
                  <c:y val="-4.1308898139890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2248120674167937E-2"/>
                  <c:y val="-4.0655920751477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484229051433112E-2"/>
                  <c:y val="1.7395938664863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7786713153240278E-2"/>
                  <c:y val="-2.5901657031163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4.0220935206238491E-2"/>
                  <c:y val="-4.1155862544958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8683374165693573E-2"/>
                  <c:y val="-2.97780486507808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889246059500914E-2"/>
                      <c:h val="5.7450489075958532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5.5357354447323932E-2"/>
                  <c:y val="1.916548673847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5.3240754319135199E-2"/>
                  <c:y val="2.7510543188418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5.6745413967879209E-2"/>
                  <c:y val="-4.516224361791500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1570155566687668E-2"/>
                  <c:y val="2.8357121041210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8602916634447766E-2"/>
                  <c:y val="2.7893032710210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5437716817087035E-2"/>
                  <c:y val="-1.5700344191211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7889132778578794E-2"/>
                  <c:y val="-2.5197401542957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9.2118029703970143E-3"/>
                  <c:y val="-5.644608882538784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940024231140017E-2"/>
                      <c:h val="6.2314612858493025E-2"/>
                    </c:manualLayout>
                  </c15:layout>
                </c:ext>
              </c:extLst>
            </c:dLbl>
            <c:dLbl>
              <c:idx val="23"/>
              <c:layout>
                <c:manualLayout>
                  <c:x val="-2.5182942264628565E-2"/>
                  <c:y val="3.6587045490319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0220578893524733E-2"/>
                  <c:y val="-3.5661391992567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2.31383842691824E-2"/>
                  <c:y val="3.6824473683294438E-2"/>
                </c:manualLayout>
              </c:layout>
              <c:spPr/>
              <c:txPr>
                <a:bodyPr anchor="t" anchorCtr="0"/>
                <a:lstStyle/>
                <a:p>
                  <a:pPr algn="ctr" rtl="0">
                    <a:defRPr lang="en-US" sz="800" b="0" i="0" u="none" strike="noStrike" kern="1200" baseline="0">
                      <a:solidFill>
                        <a:sysClr val="windowText" lastClr="000000"/>
                      </a:solidFill>
                      <a:latin typeface="Fira Sans" pitchFamily="34" charset="0"/>
                      <a:ea typeface="Fira Sans" pitchFamily="34" charset="0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961411244358282E-2"/>
                      <c:h val="5.713281828994788E-2"/>
                    </c:manualLayout>
                  </c15:layout>
                </c:ext>
              </c:extLst>
            </c:dLbl>
            <c:dLbl>
              <c:idx val="26"/>
              <c:layout>
                <c:manualLayout>
                  <c:x val="-2.8956234871554618E-2"/>
                  <c:y val="-3.61361882716049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9224093677136003E-2"/>
                  <c:y val="-3.42589929418557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'M-12 (+FE)'!$B$38:$B$63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'M-12 (+FE)'!$D$38:$D$63</c:f>
              <c:numCache>
                <c:formatCode>0.0</c:formatCode>
                <c:ptCount val="26"/>
                <c:pt idx="0">
                  <c:v>0.7</c:v>
                </c:pt>
                <c:pt idx="1">
                  <c:v>1.2</c:v>
                </c:pt>
                <c:pt idx="2">
                  <c:v>1.7</c:v>
                </c:pt>
                <c:pt idx="3">
                  <c:v>2.2000000000000002</c:v>
                </c:pt>
                <c:pt idx="4">
                  <c:v>2.4</c:v>
                </c:pt>
                <c:pt idx="5">
                  <c:v>2.6</c:v>
                </c:pt>
                <c:pt idx="6">
                  <c:v>2.9</c:v>
                </c:pt>
                <c:pt idx="7">
                  <c:v>2.9</c:v>
                </c:pt>
                <c:pt idx="8">
                  <c:v>2.6</c:v>
                </c:pt>
                <c:pt idx="9">
                  <c:v>2.5</c:v>
                </c:pt>
                <c:pt idx="10">
                  <c:v>2.6</c:v>
                </c:pt>
                <c:pt idx="11">
                  <c:v>3.4</c:v>
                </c:pt>
                <c:pt idx="12">
                  <c:v>4.3</c:v>
                </c:pt>
                <c:pt idx="13">
                  <c:v>4.7</c:v>
                </c:pt>
                <c:pt idx="14">
                  <c:v>4.5999999999999996</c:v>
                </c:pt>
                <c:pt idx="15">
                  <c:v>3.4</c:v>
                </c:pt>
                <c:pt idx="16">
                  <c:v>2.9</c:v>
                </c:pt>
                <c:pt idx="17">
                  <c:v>3.3</c:v>
                </c:pt>
                <c:pt idx="18">
                  <c:v>3</c:v>
                </c:pt>
                <c:pt idx="19">
                  <c:v>2.9</c:v>
                </c:pt>
                <c:pt idx="20">
                  <c:v>3.2</c:v>
                </c:pt>
                <c:pt idx="21">
                  <c:v>3.1</c:v>
                </c:pt>
                <c:pt idx="22">
                  <c:v>3</c:v>
                </c:pt>
                <c:pt idx="23">
                  <c:v>2.4</c:v>
                </c:pt>
                <c:pt idx="24">
                  <c:v>2.6</c:v>
                </c:pt>
                <c:pt idx="25">
                  <c:v>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776512"/>
        <c:axId val="69778048"/>
      </c:lineChart>
      <c:dateAx>
        <c:axId val="69776512"/>
        <c:scaling>
          <c:orientation val="minMax"/>
        </c:scaling>
        <c:delete val="0"/>
        <c:axPos val="b"/>
        <c:numFmt formatCode="[$-415]mmmmm;@" sourceLinked="0"/>
        <c:majorTickMark val="out"/>
        <c:minorTickMark val="none"/>
        <c:tickLblPos val="low"/>
        <c:spPr>
          <a:ln w="6350"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69778048"/>
        <c:crossesAt val="0"/>
        <c:auto val="0"/>
        <c:lblOffset val="100"/>
        <c:baseTimeUnit val="days"/>
      </c:dateAx>
      <c:valAx>
        <c:axId val="69778048"/>
        <c:scaling>
          <c:orientation val="minMax"/>
          <c:max val="5"/>
          <c:min val="0"/>
        </c:scaling>
        <c:delete val="0"/>
        <c:axPos val="l"/>
        <c:majorGridlines>
          <c:spPr>
            <a:ln w="3175">
              <a:solidFill>
                <a:schemeClr val="bg1">
                  <a:lumMod val="50000"/>
                </a:schemeClr>
              </a:solidFill>
              <a:prstDash val="sysDot"/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en-US"/>
          </a:p>
        </c:txPr>
        <c:crossAx val="69776512"/>
        <c:crossesAt val="1"/>
        <c:crossBetween val="between"/>
        <c:majorUnit val="0.5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03308106031142E-2"/>
          <c:y val="5.2791985907422512E-2"/>
          <c:w val="0.86402212918953414"/>
          <c:h val="0.80215749189155816"/>
        </c:manualLayout>
      </c:layout>
      <c:lineChart>
        <c:grouping val="standard"/>
        <c:varyColors val="0"/>
        <c:ser>
          <c:idx val="0"/>
          <c:order val="0"/>
          <c:tx>
            <c:strRef>
              <c:f>'CPI_HICP m-12'!$B$2:$C$2</c:f>
              <c:strCache>
                <c:ptCount val="1"/>
                <c:pt idx="0">
                  <c:v>CPI</c:v>
                </c:pt>
              </c:strCache>
            </c:strRef>
          </c:tx>
          <c:spPr>
            <a:ln w="1905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'CPI_HICP m-12'!$B$39:$B$64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'CPI_HICP m-12'!$C$39:$C$64</c:f>
              <c:numCache>
                <c:formatCode>0.0</c:formatCode>
                <c:ptCount val="26"/>
                <c:pt idx="0">
                  <c:v>0.7</c:v>
                </c:pt>
                <c:pt idx="1">
                  <c:v>1.2</c:v>
                </c:pt>
                <c:pt idx="2">
                  <c:v>1.7</c:v>
                </c:pt>
                <c:pt idx="3">
                  <c:v>2.2000000000000002</c:v>
                </c:pt>
                <c:pt idx="4">
                  <c:v>2.4</c:v>
                </c:pt>
                <c:pt idx="5">
                  <c:v>2.6</c:v>
                </c:pt>
                <c:pt idx="6">
                  <c:v>2.9</c:v>
                </c:pt>
                <c:pt idx="7">
                  <c:v>2.9</c:v>
                </c:pt>
                <c:pt idx="8">
                  <c:v>2.6</c:v>
                </c:pt>
                <c:pt idx="9">
                  <c:v>2.5</c:v>
                </c:pt>
                <c:pt idx="10">
                  <c:v>2.6</c:v>
                </c:pt>
                <c:pt idx="11">
                  <c:v>3.4</c:v>
                </c:pt>
                <c:pt idx="12">
                  <c:v>4.3</c:v>
                </c:pt>
                <c:pt idx="13">
                  <c:v>4.7</c:v>
                </c:pt>
                <c:pt idx="14">
                  <c:v>4.5999999999999996</c:v>
                </c:pt>
                <c:pt idx="15">
                  <c:v>3.4</c:v>
                </c:pt>
                <c:pt idx="16">
                  <c:v>2.9</c:v>
                </c:pt>
                <c:pt idx="17">
                  <c:v>3.3</c:v>
                </c:pt>
                <c:pt idx="18">
                  <c:v>3</c:v>
                </c:pt>
                <c:pt idx="19">
                  <c:v>2.9</c:v>
                </c:pt>
                <c:pt idx="20">
                  <c:v>3.2</c:v>
                </c:pt>
                <c:pt idx="21">
                  <c:v>3.1</c:v>
                </c:pt>
                <c:pt idx="22">
                  <c:v>3</c:v>
                </c:pt>
                <c:pt idx="23">
                  <c:v>2.4</c:v>
                </c:pt>
                <c:pt idx="24">
                  <c:v>2.6</c:v>
                </c:pt>
                <c:pt idx="25">
                  <c:v>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'CPI_HICP m-12'!$D$2:$E$2</c:f>
              <c:strCache>
                <c:ptCount val="1"/>
                <c:pt idx="0">
                  <c:v>HICP</c:v>
                </c:pt>
              </c:strCache>
            </c:strRef>
          </c:tx>
          <c:spPr>
            <a:ln w="19050">
              <a:solidFill>
                <a:srgbClr val="99A5C9"/>
              </a:solidFill>
            </a:ln>
          </c:spPr>
          <c:marker>
            <c:symbol val="none"/>
          </c:marker>
          <c:cat>
            <c:strRef>
              <c:f>'CPI_HICP m-12'!$B$39:$B$64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'CPI_HICP m-12'!$E$39:$E$64</c:f>
              <c:numCache>
                <c:formatCode>0.0</c:formatCode>
                <c:ptCount val="26"/>
                <c:pt idx="0">
                  <c:v>0.6</c:v>
                </c:pt>
                <c:pt idx="1">
                  <c:v>1.3</c:v>
                </c:pt>
                <c:pt idx="2">
                  <c:v>1.7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2.5</c:v>
                </c:pt>
                <c:pt idx="7">
                  <c:v>2.6</c:v>
                </c:pt>
                <c:pt idx="8">
                  <c:v>2.4</c:v>
                </c:pt>
                <c:pt idx="9">
                  <c:v>2.2999999999999998</c:v>
                </c:pt>
                <c:pt idx="10">
                  <c:v>2.4</c:v>
                </c:pt>
                <c:pt idx="11">
                  <c:v>3</c:v>
                </c:pt>
                <c:pt idx="12">
                  <c:v>3.8</c:v>
                </c:pt>
                <c:pt idx="13">
                  <c:v>4.0999999999999996</c:v>
                </c:pt>
                <c:pt idx="14">
                  <c:v>3.9</c:v>
                </c:pt>
                <c:pt idx="15">
                  <c:v>2.9</c:v>
                </c:pt>
                <c:pt idx="16">
                  <c:v>3.4</c:v>
                </c:pt>
                <c:pt idx="17">
                  <c:v>3.8</c:v>
                </c:pt>
                <c:pt idx="18">
                  <c:v>3.7</c:v>
                </c:pt>
                <c:pt idx="19">
                  <c:v>3.7</c:v>
                </c:pt>
                <c:pt idx="20">
                  <c:v>3.8</c:v>
                </c:pt>
                <c:pt idx="21">
                  <c:v>3.8</c:v>
                </c:pt>
                <c:pt idx="22">
                  <c:v>3.7</c:v>
                </c:pt>
                <c:pt idx="23">
                  <c:v>3.4</c:v>
                </c:pt>
                <c:pt idx="24">
                  <c:v>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525888"/>
        <c:axId val="69527424"/>
      </c:lineChart>
      <c:catAx>
        <c:axId val="69525888"/>
        <c:scaling>
          <c:orientation val="minMax"/>
        </c:scaling>
        <c:delete val="0"/>
        <c:axPos val="b"/>
        <c:numFmt formatCode="d/mm" sourceLinked="0"/>
        <c:majorTickMark val="out"/>
        <c:minorTickMark val="none"/>
        <c:tickLblPos val="low"/>
        <c:spPr>
          <a:ln w="3175">
            <a:solidFill>
              <a:schemeClr val="bg1">
                <a:lumMod val="50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en-US"/>
          </a:p>
        </c:txPr>
        <c:crossAx val="69527424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69527424"/>
        <c:scaling>
          <c:orientation val="minMax"/>
          <c:max val="5"/>
          <c:min val="0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ot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en-US"/>
          </a:p>
        </c:txPr>
        <c:crossAx val="69525888"/>
        <c:crosses val="autoZero"/>
        <c:crossBetween val="between"/>
        <c:majorUnit val="1"/>
        <c:minorUnit val="0.1"/>
      </c:valAx>
      <c:spPr>
        <a:noFill/>
        <a:ln w="3175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80241510613166744"/>
          <c:y val="0.62394012961532352"/>
          <c:w val="0.11602738896666102"/>
          <c:h val="0.14737378640231696"/>
        </c:manualLayout>
      </c:layout>
      <c:overlay val="0"/>
      <c:spPr>
        <a:noFill/>
        <a:ln w="38100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Arial CE"/>
            </a:defRPr>
          </a:pPr>
          <a:endParaRPr lang="en-US"/>
        </a:p>
      </c:txPr>
    </c:legend>
    <c:plotVisOnly val="0"/>
    <c:dispBlanksAs val="gap"/>
    <c:showDLblsOverMax val="0"/>
  </c:chart>
  <c:spPr>
    <a:noFill/>
    <a:ln w="9525">
      <a:noFill/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0.46853</cdr:x>
      <cdr:y>0.8675</cdr:y>
    </cdr:from>
    <cdr:to>
      <cdr:x>0.46896</cdr:x>
      <cdr:y>0.94397</cdr:y>
    </cdr:to>
    <cdr:sp macro="" textlink="">
      <cdr:nvSpPr>
        <cdr:cNvPr id="7" name="Łącznik prosty 6"/>
        <cdr:cNvSpPr/>
      </cdr:nvSpPr>
      <cdr:spPr bwMode="auto">
        <a:xfrm xmlns:a="http://schemas.openxmlformats.org/drawingml/2006/main" flipH="1" flipV="1">
          <a:off x="2405330" y="2225753"/>
          <a:ext cx="2208" cy="196199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pl-PL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0.06988</cdr:x>
      <cdr:y>0.93898</cdr:y>
    </cdr:from>
    <cdr:to>
      <cdr:x>0.64722</cdr:x>
      <cdr:y>0.99323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358042" y="2444751"/>
          <a:ext cx="2958124" cy="1412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0.06721</cdr:x>
      <cdr:y>0.9279</cdr:y>
    </cdr:from>
    <cdr:to>
      <cdr:x>0.48735</cdr:x>
      <cdr:y>0.99268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344362" y="2371725"/>
          <a:ext cx="2152654" cy="1655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0.06738</cdr:x>
      <cdr:y>0.9299</cdr:y>
    </cdr:from>
    <cdr:to>
      <cdr:x>0.47</cdr:x>
      <cdr:y>0.99126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345913" y="2385843"/>
          <a:ext cx="2066930" cy="1574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0.46806</cdr:x>
      <cdr:y>0.92877</cdr:y>
    </cdr:from>
    <cdr:to>
      <cdr:x>0.86432</cdr:x>
      <cdr:y>0.99212</cdr:y>
    </cdr:to>
    <cdr:sp macro="" textlink="">
      <cdr:nvSpPr>
        <cdr:cNvPr id="56" name="pole tekstowe 1"/>
        <cdr:cNvSpPr txBox="1"/>
      </cdr:nvSpPr>
      <cdr:spPr>
        <a:xfrm xmlns:a="http://schemas.openxmlformats.org/drawingml/2006/main">
          <a:off x="2398723" y="2401671"/>
          <a:ext cx="2030731" cy="1638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2020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0.86432</cdr:x>
      <cdr:y>0.92414</cdr:y>
    </cdr:from>
    <cdr:to>
      <cdr:x>0.92974</cdr:x>
      <cdr:y>0.99136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4429454" y="2389705"/>
          <a:ext cx="335280" cy="1738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0.86411</cdr:x>
      <cdr:y>0.86847</cdr:y>
    </cdr:from>
    <cdr:to>
      <cdr:x>0.86454</cdr:x>
      <cdr:y>0.94494</cdr:y>
    </cdr:to>
    <cdr:sp macro="" textlink="">
      <cdr:nvSpPr>
        <cdr:cNvPr id="10" name="Łącznik prosty 6"/>
        <cdr:cNvSpPr/>
      </cdr:nvSpPr>
      <cdr:spPr bwMode="auto">
        <a:xfrm xmlns:a="http://schemas.openxmlformats.org/drawingml/2006/main" flipH="1" flipV="1">
          <a:off x="4428401" y="2245759"/>
          <a:ext cx="2204" cy="197742"/>
        </a:xfrm>
        <a:prstGeom xmlns:a="http://schemas.openxmlformats.org/drawingml/2006/main" prst="line">
          <a:avLst/>
        </a:prstGeom>
        <a:ln xmlns:a="http://schemas.openxmlformats.org/drawingml/2006/main" w="6350">
          <a:solidFill>
            <a:schemeClr val="tx1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0.06595</cdr:x>
      <cdr:y>0.45677</cdr:y>
    </cdr:from>
    <cdr:to>
      <cdr:x>0.92602</cdr:x>
      <cdr:y>0.45679</cdr:y>
    </cdr:to>
    <cdr:sp macro="" textlink="">
      <cdr:nvSpPr>
        <cdr:cNvPr id="11" name="Łącznik prosty 10"/>
        <cdr:cNvSpPr/>
      </cdr:nvSpPr>
      <cdr:spPr bwMode="auto">
        <a:xfrm xmlns:a="http://schemas.openxmlformats.org/drawingml/2006/main" flipV="1">
          <a:off x="338518" y="1173355"/>
          <a:ext cx="4414515" cy="51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0.09502</cdr:x>
      <cdr:y>0.93504</cdr:y>
    </cdr:from>
    <cdr:to>
      <cdr:x>0.44296</cdr:x>
      <cdr:y>1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485657" y="2412651"/>
          <a:ext cx="1778364" cy="167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0.06639</cdr:x>
      <cdr:y>0.93049</cdr:y>
    </cdr:from>
    <cdr:to>
      <cdr:x>0.46539</cdr:x>
      <cdr:y>0.99633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341169" y="2389435"/>
          <a:ext cx="2050416" cy="1690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0.067</cdr:x>
      <cdr:y>0.62248</cdr:y>
    </cdr:from>
    <cdr:to>
      <cdr:x>0.92803</cdr:x>
      <cdr:y>0.62276</cdr:y>
    </cdr:to>
    <cdr:sp macro="" textlink="">
      <cdr:nvSpPr>
        <cdr:cNvPr id="14" name="Łącznik prosty 13"/>
        <cdr:cNvSpPr/>
      </cdr:nvSpPr>
      <cdr:spPr bwMode="auto">
        <a:xfrm xmlns:a="http://schemas.openxmlformats.org/drawingml/2006/main">
          <a:off x="342442" y="1606171"/>
          <a:ext cx="4400791" cy="722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prstDash val="sysDot"/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0.06986</cdr:x>
      <cdr:y>0.29115</cdr:y>
    </cdr:from>
    <cdr:to>
      <cdr:x>0.92444</cdr:x>
      <cdr:y>0.29664</cdr:y>
    </cdr:to>
    <cdr:sp macro="" textlink="">
      <cdr:nvSpPr>
        <cdr:cNvPr id="15" name="Łącznik prosty 14"/>
        <cdr:cNvSpPr/>
      </cdr:nvSpPr>
      <cdr:spPr bwMode="auto">
        <a:xfrm xmlns:a="http://schemas.openxmlformats.org/drawingml/2006/main">
          <a:off x="357287" y="764521"/>
          <a:ext cx="4370608" cy="1441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ysClr val="windowText" lastClr="000000"/>
          </a:solidFill>
          <a:prstDash val="sysDot"/>
          <a:headEnd type="none" w="med" len="med"/>
          <a:tailEnd type="none" w="med" len="med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0.06735</cdr:x>
      <cdr:y>0.92877</cdr:y>
    </cdr:from>
    <cdr:to>
      <cdr:x>0.46515</cdr:x>
      <cdr:y>1</cdr:y>
    </cdr:to>
    <cdr:sp macro="" textlink="">
      <cdr:nvSpPr>
        <cdr:cNvPr id="21" name="pole tekstowe 1"/>
        <cdr:cNvSpPr txBox="1"/>
      </cdr:nvSpPr>
      <cdr:spPr>
        <a:xfrm xmlns:a="http://schemas.openxmlformats.org/drawingml/2006/main">
          <a:off x="344574" y="2401217"/>
          <a:ext cx="2035239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0.46515</cdr:x>
      <cdr:y>0.92877</cdr:y>
    </cdr:from>
    <cdr:to>
      <cdr:x>0.86179</cdr:x>
      <cdr:y>1</cdr:y>
    </cdr:to>
    <cdr:sp macro="" textlink="">
      <cdr:nvSpPr>
        <cdr:cNvPr id="22" name="pole tekstowe 1"/>
        <cdr:cNvSpPr txBox="1"/>
      </cdr:nvSpPr>
      <cdr:spPr>
        <a:xfrm xmlns:a="http://schemas.openxmlformats.org/drawingml/2006/main">
          <a:off x="2379813" y="2401217"/>
          <a:ext cx="2029239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2020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0.46596</cdr:x>
      <cdr:y>0.86995</cdr:y>
    </cdr:from>
    <cdr:to>
      <cdr:x>0.46607</cdr:x>
      <cdr:y>0.95321</cdr:y>
    </cdr:to>
    <cdr:sp macro="" textlink="">
      <cdr:nvSpPr>
        <cdr:cNvPr id="23" name="Łącznik prosty 22"/>
        <cdr:cNvSpPr/>
      </cdr:nvSpPr>
      <cdr:spPr bwMode="auto">
        <a:xfrm xmlns:a="http://schemas.openxmlformats.org/drawingml/2006/main" flipV="1">
          <a:off x="2383955" y="2249141"/>
          <a:ext cx="539" cy="21527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0.15406</cdr:x>
      <cdr:y>0.22052</cdr:y>
    </cdr:from>
    <cdr:to>
      <cdr:x>0.4541</cdr:x>
      <cdr:y>0.29942</cdr:y>
    </cdr:to>
    <cdr:sp macro="" textlink="">
      <cdr:nvSpPr>
        <cdr:cNvPr id="24" name="pole tekstowe 1"/>
        <cdr:cNvSpPr txBox="1"/>
      </cdr:nvSpPr>
      <cdr:spPr>
        <a:xfrm xmlns:a="http://schemas.openxmlformats.org/drawingml/2006/main">
          <a:off x="788200" y="570124"/>
          <a:ext cx="1535057" cy="2039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Deviation from inflation target</a:t>
          </a:r>
        </a:p>
      </cdr:txBody>
    </cdr:sp>
  </cdr:relSizeAnchor>
  <cdr:relSizeAnchor xmlns:cdr="http://schemas.openxmlformats.org/drawingml/2006/chartDrawing">
    <cdr:from>
      <cdr:x>0.15139</cdr:x>
      <cdr:y>0.62013</cdr:y>
    </cdr:from>
    <cdr:to>
      <cdr:x>0.43258</cdr:x>
      <cdr:y>0.69902</cdr:y>
    </cdr:to>
    <cdr:sp macro="" textlink="">
      <cdr:nvSpPr>
        <cdr:cNvPr id="25" name="pole tekstowe 1"/>
        <cdr:cNvSpPr txBox="1"/>
      </cdr:nvSpPr>
      <cdr:spPr>
        <a:xfrm xmlns:a="http://schemas.openxmlformats.org/drawingml/2006/main">
          <a:off x="774546" y="1603258"/>
          <a:ext cx="1438617" cy="2039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700" b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" pitchFamily="34" charset="0"/>
            </a:rPr>
            <a:t>Deviation from inflation target</a:t>
          </a:r>
        </a:p>
      </cdr:txBody>
    </cdr:sp>
  </cdr:relSizeAnchor>
  <cdr:relSizeAnchor xmlns:cdr="http://schemas.openxmlformats.org/drawingml/2006/chartDrawing">
    <cdr:from>
      <cdr:x>0.43038</cdr:x>
      <cdr:y>0.45196</cdr:y>
    </cdr:from>
    <cdr:to>
      <cdr:x>0.61955</cdr:x>
      <cdr:y>0.53876</cdr:y>
    </cdr:to>
    <cdr:sp macro="" textlink="">
      <cdr:nvSpPr>
        <cdr:cNvPr id="16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01886" y="1168480"/>
          <a:ext cx="967827" cy="2244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27432" bIns="22860" anchor="ctr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 rtl="0">
            <a:defRPr sz="1000"/>
          </a:pPr>
          <a:r>
            <a:rPr lang="pl-PL" sz="700" b="0" i="0" u="none" strike="noStrike" baseline="0">
              <a:solidFill>
                <a:sysClr val="windowText" lastClr="000000"/>
              </a:solidFill>
              <a:latin typeface="Fira Sans" pitchFamily="34" charset="0"/>
              <a:ea typeface="Fira Sans" pitchFamily="34" charset="0"/>
              <a:cs typeface="Arial CE"/>
            </a:rPr>
            <a:t>Inflation target 2,5</a:t>
          </a:r>
        </a:p>
      </cdr:txBody>
    </cdr:sp>
  </cdr:relSizeAnchor>
  <cdr:relSizeAnchor xmlns:cdr="http://schemas.openxmlformats.org/drawingml/2006/chartDrawing">
    <cdr:from>
      <cdr:x>0.86168</cdr:x>
      <cdr:y>0.86807</cdr:y>
    </cdr:from>
    <cdr:to>
      <cdr:x>0.86202</cdr:x>
      <cdr:y>0.95178</cdr:y>
    </cdr:to>
    <cdr:sp macro="" textlink="">
      <cdr:nvSpPr>
        <cdr:cNvPr id="17" name="Łącznik prosty 22"/>
        <cdr:cNvSpPr/>
      </cdr:nvSpPr>
      <cdr:spPr bwMode="auto">
        <a:xfrm xmlns:a="http://schemas.openxmlformats.org/drawingml/2006/main" flipH="1" flipV="1">
          <a:off x="4408508" y="2244289"/>
          <a:ext cx="1740" cy="2164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0.86098</cdr:x>
      <cdr:y>0.92877</cdr:y>
    </cdr:from>
    <cdr:to>
      <cdr:x>0.92735</cdr:x>
      <cdr:y>1</cdr:y>
    </cdr:to>
    <cdr:sp macro="" textlink="">
      <cdr:nvSpPr>
        <cdr:cNvPr id="18" name="pole tekstowe 1"/>
        <cdr:cNvSpPr txBox="1"/>
      </cdr:nvSpPr>
      <cdr:spPr>
        <a:xfrm xmlns:a="http://schemas.openxmlformats.org/drawingml/2006/main">
          <a:off x="4404912" y="2401217"/>
          <a:ext cx="339586" cy="18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0.06337</cdr:x>
      <cdr:y>0.0639</cdr:y>
    </cdr:from>
    <cdr:to>
      <cdr:x>0.12174</cdr:x>
      <cdr:y>0.18421</cdr:y>
    </cdr:to>
    <cdr:sp macro="" textlink="">
      <cdr:nvSpPr>
        <cdr:cNvPr id="135168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4736" y="165552"/>
          <a:ext cx="299115" cy="3116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0.0649</cdr:x>
      <cdr:y>0.92017</cdr:y>
    </cdr:from>
    <cdr:to>
      <cdr:x>0.55999</cdr:x>
      <cdr:y>0.9836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333375" y="2333624"/>
          <a:ext cx="2543175" cy="160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0.08308</cdr:x>
      <cdr:y>0.92137</cdr:y>
    </cdr:from>
    <cdr:to>
      <cdr:x>0.45083</cdr:x>
      <cdr:y>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424455" y="2372591"/>
          <a:ext cx="1878863" cy="202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0.06424</cdr:x>
      <cdr:y>0.91859</cdr:y>
    </cdr:from>
    <cdr:to>
      <cdr:x>0.46529</cdr:x>
      <cdr:y>0.98915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328765" y="2311199"/>
          <a:ext cx="2052485" cy="1775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800">
              <a:latin typeface="Fira Sans" pitchFamily="34" charset="0"/>
              <a:ea typeface="Fira Sans" pitchFamily="34" charset="0"/>
            </a:rPr>
            <a:t>2019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  <cdr:relSizeAnchor xmlns:cdr="http://schemas.openxmlformats.org/drawingml/2006/chartDrawing">
    <cdr:from>
      <cdr:x>0.46406</cdr:x>
      <cdr:y>0.85689</cdr:y>
    </cdr:from>
    <cdr:to>
      <cdr:x>0.46441</cdr:x>
      <cdr:y>0.94048</cdr:y>
    </cdr:to>
    <cdr:sp macro="" textlink="">
      <cdr:nvSpPr>
        <cdr:cNvPr id="10" name="Łącznik prosty 8"/>
        <cdr:cNvSpPr/>
      </cdr:nvSpPr>
      <cdr:spPr bwMode="auto">
        <a:xfrm xmlns:a="http://schemas.openxmlformats.org/drawingml/2006/main" flipV="1">
          <a:off x="2383806" y="2171261"/>
          <a:ext cx="1798" cy="21180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0.86257</cdr:x>
      <cdr:y>0.85305</cdr:y>
    </cdr:from>
    <cdr:to>
      <cdr:x>0.86292</cdr:x>
      <cdr:y>0.93664</cdr:y>
    </cdr:to>
    <cdr:sp macro="" textlink="">
      <cdr:nvSpPr>
        <cdr:cNvPr id="9" name="Łącznik prosty 8"/>
        <cdr:cNvSpPr/>
      </cdr:nvSpPr>
      <cdr:spPr bwMode="auto">
        <a:xfrm xmlns:a="http://schemas.openxmlformats.org/drawingml/2006/main" flipV="1">
          <a:off x="4414440" y="2146300"/>
          <a:ext cx="1791" cy="2103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6350" cap="flat" cmpd="sng" algn="ctr">
          <a:solidFill>
            <a:sysClr val="windowText" lastClr="000000"/>
          </a:solidFill>
          <a:prstDash val="solid"/>
          <a:miter lim="800000"/>
          <a:headEnd type="none" w="med" len="med"/>
          <a:tailEnd type="none" w="med" len="med"/>
        </a:ln>
        <a:effectLst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0.46475</cdr:x>
      <cdr:y>0.92285</cdr:y>
    </cdr:from>
    <cdr:to>
      <cdr:x>0.93381</cdr:x>
      <cdr:y>0.99054</cdr:y>
    </cdr:to>
    <cdr:sp macro="" textlink="">
      <cdr:nvSpPr>
        <cdr:cNvPr id="11" name="pole tekstowe 1"/>
        <cdr:cNvSpPr txBox="1"/>
      </cdr:nvSpPr>
      <cdr:spPr>
        <a:xfrm xmlns:a="http://schemas.openxmlformats.org/drawingml/2006/main">
          <a:off x="2378342" y="2321781"/>
          <a:ext cx="2400392" cy="17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itchFamily="34" charset="0"/>
              <a:ea typeface="Fira Sans" pitchFamily="34" charset="0"/>
            </a:rPr>
            <a:t>2020                                   2021</a:t>
          </a:r>
          <a:endParaRPr lang="pl-PL" sz="700">
            <a:latin typeface="Fira Sans" pitchFamily="34" charset="0"/>
            <a:ea typeface="Fira Sans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30d47203-49ec-4c8c-a442-62231931aab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DEDE07-8590-4A48-85C6-1C730375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8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2020-03-13T08:25:00Z</cp:lastPrinted>
  <dcterms:created xsi:type="dcterms:W3CDTF">2021-03-14T16:54:00Z</dcterms:created>
  <dcterms:modified xsi:type="dcterms:W3CDTF">2021-03-16T12:44:00Z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