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E87156" w:rsidRDefault="00E87156" w:rsidP="00685123">
      <w:pPr>
        <w:pStyle w:val="tytuinformacji"/>
        <w:rPr>
          <w:shd w:val="clear" w:color="auto" w:fill="FFFFFF"/>
          <w:lang w:val="en-GB"/>
        </w:rPr>
      </w:pPr>
      <w:bookmarkStart w:id="0" w:name="_GoBack"/>
      <w:bookmarkEnd w:id="0"/>
      <w:r w:rsidRPr="00E87156">
        <w:rPr>
          <w:lang w:val="en-GB"/>
        </w:rPr>
        <w:t>Consumer price indices in January 2021</w:t>
      </w:r>
      <w:r w:rsidRPr="00E87156">
        <w:rPr>
          <w:lang w:val="en-GB"/>
        </w:rPr>
        <w:br/>
      </w:r>
      <w:r w:rsidR="00685123" w:rsidRPr="00E87156">
        <w:rPr>
          <w:lang w:val="en-GB"/>
        </w:rPr>
        <w:t>(</w:t>
      </w:r>
      <w:r w:rsidRPr="00852FD5">
        <w:rPr>
          <w:lang w:val="en-GB"/>
        </w:rPr>
        <w:t>preliminary data</w:t>
      </w:r>
      <w:r w:rsidR="00A54FF9" w:rsidRPr="00072E75">
        <w:rPr>
          <w:vertAlign w:val="superscript"/>
        </w:rPr>
        <w:footnoteReference w:id="1"/>
      </w:r>
      <w:r w:rsidR="00685123" w:rsidRPr="00E87156">
        <w:rPr>
          <w:lang w:val="en-GB"/>
        </w:rPr>
        <w:t>)</w:t>
      </w:r>
    </w:p>
    <w:p w:rsidR="00393761" w:rsidRPr="00E87156" w:rsidRDefault="00393761" w:rsidP="00074DD8">
      <w:pPr>
        <w:pStyle w:val="tytuinformacji"/>
        <w:rPr>
          <w:sz w:val="32"/>
          <w:highlight w:val="yellow"/>
          <w:lang w:val="en-GB"/>
        </w:rPr>
      </w:pPr>
    </w:p>
    <w:p w:rsidR="00083159" w:rsidRPr="00B630E4" w:rsidRDefault="00B630E4" w:rsidP="00685123">
      <w:pPr>
        <w:pStyle w:val="LID"/>
        <w:contextualSpacing/>
        <w:rPr>
          <w:lang w:val="en-GB"/>
        </w:rPr>
      </w:pPr>
      <w:r w:rsidRPr="00B630E4">
        <w:rPr>
          <w:lang w:val="en-GB"/>
        </w:rPr>
        <w:t>According to preliminary data</w:t>
      </w:r>
      <w:r w:rsidR="006C56E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48" type="#_x0000_t202" style="position:absolute;margin-left:0;margin-top:6.2pt;width:2in;height:95.65pt;z-index:251755520;visibility:visible;mso-wrap-distance-top:3.6pt;mso-wrap-distance-bottom:3.6pt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jc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" fillcolor="#001d77" stroked="f">
            <v:textbox>
              <w:txbxContent>
                <w:p w:rsidR="00B630E4" w:rsidRPr="00A76487" w:rsidRDefault="00B630E4" w:rsidP="00B630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 w:rsidRPr="00362B78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01F7FFEA" wp14:editId="22216FE1">
                        <wp:extent cx="334645" cy="334645"/>
                        <wp:effectExtent l="0" t="0" r="8255" b="8255"/>
                        <wp:docPr id="3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6487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 w:rsidR="009C55F4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2.7</w:t>
                  </w:r>
                  <w:r w:rsidRPr="00A76487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%</w:t>
                  </w:r>
                </w:p>
                <w:p w:rsidR="00B630E4" w:rsidRPr="00A76487" w:rsidRDefault="00B630E4" w:rsidP="00B630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  <w:r w:rsidRPr="0078686B">
                    <w:rPr>
                      <w:lang w:val="en-GB"/>
                    </w:rPr>
                    <w:t xml:space="preserve">an increase compared </w:t>
                  </w:r>
                  <w:r>
                    <w:rPr>
                      <w:lang w:val="en-GB"/>
                    </w:rPr>
                    <w:t>with the corresponding month of </w:t>
                  </w:r>
                  <w:r w:rsidRPr="0078686B">
                    <w:rPr>
                      <w:lang w:val="en-GB"/>
                    </w:rPr>
                    <w:t>the previous year</w:t>
                  </w:r>
                </w:p>
              </w:txbxContent>
            </v:textbox>
            <w10:wrap type="square" anchorx="margin"/>
          </v:shape>
        </w:pict>
      </w:r>
      <w:r w:rsidRPr="00B630E4">
        <w:rPr>
          <w:lang w:val="en-GB"/>
        </w:rPr>
        <w:t>, in January</w:t>
      </w:r>
      <w:r w:rsidR="000A2CAA" w:rsidRPr="00B630E4">
        <w:rPr>
          <w:lang w:val="en-GB"/>
        </w:rPr>
        <w:t xml:space="preserve"> 2021</w:t>
      </w:r>
      <w:r>
        <w:rPr>
          <w:lang w:val="en-GB"/>
        </w:rPr>
        <w:t xml:space="preserve"> consumer </w:t>
      </w:r>
      <w:r w:rsidRPr="00D45A29">
        <w:rPr>
          <w:lang w:val="en-GB"/>
        </w:rPr>
        <w:t xml:space="preserve">prices </w:t>
      </w:r>
      <w:r w:rsidR="000403E6">
        <w:rPr>
          <w:lang w:val="en-GB"/>
        </w:rPr>
        <w:t>increased</w:t>
      </w:r>
      <w:r w:rsidRPr="00852FD5">
        <w:rPr>
          <w:lang w:val="en-GB"/>
        </w:rPr>
        <w:t xml:space="preserve"> by</w:t>
      </w:r>
      <w:r w:rsidRPr="00B630E4">
        <w:rPr>
          <w:lang w:val="en-GB"/>
        </w:rPr>
        <w:t xml:space="preserve"> </w:t>
      </w:r>
      <w:r w:rsidR="00B035BE" w:rsidRPr="00B630E4">
        <w:rPr>
          <w:lang w:val="en-GB"/>
        </w:rPr>
        <w:t xml:space="preserve">2,7% </w:t>
      </w:r>
      <w:r>
        <w:rPr>
          <w:lang w:val="en-GB"/>
        </w:rPr>
        <w:t>compared with the </w:t>
      </w:r>
      <w:r w:rsidRPr="00362B78">
        <w:rPr>
          <w:lang w:val="en-GB"/>
        </w:rPr>
        <w:t>corresponding month of the previous year</w:t>
      </w:r>
      <w:r>
        <w:rPr>
          <w:lang w:val="en-GB"/>
        </w:rPr>
        <w:t>.</w:t>
      </w:r>
    </w:p>
    <w:p w:rsidR="00685123" w:rsidRPr="00AF0922" w:rsidRDefault="00B630E4" w:rsidP="00685123">
      <w:pPr>
        <w:pStyle w:val="LID"/>
        <w:contextualSpacing/>
        <w:rPr>
          <w:shd w:val="clear" w:color="auto" w:fill="FFFFFF"/>
          <w:lang w:val="en-GB"/>
        </w:rPr>
      </w:pPr>
      <w:r w:rsidRPr="00362B78">
        <w:rPr>
          <w:lang w:val="en-GB"/>
        </w:rPr>
        <w:t>As related to the previous month consumer prices increased</w:t>
      </w:r>
      <w:r w:rsidRPr="00AF0922">
        <w:rPr>
          <w:lang w:val="en-GB"/>
        </w:rPr>
        <w:t xml:space="preserve"> </w:t>
      </w:r>
      <w:r w:rsidR="00AF0922" w:rsidRPr="00AF0922">
        <w:rPr>
          <w:lang w:val="en-GB"/>
        </w:rPr>
        <w:t>by</w:t>
      </w:r>
      <w:r w:rsidR="00083159" w:rsidRPr="00AF0922">
        <w:rPr>
          <w:lang w:val="en-GB"/>
        </w:rPr>
        <w:t xml:space="preserve"> </w:t>
      </w:r>
      <w:r w:rsidR="004A6115" w:rsidRPr="00AF0922">
        <w:rPr>
          <w:lang w:val="en-GB"/>
        </w:rPr>
        <w:t>1,2</w:t>
      </w:r>
      <w:r w:rsidR="00083159" w:rsidRPr="00AF0922">
        <w:rPr>
          <w:lang w:val="en-GB"/>
        </w:rPr>
        <w:t>%.</w:t>
      </w:r>
    </w:p>
    <w:p w:rsidR="00685123" w:rsidRPr="00AF0922" w:rsidRDefault="00685123" w:rsidP="00685123">
      <w:pPr>
        <w:pStyle w:val="LID"/>
        <w:contextualSpacing/>
        <w:rPr>
          <w:highlight w:val="yellow"/>
          <w:lang w:val="en-GB"/>
        </w:rPr>
      </w:pPr>
    </w:p>
    <w:p w:rsidR="00685123" w:rsidRPr="00AF0922" w:rsidRDefault="00685123" w:rsidP="00685123">
      <w:pPr>
        <w:pStyle w:val="LID"/>
        <w:contextualSpacing/>
        <w:rPr>
          <w:highlight w:val="yellow"/>
          <w:lang w:val="en-GB"/>
        </w:rPr>
      </w:pPr>
    </w:p>
    <w:p w:rsidR="00685123" w:rsidRPr="00AF0922" w:rsidRDefault="00685123" w:rsidP="00685123">
      <w:pPr>
        <w:pStyle w:val="LID"/>
        <w:contextualSpacing/>
        <w:rPr>
          <w:highlight w:val="yellow"/>
          <w:lang w:val="en-GB"/>
        </w:rPr>
      </w:pPr>
    </w:p>
    <w:p w:rsidR="00685123" w:rsidRPr="00AF0922" w:rsidRDefault="00685123" w:rsidP="0006476D">
      <w:pPr>
        <w:pStyle w:val="LID"/>
        <w:spacing w:line="220" w:lineRule="exact"/>
        <w:rPr>
          <w:highlight w:val="yellow"/>
          <w:lang w:val="en-GB"/>
        </w:rPr>
      </w:pPr>
    </w:p>
    <w:tbl>
      <w:tblPr>
        <w:tblStyle w:val="Siatkatabelijasna11"/>
        <w:tblpPr w:leftFromText="142" w:rightFromText="142" w:vertAnchor="text" w:horzAnchor="margin" w:tblpXSpec="center" w:tblpY="341"/>
        <w:tblW w:w="8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1"/>
        <w:gridCol w:w="2251"/>
        <w:gridCol w:w="2246"/>
      </w:tblGrid>
      <w:tr w:rsidR="00685123" w:rsidRPr="00FF39EB" w:rsidTr="00685123">
        <w:trPr>
          <w:trHeight w:val="57"/>
        </w:trPr>
        <w:tc>
          <w:tcPr>
            <w:tcW w:w="3571" w:type="dxa"/>
            <w:vMerge w:val="restart"/>
            <w:vAlign w:val="center"/>
          </w:tcPr>
          <w:p w:rsidR="00685123" w:rsidRPr="00AF0922" w:rsidRDefault="00AF0922" w:rsidP="0006476D">
            <w:pPr>
              <w:pStyle w:val="Nagwek1"/>
              <w:tabs>
                <w:tab w:val="right" w:leader="dot" w:pos="4139"/>
              </w:tabs>
              <w:spacing w:line="22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AF0922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4497" w:type="dxa"/>
            <w:gridSpan w:val="2"/>
            <w:vAlign w:val="center"/>
          </w:tcPr>
          <w:p w:rsidR="00685123" w:rsidRPr="006E1DCF" w:rsidRDefault="00D95A3B" w:rsidP="0006476D">
            <w:pPr>
              <w:pStyle w:val="Nagwek3"/>
              <w:spacing w:before="0" w:line="220" w:lineRule="exact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2021</w:t>
            </w:r>
          </w:p>
        </w:tc>
      </w:tr>
      <w:tr w:rsidR="00685123" w:rsidRPr="00FF39EB" w:rsidTr="00685123">
        <w:trPr>
          <w:trHeight w:val="57"/>
        </w:trPr>
        <w:tc>
          <w:tcPr>
            <w:tcW w:w="3571" w:type="dxa"/>
            <w:vMerge/>
            <w:tcBorders>
              <w:bottom w:val="single" w:sz="12" w:space="0" w:color="212492"/>
            </w:tcBorders>
            <w:vAlign w:val="center"/>
          </w:tcPr>
          <w:p w:rsidR="00685123" w:rsidRPr="006E1DCF" w:rsidRDefault="00685123" w:rsidP="0006476D">
            <w:pPr>
              <w:pStyle w:val="Nagwek1"/>
              <w:tabs>
                <w:tab w:val="right" w:leader="dot" w:pos="4139"/>
              </w:tabs>
              <w:spacing w:line="22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tcBorders>
              <w:bottom w:val="single" w:sz="12" w:space="0" w:color="212492"/>
            </w:tcBorders>
            <w:vAlign w:val="center"/>
          </w:tcPr>
          <w:p w:rsidR="00685123" w:rsidRPr="006E1DCF" w:rsidRDefault="00325696" w:rsidP="00083159">
            <w:pPr>
              <w:spacing w:line="22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2020</w:t>
            </w:r>
            <w:r w:rsidR="00685123" w:rsidRPr="006E1DC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46" w:type="dxa"/>
            <w:tcBorders>
              <w:bottom w:val="single" w:sz="12" w:space="0" w:color="212492"/>
            </w:tcBorders>
            <w:vAlign w:val="center"/>
          </w:tcPr>
          <w:p w:rsidR="00685123" w:rsidRPr="006E1DCF" w:rsidRDefault="00325696" w:rsidP="0006476D">
            <w:pPr>
              <w:spacing w:line="22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XII 2020</w:t>
            </w:r>
            <w:r w:rsidR="00685123" w:rsidRPr="006E1DCF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F0922" w:rsidRPr="00FF39EB" w:rsidTr="00685123">
        <w:trPr>
          <w:trHeight w:val="57"/>
        </w:trPr>
        <w:tc>
          <w:tcPr>
            <w:tcW w:w="3571" w:type="dxa"/>
            <w:tcBorders>
              <w:top w:val="single" w:sz="12" w:space="0" w:color="212492"/>
            </w:tcBorders>
            <w:vAlign w:val="center"/>
          </w:tcPr>
          <w:p w:rsidR="00AF0922" w:rsidRPr="00852FD5" w:rsidRDefault="00AF0922" w:rsidP="00AF092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52F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2251" w:type="dxa"/>
            <w:tcBorders>
              <w:top w:val="single" w:sz="12" w:space="0" w:color="212492"/>
            </w:tcBorders>
            <w:vAlign w:val="center"/>
          </w:tcPr>
          <w:p w:rsidR="00AF0922" w:rsidRPr="00FC1289" w:rsidRDefault="00AF0922" w:rsidP="00AF0922">
            <w:pPr>
              <w:spacing w:line="22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F5FF9">
              <w:rPr>
                <w:rFonts w:cs="Arial"/>
                <w:b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2246" w:type="dxa"/>
            <w:tcBorders>
              <w:top w:val="single" w:sz="12" w:space="0" w:color="212492"/>
            </w:tcBorders>
            <w:vAlign w:val="center"/>
          </w:tcPr>
          <w:p w:rsidR="00AF0922" w:rsidRPr="00FC1289" w:rsidRDefault="00AF0922" w:rsidP="00AF0922">
            <w:pPr>
              <w:spacing w:line="22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F5FF9">
              <w:rPr>
                <w:rFonts w:cs="Arial"/>
                <w:b/>
                <w:color w:val="000000" w:themeColor="text1"/>
                <w:sz w:val="16"/>
                <w:szCs w:val="16"/>
              </w:rPr>
              <w:t>101,2</w:t>
            </w:r>
          </w:p>
        </w:tc>
      </w:tr>
      <w:tr w:rsidR="00AF0922" w:rsidRPr="00FF39EB" w:rsidTr="00685123">
        <w:trPr>
          <w:trHeight w:val="57"/>
        </w:trPr>
        <w:tc>
          <w:tcPr>
            <w:tcW w:w="3571" w:type="dxa"/>
            <w:vAlign w:val="center"/>
          </w:tcPr>
          <w:p w:rsidR="00AF0922" w:rsidRPr="00852FD5" w:rsidRDefault="00AF0922" w:rsidP="00AF092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52F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Food, non-alcoholic and alcoholic beverages, tobacco</w:t>
            </w:r>
          </w:p>
        </w:tc>
        <w:tc>
          <w:tcPr>
            <w:tcW w:w="2251" w:type="dxa"/>
            <w:vAlign w:val="center"/>
          </w:tcPr>
          <w:p w:rsidR="00AF0922" w:rsidRPr="00FC1289" w:rsidRDefault="00AF0922" w:rsidP="00AF0922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F5FF9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2246" w:type="dxa"/>
            <w:vAlign w:val="center"/>
          </w:tcPr>
          <w:p w:rsidR="00AF0922" w:rsidRPr="00FC1289" w:rsidRDefault="00AF0922" w:rsidP="00AF0922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F5FF9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</w:tr>
      <w:tr w:rsidR="00AF0922" w:rsidRPr="00FF39EB" w:rsidTr="00685123">
        <w:trPr>
          <w:trHeight w:val="57"/>
        </w:trPr>
        <w:tc>
          <w:tcPr>
            <w:tcW w:w="3571" w:type="dxa"/>
            <w:vAlign w:val="center"/>
          </w:tcPr>
          <w:p w:rsidR="00AF0922" w:rsidRPr="00852FD5" w:rsidRDefault="00AF0922" w:rsidP="00AF0922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 w:rsidRPr="00852FD5">
              <w:rPr>
                <w:rFonts w:cstheme="majorBidi"/>
                <w:bCs/>
                <w:color w:val="000000" w:themeColor="text1"/>
                <w:sz w:val="16"/>
                <w:szCs w:val="16"/>
              </w:rPr>
              <w:t>Dwelling</w:t>
            </w:r>
          </w:p>
        </w:tc>
        <w:tc>
          <w:tcPr>
            <w:tcW w:w="2251" w:type="dxa"/>
            <w:vAlign w:val="center"/>
          </w:tcPr>
          <w:p w:rsidR="00AF0922" w:rsidRPr="00FC1289" w:rsidRDefault="00AF0922" w:rsidP="00AF0922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EF5FF9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106,4</w:t>
            </w:r>
          </w:p>
        </w:tc>
        <w:tc>
          <w:tcPr>
            <w:tcW w:w="2246" w:type="dxa"/>
            <w:vAlign w:val="center"/>
          </w:tcPr>
          <w:p w:rsidR="00AF0922" w:rsidRPr="00FC1289" w:rsidRDefault="00AF0922" w:rsidP="00AF0922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EF5FF9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102,5</w:t>
            </w:r>
          </w:p>
        </w:tc>
      </w:tr>
      <w:tr w:rsidR="00AF0922" w:rsidRPr="00FF39EB" w:rsidTr="00685123">
        <w:trPr>
          <w:trHeight w:val="57"/>
        </w:trPr>
        <w:tc>
          <w:tcPr>
            <w:tcW w:w="3571" w:type="dxa"/>
            <w:vAlign w:val="center"/>
          </w:tcPr>
          <w:p w:rsidR="00AF0922" w:rsidRPr="00852FD5" w:rsidRDefault="00AF0922" w:rsidP="00AF0922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52FD5">
              <w:rPr>
                <w:rFonts w:cs="Arial"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2251" w:type="dxa"/>
            <w:vAlign w:val="center"/>
          </w:tcPr>
          <w:p w:rsidR="00AF0922" w:rsidRPr="00FC1289" w:rsidRDefault="00AF0922" w:rsidP="00AF0922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F5FF9">
              <w:rPr>
                <w:rFonts w:cs="Arial"/>
                <w:color w:val="000000" w:themeColor="text1"/>
                <w:sz w:val="16"/>
                <w:szCs w:val="16"/>
              </w:rPr>
              <w:t>96,3</w:t>
            </w:r>
          </w:p>
        </w:tc>
        <w:tc>
          <w:tcPr>
            <w:tcW w:w="2246" w:type="dxa"/>
            <w:vAlign w:val="center"/>
          </w:tcPr>
          <w:p w:rsidR="00AF0922" w:rsidRPr="00FC1289" w:rsidRDefault="00AF0922" w:rsidP="00AF0922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F5FF9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</w:tr>
    </w:tbl>
    <w:p w:rsidR="00685123" w:rsidRPr="00AF0922" w:rsidRDefault="00AF0922" w:rsidP="00685123">
      <w:pPr>
        <w:pStyle w:val="LID"/>
        <w:spacing w:before="0" w:after="0"/>
        <w:rPr>
          <w:shd w:val="clear" w:color="auto" w:fill="FFFFFF"/>
          <w:lang w:val="en-GB"/>
        </w:rPr>
      </w:pPr>
      <w:r w:rsidRPr="00852FD5">
        <w:rPr>
          <w:lang w:val="en-GB"/>
        </w:rPr>
        <w:t>Table 1. Consum</w:t>
      </w:r>
      <w:r>
        <w:rPr>
          <w:lang w:val="en-GB"/>
        </w:rPr>
        <w:t xml:space="preserve">er price indices in January </w:t>
      </w:r>
      <w:r w:rsidR="00B035BE" w:rsidRPr="00AF0922">
        <w:rPr>
          <w:bCs/>
          <w:shd w:val="clear" w:color="auto" w:fill="FFFFFF"/>
          <w:lang w:val="en-GB"/>
        </w:rPr>
        <w:t>2021</w:t>
      </w:r>
    </w:p>
    <w:p w:rsidR="00685123" w:rsidRPr="00AF0922" w:rsidRDefault="00685123" w:rsidP="0006476D">
      <w:pPr>
        <w:pStyle w:val="tytuwykresu"/>
        <w:spacing w:before="0" w:after="0"/>
        <w:rPr>
          <w:sz w:val="19"/>
          <w:szCs w:val="19"/>
          <w:highlight w:val="yellow"/>
          <w:lang w:val="en-GB"/>
        </w:rPr>
      </w:pPr>
    </w:p>
    <w:p w:rsidR="00685123" w:rsidRPr="00AF0922" w:rsidRDefault="00AF0922" w:rsidP="00685123">
      <w:pPr>
        <w:pStyle w:val="tytuwykresu"/>
        <w:spacing w:before="0"/>
        <w:rPr>
          <w:noProof/>
          <w:lang w:val="en-GB" w:eastAsia="pl-PL"/>
        </w:rPr>
      </w:pPr>
      <w:r w:rsidRPr="00C82757">
        <w:rPr>
          <w:lang w:val="en-GB"/>
        </w:rPr>
        <w:t>Chart 1. Consumer prices* (change in % compared with the previous period)</w:t>
      </w:r>
    </w:p>
    <w:p w:rsidR="00C54089" w:rsidRPr="00AF0922" w:rsidRDefault="003F78AC" w:rsidP="003F78AC">
      <w:pPr>
        <w:pStyle w:val="tytuwykresu"/>
        <w:spacing w:before="0"/>
        <w:rPr>
          <w:noProof/>
          <w:color w:val="000000" w:themeColor="text1"/>
          <w:sz w:val="20"/>
          <w:szCs w:val="20"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864E9E8" wp14:editId="526E5A1F">
            <wp:simplePos x="0" y="0"/>
            <wp:positionH relativeFrom="column">
              <wp:posOffset>0</wp:posOffset>
            </wp:positionH>
            <wp:positionV relativeFrom="paragraph">
              <wp:posOffset>13335</wp:posOffset>
            </wp:positionV>
            <wp:extent cx="5110480" cy="2544445"/>
            <wp:effectExtent l="0" t="0" r="0" b="8255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E44" w:rsidRPr="00AF0922" w:rsidRDefault="00764E44" w:rsidP="0006476D">
      <w:pPr>
        <w:spacing w:before="0" w:line="200" w:lineRule="exact"/>
        <w:rPr>
          <w:noProof/>
          <w:color w:val="000000" w:themeColor="text1"/>
          <w:sz w:val="16"/>
          <w:szCs w:val="19"/>
          <w:lang w:val="en-GB" w:eastAsia="pl-PL"/>
        </w:rPr>
      </w:pPr>
      <w:r w:rsidRPr="00AF0922">
        <w:rPr>
          <w:noProof/>
          <w:color w:val="000000" w:themeColor="text1"/>
          <w:sz w:val="20"/>
          <w:szCs w:val="20"/>
          <w:lang w:val="en-GB" w:eastAsia="pl-PL"/>
        </w:rPr>
        <w:t xml:space="preserve">* </w:t>
      </w:r>
      <w:r w:rsidR="00AF0922" w:rsidRPr="00852FD5">
        <w:rPr>
          <w:sz w:val="16"/>
          <w:szCs w:val="16"/>
          <w:lang w:val="en-GB"/>
        </w:rPr>
        <w:t xml:space="preserve">Final data with the exception of the preliminary data for January </w:t>
      </w:r>
      <w:r w:rsidR="000555F3" w:rsidRPr="00AF0922">
        <w:rPr>
          <w:noProof/>
          <w:color w:val="000000" w:themeColor="text1"/>
          <w:sz w:val="16"/>
          <w:szCs w:val="19"/>
          <w:lang w:val="en-GB" w:eastAsia="pl-PL"/>
        </w:rPr>
        <w:t>2021</w:t>
      </w:r>
    </w:p>
    <w:p w:rsidR="006F4D05" w:rsidRPr="00AF0922" w:rsidRDefault="006F4D05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AF0922">
        <w:rPr>
          <w:lang w:val="en-GB"/>
        </w:rPr>
        <w:br w:type="page"/>
      </w:r>
    </w:p>
    <w:p w:rsidR="00883763" w:rsidRPr="00AF0922" w:rsidRDefault="006C56EA" w:rsidP="00AF0922">
      <w:pPr>
        <w:pStyle w:val="tytuwykresu"/>
        <w:ind w:left="737" w:hanging="737"/>
        <w:rPr>
          <w:shd w:val="clear" w:color="auto" w:fill="FFFFFF"/>
          <w:lang w:val="en-GB"/>
        </w:rPr>
      </w:pPr>
      <w:r>
        <w:rPr>
          <w:noProof/>
          <w:lang w:eastAsia="pl-PL"/>
        </w:rPr>
        <w:lastRenderedPageBreak/>
        <w:pict>
          <v:shape id="_x0000_s1038" type="#_x0000_t202" style="position:absolute;left:0;text-align:left;margin-left:414.75pt;margin-top:34.25pt;width:135.85pt;height:103.25pt;z-index:-251574272;visibility:visible;mso-wrap-distance-top:3.6pt;mso-wrap-distance-bottom:3.6pt;mso-width-relative:margin;mso-height-relative:margin" wrapcoords="0 0" filled="f" stroked="f">
            <v:textbox style="mso-next-textbox:#_x0000_s1038">
              <w:txbxContent>
                <w:p w:rsidR="008B3C98" w:rsidRPr="004B4D36" w:rsidRDefault="004B4D36" w:rsidP="004B4D36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4B4D36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According to preliminary data in January </w:t>
                  </w:r>
                  <w:r w:rsidR="00F8661E" w:rsidRPr="004B4D36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2021</w:t>
                  </w:r>
                  <w:r w:rsidR="008B3C98" w:rsidRPr="004B4D36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the con</w:t>
                  </w:r>
                  <w:r w:rsidRPr="00FC0C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sumer price index was above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the </w:t>
                  </w:r>
                  <w:r w:rsidRPr="00FC0C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inflation target determined by the Monetary Policy Council (2,5% +/- 1 pp)</w:t>
                  </w:r>
                </w:p>
                <w:p w:rsidR="008B3C98" w:rsidRPr="004B4D36" w:rsidRDefault="008B3C98" w:rsidP="00883763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</w:p>
              </w:txbxContent>
            </v:textbox>
            <w10:wrap type="tight"/>
          </v:shape>
        </w:pict>
      </w:r>
      <w:r w:rsidR="00C1701E"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6E84463A" wp14:editId="63871FA5">
            <wp:simplePos x="0" y="0"/>
            <wp:positionH relativeFrom="column">
              <wp:posOffset>-43180</wp:posOffset>
            </wp:positionH>
            <wp:positionV relativeFrom="paragraph">
              <wp:posOffset>393065</wp:posOffset>
            </wp:positionV>
            <wp:extent cx="5122545" cy="253428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922" w:rsidRPr="00AF0922">
        <w:rPr>
          <w:spacing w:val="0"/>
          <w:lang w:val="en-GB"/>
        </w:rPr>
        <w:t xml:space="preserve"> </w:t>
      </w:r>
      <w:r w:rsidR="00AF0922">
        <w:rPr>
          <w:spacing w:val="0"/>
          <w:lang w:val="en-GB"/>
        </w:rPr>
        <w:t>Chart 2</w:t>
      </w:r>
      <w:r w:rsidR="00AF0922" w:rsidRPr="00D45A29">
        <w:rPr>
          <w:spacing w:val="0"/>
          <w:lang w:val="en-GB"/>
        </w:rPr>
        <w:t>. Consumer prices</w:t>
      </w:r>
      <w:r w:rsidR="00D474D6">
        <w:rPr>
          <w:spacing w:val="0"/>
          <w:lang w:val="en-GB"/>
        </w:rPr>
        <w:t>*</w:t>
      </w:r>
      <w:r w:rsidR="00AF0922" w:rsidRPr="00D45A29">
        <w:rPr>
          <w:bCs/>
          <w:spacing w:val="0"/>
          <w:shd w:val="clear" w:color="auto" w:fill="FFFFFF"/>
          <w:lang w:val="en-GB"/>
        </w:rPr>
        <w:t xml:space="preserve"> </w:t>
      </w:r>
      <w:r w:rsidR="00AF0922" w:rsidRPr="00D45A29">
        <w:rPr>
          <w:spacing w:val="0"/>
          <w:lang w:val="en-GB"/>
        </w:rPr>
        <w:t>(change in % compared with the corresponding period of the previous year)</w:t>
      </w:r>
    </w:p>
    <w:p w:rsidR="00B600A6" w:rsidRPr="004B4D36" w:rsidRDefault="00B600A6" w:rsidP="00FD1B12">
      <w:pPr>
        <w:spacing w:before="240" w:line="200" w:lineRule="exact"/>
        <w:rPr>
          <w:noProof/>
          <w:sz w:val="16"/>
          <w:szCs w:val="19"/>
          <w:lang w:val="en-GB" w:eastAsia="pl-PL"/>
        </w:rPr>
      </w:pPr>
      <w:r w:rsidRPr="004B4D36">
        <w:rPr>
          <w:noProof/>
          <w:sz w:val="20"/>
          <w:szCs w:val="20"/>
          <w:lang w:val="en-GB" w:eastAsia="pl-PL"/>
        </w:rPr>
        <w:t xml:space="preserve">* </w:t>
      </w:r>
      <w:r w:rsidR="004B4D36" w:rsidRPr="00C82757">
        <w:rPr>
          <w:sz w:val="16"/>
          <w:szCs w:val="16"/>
          <w:shd w:val="clear" w:color="auto" w:fill="FFFFFF"/>
          <w:lang w:val="en-GB"/>
        </w:rPr>
        <w:t>Final data with the exception of the p</w:t>
      </w:r>
      <w:r w:rsidR="004B4D36">
        <w:rPr>
          <w:sz w:val="16"/>
          <w:szCs w:val="16"/>
          <w:shd w:val="clear" w:color="auto" w:fill="FFFFFF"/>
          <w:lang w:val="en-GB"/>
        </w:rPr>
        <w:t xml:space="preserve">reliminary data for January </w:t>
      </w:r>
      <w:r w:rsidR="00C1320A" w:rsidRPr="004B4D36">
        <w:rPr>
          <w:noProof/>
          <w:sz w:val="16"/>
          <w:szCs w:val="19"/>
          <w:lang w:val="en-GB" w:eastAsia="pl-PL"/>
        </w:rPr>
        <w:t>202</w:t>
      </w:r>
      <w:r w:rsidR="000555F3" w:rsidRPr="004B4D36">
        <w:rPr>
          <w:noProof/>
          <w:sz w:val="16"/>
          <w:szCs w:val="19"/>
          <w:lang w:val="en-GB" w:eastAsia="pl-PL"/>
        </w:rPr>
        <w:t>1</w:t>
      </w:r>
    </w:p>
    <w:p w:rsidR="00883763" w:rsidRPr="004B4D36" w:rsidRDefault="00883763" w:rsidP="00883763">
      <w:pPr>
        <w:spacing w:before="0" w:after="160" w:line="259" w:lineRule="auto"/>
        <w:rPr>
          <w:highlight w:val="yellow"/>
          <w:lang w:val="en-GB"/>
        </w:rPr>
      </w:pPr>
    </w:p>
    <w:p w:rsidR="00883763" w:rsidRPr="004B4D36" w:rsidRDefault="00282F15" w:rsidP="007D0C0B">
      <w:pPr>
        <w:pStyle w:val="tytuwykresu"/>
        <w:ind w:left="794" w:hanging="794"/>
        <w:rPr>
          <w:bCs/>
          <w:i/>
          <w:iCs/>
          <w:shd w:val="clear" w:color="auto" w:fill="FFFFFF"/>
          <w:lang w:val="en-GB"/>
        </w:rPr>
      </w:pPr>
      <w:r w:rsidRPr="00714FB6">
        <w:rPr>
          <w:noProof/>
          <w:lang w:eastAsia="pl-PL"/>
        </w:rPr>
        <w:drawing>
          <wp:anchor distT="0" distB="0" distL="114300" distR="114300" simplePos="0" relativeHeight="251757568" behindDoc="0" locked="0" layoutInCell="1" allowOverlap="1" wp14:anchorId="51D5F174" wp14:editId="179CDA4A">
            <wp:simplePos x="0" y="0"/>
            <wp:positionH relativeFrom="column">
              <wp:posOffset>-107950</wp:posOffset>
            </wp:positionH>
            <wp:positionV relativeFrom="paragraph">
              <wp:posOffset>292735</wp:posOffset>
            </wp:positionV>
            <wp:extent cx="5120640" cy="3188335"/>
            <wp:effectExtent l="0" t="0" r="0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36">
        <w:rPr>
          <w:noProof/>
          <w:lang w:val="en-GB" w:eastAsia="en-GB"/>
        </w:rPr>
        <w:t>Chart 3</w:t>
      </w:r>
      <w:r w:rsidR="004B4D36" w:rsidRPr="00D45A29">
        <w:rPr>
          <w:noProof/>
          <w:lang w:val="en-GB" w:eastAsia="en-GB"/>
        </w:rPr>
        <w:t xml:space="preserve">. </w:t>
      </w:r>
      <w:r w:rsidR="004B4D36" w:rsidRPr="00D45A29">
        <w:rPr>
          <w:lang w:val="en-GB"/>
        </w:rPr>
        <w:t xml:space="preserve">Weighting system used in the compilations of consumer price indices in </w:t>
      </w:r>
      <w:r w:rsidR="00007345" w:rsidRPr="004B4D36">
        <w:rPr>
          <w:bCs/>
          <w:shd w:val="clear" w:color="auto" w:fill="FFFFFF"/>
          <w:lang w:val="en-GB"/>
        </w:rPr>
        <w:t>2020</w:t>
      </w:r>
      <w:r w:rsidR="007D02A9" w:rsidRPr="007D02A9">
        <w:rPr>
          <w:bCs/>
          <w:sz w:val="10"/>
          <w:szCs w:val="10"/>
          <w:shd w:val="clear" w:color="auto" w:fill="FFFFFF"/>
          <w:lang w:val="en-GB"/>
        </w:rPr>
        <w:t xml:space="preserve"> </w:t>
      </w:r>
      <w:r w:rsidR="00460E1A" w:rsidRPr="0006476D">
        <w:rPr>
          <w:rStyle w:val="Odwoanieprzypisudolnego"/>
          <w:bCs/>
          <w:iCs/>
          <w:sz w:val="20"/>
          <w:szCs w:val="20"/>
          <w:shd w:val="clear" w:color="auto" w:fill="FFFFFF"/>
        </w:rPr>
        <w:footnoteReference w:id="2"/>
      </w:r>
    </w:p>
    <w:p w:rsidR="00FD1B12" w:rsidRPr="00E31D7E" w:rsidRDefault="00FD1B12" w:rsidP="0081452A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en-GB"/>
        </w:rPr>
      </w:pPr>
    </w:p>
    <w:p w:rsidR="00FD1B12" w:rsidRPr="00E31D7E" w:rsidRDefault="00FD1B12" w:rsidP="0081452A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en-GB"/>
        </w:rPr>
      </w:pPr>
    </w:p>
    <w:p w:rsidR="00466B32" w:rsidRPr="00714FB6" w:rsidRDefault="00466B32" w:rsidP="00466B32">
      <w:pPr>
        <w:spacing w:before="0" w:after="160" w:line="259" w:lineRule="auto"/>
        <w:rPr>
          <w:color w:val="222222"/>
          <w:sz w:val="16"/>
          <w:szCs w:val="16"/>
          <w:lang w:val="en-GB"/>
        </w:rPr>
      </w:pPr>
      <w:r w:rsidRPr="00714FB6">
        <w:rPr>
          <w:sz w:val="16"/>
          <w:szCs w:val="16"/>
          <w:lang w:val="en-GB"/>
        </w:rPr>
        <w:t xml:space="preserve">Documents </w:t>
      </w:r>
      <w:r w:rsidRPr="00714FB6">
        <w:rPr>
          <w:color w:val="222222"/>
          <w:sz w:val="16"/>
          <w:szCs w:val="16"/>
          <w:lang w:val="en-GB"/>
        </w:rPr>
        <w:t>‘</w:t>
      </w:r>
      <w:r w:rsidRPr="00714FB6">
        <w:rPr>
          <w:i/>
          <w:color w:val="222222"/>
          <w:sz w:val="16"/>
          <w:szCs w:val="16"/>
          <w:lang w:val="en-GB"/>
        </w:rPr>
        <w:t>Guidance on the compilation of the HICP in the context of the COVID-19 crisis</w:t>
      </w:r>
      <w:r w:rsidRPr="00714FB6">
        <w:rPr>
          <w:color w:val="222222"/>
          <w:sz w:val="16"/>
          <w:szCs w:val="16"/>
          <w:lang w:val="en-GB"/>
        </w:rPr>
        <w:t>’ and ‘</w:t>
      </w:r>
      <w:r w:rsidRPr="00714FB6">
        <w:rPr>
          <w:i/>
          <w:color w:val="222222"/>
          <w:sz w:val="16"/>
          <w:szCs w:val="16"/>
          <w:lang w:val="en-GB"/>
        </w:rPr>
        <w:t>Guidance note on HICP issues emerging from the lifting of lockdown measures</w:t>
      </w:r>
      <w:r w:rsidRPr="00714FB6">
        <w:rPr>
          <w:color w:val="222222"/>
          <w:sz w:val="16"/>
          <w:szCs w:val="16"/>
          <w:lang w:val="en-GB"/>
        </w:rPr>
        <w:t xml:space="preserve">’ were published by Eurostat under the following links </w:t>
      </w:r>
      <w:hyperlink r:id="rId15" w:history="1">
        <w:r w:rsidRPr="00ED1C53">
          <w:rPr>
            <w:rStyle w:val="Hipercze"/>
            <w:color w:val="002060"/>
            <w:sz w:val="16"/>
            <w:szCs w:val="16"/>
            <w:lang w:val="en-GB"/>
          </w:rPr>
          <w:t>https://ec.europa.eu/eurostat/documents/10186/10693286/HICP_guidance.pdf</w:t>
        </w:r>
      </w:hyperlink>
      <w:r w:rsidRPr="00ED1C53">
        <w:rPr>
          <w:color w:val="002060"/>
          <w:sz w:val="16"/>
          <w:szCs w:val="16"/>
          <w:lang w:val="en-GB"/>
        </w:rPr>
        <w:t xml:space="preserve">, </w:t>
      </w:r>
      <w:hyperlink r:id="rId16" w:history="1">
        <w:r w:rsidRPr="00ED1C53">
          <w:rPr>
            <w:rStyle w:val="Hipercze"/>
            <w:color w:val="002060"/>
            <w:sz w:val="16"/>
            <w:szCs w:val="16"/>
            <w:lang w:val="en-GB"/>
          </w:rPr>
          <w:t>https://ec.europa.eu/eurostat/documents/10186/10693286/HICP_lifting_lockdown_measures_guidance.pdf</w:t>
        </w:r>
      </w:hyperlink>
    </w:p>
    <w:p w:rsidR="0081452A" w:rsidRPr="00ED1C53" w:rsidRDefault="00466B32" w:rsidP="00466B32">
      <w:pPr>
        <w:spacing w:after="160" w:line="259" w:lineRule="auto"/>
        <w:rPr>
          <w:color w:val="002060"/>
          <w:sz w:val="16"/>
          <w:szCs w:val="16"/>
          <w:lang w:val="en-GB"/>
        </w:rPr>
      </w:pPr>
      <w:r w:rsidRPr="00714FB6">
        <w:rPr>
          <w:color w:val="222222"/>
          <w:sz w:val="16"/>
          <w:szCs w:val="16"/>
          <w:lang w:val="en-GB"/>
        </w:rPr>
        <w:t xml:space="preserve">The guidelines recommended by Eurostat concerning consumer price indices are also presented in Polish under the link </w:t>
      </w:r>
      <w:hyperlink r:id="rId17" w:history="1">
        <w:r w:rsidRPr="00ED1C53">
          <w:rPr>
            <w:rStyle w:val="Hipercze"/>
            <w:color w:val="002060"/>
            <w:sz w:val="16"/>
            <w:szCs w:val="16"/>
            <w:lang w:val="en-GB"/>
          </w:rPr>
          <w:t>https://stat.gov.pl/obszary-tematyczne/ceny-handel/wskazniki-cen/wytyczne-dotyczace-opracowania-hicp-w-kontekscie-kryzysu-zwiazanego-z-covid-19,19,1.html</w:t>
        </w:r>
      </w:hyperlink>
    </w:p>
    <w:p w:rsidR="00883763" w:rsidRPr="00466B32" w:rsidRDefault="00466B32" w:rsidP="000D6A4A">
      <w:pPr>
        <w:spacing w:before="360" w:after="160" w:line="259" w:lineRule="auto"/>
        <w:rPr>
          <w:highlight w:val="yellow"/>
          <w:lang w:val="en-GB"/>
        </w:rPr>
      </w:pPr>
      <w:r w:rsidRPr="00466B32">
        <w:rPr>
          <w:color w:val="222222"/>
          <w:szCs w:val="19"/>
          <w:lang w:val="en-GB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685123" w:rsidRPr="00466B32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val="en-GB" w:eastAsia="pl-PL"/>
        </w:rPr>
        <w:sectPr w:rsidR="00685123" w:rsidRPr="00466B32" w:rsidSect="0006476D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  <w:numRestart w:val="eachSect"/>
          </w:footnotePr>
          <w:type w:val="continuous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466B32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7D02A9" w:rsidTr="006E1DCF">
        <w:trPr>
          <w:trHeight w:val="1912"/>
        </w:trPr>
        <w:tc>
          <w:tcPr>
            <w:tcW w:w="4379" w:type="dxa"/>
          </w:tcPr>
          <w:p w:rsidR="00EF4931" w:rsidRPr="00714FB6" w:rsidRDefault="00EF4931" w:rsidP="00EF4931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EF4931" w:rsidRPr="00714FB6" w:rsidRDefault="00EF4931" w:rsidP="00EF493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714FB6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EF4931" w:rsidRPr="00714FB6" w:rsidRDefault="00EF4931" w:rsidP="00EF493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714FB6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883763" w:rsidRPr="00FF39EB" w:rsidRDefault="00EF4931" w:rsidP="00EF493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714FB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42" w:type="dxa"/>
          </w:tcPr>
          <w:p w:rsidR="00DA39EA" w:rsidRPr="00714FB6" w:rsidRDefault="00DA39EA" w:rsidP="00DA39E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714FB6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714FB6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DA39EA" w:rsidRPr="00714FB6" w:rsidRDefault="00DA39EA" w:rsidP="00DA39E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714FB6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DA39EA" w:rsidRPr="00714FB6" w:rsidRDefault="00DA39EA" w:rsidP="00DA39E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714FB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714FB6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883763" w:rsidRPr="00FF39EB" w:rsidRDefault="00DA39EA" w:rsidP="00DA39E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14FB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883763" w:rsidRPr="00FF39EB" w:rsidRDefault="00883763" w:rsidP="006E1DC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FF39EB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7D02A9" w:rsidTr="00C1320A">
        <w:trPr>
          <w:trHeight w:val="610"/>
        </w:trPr>
        <w:tc>
          <w:tcPr>
            <w:tcW w:w="2721" w:type="pct"/>
            <w:vMerge w:val="restart"/>
            <w:vAlign w:val="center"/>
          </w:tcPr>
          <w:p w:rsidR="00DA39EA" w:rsidRPr="00714FB6" w:rsidRDefault="00DA39EA" w:rsidP="00466B32">
            <w:pPr>
              <w:spacing w:before="240"/>
              <w:rPr>
                <w:b/>
                <w:sz w:val="20"/>
                <w:lang w:val="en-GB"/>
              </w:rPr>
            </w:pPr>
            <w:r w:rsidRPr="00714FB6">
              <w:rPr>
                <w:b/>
                <w:sz w:val="20"/>
                <w:lang w:val="en-GB"/>
              </w:rPr>
              <w:t>Press Office</w:t>
            </w:r>
          </w:p>
          <w:p w:rsidR="00DA39EA" w:rsidRPr="00714FB6" w:rsidRDefault="00DA39EA" w:rsidP="00DA39EA">
            <w:pPr>
              <w:rPr>
                <w:sz w:val="20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714FB6">
              <w:rPr>
                <w:sz w:val="20"/>
                <w:lang w:val="en-GB"/>
              </w:rPr>
              <w:t xml:space="preserve">608 34 91, 608 38 04 </w:t>
            </w:r>
          </w:p>
          <w:p w:rsidR="000470AA" w:rsidRDefault="00DA39EA" w:rsidP="00DA39EA">
            <w:pPr>
              <w:rPr>
                <w:sz w:val="20"/>
                <w:lang w:val="en-US"/>
              </w:rPr>
            </w:pPr>
            <w:r w:rsidRPr="00714FB6">
              <w:rPr>
                <w:b/>
                <w:sz w:val="20"/>
                <w:lang w:val="en-GB"/>
              </w:rPr>
              <w:t>e-mail:</w:t>
            </w:r>
            <w:r w:rsidRPr="00714FB6">
              <w:rPr>
                <w:sz w:val="20"/>
                <w:lang w:val="en-GB"/>
              </w:rPr>
              <w:t xml:space="preserve"> </w:t>
            </w:r>
            <w:hyperlink r:id="rId22" w:history="1">
              <w:r w:rsidRPr="00714FB6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  <w:p w:rsidR="00C1320A" w:rsidRPr="00FF39EB" w:rsidRDefault="00C1320A" w:rsidP="00C1320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FF39EB" w:rsidRDefault="000470AA" w:rsidP="00C1320A">
            <w:pPr>
              <w:rPr>
                <w:sz w:val="18"/>
                <w:lang w:val="en-US"/>
              </w:rPr>
            </w:pPr>
            <w:r w:rsidRPr="00FF39E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76F18FA" wp14:editId="7C1E35B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A39EA" w:rsidRDefault="006C56EA" w:rsidP="00C1320A">
            <w:pPr>
              <w:rPr>
                <w:sz w:val="18"/>
                <w:lang w:val="en-US"/>
              </w:rPr>
            </w:pPr>
            <w:hyperlink r:id="rId24" w:history="1">
              <w:r w:rsidR="00DA39EA" w:rsidRPr="00714FB6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FF39EB" w:rsidTr="00C1320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DA39EA" w:rsidRDefault="000470AA" w:rsidP="00C1320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A39EA" w:rsidRDefault="000470AA" w:rsidP="00C1320A">
            <w:pPr>
              <w:rPr>
                <w:sz w:val="18"/>
                <w:lang w:val="en-US"/>
              </w:rPr>
            </w:pPr>
            <w:r w:rsidRPr="00FF39E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2DFE9F58" wp14:editId="1C33B6E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F39EB" w:rsidRDefault="006C56EA" w:rsidP="00C1320A">
            <w:pPr>
              <w:rPr>
                <w:sz w:val="18"/>
              </w:rPr>
            </w:pPr>
            <w:hyperlink r:id="rId26" w:history="1">
              <w:r w:rsidR="00DA39EA" w:rsidRPr="00714FB6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@StatPoland</w:t>
              </w:r>
            </w:hyperlink>
          </w:p>
        </w:tc>
      </w:tr>
      <w:tr w:rsidR="000470AA" w:rsidRPr="00FF39EB" w:rsidTr="00C1320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F39EB" w:rsidRDefault="000470AA" w:rsidP="00C1320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F39EB" w:rsidRDefault="000470AA" w:rsidP="00C1320A">
            <w:pPr>
              <w:rPr>
                <w:sz w:val="18"/>
              </w:rPr>
            </w:pPr>
            <w:r w:rsidRPr="00FF39E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06FD98A3" wp14:editId="49D5665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F39EB" w:rsidRDefault="000470AA" w:rsidP="00C1320A">
            <w:pPr>
              <w:rPr>
                <w:sz w:val="20"/>
              </w:rPr>
            </w:pPr>
            <w:r w:rsidRPr="00FF39EB">
              <w:rPr>
                <w:sz w:val="20"/>
              </w:rPr>
              <w:t>@GlownyUrzadStatystyczny</w:t>
            </w:r>
          </w:p>
        </w:tc>
      </w:tr>
    </w:tbl>
    <w:p w:rsidR="00D261A2" w:rsidRPr="00001C5B" w:rsidRDefault="006C56EA" w:rsidP="00E76D26">
      <w:pPr>
        <w:rPr>
          <w:sz w:val="18"/>
        </w:rPr>
      </w:pPr>
      <w:r>
        <w:rPr>
          <w:noProof/>
          <w:sz w:val="18"/>
          <w:highlight w:val="yellow"/>
          <w:lang w:eastAsia="pl-PL"/>
        </w:rPr>
        <w:pict>
          <v:shape id="_x0000_s1039" type="#_x0000_t202" style="position:absolute;margin-left:1.5pt;margin-top:119.6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<v:textbox style="mso-next-textbox:#_x0000_s1039">
              <w:txbxContent>
                <w:p w:rsidR="008B3C98" w:rsidRDefault="008B3C98" w:rsidP="00883763">
                  <w:pPr>
                    <w:rPr>
                      <w:b/>
                    </w:rPr>
                  </w:pPr>
                </w:p>
                <w:p w:rsidR="00DA39EA" w:rsidRPr="00941435" w:rsidRDefault="00DA39EA" w:rsidP="00DA39EA">
                  <w:pPr>
                    <w:rPr>
                      <w:b/>
                      <w:lang w:val="en-GB"/>
                    </w:rPr>
                  </w:pPr>
                  <w:r w:rsidRPr="00941435">
                    <w:rPr>
                      <w:b/>
                      <w:lang w:val="en-GB"/>
                    </w:rPr>
                    <w:t>Related information</w:t>
                  </w:r>
                </w:p>
                <w:p w:rsidR="00DA39EA" w:rsidRPr="00941435" w:rsidRDefault="006C56EA" w:rsidP="00DA39E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8" w:history="1">
                    <w:r w:rsidR="00DA39EA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DA39EA" w:rsidRPr="00941435" w:rsidRDefault="006C56EA" w:rsidP="00DA39E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9" w:history="1">
                    <w:r w:rsidR="00DA39EA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DA39EA" w:rsidRPr="00941435" w:rsidRDefault="00DA39EA" w:rsidP="00DA39EA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DA39EA" w:rsidRPr="00941435" w:rsidRDefault="00DA39EA" w:rsidP="00DA39EA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941435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DA39EA" w:rsidRPr="00941435" w:rsidRDefault="006C56EA" w:rsidP="00DA39E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="00DA39EA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DA39EA" w:rsidRPr="00941435" w:rsidRDefault="006C56EA" w:rsidP="00DA39E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="00DA39EA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DA39EA" w:rsidRPr="00941435" w:rsidRDefault="006C56EA" w:rsidP="00DA39E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="00DA39EA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DA39EA" w:rsidRPr="00941435" w:rsidRDefault="006C56EA" w:rsidP="00DA39E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 w:rsidR="00DA39EA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DA39EA" w:rsidRPr="00941435" w:rsidRDefault="006C56EA" w:rsidP="00DA39E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="00DA39EA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DA39EA" w:rsidRPr="00941435" w:rsidRDefault="00DA39EA" w:rsidP="00DA39EA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DA39EA" w:rsidRPr="00941435" w:rsidRDefault="00DA39EA" w:rsidP="00DA39EA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941435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DA39EA" w:rsidRPr="00941435" w:rsidRDefault="006C56EA" w:rsidP="00DA39E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5" w:history="1">
                    <w:r w:rsidR="00DA39EA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8B3C98" w:rsidRPr="00E233EA" w:rsidRDefault="006C56EA" w:rsidP="00DA39E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36" w:history="1">
                    <w:r w:rsidR="00DA39EA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  <w:r w:rsidR="00C1320A">
        <w:rPr>
          <w:noProof/>
          <w:sz w:val="18"/>
          <w:highlight w:val="yellow"/>
          <w:lang w:eastAsia="pl-PL"/>
        </w:rPr>
        <w:br w:type="textWrapping" w:clear="all"/>
      </w:r>
    </w:p>
    <w:sectPr w:rsidR="00D261A2" w:rsidRPr="00001C5B" w:rsidSect="00685123">
      <w:headerReference w:type="default" r:id="rId37"/>
      <w:footerReference w:type="default" r:id="rId38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6EA" w:rsidRDefault="006C56EA" w:rsidP="000662E2">
      <w:pPr>
        <w:spacing w:after="0" w:line="240" w:lineRule="auto"/>
      </w:pPr>
      <w:r>
        <w:separator/>
      </w:r>
    </w:p>
  </w:endnote>
  <w:endnote w:type="continuationSeparator" w:id="0">
    <w:p w:rsidR="006C56EA" w:rsidRDefault="006C56E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8B3C98" w:rsidRDefault="000847BA" w:rsidP="003B18B6">
        <w:pPr>
          <w:pStyle w:val="Stopka"/>
          <w:jc w:val="center"/>
        </w:pPr>
        <w:r>
          <w:fldChar w:fldCharType="begin"/>
        </w:r>
        <w:r w:rsidR="00C06882">
          <w:instrText>PAGE   \* MERGEFORMAT</w:instrText>
        </w:r>
        <w:r>
          <w:fldChar w:fldCharType="separate"/>
        </w:r>
        <w:r w:rsidR="00645F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8B3C98" w:rsidRDefault="000847BA" w:rsidP="003B18B6">
        <w:pPr>
          <w:pStyle w:val="Stopka"/>
          <w:jc w:val="center"/>
        </w:pPr>
        <w:r>
          <w:fldChar w:fldCharType="begin"/>
        </w:r>
        <w:r w:rsidR="00C06882">
          <w:instrText>PAGE   \* MERGEFORMAT</w:instrText>
        </w:r>
        <w:r>
          <w:fldChar w:fldCharType="separate"/>
        </w:r>
        <w:r w:rsidR="00645F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8B3C98" w:rsidRDefault="000847BA" w:rsidP="003B18B6">
        <w:pPr>
          <w:pStyle w:val="Stopka"/>
          <w:jc w:val="center"/>
        </w:pPr>
        <w:r>
          <w:fldChar w:fldCharType="begin"/>
        </w:r>
        <w:r w:rsidR="00C06882">
          <w:instrText>PAGE   \* MERGEFORMAT</w:instrText>
        </w:r>
        <w:r>
          <w:fldChar w:fldCharType="separate"/>
        </w:r>
        <w:r w:rsidR="00645F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6EA" w:rsidRDefault="006C56EA" w:rsidP="000662E2">
      <w:pPr>
        <w:spacing w:after="0" w:line="240" w:lineRule="auto"/>
      </w:pPr>
      <w:r>
        <w:separator/>
      </w:r>
    </w:p>
  </w:footnote>
  <w:footnote w:type="continuationSeparator" w:id="0">
    <w:p w:rsidR="006C56EA" w:rsidRDefault="006C56EA" w:rsidP="000662E2">
      <w:pPr>
        <w:spacing w:after="0" w:line="240" w:lineRule="auto"/>
      </w:pPr>
      <w:r>
        <w:continuationSeparator/>
      </w:r>
    </w:p>
  </w:footnote>
  <w:footnote w:id="1">
    <w:p w:rsidR="00A54FF9" w:rsidRPr="00AF0922" w:rsidRDefault="00A54FF9" w:rsidP="00A54FF9">
      <w:pPr>
        <w:pStyle w:val="Tekstprzypisudolnego"/>
        <w:spacing w:before="0"/>
        <w:rPr>
          <w:bCs/>
          <w:sz w:val="16"/>
          <w:szCs w:val="16"/>
          <w:lang w:val="en-GB"/>
        </w:rPr>
      </w:pPr>
      <w:r w:rsidRPr="00C06882">
        <w:rPr>
          <w:rStyle w:val="Odwoanieprzypisudolnego"/>
        </w:rPr>
        <w:footnoteRef/>
      </w:r>
      <w:r w:rsidRPr="00AF0922">
        <w:rPr>
          <w:lang w:val="en-GB"/>
        </w:rPr>
        <w:t xml:space="preserve"> </w:t>
      </w:r>
      <w:r w:rsidR="00AF0922" w:rsidRPr="00A76487">
        <w:rPr>
          <w:sz w:val="16"/>
          <w:lang w:val="en-GB"/>
        </w:rPr>
        <w:t xml:space="preserve">Data is preliminary and is presented in a narrower scope. It is calculated based on the structure of households’ expenditure (excluding own consumption) from </w:t>
      </w:r>
      <w:r w:rsidR="00D95A3B" w:rsidRPr="00AF0922">
        <w:rPr>
          <w:bCs/>
          <w:sz w:val="16"/>
          <w:szCs w:val="16"/>
          <w:lang w:val="en-GB"/>
        </w:rPr>
        <w:t>2019</w:t>
      </w:r>
    </w:p>
  </w:footnote>
  <w:footnote w:id="2">
    <w:p w:rsidR="008B3C98" w:rsidRPr="00834749" w:rsidRDefault="0006476D">
      <w:pPr>
        <w:pStyle w:val="Tekstprzypisudolnego"/>
        <w:rPr>
          <w:sz w:val="16"/>
          <w:szCs w:val="16"/>
          <w:lang w:val="en-GB"/>
        </w:rPr>
      </w:pPr>
      <w:r>
        <w:rPr>
          <w:rStyle w:val="Odwoanieprzypisudolnego"/>
        </w:rPr>
        <w:footnoteRef/>
      </w:r>
      <w:r w:rsidR="008B3C98" w:rsidRPr="00834749">
        <w:rPr>
          <w:lang w:val="en-GB"/>
        </w:rPr>
        <w:t xml:space="preserve"> </w:t>
      </w:r>
      <w:r w:rsidR="00834749" w:rsidRPr="00C4034C">
        <w:rPr>
          <w:sz w:val="16"/>
          <w:szCs w:val="16"/>
          <w:lang w:val="en-GB"/>
        </w:rPr>
        <w:t>Structure of households’ expenditure (excl</w:t>
      </w:r>
      <w:r w:rsidR="00834749">
        <w:rPr>
          <w:sz w:val="16"/>
          <w:szCs w:val="16"/>
          <w:lang w:val="en-GB"/>
        </w:rPr>
        <w:t xml:space="preserve">uding own consumption) from </w:t>
      </w:r>
      <w:r w:rsidR="00C1320A" w:rsidRPr="00834749">
        <w:rPr>
          <w:sz w:val="16"/>
          <w:szCs w:val="16"/>
          <w:lang w:val="en-GB"/>
        </w:rPr>
        <w:t>201</w:t>
      </w:r>
      <w:r w:rsidR="00007345" w:rsidRPr="00834749">
        <w:rPr>
          <w:sz w:val="16"/>
          <w:szCs w:val="16"/>
          <w:lang w:val="en-GB"/>
        </w:rPr>
        <w:t>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C98" w:rsidRDefault="006C56EA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</w:pict>
    </w:r>
  </w:p>
  <w:p w:rsidR="008B3C98" w:rsidRDefault="008B3C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C98" w:rsidRDefault="006C56EA" w:rsidP="004A1AD2">
    <w:pPr>
      <w:pStyle w:val="Nagwek"/>
      <w:tabs>
        <w:tab w:val="clear" w:pos="4536"/>
        <w:tab w:val="clear" w:pos="9072"/>
        <w:tab w:val="left" w:pos="6417"/>
      </w:tabs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8B3C98" w:rsidRPr="003C6C8D" w:rsidRDefault="00AE47D4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AE47D4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0.95pt;margin-top:40.3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  <w:r w:rsidR="00AE47D4">
      <w:rPr>
        <w:noProof/>
        <w:lang w:eastAsia="pl-PL"/>
      </w:rPr>
      <w:drawing>
        <wp:inline distT="0" distB="0" distL="0" distR="0" wp14:anchorId="4FB7350E" wp14:editId="427B47B5">
          <wp:extent cx="1865630" cy="709295"/>
          <wp:effectExtent l="0" t="0" r="0" b="0"/>
          <wp:docPr id="9" name="Obraz 9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C98" w:rsidRDefault="006C56EA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8B3C98" w:rsidRPr="00C97596" w:rsidRDefault="00203B13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15.02.2021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C98" w:rsidRDefault="008B3C98">
    <w:pPr>
      <w:pStyle w:val="Nagwek"/>
    </w:pPr>
  </w:p>
  <w:p w:rsidR="008B3C98" w:rsidRDefault="008B3C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4.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07345"/>
    <w:rsid w:val="000108B8"/>
    <w:rsid w:val="000152F5"/>
    <w:rsid w:val="000403E6"/>
    <w:rsid w:val="0004582E"/>
    <w:rsid w:val="000470AA"/>
    <w:rsid w:val="000555F3"/>
    <w:rsid w:val="00057CA1"/>
    <w:rsid w:val="0006476D"/>
    <w:rsid w:val="000662E2"/>
    <w:rsid w:val="00066883"/>
    <w:rsid w:val="00071352"/>
    <w:rsid w:val="00072E75"/>
    <w:rsid w:val="00074DD8"/>
    <w:rsid w:val="000806F7"/>
    <w:rsid w:val="00083159"/>
    <w:rsid w:val="000847BA"/>
    <w:rsid w:val="000909CA"/>
    <w:rsid w:val="00097840"/>
    <w:rsid w:val="000A2CAA"/>
    <w:rsid w:val="000B02C1"/>
    <w:rsid w:val="000B0727"/>
    <w:rsid w:val="000B6F62"/>
    <w:rsid w:val="000C135D"/>
    <w:rsid w:val="000D1D43"/>
    <w:rsid w:val="000D225C"/>
    <w:rsid w:val="000D2A5C"/>
    <w:rsid w:val="000D6A4A"/>
    <w:rsid w:val="000E0918"/>
    <w:rsid w:val="001011C3"/>
    <w:rsid w:val="00110D87"/>
    <w:rsid w:val="00114DB9"/>
    <w:rsid w:val="00116087"/>
    <w:rsid w:val="00130296"/>
    <w:rsid w:val="001423B6"/>
    <w:rsid w:val="001448A7"/>
    <w:rsid w:val="00146621"/>
    <w:rsid w:val="001537B0"/>
    <w:rsid w:val="00162325"/>
    <w:rsid w:val="001819B2"/>
    <w:rsid w:val="00181BC4"/>
    <w:rsid w:val="00192999"/>
    <w:rsid w:val="001951DA"/>
    <w:rsid w:val="001C3269"/>
    <w:rsid w:val="001D1DB4"/>
    <w:rsid w:val="00203B13"/>
    <w:rsid w:val="0021152F"/>
    <w:rsid w:val="00221F22"/>
    <w:rsid w:val="002574F9"/>
    <w:rsid w:val="00262B61"/>
    <w:rsid w:val="00276811"/>
    <w:rsid w:val="00276DC7"/>
    <w:rsid w:val="00282699"/>
    <w:rsid w:val="002829B6"/>
    <w:rsid w:val="00282F15"/>
    <w:rsid w:val="002926DF"/>
    <w:rsid w:val="00296697"/>
    <w:rsid w:val="002B0472"/>
    <w:rsid w:val="002B6B12"/>
    <w:rsid w:val="002E6140"/>
    <w:rsid w:val="002E6985"/>
    <w:rsid w:val="002E71B6"/>
    <w:rsid w:val="002F77C8"/>
    <w:rsid w:val="00304F22"/>
    <w:rsid w:val="00305F07"/>
    <w:rsid w:val="00306C7C"/>
    <w:rsid w:val="00322EDD"/>
    <w:rsid w:val="00323DBE"/>
    <w:rsid w:val="00325696"/>
    <w:rsid w:val="00332320"/>
    <w:rsid w:val="00347D72"/>
    <w:rsid w:val="00357611"/>
    <w:rsid w:val="00367237"/>
    <w:rsid w:val="0037077F"/>
    <w:rsid w:val="00372411"/>
    <w:rsid w:val="00373882"/>
    <w:rsid w:val="003843DB"/>
    <w:rsid w:val="00393761"/>
    <w:rsid w:val="00397D18"/>
    <w:rsid w:val="003A1B36"/>
    <w:rsid w:val="003B1454"/>
    <w:rsid w:val="003B18B6"/>
    <w:rsid w:val="003C59E0"/>
    <w:rsid w:val="003C6C8D"/>
    <w:rsid w:val="003D4F95"/>
    <w:rsid w:val="003D5F42"/>
    <w:rsid w:val="003D60A9"/>
    <w:rsid w:val="003F4C97"/>
    <w:rsid w:val="003F78AC"/>
    <w:rsid w:val="003F7FE6"/>
    <w:rsid w:val="00400193"/>
    <w:rsid w:val="00407E0E"/>
    <w:rsid w:val="004212E7"/>
    <w:rsid w:val="0042446D"/>
    <w:rsid w:val="00427BF8"/>
    <w:rsid w:val="00431C02"/>
    <w:rsid w:val="00437395"/>
    <w:rsid w:val="004423C0"/>
    <w:rsid w:val="00445047"/>
    <w:rsid w:val="004533BD"/>
    <w:rsid w:val="00460E1A"/>
    <w:rsid w:val="00463E39"/>
    <w:rsid w:val="004657FC"/>
    <w:rsid w:val="00466B32"/>
    <w:rsid w:val="0047240F"/>
    <w:rsid w:val="004733F6"/>
    <w:rsid w:val="00474898"/>
    <w:rsid w:val="00474E69"/>
    <w:rsid w:val="0049621B"/>
    <w:rsid w:val="004A1AD2"/>
    <w:rsid w:val="004A4196"/>
    <w:rsid w:val="004A6115"/>
    <w:rsid w:val="004B4D36"/>
    <w:rsid w:val="004C1895"/>
    <w:rsid w:val="004C6D40"/>
    <w:rsid w:val="004F0C3C"/>
    <w:rsid w:val="004F63FC"/>
    <w:rsid w:val="00505A92"/>
    <w:rsid w:val="005203F1"/>
    <w:rsid w:val="00521BC3"/>
    <w:rsid w:val="00533632"/>
    <w:rsid w:val="00541E6E"/>
    <w:rsid w:val="0054251F"/>
    <w:rsid w:val="005520D8"/>
    <w:rsid w:val="00556CF1"/>
    <w:rsid w:val="005762A7"/>
    <w:rsid w:val="005826EB"/>
    <w:rsid w:val="005916D7"/>
    <w:rsid w:val="005A698C"/>
    <w:rsid w:val="005D1B4C"/>
    <w:rsid w:val="005D1FC5"/>
    <w:rsid w:val="005E0799"/>
    <w:rsid w:val="005F5A80"/>
    <w:rsid w:val="006044FF"/>
    <w:rsid w:val="00607CC5"/>
    <w:rsid w:val="006216AE"/>
    <w:rsid w:val="00633014"/>
    <w:rsid w:val="0063437B"/>
    <w:rsid w:val="00645F30"/>
    <w:rsid w:val="006673CA"/>
    <w:rsid w:val="00673C26"/>
    <w:rsid w:val="00680EFF"/>
    <w:rsid w:val="006812AF"/>
    <w:rsid w:val="0068327D"/>
    <w:rsid w:val="00685123"/>
    <w:rsid w:val="00694AF0"/>
    <w:rsid w:val="006A4686"/>
    <w:rsid w:val="006B0E9E"/>
    <w:rsid w:val="006B3D0D"/>
    <w:rsid w:val="006B5AE4"/>
    <w:rsid w:val="006C56EA"/>
    <w:rsid w:val="006D1507"/>
    <w:rsid w:val="006D4054"/>
    <w:rsid w:val="006E02EC"/>
    <w:rsid w:val="006E1DCF"/>
    <w:rsid w:val="006E514B"/>
    <w:rsid w:val="006F4D05"/>
    <w:rsid w:val="007211B1"/>
    <w:rsid w:val="00746187"/>
    <w:rsid w:val="0075496E"/>
    <w:rsid w:val="0076254F"/>
    <w:rsid w:val="00764E44"/>
    <w:rsid w:val="00767603"/>
    <w:rsid w:val="00772651"/>
    <w:rsid w:val="007801F5"/>
    <w:rsid w:val="00783CA4"/>
    <w:rsid w:val="007842FB"/>
    <w:rsid w:val="00786124"/>
    <w:rsid w:val="0079514B"/>
    <w:rsid w:val="007A2DC1"/>
    <w:rsid w:val="007A506F"/>
    <w:rsid w:val="007D02A9"/>
    <w:rsid w:val="007D0C0B"/>
    <w:rsid w:val="007D3319"/>
    <w:rsid w:val="007D335D"/>
    <w:rsid w:val="007E3314"/>
    <w:rsid w:val="007E4B03"/>
    <w:rsid w:val="007F324B"/>
    <w:rsid w:val="0080553C"/>
    <w:rsid w:val="00805B46"/>
    <w:rsid w:val="0081452A"/>
    <w:rsid w:val="00825DC2"/>
    <w:rsid w:val="00834749"/>
    <w:rsid w:val="00834AD3"/>
    <w:rsid w:val="00843795"/>
    <w:rsid w:val="00847F0F"/>
    <w:rsid w:val="00852115"/>
    <w:rsid w:val="00852448"/>
    <w:rsid w:val="0088258A"/>
    <w:rsid w:val="00883763"/>
    <w:rsid w:val="00886332"/>
    <w:rsid w:val="008A26D9"/>
    <w:rsid w:val="008B3C98"/>
    <w:rsid w:val="008C0C29"/>
    <w:rsid w:val="008C1886"/>
    <w:rsid w:val="008F190C"/>
    <w:rsid w:val="008F3638"/>
    <w:rsid w:val="008F4441"/>
    <w:rsid w:val="008F6F31"/>
    <w:rsid w:val="008F74DF"/>
    <w:rsid w:val="009127BA"/>
    <w:rsid w:val="009227A6"/>
    <w:rsid w:val="00933EC1"/>
    <w:rsid w:val="009530DB"/>
    <w:rsid w:val="00953676"/>
    <w:rsid w:val="009705EE"/>
    <w:rsid w:val="00977927"/>
    <w:rsid w:val="0098135C"/>
    <w:rsid w:val="0098156A"/>
    <w:rsid w:val="00991AFA"/>
    <w:rsid w:val="00991BAC"/>
    <w:rsid w:val="009A6EA0"/>
    <w:rsid w:val="009C1335"/>
    <w:rsid w:val="009C1AB2"/>
    <w:rsid w:val="009C55F4"/>
    <w:rsid w:val="009C7251"/>
    <w:rsid w:val="009E2E91"/>
    <w:rsid w:val="00A139F5"/>
    <w:rsid w:val="00A13E5E"/>
    <w:rsid w:val="00A34C24"/>
    <w:rsid w:val="00A365F4"/>
    <w:rsid w:val="00A47D80"/>
    <w:rsid w:val="00A53132"/>
    <w:rsid w:val="00A54FF9"/>
    <w:rsid w:val="00A563F2"/>
    <w:rsid w:val="00A566E8"/>
    <w:rsid w:val="00A80239"/>
    <w:rsid w:val="00A810F9"/>
    <w:rsid w:val="00A86ECC"/>
    <w:rsid w:val="00A86FCC"/>
    <w:rsid w:val="00A90643"/>
    <w:rsid w:val="00AA710D"/>
    <w:rsid w:val="00AB6D25"/>
    <w:rsid w:val="00AC39D6"/>
    <w:rsid w:val="00AE2D4B"/>
    <w:rsid w:val="00AE47D4"/>
    <w:rsid w:val="00AE4F99"/>
    <w:rsid w:val="00AF0922"/>
    <w:rsid w:val="00AF2DEA"/>
    <w:rsid w:val="00B035BE"/>
    <w:rsid w:val="00B11B69"/>
    <w:rsid w:val="00B14952"/>
    <w:rsid w:val="00B31E5A"/>
    <w:rsid w:val="00B41790"/>
    <w:rsid w:val="00B600A6"/>
    <w:rsid w:val="00B630E4"/>
    <w:rsid w:val="00B653AB"/>
    <w:rsid w:val="00B65F9E"/>
    <w:rsid w:val="00B66B19"/>
    <w:rsid w:val="00B914E9"/>
    <w:rsid w:val="00B956EE"/>
    <w:rsid w:val="00BA2BA1"/>
    <w:rsid w:val="00BA3562"/>
    <w:rsid w:val="00BB0BE8"/>
    <w:rsid w:val="00BB4F09"/>
    <w:rsid w:val="00BC03AA"/>
    <w:rsid w:val="00BD4E33"/>
    <w:rsid w:val="00C030DE"/>
    <w:rsid w:val="00C06882"/>
    <w:rsid w:val="00C1320A"/>
    <w:rsid w:val="00C1701E"/>
    <w:rsid w:val="00C22105"/>
    <w:rsid w:val="00C244B6"/>
    <w:rsid w:val="00C3702F"/>
    <w:rsid w:val="00C4500A"/>
    <w:rsid w:val="00C54089"/>
    <w:rsid w:val="00C604F4"/>
    <w:rsid w:val="00C64A37"/>
    <w:rsid w:val="00C7158E"/>
    <w:rsid w:val="00C7250B"/>
    <w:rsid w:val="00C7346B"/>
    <w:rsid w:val="00C73761"/>
    <w:rsid w:val="00C77C0E"/>
    <w:rsid w:val="00C82B45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58B7"/>
    <w:rsid w:val="00CE3847"/>
    <w:rsid w:val="00CF4099"/>
    <w:rsid w:val="00CF4441"/>
    <w:rsid w:val="00D00796"/>
    <w:rsid w:val="00D261A2"/>
    <w:rsid w:val="00D44416"/>
    <w:rsid w:val="00D474D6"/>
    <w:rsid w:val="00D616D2"/>
    <w:rsid w:val="00D63B5F"/>
    <w:rsid w:val="00D70EF7"/>
    <w:rsid w:val="00D763B9"/>
    <w:rsid w:val="00D8397C"/>
    <w:rsid w:val="00D94EED"/>
    <w:rsid w:val="00D95A3B"/>
    <w:rsid w:val="00D96026"/>
    <w:rsid w:val="00DA39EA"/>
    <w:rsid w:val="00DA7C1C"/>
    <w:rsid w:val="00DB147A"/>
    <w:rsid w:val="00DB1B7A"/>
    <w:rsid w:val="00DC6708"/>
    <w:rsid w:val="00E01436"/>
    <w:rsid w:val="00E045BD"/>
    <w:rsid w:val="00E17B77"/>
    <w:rsid w:val="00E23337"/>
    <w:rsid w:val="00E259EA"/>
    <w:rsid w:val="00E26AA3"/>
    <w:rsid w:val="00E2705A"/>
    <w:rsid w:val="00E31D7E"/>
    <w:rsid w:val="00E32061"/>
    <w:rsid w:val="00E42FF9"/>
    <w:rsid w:val="00E4714C"/>
    <w:rsid w:val="00E51AEB"/>
    <w:rsid w:val="00E522A7"/>
    <w:rsid w:val="00E54452"/>
    <w:rsid w:val="00E664C5"/>
    <w:rsid w:val="00E671A2"/>
    <w:rsid w:val="00E76D26"/>
    <w:rsid w:val="00E87156"/>
    <w:rsid w:val="00EB1390"/>
    <w:rsid w:val="00EB2C71"/>
    <w:rsid w:val="00EB4340"/>
    <w:rsid w:val="00EB556D"/>
    <w:rsid w:val="00EB5A7D"/>
    <w:rsid w:val="00EB5AED"/>
    <w:rsid w:val="00ED1C53"/>
    <w:rsid w:val="00ED3F9E"/>
    <w:rsid w:val="00ED55C0"/>
    <w:rsid w:val="00ED682B"/>
    <w:rsid w:val="00EE41D5"/>
    <w:rsid w:val="00EF4931"/>
    <w:rsid w:val="00EF5FF9"/>
    <w:rsid w:val="00F037A4"/>
    <w:rsid w:val="00F15E50"/>
    <w:rsid w:val="00F2018B"/>
    <w:rsid w:val="00F27C8F"/>
    <w:rsid w:val="00F32749"/>
    <w:rsid w:val="00F37172"/>
    <w:rsid w:val="00F4477E"/>
    <w:rsid w:val="00F65543"/>
    <w:rsid w:val="00F668A2"/>
    <w:rsid w:val="00F67D8F"/>
    <w:rsid w:val="00F739B3"/>
    <w:rsid w:val="00F802BE"/>
    <w:rsid w:val="00F80E93"/>
    <w:rsid w:val="00F86024"/>
    <w:rsid w:val="00F8611A"/>
    <w:rsid w:val="00F8661E"/>
    <w:rsid w:val="00FA5128"/>
    <w:rsid w:val="00FB42D4"/>
    <w:rsid w:val="00FB5906"/>
    <w:rsid w:val="00FB762F"/>
    <w:rsid w:val="00FC1289"/>
    <w:rsid w:val="00FC2AED"/>
    <w:rsid w:val="00FD0F08"/>
    <w:rsid w:val="00FD1B12"/>
    <w:rsid w:val="00FD5EA7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20F7A8B0-ED5B-4662-A25A-61CF224D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unhideWhenUsed/>
    <w:rsid w:val="00680E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26" Type="http://schemas.openxmlformats.org/officeDocument/2006/relationships/hyperlink" Target="https://twitter.com/StatPoland" TargetMode="External"/><Relationship Id="rId39" Type="http://schemas.openxmlformats.org/officeDocument/2006/relationships/fontTable" Target="fontTable.xml"/><Relationship Id="rId21" Type="http://schemas.openxmlformats.org/officeDocument/2006/relationships/footer" Target="footer2.xml"/><Relationship Id="rId34" Type="http://schemas.openxmlformats.org/officeDocument/2006/relationships/hyperlink" Target="http://stat.gov.pl/en/topics/prices-trade/prices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://stat.gov.pl/en/topics/prices-trade/price-indices/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documents/10186/10693286/HICP_lifting_lockdown_measures_guidance.pdf" TargetMode="External"/><Relationship Id="rId20" Type="http://schemas.openxmlformats.org/officeDocument/2006/relationships/header" Target="header2.xm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" TargetMode="External"/><Relationship Id="rId32" Type="http://schemas.openxmlformats.org/officeDocument/2006/relationships/hyperlink" Target="https://bdl.stat.gov.pl/BDL/start?lang=en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ec.europa.eu/eurostat/documents/10186/10693286/HICP_guidance.pdf" TargetMode="External"/><Relationship Id="rId23" Type="http://schemas.openxmlformats.org/officeDocument/2006/relationships/image" Target="media/image5.png"/><Relationship Id="rId28" Type="http://schemas.openxmlformats.org/officeDocument/2006/relationships/hyperlink" Target="http://stat.gov.pl/en/latest-statistical-news/communications-and-announcements/" TargetMode="External"/><Relationship Id="rId36" Type="http://schemas.openxmlformats.org/officeDocument/2006/relationships/hyperlink" Target="http://stat.gov.pl/en/metainformations/glossary/terms-used-in-official-statistics/32,term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hyperlink" Target="http://stat.gov.pl/en/metainformations/glossary/terms-used-in-official-statistics/711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4.1462322130901709E-2"/>
                  <c:y val="4.18640666664079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8082859766814122E-2"/>
                  <c:y val="2.542452482330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573981114021586E-2"/>
                  <c:y val="-4.454226972492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599079354789142E-2"/>
                  <c:y val="3.00884539841499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650145085820135E-2"/>
                  <c:y val="-2.72799371794595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227975323367521E-2"/>
                  <c:y val="4.1545357936431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867348435223836E-2"/>
                  <c:y val="3.9887160660805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29501773629281E-2"/>
                  <c:y val="2.5589322579096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6771994710827676E-2"/>
                  <c:y val="9.640789284171107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965913138518742E-2"/>
                  <c:y val="-4.34774593115367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444456371647304E-2"/>
                  <c:y val="-2.3460751836381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773249047039556E-2"/>
                  <c:y val="-2.19875718538586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036273874512248E-2"/>
                  <c:y val="1.89267236192997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9118164432355619E-2"/>
                  <c:y val="-4.375517387375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935119678364398E-2"/>
                  <c:y val="-4.4550295292670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5.0197574164179297E-2"/>
                  <c:y val="2.594017312309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0228185734194361E-2"/>
                  <c:y val="-7.093095901391350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5674301071814804E-2"/>
                  <c:y val="-6.555699377865160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0,7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'M-1'!$B$38:$B$62</c:f>
              <c:strCache>
                <c:ptCount val="2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</c:strCache>
            </c:strRef>
          </c:cat>
          <c:val>
            <c:numRef>
              <c:f>'M-1'!$C$38:$C$62</c:f>
              <c:numCache>
                <c:formatCode>0.0</c:formatCode>
                <c:ptCount val="25"/>
                <c:pt idx="0">
                  <c:v>-0.2</c:v>
                </c:pt>
                <c:pt idx="1">
                  <c:v>0.4</c:v>
                </c:pt>
                <c:pt idx="2">
                  <c:v>0.3</c:v>
                </c:pt>
                <c:pt idx="3">
                  <c:v>1.1000000000000001</c:v>
                </c:pt>
                <c:pt idx="4">
                  <c:v>0.2</c:v>
                </c:pt>
                <c:pt idx="5">
                  <c:v>0.3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0.2</c:v>
                </c:pt>
                <c:pt idx="10">
                  <c:v>0.1</c:v>
                </c:pt>
                <c:pt idx="11">
                  <c:v>0.8</c:v>
                </c:pt>
                <c:pt idx="12">
                  <c:v>0.9</c:v>
                </c:pt>
                <c:pt idx="13">
                  <c:v>0.7</c:v>
                </c:pt>
                <c:pt idx="14">
                  <c:v>0.2</c:v>
                </c:pt>
                <c:pt idx="15">
                  <c:v>-0.1</c:v>
                </c:pt>
                <c:pt idx="16">
                  <c:v>-0.2</c:v>
                </c:pt>
                <c:pt idx="17">
                  <c:v>0.6</c:v>
                </c:pt>
                <c:pt idx="18">
                  <c:v>-0.2</c:v>
                </c:pt>
                <c:pt idx="19">
                  <c:v>-0.1</c:v>
                </c:pt>
                <c:pt idx="20">
                  <c:v>0.2</c:v>
                </c:pt>
                <c:pt idx="21">
                  <c:v>0.1</c:v>
                </c:pt>
                <c:pt idx="22">
                  <c:v>0.1</c:v>
                </c:pt>
                <c:pt idx="23">
                  <c:v>0.1</c:v>
                </c:pt>
                <c:pt idx="24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81021488"/>
        <c:axId val="-1481026384"/>
      </c:lineChart>
      <c:dateAx>
        <c:axId val="-148102148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481026384"/>
        <c:crossesAt val="0"/>
        <c:auto val="0"/>
        <c:lblOffset val="100"/>
        <c:baseTimeUnit val="days"/>
      </c:dateAx>
      <c:valAx>
        <c:axId val="-1481026384"/>
        <c:scaling>
          <c:orientation val="minMax"/>
          <c:max val="1.4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481021488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385861817637717E-2"/>
                  <c:y val="-2.5356108609086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868407881250148E-2"/>
                  <c:y val="-3.5217877234158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0083590846914286E-2"/>
                  <c:y val="-3.0561633815515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197722914833453E-2"/>
                  <c:y val="-4.1308898139890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2248120674167937E-2"/>
                  <c:y val="-4.0655920751477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2484229051433112E-2"/>
                  <c:y val="1.7395938664863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7786713153240278E-2"/>
                  <c:y val="-2.5901657031163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220935206238491E-2"/>
                  <c:y val="-4.1155862544958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8683374165693573E-2"/>
                  <c:y val="-2.9778048650780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5.5357354447323932E-2"/>
                  <c:y val="1.9165486738470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5.3240754319135199E-2"/>
                  <c:y val="2.7510543188418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6745413967879209E-2"/>
                  <c:y val="-4.516224361791500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1570155566687668E-2"/>
                  <c:y val="2.8357121041210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02916634447766E-2"/>
                  <c:y val="2.789303271021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5437716817087035E-2"/>
                  <c:y val="-1.5700344191211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0291305617758739E-2"/>
                  <c:y val="-1.1100267590114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7.2784826812853837E-2"/>
                  <c:y val="-2.2122484975100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2.8956234871554618E-2"/>
                  <c:y val="-3.6136188271604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(+FE)'!$B$38:$B$62</c:f>
              <c:strCache>
                <c:ptCount val="2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</c:strCache>
            </c:strRef>
          </c:cat>
          <c:val>
            <c:numRef>
              <c:f>'M-12 (+FE)'!$D$38:$D$62</c:f>
              <c:numCache>
                <c:formatCode>0.0</c:formatCode>
                <c:ptCount val="25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  <c:pt idx="23">
                  <c:v>2.4</c:v>
                </c:pt>
                <c:pt idx="24">
                  <c:v>2.7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81024208"/>
        <c:axId val="-1481023120"/>
      </c:lineChart>
      <c:dateAx>
        <c:axId val="-148102420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481023120"/>
        <c:crossesAt val="0"/>
        <c:auto val="0"/>
        <c:lblOffset val="100"/>
        <c:baseTimeUnit val="days"/>
      </c:dateAx>
      <c:valAx>
        <c:axId val="-1481023120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48102420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4601670884889388"/>
          <c:y val="8.4714532630509962E-3"/>
          <c:w val="0.50443030558680169"/>
          <c:h val="0.9299941819162665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5.72</c:v>
                </c:pt>
                <c:pt idx="1">
                  <c:v>6.12</c:v>
                </c:pt>
                <c:pt idx="2">
                  <c:v>1.1499999999999999</c:v>
                </c:pt>
                <c:pt idx="3">
                  <c:v>6.62</c:v>
                </c:pt>
                <c:pt idx="4">
                  <c:v>4.54</c:v>
                </c:pt>
                <c:pt idx="5">
                  <c:v>9.89</c:v>
                </c:pt>
                <c:pt idx="6">
                  <c:v>5.29</c:v>
                </c:pt>
                <c:pt idx="7">
                  <c:v>5.8</c:v>
                </c:pt>
                <c:pt idx="8">
                  <c:v>18.440000000000001</c:v>
                </c:pt>
                <c:pt idx="9">
                  <c:v>4.9400000000000004</c:v>
                </c:pt>
                <c:pt idx="10">
                  <c:v>6.25</c:v>
                </c:pt>
                <c:pt idx="11">
                  <c:v>25.24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481023664"/>
        <c:axId val="-1481025296"/>
      </c:barChart>
      <c:catAx>
        <c:axId val="-1481023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-1481025296"/>
        <c:crosses val="autoZero"/>
        <c:auto val="0"/>
        <c:lblAlgn val="ctr"/>
        <c:lblOffset val="100"/>
        <c:noMultiLvlLbl val="0"/>
      </c:catAx>
      <c:valAx>
        <c:axId val="-148102529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16879140112"/>
              <c:y val="0.9478059865102004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-14810236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0.48272</cdr:x>
      <cdr:y>0.86532</cdr:y>
    </cdr:from>
    <cdr:to>
      <cdr:x>0.48315</cdr:x>
      <cdr:y>0.94179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466942" y="2202251"/>
          <a:ext cx="2198" cy="19461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0.06738</cdr:x>
      <cdr:y>0.9299</cdr:y>
    </cdr:from>
    <cdr:to>
      <cdr:x>0.48316</cdr:x>
      <cdr:y>0.99126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44367" y="2366596"/>
          <a:ext cx="2124808" cy="1561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0.47708</cdr:x>
      <cdr:y>0.92702</cdr:y>
    </cdr:from>
    <cdr:to>
      <cdr:x>0.8932</cdr:x>
      <cdr:y>0.98786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2438097" y="2359268"/>
          <a:ext cx="2126578" cy="1548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0.89597</cdr:x>
      <cdr:y>0.86637</cdr:y>
    </cdr:from>
    <cdr:to>
      <cdr:x>0.8964</cdr:x>
      <cdr:y>0.94284</cdr:y>
    </cdr:to>
    <cdr:sp macro="" textlink="">
      <cdr:nvSpPr>
        <cdr:cNvPr id="8" name="Łącznik prosty 6"/>
        <cdr:cNvSpPr/>
      </cdr:nvSpPr>
      <cdr:spPr bwMode="auto">
        <a:xfrm xmlns:a="http://schemas.openxmlformats.org/drawingml/2006/main" flipH="1" flipV="1">
          <a:off x="4578838" y="2204915"/>
          <a:ext cx="2198" cy="19461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0.8975</cdr:x>
      <cdr:y>0.92414</cdr:y>
    </cdr:from>
    <cdr:to>
      <cdr:x>0.95915</cdr:x>
      <cdr:y>0.99136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4586653" y="2351942"/>
          <a:ext cx="315059" cy="1710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8518" y="1173355"/>
          <a:ext cx="4414515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</cdr:x>
      <cdr:y>0.62248</cdr:y>
    </cdr:from>
    <cdr:to>
      <cdr:x>0.92803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2442" y="1606171"/>
          <a:ext cx="4400791" cy="72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0.06986</cdr:x>
      <cdr:y>0.29115</cdr:y>
    </cdr:from>
    <cdr:to>
      <cdr:x>0.92444</cdr:x>
      <cdr:y>0.29664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7287" y="764521"/>
          <a:ext cx="4370608" cy="1441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0.06735</cdr:x>
      <cdr:y>0.92877</cdr:y>
    </cdr:from>
    <cdr:to>
      <cdr:x>0.48343</cdr:x>
      <cdr:y>1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45877" y="2360191"/>
          <a:ext cx="2136780" cy="1810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0.48034</cdr:x>
      <cdr:y>0.92877</cdr:y>
    </cdr:from>
    <cdr:to>
      <cdr:x>0.89456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466781" y="2360192"/>
          <a:ext cx="2127250" cy="181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0.48064</cdr:x>
      <cdr:y>0.86194</cdr:y>
    </cdr:from>
    <cdr:to>
      <cdr:x>0.48098</cdr:x>
      <cdr:y>0.94565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2468318" y="2190369"/>
          <a:ext cx="1746" cy="21272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0.15487</cdr:x>
      <cdr:y>0.21251</cdr:y>
    </cdr:from>
    <cdr:to>
      <cdr:x>0.45491</cdr:x>
      <cdr:y>0.29141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795311" y="540030"/>
          <a:ext cx="1540855" cy="2005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0.15382</cdr:x>
      <cdr:y>0.62333</cdr:y>
    </cdr:from>
    <cdr:to>
      <cdr:x>0.43501</cdr:x>
      <cdr:y>0.70222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789918" y="1584006"/>
          <a:ext cx="1444052" cy="200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0.44171</cdr:x>
      <cdr:y>0.45356</cdr:y>
    </cdr:from>
    <cdr:to>
      <cdr:x>0.63088</cdr:x>
      <cdr:y>0.54036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68415" y="1152587"/>
          <a:ext cx="971483" cy="22057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0.89337</cdr:x>
      <cdr:y>0.86647</cdr:y>
    </cdr:from>
    <cdr:to>
      <cdr:x>0.89371</cdr:x>
      <cdr:y>0.95018</cdr:y>
    </cdr:to>
    <cdr:sp macro="" textlink="">
      <cdr:nvSpPr>
        <cdr:cNvPr id="17" name="Łącznik prosty 22"/>
        <cdr:cNvSpPr/>
      </cdr:nvSpPr>
      <cdr:spPr bwMode="auto">
        <a:xfrm xmlns:a="http://schemas.openxmlformats.org/drawingml/2006/main" flipH="1" flipV="1">
          <a:off x="4576326" y="2195882"/>
          <a:ext cx="1742" cy="21214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0.89302</cdr:x>
      <cdr:y>0.92877</cdr:y>
    </cdr:from>
    <cdr:to>
      <cdr:x>0.95175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4586093" y="2360192"/>
          <a:ext cx="301626" cy="1810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EA275B80-78AA-4A92-B1EE-D85EE9F3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indices in January 2021 (preliminary data)</dc:title>
  <cp:revision>2</cp:revision>
  <cp:lastPrinted>2020-02-13T14:50:00Z</cp:lastPrinted>
  <dcterms:created xsi:type="dcterms:W3CDTF">2021-02-15T08:29:00Z</dcterms:created>
  <dcterms:modified xsi:type="dcterms:W3CDTF">2021-02-15T08:29:00Z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