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22" w:rsidRPr="00714FB6" w:rsidRDefault="006D19D5" w:rsidP="003047EF">
      <w:pPr>
        <w:pStyle w:val="tytuinformacji"/>
        <w:rPr>
          <w:lang w:val="en-GB"/>
        </w:rPr>
      </w:pPr>
      <w:r w:rsidRPr="00714FB6">
        <w:rPr>
          <w:lang w:val="en-GB"/>
        </w:rPr>
        <w:t>Consumer price indices in December 2020</w:t>
      </w:r>
    </w:p>
    <w:p w:rsidR="00DA0C7E" w:rsidRPr="00714FB6" w:rsidRDefault="00DA0C7E" w:rsidP="003047EF">
      <w:pPr>
        <w:pStyle w:val="tytuinformacji"/>
        <w:rPr>
          <w:sz w:val="19"/>
          <w:szCs w:val="19"/>
          <w:highlight w:val="yellow"/>
          <w:lang w:val="en-GB"/>
        </w:rPr>
      </w:pPr>
    </w:p>
    <w:p w:rsidR="0061655B" w:rsidRPr="00714FB6" w:rsidRDefault="00896682" w:rsidP="00CF08EF">
      <w:pPr>
        <w:pStyle w:val="LID"/>
        <w:rPr>
          <w:noProof w:val="0"/>
          <w:lang w:val="en-GB"/>
        </w:rPr>
      </w:pPr>
      <w:r w:rsidRPr="00714FB6">
        <w:rPr>
          <w:noProof w:val="0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8.1pt;width:2in;height:105.8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896682" w:rsidRPr="00AC3D2C" w:rsidRDefault="00896682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6E6D6809" wp14:editId="763D0F43">
                        <wp:extent cx="334645" cy="334645"/>
                        <wp:effectExtent l="0" t="0" r="8255" b="8255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C3D2C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Pr="00AC3D2C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2.4%</w:t>
                  </w:r>
                </w:p>
                <w:p w:rsidR="00896682" w:rsidRPr="00AC3D2C" w:rsidRDefault="00896682" w:rsidP="00A27522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AC3D2C">
                    <w:rPr>
                      <w:lang w:val="en-GB"/>
                    </w:rPr>
                    <w:t xml:space="preserve">an increase compared </w:t>
                  </w:r>
                  <w:r>
                    <w:rPr>
                      <w:lang w:val="en-GB"/>
                    </w:rPr>
                    <w:t>with the corresponding month of </w:t>
                  </w:r>
                  <w:r w:rsidRPr="00AC3D2C">
                    <w:rPr>
                      <w:lang w:val="en-GB"/>
                    </w:rPr>
                    <w:t>the previous year</w:t>
                  </w:r>
                </w:p>
              </w:txbxContent>
            </v:textbox>
            <w10:wrap type="square" anchorx="margin"/>
          </v:shape>
        </w:pict>
      </w:r>
      <w:r w:rsidR="00AC3D2C" w:rsidRPr="00714FB6">
        <w:rPr>
          <w:noProof w:val="0"/>
          <w:lang w:val="en-GB" w:eastAsia="en-GB"/>
        </w:rPr>
        <w:t xml:space="preserve">Consumer prices in December </w:t>
      </w:r>
      <w:r w:rsidR="000C08EE" w:rsidRPr="00714FB6">
        <w:rPr>
          <w:noProof w:val="0"/>
          <w:lang w:val="en-GB"/>
        </w:rPr>
        <w:t>2020</w:t>
      </w:r>
      <w:r w:rsidR="00F03717" w:rsidRPr="00714FB6">
        <w:rPr>
          <w:noProof w:val="0"/>
          <w:lang w:val="en-GB" w:eastAsia="en-GB"/>
        </w:rPr>
        <w:t xml:space="preserve">, compared with the corresponding month of the previous year, increased by </w:t>
      </w:r>
      <w:r w:rsidR="000C08EE" w:rsidRPr="00714FB6">
        <w:rPr>
          <w:noProof w:val="0"/>
          <w:lang w:val="en-GB"/>
        </w:rPr>
        <w:t>2</w:t>
      </w:r>
      <w:r w:rsidR="00E24A25" w:rsidRPr="00714FB6">
        <w:rPr>
          <w:noProof w:val="0"/>
          <w:lang w:val="en-GB"/>
        </w:rPr>
        <w:t>,4% (</w:t>
      </w:r>
      <w:r w:rsidR="00F03717" w:rsidRPr="00714FB6">
        <w:rPr>
          <w:noProof w:val="0"/>
          <w:lang w:val="en-GB"/>
        </w:rPr>
        <w:t>with an increase of prices of services</w:t>
      </w:r>
      <w:r w:rsidR="00F03717" w:rsidRPr="00714FB6">
        <w:rPr>
          <w:noProof w:val="0"/>
          <w:lang w:val="en-GB" w:eastAsia="en-GB"/>
        </w:rPr>
        <w:t xml:space="preserve"> – by</w:t>
      </w:r>
      <w:r w:rsidR="00F03717" w:rsidRPr="00714FB6">
        <w:rPr>
          <w:noProof w:val="0"/>
          <w:lang w:val="en-GB"/>
        </w:rPr>
        <w:t xml:space="preserve"> </w:t>
      </w:r>
      <w:r w:rsidR="00005FA6" w:rsidRPr="00714FB6">
        <w:rPr>
          <w:noProof w:val="0"/>
          <w:lang w:val="en-GB"/>
        </w:rPr>
        <w:t>6,4</w:t>
      </w:r>
      <w:r w:rsidR="00145121" w:rsidRPr="00714FB6">
        <w:rPr>
          <w:noProof w:val="0"/>
          <w:lang w:val="en-GB"/>
        </w:rPr>
        <w:t xml:space="preserve">% </w:t>
      </w:r>
      <w:r w:rsidR="00F03717" w:rsidRPr="00714FB6">
        <w:rPr>
          <w:noProof w:val="0"/>
          <w:lang w:val="en-GB"/>
        </w:rPr>
        <w:t>and goods – by</w:t>
      </w:r>
      <w:r w:rsidR="00E24A25" w:rsidRPr="00714FB6">
        <w:rPr>
          <w:noProof w:val="0"/>
          <w:lang w:val="en-GB"/>
        </w:rPr>
        <w:t xml:space="preserve"> </w:t>
      </w:r>
      <w:r w:rsidR="00005FA6" w:rsidRPr="00714FB6">
        <w:rPr>
          <w:noProof w:val="0"/>
          <w:lang w:val="en-GB"/>
        </w:rPr>
        <w:t>0,9</w:t>
      </w:r>
      <w:r w:rsidR="00E24A25" w:rsidRPr="00714FB6">
        <w:rPr>
          <w:noProof w:val="0"/>
          <w:lang w:val="en-GB"/>
        </w:rPr>
        <w:t>%).</w:t>
      </w:r>
      <w:r w:rsidR="0000260E" w:rsidRPr="00714FB6">
        <w:rPr>
          <w:noProof w:val="0"/>
          <w:lang w:val="en-GB"/>
        </w:rPr>
        <w:br/>
      </w:r>
      <w:r w:rsidR="00F03717" w:rsidRPr="00714FB6">
        <w:rPr>
          <w:noProof w:val="0"/>
          <w:spacing w:val="-4"/>
          <w:lang w:val="en-GB" w:eastAsia="en-GB"/>
        </w:rPr>
        <w:t>As related to the previous month consumer prices increased by</w:t>
      </w:r>
      <w:r w:rsidR="00F03717" w:rsidRPr="00714FB6">
        <w:rPr>
          <w:noProof w:val="0"/>
          <w:spacing w:val="-2"/>
          <w:lang w:val="en-GB" w:eastAsia="en-GB"/>
        </w:rPr>
        <w:t xml:space="preserve"> </w:t>
      </w:r>
      <w:r w:rsidR="00005FA6" w:rsidRPr="00714FB6">
        <w:rPr>
          <w:noProof w:val="0"/>
          <w:lang w:val="en-GB"/>
        </w:rPr>
        <w:t>0,1</w:t>
      </w:r>
      <w:r w:rsidR="00D538E4" w:rsidRPr="00714FB6">
        <w:rPr>
          <w:noProof w:val="0"/>
          <w:lang w:val="en-GB"/>
        </w:rPr>
        <w:t>% (</w:t>
      </w:r>
      <w:r w:rsidR="00E905C4" w:rsidRPr="00714FB6">
        <w:rPr>
          <w:noProof w:val="0"/>
          <w:lang w:val="en-GB"/>
        </w:rPr>
        <w:t xml:space="preserve">of which goods </w:t>
      </w:r>
      <w:r w:rsidR="00D538E4" w:rsidRPr="00714FB6">
        <w:rPr>
          <w:noProof w:val="0"/>
          <w:lang w:val="en-GB"/>
        </w:rPr>
        <w:t>–</w:t>
      </w:r>
      <w:r w:rsidR="00B94737" w:rsidRPr="00714FB6">
        <w:rPr>
          <w:noProof w:val="0"/>
          <w:lang w:val="en-GB"/>
        </w:rPr>
        <w:t xml:space="preserve"> </w:t>
      </w:r>
      <w:r w:rsidR="00E905C4" w:rsidRPr="00714FB6">
        <w:rPr>
          <w:noProof w:val="0"/>
          <w:lang w:val="en-GB"/>
        </w:rPr>
        <w:t>by</w:t>
      </w:r>
      <w:r w:rsidR="00D538E4" w:rsidRPr="00714FB6">
        <w:rPr>
          <w:noProof w:val="0"/>
          <w:lang w:val="en-GB"/>
        </w:rPr>
        <w:t> </w:t>
      </w:r>
      <w:r w:rsidR="00005FA6" w:rsidRPr="00714FB6">
        <w:rPr>
          <w:noProof w:val="0"/>
          <w:lang w:val="en-GB"/>
        </w:rPr>
        <w:t>0</w:t>
      </w:r>
      <w:r w:rsidR="00AA569E" w:rsidRPr="00714FB6">
        <w:rPr>
          <w:noProof w:val="0"/>
          <w:lang w:val="en-GB"/>
        </w:rPr>
        <w:t>,</w:t>
      </w:r>
      <w:r w:rsidR="00005FA6" w:rsidRPr="00714FB6">
        <w:rPr>
          <w:noProof w:val="0"/>
          <w:lang w:val="en-GB"/>
        </w:rPr>
        <w:t>2</w:t>
      </w:r>
      <w:r w:rsidR="00D538E4" w:rsidRPr="00714FB6">
        <w:rPr>
          <w:noProof w:val="0"/>
          <w:lang w:val="en-GB"/>
        </w:rPr>
        <w:t>%</w:t>
      </w:r>
      <w:r w:rsidR="009B2242" w:rsidRPr="00714FB6">
        <w:rPr>
          <w:noProof w:val="0"/>
          <w:lang w:val="en-GB"/>
        </w:rPr>
        <w:t xml:space="preserve">; </w:t>
      </w:r>
      <w:r w:rsidR="00E905C4" w:rsidRPr="00714FB6">
        <w:rPr>
          <w:noProof w:val="0"/>
          <w:lang w:val="en-GB"/>
        </w:rPr>
        <w:t>prices of</w:t>
      </w:r>
      <w:bookmarkStart w:id="0" w:name="_GoBack"/>
      <w:bookmarkEnd w:id="0"/>
      <w:r w:rsidR="00E905C4" w:rsidRPr="00714FB6">
        <w:rPr>
          <w:noProof w:val="0"/>
          <w:lang w:val="en-GB"/>
        </w:rPr>
        <w:t xml:space="preserve"> services r</w:t>
      </w:r>
      <w:r w:rsidR="00E905C4" w:rsidRPr="00714FB6">
        <w:rPr>
          <w:noProof w:val="0"/>
          <w:lang w:val="en-GB"/>
        </w:rPr>
        <w:t>e</w:t>
      </w:r>
      <w:r w:rsidR="00E905C4" w:rsidRPr="00714FB6">
        <w:rPr>
          <w:noProof w:val="0"/>
          <w:lang w:val="en-GB"/>
        </w:rPr>
        <w:t>mained at the same level</w:t>
      </w:r>
      <w:r w:rsidR="009B2242" w:rsidRPr="00714FB6">
        <w:rPr>
          <w:noProof w:val="0"/>
          <w:lang w:val="en-GB"/>
        </w:rPr>
        <w:t>).</w:t>
      </w:r>
      <w:r w:rsidR="00D2668A" w:rsidRPr="00714FB6">
        <w:rPr>
          <w:noProof w:val="0"/>
          <w:lang w:val="en-GB"/>
        </w:rPr>
        <w:br/>
      </w:r>
      <w:r w:rsidR="004640CD" w:rsidRPr="00714FB6">
        <w:rPr>
          <w:noProof w:val="0"/>
          <w:lang w:val="en-GB"/>
        </w:rPr>
        <w:t xml:space="preserve">Consumer prices </w:t>
      </w:r>
      <w:r w:rsidR="00F0292D" w:rsidRPr="00714FB6">
        <w:rPr>
          <w:noProof w:val="0"/>
          <w:lang w:val="en-GB"/>
        </w:rPr>
        <w:t xml:space="preserve">increased </w:t>
      </w:r>
      <w:r w:rsidR="00F0292D" w:rsidRPr="00714FB6">
        <w:rPr>
          <w:noProof w:val="0"/>
          <w:lang w:val="en-GB"/>
        </w:rPr>
        <w:t xml:space="preserve">by </w:t>
      </w:r>
      <w:r w:rsidR="00F0292D" w:rsidRPr="00714FB6">
        <w:rPr>
          <w:noProof w:val="0"/>
          <w:lang w:val="en-GB"/>
        </w:rPr>
        <w:t xml:space="preserve">3,4% </w:t>
      </w:r>
      <w:r w:rsidR="004640CD" w:rsidRPr="00714FB6">
        <w:rPr>
          <w:noProof w:val="0"/>
          <w:lang w:val="en-GB"/>
        </w:rPr>
        <w:t>in 2020, compared with the pr</w:t>
      </w:r>
      <w:r w:rsidR="004640CD" w:rsidRPr="00714FB6">
        <w:rPr>
          <w:noProof w:val="0"/>
          <w:lang w:val="en-GB"/>
        </w:rPr>
        <w:t>e</w:t>
      </w:r>
      <w:r w:rsidR="004640CD" w:rsidRPr="00714FB6">
        <w:rPr>
          <w:noProof w:val="0"/>
          <w:lang w:val="en-GB"/>
        </w:rPr>
        <w:t>vious year</w:t>
      </w:r>
      <w:r w:rsidR="00F0292D" w:rsidRPr="00714FB6">
        <w:rPr>
          <w:noProof w:val="0"/>
          <w:lang w:val="en-GB"/>
        </w:rPr>
        <w:t>.</w:t>
      </w:r>
    </w:p>
    <w:p w:rsidR="00A27522" w:rsidRPr="00714FB6" w:rsidRDefault="00A27522" w:rsidP="00CF08EF">
      <w:pPr>
        <w:pStyle w:val="LID"/>
        <w:rPr>
          <w:noProof w:val="0"/>
          <w:highlight w:val="yellow"/>
          <w:lang w:val="en-GB"/>
        </w:rPr>
      </w:pPr>
    </w:p>
    <w:p w:rsidR="000B60D7" w:rsidRPr="00714FB6" w:rsidRDefault="00737F21" w:rsidP="00A90732">
      <w:pPr>
        <w:pStyle w:val="tytuwykresu"/>
        <w:spacing w:before="0" w:after="0"/>
        <w:rPr>
          <w:bCs/>
          <w:shd w:val="clear" w:color="auto" w:fill="FFFFFF"/>
          <w:lang w:val="en-GB"/>
        </w:rPr>
      </w:pPr>
      <w:r w:rsidRPr="00714FB6">
        <w:rPr>
          <w:lang w:val="en-GB"/>
        </w:rPr>
        <w:t>Table 1. Consumer price indices in December 2020</w:t>
      </w:r>
    </w:p>
    <w:p w:rsidR="009A206F" w:rsidRPr="00714FB6" w:rsidRDefault="009A206F" w:rsidP="00A90732">
      <w:pPr>
        <w:pStyle w:val="tytuwykresu"/>
        <w:spacing w:before="0" w:after="0"/>
        <w:rPr>
          <w:bCs/>
          <w:highlight w:val="yellow"/>
          <w:shd w:val="clear" w:color="auto" w:fill="FFFFFF"/>
          <w:lang w:val="en-GB"/>
        </w:rPr>
      </w:pPr>
    </w:p>
    <w:tbl>
      <w:tblPr>
        <w:tblStyle w:val="Siatkatabelijasna112"/>
        <w:tblpPr w:leftFromText="141" w:rightFromText="141" w:vertAnchor="text" w:horzAnchor="margin" w:tblpY="201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70"/>
        <w:gridCol w:w="1049"/>
        <w:gridCol w:w="955"/>
        <w:gridCol w:w="979"/>
        <w:gridCol w:w="980"/>
        <w:gridCol w:w="980"/>
        <w:gridCol w:w="1170"/>
      </w:tblGrid>
      <w:tr w:rsidR="000B60D7" w:rsidRPr="00714FB6" w:rsidTr="00737F21">
        <w:trPr>
          <w:cantSplit/>
          <w:trHeight w:val="367"/>
        </w:trPr>
        <w:tc>
          <w:tcPr>
            <w:tcW w:w="2170" w:type="dxa"/>
            <w:vMerge w:val="restart"/>
            <w:vAlign w:val="center"/>
          </w:tcPr>
          <w:p w:rsidR="000B60D7" w:rsidRPr="00714FB6" w:rsidRDefault="00737F21" w:rsidP="000B60D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004" w:type="dxa"/>
            <w:gridSpan w:val="2"/>
            <w:vAlign w:val="center"/>
          </w:tcPr>
          <w:p w:rsidR="000B60D7" w:rsidRPr="00714FB6" w:rsidRDefault="000B60D7" w:rsidP="000B60D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XII</w:t>
            </w:r>
            <w:r w:rsidR="00B04E38"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</w:p>
        </w:tc>
        <w:tc>
          <w:tcPr>
            <w:tcW w:w="1959" w:type="dxa"/>
            <w:gridSpan w:val="2"/>
          </w:tcPr>
          <w:p w:rsidR="000B60D7" w:rsidRPr="00714FB6" w:rsidRDefault="000B60D7" w:rsidP="000B60D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X-XII</w:t>
            </w:r>
            <w:r w:rsidR="00B04E38"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</w:p>
        </w:tc>
        <w:tc>
          <w:tcPr>
            <w:tcW w:w="980" w:type="dxa"/>
          </w:tcPr>
          <w:p w:rsidR="000B60D7" w:rsidRPr="00714FB6" w:rsidRDefault="000B60D7" w:rsidP="000B60D7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I-XII</w:t>
            </w:r>
            <w:r w:rsidR="00B04E38" w:rsidRPr="00714FB6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2020</w:t>
            </w:r>
          </w:p>
        </w:tc>
        <w:tc>
          <w:tcPr>
            <w:tcW w:w="1170" w:type="dxa"/>
            <w:vMerge w:val="restart"/>
            <w:vAlign w:val="center"/>
          </w:tcPr>
          <w:p w:rsidR="000B60D7" w:rsidRPr="00714FB6" w:rsidRDefault="00737F21" w:rsidP="000B60D7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714FB6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CONTRIBUTION OF CHANGES</w:t>
            </w:r>
          </w:p>
          <w:p w:rsidR="000B60D7" w:rsidRPr="00714FB6" w:rsidRDefault="000B60D7" w:rsidP="000B60D7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XI</w:t>
            </w:r>
            <w:r w:rsidR="00B04E38" w:rsidRPr="00714FB6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2020</w:t>
            </w:r>
            <w:r w:rsidRPr="00714FB6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Pr="00714FB6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0B60D7" w:rsidRPr="00714FB6" w:rsidTr="00737F21">
        <w:trPr>
          <w:cantSplit/>
          <w:trHeight w:val="57"/>
        </w:trPr>
        <w:tc>
          <w:tcPr>
            <w:tcW w:w="2170" w:type="dxa"/>
            <w:vMerge/>
            <w:tcBorders>
              <w:bottom w:val="single" w:sz="12" w:space="0" w:color="212492"/>
            </w:tcBorders>
            <w:vAlign w:val="center"/>
          </w:tcPr>
          <w:p w:rsidR="000B60D7" w:rsidRPr="00714FB6" w:rsidRDefault="000B60D7" w:rsidP="000B60D7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val="en-GB" w:eastAsia="pl-PL"/>
              </w:rPr>
            </w:pPr>
          </w:p>
        </w:tc>
        <w:tc>
          <w:tcPr>
            <w:tcW w:w="1049" w:type="dxa"/>
            <w:tcBorders>
              <w:bottom w:val="single" w:sz="12" w:space="0" w:color="212492"/>
            </w:tcBorders>
            <w:vAlign w:val="center"/>
          </w:tcPr>
          <w:p w:rsidR="000B60D7" w:rsidRPr="00714FB6" w:rsidRDefault="00B04E38" w:rsidP="0014512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XII 2019</w:t>
            </w:r>
            <w:r w:rsidR="000B60D7"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0B60D7"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55" w:type="dxa"/>
            <w:tcBorders>
              <w:bottom w:val="single" w:sz="12" w:space="0" w:color="212492"/>
            </w:tcBorders>
            <w:vAlign w:val="center"/>
          </w:tcPr>
          <w:p w:rsidR="000B60D7" w:rsidRPr="00714FB6" w:rsidRDefault="00B04E38" w:rsidP="00B04E38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 2020</w:t>
            </w:r>
            <w:r w:rsidR="000B60D7"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0B60D7"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79" w:type="dxa"/>
            <w:tcBorders>
              <w:bottom w:val="single" w:sz="12" w:space="0" w:color="212492"/>
            </w:tcBorders>
            <w:vAlign w:val="center"/>
          </w:tcPr>
          <w:p w:rsidR="000B60D7" w:rsidRPr="00714FB6" w:rsidRDefault="000B60D7" w:rsidP="00B04E38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X-XII 201</w:t>
            </w:r>
            <w:r w:rsidR="00B04E38"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980" w:type="dxa"/>
            <w:tcBorders>
              <w:bottom w:val="single" w:sz="12" w:space="0" w:color="212492"/>
            </w:tcBorders>
            <w:vAlign w:val="center"/>
          </w:tcPr>
          <w:p w:rsidR="000B60D7" w:rsidRPr="00714FB6" w:rsidRDefault="00B04E38" w:rsidP="0014512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VII-IX 2020</w:t>
            </w:r>
            <w:r w:rsidR="000B60D7" w:rsidRPr="00714FB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980" w:type="dxa"/>
            <w:tcBorders>
              <w:bottom w:val="single" w:sz="12" w:space="0" w:color="212492"/>
            </w:tcBorders>
            <w:vAlign w:val="center"/>
          </w:tcPr>
          <w:p w:rsidR="000B60D7" w:rsidRPr="00714FB6" w:rsidRDefault="000B60D7" w:rsidP="00145121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I-XII 201</w:t>
            </w:r>
            <w:r w:rsidR="00B04E38" w:rsidRPr="00714FB6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9</w:t>
            </w:r>
            <w:r w:rsidRPr="00714FB6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0B60D7" w:rsidRPr="00714FB6" w:rsidRDefault="000B60D7" w:rsidP="000B60D7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9731D6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714FB6" w:rsidRDefault="00737F21" w:rsidP="0041762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4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714FB6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95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714FB6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7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714FB6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98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714FB6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8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714FB6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714FB6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714FB6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104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714FB6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104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9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104,5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4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95,9</w:t>
            </w:r>
          </w:p>
        </w:tc>
        <w:tc>
          <w:tcPr>
            <w:tcW w:w="9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98,5</w:t>
            </w:r>
          </w:p>
        </w:tc>
        <w:tc>
          <w:tcPr>
            <w:tcW w:w="9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96,7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-0,07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104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107,5</w:t>
            </w:r>
          </w:p>
        </w:tc>
        <w:tc>
          <w:tcPr>
            <w:tcW w:w="9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107,5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107,3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4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104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9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4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94,3</w:t>
            </w:r>
          </w:p>
        </w:tc>
        <w:tc>
          <w:tcPr>
            <w:tcW w:w="9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95,1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94,4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0,19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104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9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9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104,9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-0,03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4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4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9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4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9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105,5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737F21" w:rsidRPr="00714FB6" w:rsidTr="00737F21">
        <w:trPr>
          <w:cantSplit/>
          <w:trHeight w:val="57"/>
        </w:trPr>
        <w:tc>
          <w:tcPr>
            <w:tcW w:w="2170" w:type="dxa"/>
            <w:tcBorders>
              <w:top w:val="single" w:sz="4" w:space="0" w:color="212492"/>
              <w:bottom w:val="nil"/>
            </w:tcBorders>
            <w:vAlign w:val="center"/>
          </w:tcPr>
          <w:p w:rsidR="00737F21" w:rsidRPr="00714FB6" w:rsidRDefault="00737F21" w:rsidP="00737F2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1049" w:type="dxa"/>
            <w:tcBorders>
              <w:top w:val="single" w:sz="4" w:space="0" w:color="212492"/>
              <w:bottom w:val="nil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55" w:type="dxa"/>
            <w:tcBorders>
              <w:top w:val="single" w:sz="4" w:space="0" w:color="212492"/>
              <w:bottom w:val="nil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979" w:type="dxa"/>
            <w:tcBorders>
              <w:top w:val="single" w:sz="4" w:space="0" w:color="212492"/>
              <w:bottom w:val="nil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80" w:type="dxa"/>
            <w:tcBorders>
              <w:top w:val="single" w:sz="4" w:space="0" w:color="212492"/>
              <w:bottom w:val="nil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80" w:type="dxa"/>
            <w:tcBorders>
              <w:top w:val="single" w:sz="4" w:space="0" w:color="212492"/>
              <w:bottom w:val="nil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vAlign w:val="center"/>
          </w:tcPr>
          <w:p w:rsidR="00737F21" w:rsidRPr="00714FB6" w:rsidRDefault="00737F21" w:rsidP="00737F21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-0,02</w:t>
            </w:r>
          </w:p>
        </w:tc>
      </w:tr>
    </w:tbl>
    <w:p w:rsidR="00C70D76" w:rsidRPr="00714FB6" w:rsidRDefault="00C70D76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</w:p>
    <w:p w:rsidR="00A07F00" w:rsidRPr="00714FB6" w:rsidRDefault="00C70D76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714FB6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 of price changes to the total consumer price index</w:t>
      </w:r>
    </w:p>
    <w:p w:rsidR="00A07F00" w:rsidRPr="00714FB6" w:rsidRDefault="00C70D76" w:rsidP="006E1601">
      <w:pPr>
        <w:rPr>
          <w:highlight w:val="yellow"/>
          <w:lang w:val="en-GB"/>
        </w:rPr>
      </w:pPr>
      <w:r w:rsidRPr="00714FB6">
        <w:rPr>
          <w:spacing w:val="-2"/>
          <w:lang w:val="en-GB"/>
        </w:rPr>
        <w:t>In December of the current year, compared with the previous month, the highest contribution to the total consumer price index came from higher prices related to Transport</w:t>
      </w:r>
      <w:r w:rsidR="00E717A9" w:rsidRPr="00714FB6">
        <w:rPr>
          <w:spacing w:val="-2"/>
          <w:lang w:val="en-GB"/>
        </w:rPr>
        <w:t xml:space="preserve"> </w:t>
      </w:r>
      <w:r w:rsidRPr="00714FB6">
        <w:rPr>
          <w:spacing w:val="-2"/>
          <w:lang w:val="en-GB"/>
        </w:rPr>
        <w:t>(by</w:t>
      </w:r>
      <w:r w:rsidR="00FA0677" w:rsidRPr="00714FB6">
        <w:rPr>
          <w:spacing w:val="-2"/>
          <w:lang w:val="en-GB"/>
        </w:rPr>
        <w:t> </w:t>
      </w:r>
      <w:r w:rsidR="00026FBB" w:rsidRPr="00714FB6">
        <w:rPr>
          <w:spacing w:val="-2"/>
          <w:lang w:val="en-GB"/>
        </w:rPr>
        <w:t>2,1</w:t>
      </w:r>
      <w:r w:rsidR="006920EA" w:rsidRPr="00714FB6">
        <w:rPr>
          <w:spacing w:val="-2"/>
          <w:lang w:val="en-GB"/>
        </w:rPr>
        <w:t>%)</w:t>
      </w:r>
      <w:r w:rsidR="00026FBB" w:rsidRPr="00714FB6">
        <w:rPr>
          <w:spacing w:val="-2"/>
          <w:lang w:val="en-GB"/>
        </w:rPr>
        <w:t>,</w:t>
      </w:r>
      <w:r w:rsidRPr="00714FB6">
        <w:rPr>
          <w:spacing w:val="-2"/>
          <w:lang w:val="en-GB"/>
        </w:rPr>
        <w:t xml:space="preserve"> Dwelling </w:t>
      </w:r>
      <w:r w:rsidR="00026FBB" w:rsidRPr="00714FB6">
        <w:rPr>
          <w:spacing w:val="-2"/>
          <w:lang w:val="en-GB"/>
        </w:rPr>
        <w:t>(</w:t>
      </w:r>
      <w:r w:rsidRPr="00714FB6">
        <w:rPr>
          <w:spacing w:val="-2"/>
          <w:lang w:val="en-GB"/>
        </w:rPr>
        <w:t>by</w:t>
      </w:r>
      <w:r w:rsidR="009B1414" w:rsidRPr="00714FB6">
        <w:rPr>
          <w:spacing w:val="-2"/>
          <w:lang w:val="en-GB"/>
        </w:rPr>
        <w:t xml:space="preserve"> 0,1%)</w:t>
      </w:r>
      <w:r w:rsidRPr="00714FB6">
        <w:rPr>
          <w:spacing w:val="-2"/>
          <w:lang w:val="en-GB"/>
        </w:rPr>
        <w:t xml:space="preserve"> and </w:t>
      </w:r>
      <w:r w:rsidR="00E717A9" w:rsidRPr="00714FB6">
        <w:rPr>
          <w:spacing w:val="-2"/>
          <w:lang w:val="en-GB"/>
        </w:rPr>
        <w:t>Recreation</w:t>
      </w:r>
      <w:r w:rsidRPr="00714FB6">
        <w:rPr>
          <w:spacing w:val="-2"/>
          <w:lang w:val="en-GB"/>
        </w:rPr>
        <w:t xml:space="preserve"> and culture</w:t>
      </w:r>
      <w:r w:rsidR="00026FBB" w:rsidRPr="00714FB6">
        <w:rPr>
          <w:spacing w:val="-2"/>
          <w:lang w:val="en-GB"/>
        </w:rPr>
        <w:t xml:space="preserve"> </w:t>
      </w:r>
      <w:r w:rsidRPr="00714FB6">
        <w:rPr>
          <w:spacing w:val="-2"/>
          <w:lang w:val="en-GB"/>
        </w:rPr>
        <w:t>(by</w:t>
      </w:r>
      <w:r w:rsidR="005316C2" w:rsidRPr="00714FB6">
        <w:rPr>
          <w:spacing w:val="-2"/>
          <w:lang w:val="en-GB"/>
        </w:rPr>
        <w:t xml:space="preserve"> </w:t>
      </w:r>
      <w:r w:rsidR="009B1414" w:rsidRPr="00714FB6">
        <w:rPr>
          <w:spacing w:val="-2"/>
          <w:lang w:val="en-GB"/>
        </w:rPr>
        <w:t>0,4</w:t>
      </w:r>
      <w:r w:rsidR="006920EA" w:rsidRPr="00714FB6">
        <w:rPr>
          <w:spacing w:val="-2"/>
          <w:lang w:val="en-GB"/>
        </w:rPr>
        <w:t>%)</w:t>
      </w:r>
      <w:r w:rsidR="00B611C1" w:rsidRPr="00714FB6">
        <w:rPr>
          <w:spacing w:val="-2"/>
          <w:lang w:val="en-GB"/>
        </w:rPr>
        <w:t xml:space="preserve">, </w:t>
      </w:r>
      <w:r w:rsidRPr="00714FB6">
        <w:rPr>
          <w:spacing w:val="-2"/>
          <w:lang w:val="en-GB"/>
        </w:rPr>
        <w:t xml:space="preserve">which increased the index by </w:t>
      </w:r>
      <w:r w:rsidR="009B1414" w:rsidRPr="00714FB6">
        <w:rPr>
          <w:spacing w:val="-2"/>
          <w:lang w:val="en-GB"/>
        </w:rPr>
        <w:t>0,19</w:t>
      </w:r>
      <w:r w:rsidR="00DE64C5" w:rsidRPr="00714FB6">
        <w:rPr>
          <w:spacing w:val="-2"/>
          <w:lang w:val="en-GB"/>
        </w:rPr>
        <w:t xml:space="preserve"> p</w:t>
      </w:r>
      <w:r w:rsidRPr="00714FB6">
        <w:rPr>
          <w:spacing w:val="-2"/>
          <w:lang w:val="en-GB"/>
        </w:rPr>
        <w:t xml:space="preserve">p and </w:t>
      </w:r>
      <w:r w:rsidR="009B1414" w:rsidRPr="00714FB6">
        <w:rPr>
          <w:spacing w:val="-2"/>
          <w:lang w:val="en-GB"/>
        </w:rPr>
        <w:t>0,03</w:t>
      </w:r>
      <w:r w:rsidR="003A7D83" w:rsidRPr="00714FB6">
        <w:rPr>
          <w:spacing w:val="-2"/>
          <w:lang w:val="en-GB"/>
        </w:rPr>
        <w:t> </w:t>
      </w:r>
      <w:r w:rsidR="00DE64C5" w:rsidRPr="00714FB6">
        <w:rPr>
          <w:spacing w:val="-2"/>
          <w:lang w:val="en-GB"/>
        </w:rPr>
        <w:t>p</w:t>
      </w:r>
      <w:r w:rsidRPr="00714FB6">
        <w:rPr>
          <w:spacing w:val="-2"/>
          <w:lang w:val="en-GB"/>
        </w:rPr>
        <w:t>p each, respectively</w:t>
      </w:r>
      <w:r w:rsidR="00B611C1" w:rsidRPr="00714FB6">
        <w:rPr>
          <w:spacing w:val="-2"/>
          <w:lang w:val="en-GB"/>
        </w:rPr>
        <w:t xml:space="preserve">. </w:t>
      </w:r>
      <w:r w:rsidR="00E717A9" w:rsidRPr="00714FB6">
        <w:rPr>
          <w:spacing w:val="-2"/>
          <w:lang w:val="en-GB"/>
        </w:rPr>
        <w:t>Lower prices related to Clothing and footwear (by </w:t>
      </w:r>
      <w:r w:rsidR="00534040" w:rsidRPr="00714FB6">
        <w:rPr>
          <w:spacing w:val="-2"/>
          <w:lang w:val="en-GB"/>
        </w:rPr>
        <w:t>1,5</w:t>
      </w:r>
      <w:r w:rsidR="00486EE6" w:rsidRPr="00714FB6">
        <w:rPr>
          <w:spacing w:val="-2"/>
          <w:lang w:val="en-GB"/>
        </w:rPr>
        <w:t>%)</w:t>
      </w:r>
      <w:r w:rsidR="00E717A9" w:rsidRPr="00714FB6">
        <w:rPr>
          <w:spacing w:val="-2"/>
          <w:lang w:val="en-GB"/>
        </w:rPr>
        <w:t xml:space="preserve"> and Communication (by</w:t>
      </w:r>
      <w:r w:rsidR="00534040" w:rsidRPr="00714FB6">
        <w:rPr>
          <w:spacing w:val="-2"/>
          <w:lang w:val="en-GB"/>
        </w:rPr>
        <w:t xml:space="preserve"> 0,6%) </w:t>
      </w:r>
      <w:r w:rsidR="00E717A9" w:rsidRPr="00714FB6">
        <w:rPr>
          <w:spacing w:val="-2"/>
          <w:lang w:val="en-GB"/>
        </w:rPr>
        <w:t xml:space="preserve">decreased the index by </w:t>
      </w:r>
      <w:r w:rsidR="00534040" w:rsidRPr="00714FB6">
        <w:rPr>
          <w:spacing w:val="-2"/>
          <w:lang w:val="en-GB"/>
        </w:rPr>
        <w:t>0,07</w:t>
      </w:r>
      <w:r w:rsidR="00B611C1" w:rsidRPr="00714FB6">
        <w:rPr>
          <w:spacing w:val="-2"/>
          <w:lang w:val="en-GB"/>
        </w:rPr>
        <w:t xml:space="preserve"> p</w:t>
      </w:r>
      <w:r w:rsidR="007C1363" w:rsidRPr="00714FB6">
        <w:rPr>
          <w:spacing w:val="-2"/>
          <w:lang w:val="en-GB"/>
        </w:rPr>
        <w:t xml:space="preserve">p </w:t>
      </w:r>
      <w:r w:rsidR="00E717A9" w:rsidRPr="00714FB6">
        <w:rPr>
          <w:spacing w:val="-2"/>
          <w:lang w:val="en-GB"/>
        </w:rPr>
        <w:t xml:space="preserve">and </w:t>
      </w:r>
      <w:r w:rsidR="00534040" w:rsidRPr="00714FB6">
        <w:rPr>
          <w:spacing w:val="-2"/>
          <w:lang w:val="en-GB"/>
        </w:rPr>
        <w:t>0,03 p</w:t>
      </w:r>
      <w:r w:rsidR="00E717A9" w:rsidRPr="00714FB6">
        <w:rPr>
          <w:spacing w:val="-2"/>
          <w:lang w:val="en-GB"/>
        </w:rPr>
        <w:t>p, respectively</w:t>
      </w:r>
      <w:r w:rsidR="00534040" w:rsidRPr="00714FB6">
        <w:rPr>
          <w:spacing w:val="-2"/>
          <w:lang w:val="en-GB"/>
        </w:rPr>
        <w:t>.</w:t>
      </w:r>
      <w:r w:rsidR="00917CCF" w:rsidRPr="00714FB6">
        <w:rPr>
          <w:highlight w:val="yellow"/>
          <w:lang w:val="en-GB"/>
        </w:rPr>
        <w:br/>
      </w:r>
      <w:r w:rsidR="00190D25" w:rsidRPr="00714FB6">
        <w:rPr>
          <w:color w:val="000000" w:themeColor="text1"/>
          <w:spacing w:val="-2"/>
          <w:lang w:val="en-GB"/>
        </w:rPr>
        <w:t>Compared with the corresponding month of the previous year, higher prices related to Dwel</w:t>
      </w:r>
      <w:r w:rsidR="00190D25" w:rsidRPr="00714FB6">
        <w:rPr>
          <w:color w:val="000000" w:themeColor="text1"/>
          <w:spacing w:val="-2"/>
          <w:lang w:val="en-GB"/>
        </w:rPr>
        <w:t>l</w:t>
      </w:r>
      <w:r w:rsidR="00190D25" w:rsidRPr="00714FB6">
        <w:rPr>
          <w:color w:val="000000" w:themeColor="text1"/>
          <w:spacing w:val="-2"/>
          <w:lang w:val="en-GB"/>
        </w:rPr>
        <w:t>ing</w:t>
      </w:r>
      <w:r w:rsidR="00190D25" w:rsidRPr="00714FB6">
        <w:rPr>
          <w:lang w:val="en-GB"/>
        </w:rPr>
        <w:t xml:space="preserve"> (by</w:t>
      </w:r>
      <w:r w:rsidR="00A07F00" w:rsidRPr="00714FB6">
        <w:rPr>
          <w:lang w:val="en-GB"/>
        </w:rPr>
        <w:t> </w:t>
      </w:r>
      <w:r w:rsidR="00451932" w:rsidRPr="00714FB6">
        <w:rPr>
          <w:lang w:val="en-GB"/>
        </w:rPr>
        <w:t>6,2</w:t>
      </w:r>
      <w:r w:rsidR="00674A8B" w:rsidRPr="00714FB6">
        <w:rPr>
          <w:lang w:val="en-GB"/>
        </w:rPr>
        <w:t>%)</w:t>
      </w:r>
      <w:r w:rsidR="004B4C23" w:rsidRPr="00714FB6">
        <w:rPr>
          <w:lang w:val="en-GB"/>
        </w:rPr>
        <w:t>,</w:t>
      </w:r>
      <w:r w:rsidR="00C11CBD" w:rsidRPr="00714FB6">
        <w:rPr>
          <w:lang w:val="en-GB"/>
        </w:rPr>
        <w:t xml:space="preserve"> </w:t>
      </w:r>
      <w:r w:rsidR="00ED5A17" w:rsidRPr="00714FB6">
        <w:rPr>
          <w:lang w:val="en-GB"/>
        </w:rPr>
        <w:t>Restaurants</w:t>
      </w:r>
      <w:r w:rsidR="00190D25" w:rsidRPr="00714FB6">
        <w:rPr>
          <w:lang w:val="en-GB"/>
        </w:rPr>
        <w:t xml:space="preserve"> and hotels (by</w:t>
      </w:r>
      <w:r w:rsidR="00451932" w:rsidRPr="00714FB6">
        <w:rPr>
          <w:lang w:val="en-GB"/>
        </w:rPr>
        <w:t xml:space="preserve"> 5,7%), </w:t>
      </w:r>
      <w:r w:rsidR="006E1601" w:rsidRPr="00714FB6">
        <w:rPr>
          <w:lang w:val="en-GB"/>
        </w:rPr>
        <w:t>prices of Alcoholic beverages and tobacco (by</w:t>
      </w:r>
      <w:r w:rsidR="00ED5A17" w:rsidRPr="00714FB6">
        <w:rPr>
          <w:lang w:val="en-GB"/>
        </w:rPr>
        <w:t> </w:t>
      </w:r>
      <w:r w:rsidR="002906EA" w:rsidRPr="00714FB6">
        <w:rPr>
          <w:lang w:val="en-GB"/>
        </w:rPr>
        <w:t xml:space="preserve">4,3%) </w:t>
      </w:r>
      <w:r w:rsidR="006E1601" w:rsidRPr="00714FB6">
        <w:rPr>
          <w:lang w:val="en-GB"/>
        </w:rPr>
        <w:t>and related to Health (by</w:t>
      </w:r>
      <w:r w:rsidR="002906EA" w:rsidRPr="00714FB6">
        <w:rPr>
          <w:lang w:val="en-GB"/>
        </w:rPr>
        <w:t xml:space="preserve"> 5,1%) </w:t>
      </w:r>
      <w:r w:rsidR="006E1601" w:rsidRPr="00714FB6">
        <w:rPr>
          <w:spacing w:val="-2"/>
          <w:lang w:val="en-GB"/>
        </w:rPr>
        <w:t>increased the index by</w:t>
      </w:r>
      <w:r w:rsidR="00A07F00" w:rsidRPr="00714FB6">
        <w:rPr>
          <w:lang w:val="en-GB"/>
        </w:rPr>
        <w:t> </w:t>
      </w:r>
      <w:r w:rsidR="00435D6D" w:rsidRPr="00714FB6">
        <w:rPr>
          <w:lang w:val="en-GB"/>
        </w:rPr>
        <w:t>1,49</w:t>
      </w:r>
      <w:r w:rsidR="00A07F00" w:rsidRPr="00714FB6">
        <w:rPr>
          <w:lang w:val="en-GB"/>
        </w:rPr>
        <w:t xml:space="preserve"> p</w:t>
      </w:r>
      <w:r w:rsidR="006E1601" w:rsidRPr="00714FB6">
        <w:rPr>
          <w:lang w:val="en-GB"/>
        </w:rPr>
        <w:t>p</w:t>
      </w:r>
      <w:r w:rsidR="004B4C23" w:rsidRPr="00714FB6">
        <w:rPr>
          <w:lang w:val="en-GB"/>
        </w:rPr>
        <w:t>,</w:t>
      </w:r>
      <w:r w:rsidR="00435D6D" w:rsidRPr="00714FB6">
        <w:rPr>
          <w:lang w:val="en-GB"/>
        </w:rPr>
        <w:t xml:space="preserve"> 0,35</w:t>
      </w:r>
      <w:r w:rsidR="00B250D5" w:rsidRPr="00714FB6">
        <w:rPr>
          <w:lang w:val="en-GB"/>
        </w:rPr>
        <w:t xml:space="preserve"> p</w:t>
      </w:r>
      <w:r w:rsidR="006E1601" w:rsidRPr="00714FB6">
        <w:rPr>
          <w:lang w:val="en-GB"/>
        </w:rPr>
        <w:t xml:space="preserve">p and </w:t>
      </w:r>
      <w:r w:rsidR="009D1423" w:rsidRPr="00714FB6">
        <w:rPr>
          <w:lang w:val="en-GB"/>
        </w:rPr>
        <w:t>0,</w:t>
      </w:r>
      <w:r w:rsidR="00435D6D" w:rsidRPr="00714FB6">
        <w:rPr>
          <w:lang w:val="en-GB"/>
        </w:rPr>
        <w:t>27</w:t>
      </w:r>
      <w:r w:rsidR="00FA0677" w:rsidRPr="00714FB6">
        <w:rPr>
          <w:lang w:val="en-GB"/>
        </w:rPr>
        <w:t> </w:t>
      </w:r>
      <w:r w:rsidR="009D1423" w:rsidRPr="00714FB6">
        <w:rPr>
          <w:lang w:val="en-GB"/>
        </w:rPr>
        <w:t>p</w:t>
      </w:r>
      <w:r w:rsidR="006E1601" w:rsidRPr="00714FB6">
        <w:rPr>
          <w:lang w:val="en-GB"/>
        </w:rPr>
        <w:t>p each, respectively</w:t>
      </w:r>
      <w:r w:rsidR="00A07F00" w:rsidRPr="00714FB6">
        <w:rPr>
          <w:lang w:val="en-GB"/>
        </w:rPr>
        <w:t>.</w:t>
      </w:r>
      <w:r w:rsidR="004B4C23" w:rsidRPr="00714FB6">
        <w:rPr>
          <w:lang w:val="en-GB"/>
        </w:rPr>
        <w:t xml:space="preserve"> </w:t>
      </w:r>
      <w:r w:rsidR="006E1601" w:rsidRPr="00714FB6">
        <w:rPr>
          <w:spacing w:val="-2"/>
          <w:lang w:val="en-GB"/>
        </w:rPr>
        <w:t>Lower prices related to Transport (by</w:t>
      </w:r>
      <w:r w:rsidR="004469A3" w:rsidRPr="00714FB6">
        <w:rPr>
          <w:spacing w:val="-2"/>
          <w:lang w:val="en-GB"/>
        </w:rPr>
        <w:t xml:space="preserve"> 5,7%)</w:t>
      </w:r>
      <w:r w:rsidR="006E1601" w:rsidRPr="00714FB6">
        <w:rPr>
          <w:spacing w:val="-2"/>
          <w:lang w:val="en-GB"/>
        </w:rPr>
        <w:t xml:space="preserve"> and </w:t>
      </w:r>
      <w:r w:rsidR="006E1601" w:rsidRPr="00714FB6">
        <w:rPr>
          <w:lang w:val="en-GB"/>
        </w:rPr>
        <w:t xml:space="preserve">Clothing and footwear </w:t>
      </w:r>
      <w:r w:rsidR="003405A4" w:rsidRPr="00714FB6">
        <w:rPr>
          <w:spacing w:val="-2"/>
          <w:lang w:val="en-GB"/>
        </w:rPr>
        <w:t>(</w:t>
      </w:r>
      <w:r w:rsidR="006E1601" w:rsidRPr="00714FB6">
        <w:rPr>
          <w:spacing w:val="-2"/>
          <w:lang w:val="en-GB"/>
        </w:rPr>
        <w:t>by</w:t>
      </w:r>
      <w:r w:rsidR="00ED5A17" w:rsidRPr="00714FB6">
        <w:rPr>
          <w:spacing w:val="-2"/>
          <w:lang w:val="en-GB"/>
        </w:rPr>
        <w:t> </w:t>
      </w:r>
      <w:r w:rsidR="004469A3" w:rsidRPr="00714FB6">
        <w:rPr>
          <w:spacing w:val="-2"/>
          <w:lang w:val="en-GB"/>
        </w:rPr>
        <w:t>4,1</w:t>
      </w:r>
      <w:r w:rsidR="003405A4" w:rsidRPr="00714FB6">
        <w:rPr>
          <w:spacing w:val="-2"/>
          <w:lang w:val="en-GB"/>
        </w:rPr>
        <w:t>%)</w:t>
      </w:r>
      <w:r w:rsidR="009B1414" w:rsidRPr="00714FB6">
        <w:rPr>
          <w:spacing w:val="-2"/>
          <w:lang w:val="en-GB"/>
        </w:rPr>
        <w:t xml:space="preserve"> </w:t>
      </w:r>
      <w:r w:rsidR="006E1601" w:rsidRPr="00714FB6">
        <w:rPr>
          <w:spacing w:val="-2"/>
          <w:lang w:val="en-GB"/>
        </w:rPr>
        <w:t xml:space="preserve">decreased the index by </w:t>
      </w:r>
      <w:r w:rsidR="00920FC4" w:rsidRPr="00714FB6">
        <w:rPr>
          <w:spacing w:val="-2"/>
          <w:lang w:val="en-GB"/>
        </w:rPr>
        <w:t>0,5</w:t>
      </w:r>
      <w:r w:rsidR="00C11CBD" w:rsidRPr="00714FB6">
        <w:rPr>
          <w:spacing w:val="-2"/>
          <w:lang w:val="en-GB"/>
        </w:rPr>
        <w:t>6</w:t>
      </w:r>
      <w:r w:rsidR="00A06D23" w:rsidRPr="00714FB6">
        <w:rPr>
          <w:spacing w:val="-2"/>
          <w:lang w:val="en-GB"/>
        </w:rPr>
        <w:t> </w:t>
      </w:r>
      <w:r w:rsidR="003A7D83" w:rsidRPr="00714FB6">
        <w:rPr>
          <w:spacing w:val="-2"/>
          <w:lang w:val="en-GB"/>
        </w:rPr>
        <w:t>p</w:t>
      </w:r>
      <w:r w:rsidR="006E1601" w:rsidRPr="00714FB6">
        <w:rPr>
          <w:spacing w:val="-2"/>
          <w:lang w:val="en-GB"/>
        </w:rPr>
        <w:t xml:space="preserve">p and </w:t>
      </w:r>
      <w:r w:rsidR="00920FC4" w:rsidRPr="00714FB6">
        <w:rPr>
          <w:spacing w:val="-2"/>
          <w:lang w:val="en-GB"/>
        </w:rPr>
        <w:t>0,20 p</w:t>
      </w:r>
      <w:r w:rsidR="006E1601" w:rsidRPr="00714FB6">
        <w:rPr>
          <w:spacing w:val="-2"/>
          <w:lang w:val="en-GB"/>
        </w:rPr>
        <w:t>p, respectively</w:t>
      </w:r>
      <w:r w:rsidR="00920FC4" w:rsidRPr="00714FB6">
        <w:rPr>
          <w:spacing w:val="-2"/>
          <w:lang w:val="en-GB"/>
        </w:rPr>
        <w:t>.</w:t>
      </w:r>
    </w:p>
    <w:p w:rsidR="00A07F00" w:rsidRPr="00714FB6" w:rsidRDefault="00A07F00" w:rsidP="00C27D75">
      <w:pPr>
        <w:rPr>
          <w:highlight w:val="yellow"/>
          <w:lang w:val="en-GB"/>
        </w:rPr>
      </w:pPr>
    </w:p>
    <w:p w:rsidR="00A07F00" w:rsidRPr="00714FB6" w:rsidRDefault="00E85F92" w:rsidP="00ED5A17">
      <w:pPr>
        <w:pStyle w:val="tytuwykresu"/>
        <w:ind w:left="709" w:hanging="709"/>
        <w:rPr>
          <w:lang w:val="en-GB" w:eastAsia="en-GB"/>
        </w:rPr>
      </w:pPr>
      <w:r w:rsidRPr="00714FB6">
        <w:rPr>
          <w:lang w:val="en-GB" w:eastAsia="en-GB"/>
        </w:rPr>
        <w:drawing>
          <wp:anchor distT="0" distB="0" distL="114300" distR="114300" simplePos="0" relativeHeight="251793408" behindDoc="0" locked="0" layoutInCell="1" allowOverlap="1" wp14:anchorId="2CDA2454" wp14:editId="47B07538">
            <wp:simplePos x="0" y="0"/>
            <wp:positionH relativeFrom="column">
              <wp:posOffset>0</wp:posOffset>
            </wp:positionH>
            <wp:positionV relativeFrom="paragraph">
              <wp:posOffset>449580</wp:posOffset>
            </wp:positionV>
            <wp:extent cx="5122545" cy="25482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A17" w:rsidRPr="00714FB6">
        <w:rPr>
          <w:lang w:val="en-GB"/>
        </w:rPr>
        <w:t xml:space="preserve"> </w:t>
      </w:r>
      <w:r w:rsidR="00ED5A17" w:rsidRPr="00714FB6">
        <w:rPr>
          <w:lang w:val="en-GB" w:eastAsia="en-GB"/>
        </w:rPr>
        <w:t>Chart 1. Contribution of price changes of selected groups of consumer goods and services in December 2020 (change in pp compared with the previous period</w:t>
      </w:r>
    </w:p>
    <w:p w:rsidR="00E85F92" w:rsidRPr="00714FB6" w:rsidRDefault="00E85F92" w:rsidP="00ED5A17">
      <w:pPr>
        <w:pStyle w:val="tytuwykresu"/>
        <w:ind w:left="709" w:hanging="709"/>
        <w:rPr>
          <w:lang w:val="en-GB" w:eastAsia="en-GB"/>
        </w:rPr>
      </w:pPr>
    </w:p>
    <w:p w:rsidR="00E85F92" w:rsidRPr="00714FB6" w:rsidRDefault="00E85F92" w:rsidP="00E85F92">
      <w:pPr>
        <w:pStyle w:val="tytuwykresu"/>
        <w:ind w:left="794" w:hanging="794"/>
        <w:rPr>
          <w:b w:val="0"/>
          <w:lang w:val="en-GB"/>
        </w:rPr>
      </w:pPr>
      <w:r w:rsidRPr="00714FB6">
        <w:rPr>
          <w:lang w:val="en-GB" w:eastAsia="en-GB"/>
        </w:rPr>
        <w:drawing>
          <wp:anchor distT="0" distB="0" distL="114300" distR="114300" simplePos="0" relativeHeight="251792384" behindDoc="0" locked="0" layoutInCell="1" allowOverlap="1" wp14:anchorId="578DC2DA" wp14:editId="74791968">
            <wp:simplePos x="0" y="0"/>
            <wp:positionH relativeFrom="column">
              <wp:posOffset>-67310</wp:posOffset>
            </wp:positionH>
            <wp:positionV relativeFrom="paragraph">
              <wp:posOffset>252095</wp:posOffset>
            </wp:positionV>
            <wp:extent cx="5122545" cy="3599815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FB6">
        <w:rPr>
          <w:lang w:val="en-GB"/>
        </w:rPr>
        <w:t>Chart 2. Weighting system used in the compilations of consumer price indices in 2020</w:t>
      </w:r>
    </w:p>
    <w:p w:rsidR="00C73B5E" w:rsidRPr="00714FB6" w:rsidRDefault="00C73B5E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  <w:lang w:val="en-GB"/>
        </w:rPr>
      </w:pPr>
      <w:r w:rsidRPr="00714FB6">
        <w:rPr>
          <w:highlight w:val="yellow"/>
          <w:lang w:val="en-GB"/>
        </w:rPr>
        <w:br w:type="page"/>
      </w:r>
    </w:p>
    <w:p w:rsidR="003A440F" w:rsidRPr="00714FB6" w:rsidRDefault="00214CA5" w:rsidP="00C27D75">
      <w:pPr>
        <w:pStyle w:val="tytuwykresu"/>
        <w:rPr>
          <w:b w:val="0"/>
          <w:highlight w:val="yellow"/>
          <w:shd w:val="clear" w:color="auto" w:fill="FFFFFF"/>
          <w:lang w:val="en-GB" w:eastAsia="pl-PL"/>
        </w:rPr>
      </w:pPr>
      <w:r w:rsidRPr="00714FB6">
        <w:rPr>
          <w:lang w:val="en-GB" w:eastAsia="en-GB"/>
        </w:rPr>
        <w:lastRenderedPageBreak/>
        <w:drawing>
          <wp:anchor distT="0" distB="0" distL="114300" distR="114300" simplePos="0" relativeHeight="251787264" behindDoc="0" locked="0" layoutInCell="1" allowOverlap="1" wp14:anchorId="64D0A06B" wp14:editId="32A70974">
            <wp:simplePos x="0" y="0"/>
            <wp:positionH relativeFrom="column">
              <wp:posOffset>3810</wp:posOffset>
            </wp:positionH>
            <wp:positionV relativeFrom="paragraph">
              <wp:posOffset>281305</wp:posOffset>
            </wp:positionV>
            <wp:extent cx="5122545" cy="25584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F92" w:rsidRPr="00714FB6">
        <w:rPr>
          <w:lang w:val="en-GB"/>
        </w:rPr>
        <w:t xml:space="preserve"> Chart 3. Consumer prices (change in % compared with the previous period)</w:t>
      </w:r>
    </w:p>
    <w:p w:rsidR="00214CA5" w:rsidRPr="00714FB6" w:rsidRDefault="00214CA5" w:rsidP="00C27D75">
      <w:pPr>
        <w:pStyle w:val="tytuwykresu"/>
        <w:rPr>
          <w:b w:val="0"/>
          <w:highlight w:val="yellow"/>
          <w:shd w:val="clear" w:color="auto" w:fill="FFFFFF"/>
          <w:lang w:val="en-GB" w:eastAsia="pl-PL"/>
        </w:rPr>
      </w:pPr>
    </w:p>
    <w:p w:rsidR="00DA0243" w:rsidRPr="00714FB6" w:rsidRDefault="00DA0243" w:rsidP="0026302B">
      <w:pPr>
        <w:pStyle w:val="LID"/>
        <w:rPr>
          <w:b w:val="0"/>
          <w:noProof w:val="0"/>
          <w:spacing w:val="-2"/>
          <w:sz w:val="18"/>
          <w:highlight w:val="yellow"/>
          <w:lang w:val="en-GB"/>
        </w:rPr>
      </w:pPr>
    </w:p>
    <w:p w:rsidR="00034160" w:rsidRPr="00714FB6" w:rsidRDefault="00896682" w:rsidP="000609C1">
      <w:pPr>
        <w:pStyle w:val="tytuwykresu"/>
        <w:ind w:left="822" w:hanging="822"/>
        <w:rPr>
          <w:highlight w:val="yellow"/>
          <w:shd w:val="clear" w:color="auto" w:fill="FFFFFF"/>
          <w:lang w:val="en-GB"/>
        </w:rPr>
      </w:pPr>
      <w:r w:rsidRPr="00714FB6">
        <w:rPr>
          <w:lang w:val="en-GB" w:eastAsia="en-GB"/>
        </w:rPr>
        <w:pict>
          <v:shape id="Text Box 25" o:spid="_x0000_s1029" type="#_x0000_t202" style="position:absolute;left:0;text-align:left;margin-left:414.75pt;margin-top:315.75pt;width:135.85pt;height:75.5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896682" w:rsidRPr="00E85F92" w:rsidRDefault="00896682" w:rsidP="004C01B5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E85F9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December 2020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the 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co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n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sumer price index was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below 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the inflation target dete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r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mined by the Monetary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br/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Policy Council (2,5% +/- 1 pp)</w:t>
                  </w:r>
                </w:p>
              </w:txbxContent>
            </v:textbox>
            <w10:wrap type="tight" anchory="page"/>
          </v:shape>
        </w:pict>
      </w:r>
      <w:r w:rsidR="00E85F92" w:rsidRPr="00714FB6">
        <w:rPr>
          <w:lang w:val="en-GB"/>
        </w:rPr>
        <w:t xml:space="preserve"> Chart 4. </w:t>
      </w:r>
      <w:r w:rsidR="00E85F92" w:rsidRPr="00714FB6">
        <w:rPr>
          <w:spacing w:val="-4"/>
          <w:lang w:val="en-GB"/>
        </w:rPr>
        <w:t>Consumer prices</w:t>
      </w:r>
      <w:r w:rsidR="00E85F92" w:rsidRPr="00714FB6">
        <w:rPr>
          <w:spacing w:val="-4"/>
          <w:shd w:val="clear" w:color="auto" w:fill="FFFFFF"/>
          <w:lang w:val="en-GB"/>
        </w:rPr>
        <w:t xml:space="preserve"> (</w:t>
      </w:r>
      <w:r w:rsidR="00E85F92" w:rsidRPr="00714FB6">
        <w:rPr>
          <w:spacing w:val="-4"/>
          <w:lang w:val="en-GB"/>
        </w:rPr>
        <w:t>change in % compared with the corresponding period of the previous year</w:t>
      </w:r>
      <w:r w:rsidR="00E85F92" w:rsidRPr="00714FB6">
        <w:rPr>
          <w:spacing w:val="-4"/>
          <w:shd w:val="clear" w:color="auto" w:fill="FFFFFF"/>
          <w:lang w:val="en-GB"/>
        </w:rPr>
        <w:t>)</w:t>
      </w:r>
    </w:p>
    <w:p w:rsidR="00034160" w:rsidRPr="00714FB6" w:rsidRDefault="002E086A" w:rsidP="00740107">
      <w:pPr>
        <w:spacing w:before="0" w:line="259" w:lineRule="auto"/>
        <w:rPr>
          <w:sz w:val="18"/>
          <w:highlight w:val="yellow"/>
          <w:lang w:val="en-GB"/>
        </w:rPr>
      </w:pPr>
      <w:r w:rsidRPr="00714FB6">
        <w:rPr>
          <w:lang w:val="en-GB" w:eastAsia="en-GB"/>
        </w:rPr>
        <w:drawing>
          <wp:anchor distT="0" distB="0" distL="114300" distR="114300" simplePos="0" relativeHeight="251788288" behindDoc="0" locked="0" layoutInCell="1" allowOverlap="1" wp14:anchorId="4D228626" wp14:editId="408145EF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5114290" cy="262572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461" w:rsidRPr="00714FB6" w:rsidRDefault="004B2465" w:rsidP="00E85F92">
      <w:pPr>
        <w:pStyle w:val="tytuwykresu"/>
        <w:ind w:left="652" w:hanging="652"/>
        <w:rPr>
          <w:b w:val="0"/>
          <w:szCs w:val="19"/>
          <w:highlight w:val="yellow"/>
          <w:lang w:val="en-GB" w:eastAsia="pl-PL"/>
        </w:rPr>
      </w:pPr>
      <w:r w:rsidRPr="00714FB6">
        <w:rPr>
          <w:lang w:val="en-GB" w:eastAsia="en-GB"/>
        </w:rPr>
        <w:drawing>
          <wp:anchor distT="0" distB="0" distL="114300" distR="114300" simplePos="0" relativeHeight="251789312" behindDoc="0" locked="0" layoutInCell="1" allowOverlap="1" wp14:anchorId="3A64AB68" wp14:editId="4310767E">
            <wp:simplePos x="0" y="0"/>
            <wp:positionH relativeFrom="column">
              <wp:posOffset>3175</wp:posOffset>
            </wp:positionH>
            <wp:positionV relativeFrom="paragraph">
              <wp:posOffset>424815</wp:posOffset>
            </wp:positionV>
            <wp:extent cx="5122545" cy="2530475"/>
            <wp:effectExtent l="0" t="0" r="0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F92" w:rsidRPr="00714FB6">
        <w:rPr>
          <w:lang w:val="en-GB"/>
        </w:rPr>
        <w:t>Chart 5.</w:t>
      </w:r>
      <w:r w:rsidR="00E85F92" w:rsidRPr="00714FB6">
        <w:rPr>
          <w:shd w:val="clear" w:color="auto" w:fill="FFFFFF"/>
          <w:lang w:val="en-GB"/>
        </w:rPr>
        <w:t xml:space="preserve"> </w:t>
      </w:r>
      <w:r w:rsidR="00E85F92" w:rsidRPr="00714FB6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="00E85F92" w:rsidRPr="00714FB6">
        <w:rPr>
          <w:bCs/>
          <w:shd w:val="clear" w:color="auto" w:fill="FFFFFF"/>
          <w:lang w:val="en-GB"/>
        </w:rPr>
        <w:br/>
        <w:t>(change in % compared with the corresponding period of the previous year)</w:t>
      </w:r>
      <w:r w:rsidR="00820461" w:rsidRPr="00714FB6">
        <w:rPr>
          <w:highlight w:val="yellow"/>
          <w:lang w:val="en-GB"/>
        </w:rPr>
        <w:br w:type="page"/>
      </w:r>
    </w:p>
    <w:p w:rsidR="00516A50" w:rsidRPr="00714FB6" w:rsidRDefault="00E85F92" w:rsidP="00516A50">
      <w:pPr>
        <w:pStyle w:val="LID"/>
        <w:rPr>
          <w:bCs/>
          <w:noProof w:val="0"/>
          <w:sz w:val="18"/>
          <w:shd w:val="clear" w:color="auto" w:fill="FFFFFF"/>
          <w:lang w:val="en-GB"/>
        </w:rPr>
      </w:pPr>
      <w:r w:rsidRPr="00714FB6">
        <w:rPr>
          <w:noProof w:val="0"/>
          <w:sz w:val="18"/>
          <w:lang w:val="en-GB"/>
        </w:rPr>
        <w:lastRenderedPageBreak/>
        <w:t>Table 2.</w:t>
      </w:r>
      <w:r w:rsidRPr="00714FB6">
        <w:rPr>
          <w:noProof w:val="0"/>
          <w:sz w:val="18"/>
          <w:shd w:val="clear" w:color="auto" w:fill="FFFFFF"/>
          <w:lang w:val="en-GB"/>
        </w:rPr>
        <w:t xml:space="preserve"> </w:t>
      </w:r>
      <w:r w:rsidRPr="00714FB6">
        <w:rPr>
          <w:bCs/>
          <w:noProof w:val="0"/>
          <w:sz w:val="18"/>
          <w:shd w:val="clear" w:color="auto" w:fill="FFFFFF"/>
          <w:lang w:val="en-GB"/>
        </w:rPr>
        <w:t xml:space="preserve">Consumer price indices in December </w:t>
      </w:r>
      <w:r w:rsidRPr="00714FB6">
        <w:rPr>
          <w:noProof w:val="0"/>
          <w:sz w:val="18"/>
          <w:lang w:val="en-GB"/>
        </w:rPr>
        <w:t>2020</w:t>
      </w:r>
    </w:p>
    <w:p w:rsidR="00460C26" w:rsidRPr="00714FB6" w:rsidRDefault="00460C26" w:rsidP="00516A50">
      <w:pPr>
        <w:pStyle w:val="LID"/>
        <w:rPr>
          <w:bCs/>
          <w:noProof w:val="0"/>
          <w:sz w:val="18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921"/>
        <w:gridCol w:w="922"/>
        <w:gridCol w:w="921"/>
        <w:gridCol w:w="922"/>
        <w:gridCol w:w="992"/>
      </w:tblGrid>
      <w:tr w:rsidR="000B60D7" w:rsidRPr="00714FB6" w:rsidTr="000B60D7">
        <w:trPr>
          <w:trHeight w:val="315"/>
          <w:tblHeader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B60D7" w:rsidRPr="00714FB6" w:rsidRDefault="00E85F92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B60D7" w:rsidRPr="00714FB6" w:rsidRDefault="007E71CF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XII 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B60D7" w:rsidRPr="00714FB6" w:rsidRDefault="00EB199D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X-XII 2020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714FB6" w:rsidRDefault="00EB199D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I-XII 2020</w:t>
            </w:r>
          </w:p>
        </w:tc>
      </w:tr>
      <w:tr w:rsidR="000B60D7" w:rsidRPr="00714FB6" w:rsidTr="000B60D7">
        <w:trPr>
          <w:trHeight w:val="465"/>
          <w:tblHeader/>
        </w:trPr>
        <w:tc>
          <w:tcPr>
            <w:tcW w:w="3402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0B60D7" w:rsidRPr="00714FB6" w:rsidRDefault="000B60D7" w:rsidP="000B60D7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714FB6" w:rsidRDefault="000B60D7" w:rsidP="00EB199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XII 201</w:t>
            </w:r>
            <w:r w:rsidR="00EB199D"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9</w:t>
            </w: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714FB6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XI </w:t>
            </w:r>
            <w:r w:rsidR="00EB199D"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2020</w:t>
            </w: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0B60D7" w:rsidRPr="00714FB6" w:rsidRDefault="00EB199D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X-XII</w:t>
            </w: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2019</w:t>
            </w:r>
            <w:r w:rsidR="000B60D7"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0B60D7" w:rsidRPr="00714FB6" w:rsidRDefault="00EB199D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VII-IX 2020</w:t>
            </w:r>
            <w:r w:rsidR="000B60D7"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714FB6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I-XII </w:t>
            </w:r>
          </w:p>
          <w:p w:rsidR="000B60D7" w:rsidRPr="00714FB6" w:rsidRDefault="00EB199D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2019</w:t>
            </w:r>
            <w:r w:rsidR="000B60D7" w:rsidRPr="00714FB6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</w:tr>
      <w:tr w:rsidR="007E71CF" w:rsidRPr="00714FB6" w:rsidTr="007E71CF">
        <w:trPr>
          <w:trHeight w:val="330"/>
        </w:trPr>
        <w:tc>
          <w:tcPr>
            <w:tcW w:w="340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714FB6" w:rsidRDefault="00E85F92" w:rsidP="00920A9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714FB6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2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714FB6" w:rsidRDefault="007E71CF" w:rsidP="007E71CF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92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714FB6" w:rsidRDefault="007E71CF" w:rsidP="007E71CF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714FB6" w:rsidRDefault="007E71CF" w:rsidP="007E71CF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92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714FB6" w:rsidRDefault="007E71CF" w:rsidP="007E71CF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714FB6" w:rsidRDefault="007E71CF" w:rsidP="007E71CF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103,4</w:t>
            </w:r>
          </w:p>
        </w:tc>
      </w:tr>
      <w:tr w:rsidR="00E85F92" w:rsidRPr="00714FB6" w:rsidTr="00E85F92">
        <w:trPr>
          <w:trHeight w:val="244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102,1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107,1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106,9</w:t>
            </w:r>
          </w:p>
        </w:tc>
      </w:tr>
      <w:tr w:rsidR="00E85F92" w:rsidRPr="00714FB6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E85F92" w:rsidRPr="00714FB6" w:rsidRDefault="00E85F92" w:rsidP="008966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714FB6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104,7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104,7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105,0</w:t>
            </w:r>
          </w:p>
        </w:tc>
      </w:tr>
      <w:tr w:rsidR="00E85F92" w:rsidRPr="00714FB6" w:rsidTr="00E85F92">
        <w:trPr>
          <w:trHeight w:val="256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108,6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107,2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105,5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108,1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103,7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97,7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106,7</w:t>
            </w:r>
          </w:p>
        </w:tc>
      </w:tr>
      <w:tr w:rsidR="00E85F92" w:rsidRPr="00714FB6" w:rsidTr="00E85F92">
        <w:trPr>
          <w:trHeight w:val="299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102,0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103,3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88,3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97,5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94,4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96,8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107,2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98,5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93,4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99,0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109,5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104,2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103,3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1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106,7</w:t>
            </w:r>
          </w:p>
        </w:tc>
      </w:tr>
      <w:tr w:rsidR="00E85F92" w:rsidRPr="00714FB6" w:rsidTr="007E71CF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103,2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102,8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99,3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100,8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98,2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96,6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117,6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96,5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106,2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101,9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20" w:after="2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100,7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101,5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105,1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102,8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102,7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104,4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103,6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106,3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96,7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97,4</w:t>
            </w:r>
          </w:p>
        </w:tc>
      </w:tr>
      <w:tr w:rsidR="00E85F92" w:rsidRPr="00714FB6" w:rsidTr="007E71CF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96,1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97,0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98,2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105,8</w:t>
            </w:r>
          </w:p>
        </w:tc>
      </w:tr>
      <w:tr w:rsidR="00E85F92" w:rsidRPr="00714FB6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107,3</w:t>
            </w:r>
          </w:p>
        </w:tc>
      </w:tr>
      <w:tr w:rsidR="00E85F92" w:rsidRPr="00714FB6" w:rsidTr="007E71CF">
        <w:trPr>
          <w:trHeight w:val="189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105,4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103,5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153,2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152,5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151,9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104,7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104,9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111,7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111,7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111,7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97,5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101,0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102,4</w:t>
            </w:r>
          </w:p>
        </w:tc>
      </w:tr>
      <w:tr w:rsidR="00E85F92" w:rsidRPr="00714FB6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101,0</w:t>
            </w:r>
          </w:p>
        </w:tc>
      </w:tr>
      <w:tr w:rsidR="00E85F92" w:rsidRPr="00714FB6" w:rsidTr="007E71CF">
        <w:trPr>
          <w:trHeight w:val="228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99,7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99,9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101,8</w:t>
            </w:r>
          </w:p>
        </w:tc>
      </w:tr>
      <w:tr w:rsidR="00E85F92" w:rsidRPr="00714FB6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107,3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104,8</w:t>
            </w:r>
          </w:p>
        </w:tc>
      </w:tr>
      <w:tr w:rsidR="00E85F92" w:rsidRPr="00714FB6" w:rsidTr="007E71CF">
        <w:trPr>
          <w:trHeight w:val="21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103,4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102,1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109,0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108,5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113,4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113,4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111,3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Hospital </w:t>
            </w:r>
            <w:proofErr w:type="spellStart"/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  <w:r w:rsidRPr="00714FB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108,2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108,3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104,4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94,4</w:t>
            </w:r>
          </w:p>
        </w:tc>
      </w:tr>
      <w:tr w:rsidR="00E85F92" w:rsidRPr="00714FB6" w:rsidTr="007E71CF">
        <w:trPr>
          <w:trHeight w:val="194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E85F92">
        <w:trPr>
          <w:trHeight w:val="29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98,6</w:t>
            </w:r>
          </w:p>
        </w:tc>
      </w:tr>
      <w:tr w:rsidR="00E85F92" w:rsidRPr="00714FB6" w:rsidTr="00E85F92">
        <w:trPr>
          <w:trHeight w:val="26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98,4</w:t>
            </w:r>
          </w:p>
        </w:tc>
      </w:tr>
      <w:tr w:rsidR="00E85F92" w:rsidRPr="00714FB6" w:rsidTr="00E85F92">
        <w:trPr>
          <w:trHeight w:val="264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91,1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89,6</w:t>
            </w:r>
          </w:p>
        </w:tc>
      </w:tr>
      <w:tr w:rsidR="00E85F92" w:rsidRPr="00714FB6" w:rsidTr="00E85F92">
        <w:trPr>
          <w:trHeight w:val="26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89,5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88,6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88,7</w:t>
            </w:r>
          </w:p>
        </w:tc>
      </w:tr>
      <w:tr w:rsidR="00E85F92" w:rsidRPr="00714FB6" w:rsidTr="00E85F92">
        <w:trPr>
          <w:trHeight w:val="25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92,5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91,2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89,3</w:t>
            </w:r>
          </w:p>
        </w:tc>
      </w:tr>
      <w:tr w:rsidR="00E85F92" w:rsidRPr="00714FB6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93,1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95,1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85,1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94,8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94,1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100,2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103,6</w:t>
            </w:r>
          </w:p>
        </w:tc>
      </w:tr>
      <w:tr w:rsidR="00E85F92" w:rsidRPr="00714FB6" w:rsidTr="00E85F92">
        <w:trPr>
          <w:trHeight w:val="277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87,3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86,5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89,1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104,2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102,8</w:t>
            </w:r>
          </w:p>
        </w:tc>
      </w:tr>
      <w:tr w:rsidR="00E85F92" w:rsidRPr="00714FB6" w:rsidTr="00E85F92">
        <w:trPr>
          <w:trHeight w:val="252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</w:t>
            </w: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r</w:t>
            </w: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mation processing equipment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97,2</w:t>
            </w:r>
          </w:p>
        </w:tc>
      </w:tr>
      <w:tr w:rsidR="00E85F92" w:rsidRPr="00714FB6" w:rsidTr="007E71CF">
        <w:trPr>
          <w:trHeight w:val="300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Recreational and cultural </w:t>
            </w:r>
            <w:proofErr w:type="spellStart"/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  <w:r w:rsidRPr="00714FB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106,7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104,3</w:t>
            </w:r>
          </w:p>
        </w:tc>
      </w:tr>
      <w:tr w:rsidR="00E85F92" w:rsidRPr="00714FB6" w:rsidTr="00E85F92">
        <w:trPr>
          <w:trHeight w:val="282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Recreational and sporting </w:t>
            </w:r>
            <w:proofErr w:type="spellStart"/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  <w:r w:rsidRPr="00714FB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105,6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106,9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107,9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103,8</w:t>
            </w:r>
          </w:p>
        </w:tc>
      </w:tr>
      <w:tr w:rsidR="00E85F92" w:rsidRPr="00714FB6" w:rsidTr="007E71CF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108,8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110,5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103,3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97,7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101,8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108,2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106,0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103,3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Package </w:t>
            </w:r>
            <w:proofErr w:type="spellStart"/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holidays</w:t>
            </w:r>
            <w:r w:rsidRPr="00714FB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103,6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Package domestic </w:t>
            </w:r>
            <w:proofErr w:type="spellStart"/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holidays</w:t>
            </w:r>
            <w:r w:rsidRPr="00714FB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95,3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106,8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Package international </w:t>
            </w:r>
            <w:proofErr w:type="spellStart"/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holidays</w:t>
            </w:r>
            <w:r w:rsidRPr="00714FB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97,3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96,0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101,2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105,4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105,8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99,7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102,9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103,4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</w:t>
            </w: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m</w:t>
            </w: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ing establishments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112,8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113,1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111,1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</w:t>
            </w: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l</w:t>
            </w: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ness, esoteric products and beauty pro</w:t>
            </w: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d</w:t>
            </w: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ucts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101,7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112,8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112,8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110,8</w:t>
            </w:r>
          </w:p>
        </w:tc>
      </w:tr>
      <w:tr w:rsidR="00E85F92" w:rsidRPr="00714FB6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96,4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98,4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100,0</w:t>
            </w:r>
          </w:p>
        </w:tc>
      </w:tr>
      <w:tr w:rsidR="00E85F92" w:rsidRPr="00714FB6" w:rsidTr="00E85F92">
        <w:trPr>
          <w:trHeight w:val="276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89668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147,9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145,2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F92" w:rsidRPr="00714FB6" w:rsidRDefault="00E85F92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714FB6">
              <w:rPr>
                <w:rFonts w:cs="Calibri"/>
                <w:color w:val="000000"/>
                <w:sz w:val="16"/>
                <w:szCs w:val="16"/>
                <w:lang w:val="en-GB"/>
              </w:rPr>
              <w:t>128,2</w:t>
            </w:r>
          </w:p>
        </w:tc>
      </w:tr>
    </w:tbl>
    <w:p w:rsidR="00864AD8" w:rsidRPr="00714FB6" w:rsidRDefault="00864AD8" w:rsidP="00E85F92">
      <w:pPr>
        <w:pStyle w:val="NormalnyWeb"/>
        <w:spacing w:before="400" w:beforeAutospacing="0" w:after="120" w:afterAutospacing="0"/>
        <w:rPr>
          <w:rFonts w:ascii="Fira Sans" w:hAnsi="Fira Sans"/>
          <w:color w:val="222222"/>
          <w:sz w:val="16"/>
          <w:szCs w:val="16"/>
        </w:rPr>
      </w:pPr>
      <w:r w:rsidRPr="00714FB6">
        <w:rPr>
          <w:rFonts w:ascii="Fira Sans" w:hAnsi="Fira Sans"/>
          <w:color w:val="222222"/>
          <w:sz w:val="16"/>
          <w:szCs w:val="16"/>
        </w:rPr>
        <w:t xml:space="preserve">u  </w:t>
      </w:r>
      <w:r w:rsidR="00E85F92" w:rsidRPr="00714FB6">
        <w:rPr>
          <w:rFonts w:ascii="Fira Sans" w:hAnsi="Fira Sans"/>
          <w:color w:val="222222"/>
          <w:sz w:val="16"/>
          <w:szCs w:val="16"/>
        </w:rPr>
        <w:t>The share of estimated data for an aggregate more than 50%</w:t>
      </w:r>
    </w:p>
    <w:p w:rsidR="00467181" w:rsidRPr="00714FB6" w:rsidRDefault="00467181" w:rsidP="00864AD8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E85F92" w:rsidRPr="00714FB6" w:rsidRDefault="00E85F92" w:rsidP="00E85F92">
      <w:pPr>
        <w:spacing w:before="0" w:after="160" w:line="259" w:lineRule="auto"/>
        <w:rPr>
          <w:color w:val="222222"/>
          <w:sz w:val="16"/>
          <w:szCs w:val="16"/>
          <w:lang w:val="en-GB"/>
        </w:rPr>
      </w:pPr>
      <w:r w:rsidRPr="00714FB6">
        <w:rPr>
          <w:sz w:val="16"/>
          <w:szCs w:val="16"/>
          <w:lang w:val="en-GB"/>
        </w:rPr>
        <w:t xml:space="preserve">Documents </w:t>
      </w:r>
      <w:r w:rsidRPr="00714FB6">
        <w:rPr>
          <w:color w:val="222222"/>
          <w:sz w:val="16"/>
          <w:szCs w:val="16"/>
          <w:lang w:val="en-GB"/>
        </w:rPr>
        <w:t>‘</w:t>
      </w:r>
      <w:r w:rsidRPr="00714FB6">
        <w:rPr>
          <w:i/>
          <w:color w:val="222222"/>
          <w:sz w:val="16"/>
          <w:szCs w:val="16"/>
          <w:lang w:val="en-GB"/>
        </w:rPr>
        <w:t>Guidance on the compilation of the HICP in the context of the COVID-19 crisis</w:t>
      </w:r>
      <w:r w:rsidRPr="00714FB6">
        <w:rPr>
          <w:color w:val="222222"/>
          <w:sz w:val="16"/>
          <w:szCs w:val="16"/>
          <w:lang w:val="en-GB"/>
        </w:rPr>
        <w:t>’ and ‘</w:t>
      </w:r>
      <w:r w:rsidRPr="00714FB6">
        <w:rPr>
          <w:i/>
          <w:color w:val="222222"/>
          <w:sz w:val="16"/>
          <w:szCs w:val="16"/>
          <w:lang w:val="en-GB"/>
        </w:rPr>
        <w:t>Guidance note on HICP issues emerging from the lifting of lockdown measures</w:t>
      </w:r>
      <w:r w:rsidRPr="00714FB6">
        <w:rPr>
          <w:color w:val="222222"/>
          <w:sz w:val="16"/>
          <w:szCs w:val="16"/>
          <w:lang w:val="en-GB"/>
        </w:rPr>
        <w:t>’ were published by Eurostat under the follo</w:t>
      </w:r>
      <w:r w:rsidRPr="00714FB6">
        <w:rPr>
          <w:color w:val="222222"/>
          <w:sz w:val="16"/>
          <w:szCs w:val="16"/>
          <w:lang w:val="en-GB"/>
        </w:rPr>
        <w:t>w</w:t>
      </w:r>
      <w:r w:rsidRPr="00714FB6">
        <w:rPr>
          <w:color w:val="222222"/>
          <w:sz w:val="16"/>
          <w:szCs w:val="16"/>
          <w:lang w:val="en-GB"/>
        </w:rPr>
        <w:t xml:space="preserve">ing links </w:t>
      </w:r>
      <w:hyperlink r:id="rId18" w:history="1">
        <w:r w:rsidRPr="00714FB6">
          <w:rPr>
            <w:rStyle w:val="Hipercze"/>
            <w:sz w:val="16"/>
            <w:szCs w:val="16"/>
            <w:lang w:val="en-GB"/>
          </w:rPr>
          <w:t>https://ec.europa.eu/eurostat/documents/10186/10693286/HICP_guidance.pdf</w:t>
        </w:r>
      </w:hyperlink>
      <w:r w:rsidRPr="00714FB6">
        <w:rPr>
          <w:color w:val="222222"/>
          <w:sz w:val="16"/>
          <w:szCs w:val="16"/>
          <w:lang w:val="en-GB"/>
        </w:rPr>
        <w:t xml:space="preserve">, </w:t>
      </w:r>
      <w:hyperlink r:id="rId19" w:history="1">
        <w:r w:rsidRPr="00714FB6">
          <w:rPr>
            <w:rStyle w:val="Hipercze"/>
            <w:sz w:val="16"/>
            <w:szCs w:val="16"/>
            <w:lang w:val="en-GB"/>
          </w:rPr>
          <w:t>https://ec.europa.eu/eurostat/documents/10186/10693286/HICP_lifting_lockdown_measures_guidance.pdf</w:t>
        </w:r>
      </w:hyperlink>
    </w:p>
    <w:p w:rsidR="00E85F92" w:rsidRPr="00714FB6" w:rsidRDefault="00E85F92" w:rsidP="00E85F92">
      <w:pPr>
        <w:spacing w:before="0" w:after="240" w:line="259" w:lineRule="auto"/>
        <w:rPr>
          <w:color w:val="222222"/>
          <w:sz w:val="16"/>
          <w:szCs w:val="16"/>
          <w:lang w:val="en-GB"/>
        </w:rPr>
      </w:pPr>
      <w:r w:rsidRPr="00714FB6">
        <w:rPr>
          <w:color w:val="222222"/>
          <w:sz w:val="16"/>
          <w:szCs w:val="16"/>
          <w:lang w:val="en-GB"/>
        </w:rPr>
        <w:t xml:space="preserve">The guidelines recommended by Eurostat concerning consumer price indices are also presented in Polish under the link </w:t>
      </w:r>
      <w:hyperlink r:id="rId20" w:history="1">
        <w:r w:rsidRPr="00714FB6">
          <w:rPr>
            <w:rStyle w:val="Hipercze"/>
            <w:sz w:val="16"/>
            <w:szCs w:val="16"/>
            <w:lang w:val="en-GB"/>
          </w:rPr>
          <w:t>https://stat.gov.pl/obszary-tematyczne/ceny-handel/wskazniki-cen/wytyczne-dotyczace-opracowania-hicp-w-kontekscie-kryzysu-zwiazanego-z-covid-19,19,1.html</w:t>
        </w:r>
      </w:hyperlink>
    </w:p>
    <w:p w:rsidR="00685123" w:rsidRPr="00714FB6" w:rsidRDefault="00E85F92" w:rsidP="00E85F92">
      <w:pPr>
        <w:spacing w:before="0" w:after="160" w:line="259" w:lineRule="auto"/>
        <w:rPr>
          <w:b/>
          <w:szCs w:val="19"/>
          <w:highlight w:val="yellow"/>
          <w:lang w:val="en-GB" w:eastAsia="pl-PL"/>
        </w:rPr>
        <w:sectPr w:rsidR="00685123" w:rsidRPr="00714FB6" w:rsidSect="00EF7B36">
          <w:headerReference w:type="default" r:id="rId21"/>
          <w:footerReference w:type="default" r:id="rId22"/>
          <w:headerReference w:type="first" r:id="rId23"/>
          <w:footerReference w:type="first" r:id="rId24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14FB6">
        <w:rPr>
          <w:color w:val="222222"/>
          <w:lang w:val="en-GB"/>
        </w:rPr>
        <w:t>In case of quoting Statistics Poland data, please provide information: “Source of data: Stati</w:t>
      </w:r>
      <w:r w:rsidRPr="00714FB6">
        <w:rPr>
          <w:color w:val="222222"/>
          <w:lang w:val="en-GB"/>
        </w:rPr>
        <w:t>s</w:t>
      </w:r>
      <w:r w:rsidRPr="00714FB6">
        <w:rPr>
          <w:color w:val="222222"/>
          <w:lang w:val="en-GB"/>
        </w:rPr>
        <w:t>tics Poland”, and in case of publishing calculations made on data published by Statistics Poland, please include the following disclaimer: “Own study based on figures from Statistics Poland”.</w:t>
      </w:r>
    </w:p>
    <w:p w:rsidR="000470AA" w:rsidRPr="00714FB6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714FB6" w:rsidTr="00EE696D">
        <w:trPr>
          <w:trHeight w:val="1912"/>
        </w:trPr>
        <w:tc>
          <w:tcPr>
            <w:tcW w:w="4379" w:type="dxa"/>
          </w:tcPr>
          <w:p w:rsidR="00E85F92" w:rsidRPr="00714FB6" w:rsidRDefault="00E85F92" w:rsidP="00E85F92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E85F92" w:rsidRPr="00714FB6" w:rsidRDefault="00E85F92" w:rsidP="00E85F9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E85F92" w:rsidRPr="00714FB6" w:rsidRDefault="00E85F92" w:rsidP="00E85F9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83763" w:rsidRPr="00714FB6" w:rsidRDefault="00E85F92" w:rsidP="00E85F92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714F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42" w:type="dxa"/>
          </w:tcPr>
          <w:p w:rsidR="00E85F92" w:rsidRPr="00714FB6" w:rsidRDefault="00E85F92" w:rsidP="00E85F9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714FB6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714FB6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E85F92" w:rsidRPr="00714FB6" w:rsidRDefault="00E85F92" w:rsidP="00E85F9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FB6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E85F92" w:rsidRPr="00714FB6" w:rsidRDefault="00E85F92" w:rsidP="00E85F9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714FB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714FB6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0C68F7" w:rsidRPr="00714FB6" w:rsidRDefault="00E85F92" w:rsidP="00E85F9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714FB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83763" w:rsidRPr="00714FB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714FB6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714FB6" w:rsidTr="00C057E5">
        <w:trPr>
          <w:trHeight w:val="610"/>
        </w:trPr>
        <w:tc>
          <w:tcPr>
            <w:tcW w:w="2721" w:type="pct"/>
            <w:vMerge w:val="restart"/>
          </w:tcPr>
          <w:p w:rsidR="00E85F92" w:rsidRPr="00714FB6" w:rsidRDefault="00E85F92" w:rsidP="00E85F92">
            <w:pPr>
              <w:spacing w:before="0"/>
              <w:rPr>
                <w:b/>
                <w:sz w:val="20"/>
                <w:lang w:val="en-GB"/>
              </w:rPr>
            </w:pPr>
            <w:r w:rsidRPr="00714FB6">
              <w:rPr>
                <w:b/>
                <w:sz w:val="20"/>
                <w:lang w:val="en-GB"/>
              </w:rPr>
              <w:t>Press Office</w:t>
            </w:r>
          </w:p>
          <w:p w:rsidR="00E85F92" w:rsidRPr="00714FB6" w:rsidRDefault="00E85F92" w:rsidP="00E85F92">
            <w:pPr>
              <w:rPr>
                <w:sz w:val="20"/>
                <w:lang w:val="en-GB"/>
              </w:rPr>
            </w:pPr>
            <w:r w:rsidRPr="00714FB6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714FB6">
              <w:rPr>
                <w:sz w:val="20"/>
                <w:lang w:val="en-GB"/>
              </w:rPr>
              <w:t xml:space="preserve">608 34 91, 608 38 04 </w:t>
            </w:r>
          </w:p>
          <w:p w:rsidR="000470AA" w:rsidRPr="00714FB6" w:rsidRDefault="00E85F92" w:rsidP="00E85F92">
            <w:pPr>
              <w:rPr>
                <w:sz w:val="18"/>
                <w:lang w:val="en-GB"/>
              </w:rPr>
            </w:pPr>
            <w:r w:rsidRPr="00714FB6">
              <w:rPr>
                <w:b/>
                <w:sz w:val="20"/>
                <w:lang w:val="en-GB"/>
              </w:rPr>
              <w:t>e-mail:</w:t>
            </w:r>
            <w:r w:rsidRPr="00714FB6">
              <w:rPr>
                <w:sz w:val="20"/>
                <w:lang w:val="en-GB"/>
              </w:rPr>
              <w:t xml:space="preserve"> </w:t>
            </w:r>
            <w:hyperlink r:id="rId25" w:history="1">
              <w:r w:rsidRPr="00714FB6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714FB6" w:rsidRDefault="000470AA" w:rsidP="000470AA">
            <w:pPr>
              <w:rPr>
                <w:sz w:val="18"/>
                <w:lang w:val="en-GB"/>
              </w:rPr>
            </w:pPr>
            <w:r w:rsidRPr="00714FB6">
              <w:rPr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699EA513" wp14:editId="062FB9E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714FB6" w:rsidRDefault="00896682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7" w:history="1">
              <w:r w:rsidR="00E85F92" w:rsidRPr="00714FB6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714FB6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714FB6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714FB6" w:rsidRDefault="000470AA" w:rsidP="000470AA">
            <w:pPr>
              <w:rPr>
                <w:sz w:val="18"/>
                <w:lang w:val="en-GB"/>
              </w:rPr>
            </w:pPr>
            <w:r w:rsidRPr="00714FB6">
              <w:rPr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6FFC5B6A" wp14:editId="3F4BD2B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714FB6" w:rsidRDefault="00896682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9" w:history="1">
              <w:r w:rsidR="00E85F92" w:rsidRPr="00714FB6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E85F92" w:rsidRPr="00714FB6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714FB6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714FB6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714FB6" w:rsidRDefault="000470AA" w:rsidP="000470AA">
            <w:pPr>
              <w:rPr>
                <w:sz w:val="18"/>
                <w:lang w:val="en-GB"/>
              </w:rPr>
            </w:pPr>
            <w:r w:rsidRPr="00714FB6">
              <w:rPr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5ADE9A67" wp14:editId="28D653E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714FB6" w:rsidRDefault="00896682" w:rsidP="000470AA">
            <w:pPr>
              <w:rPr>
                <w:color w:val="000000" w:themeColor="text1"/>
                <w:sz w:val="20"/>
                <w:lang w:val="en-GB"/>
              </w:rPr>
            </w:pPr>
            <w:hyperlink r:id="rId31" w:history="1">
              <w:r w:rsidR="000470AA" w:rsidRPr="00714FB6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0470AA" w:rsidRPr="00714FB6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714FB6" w:rsidRDefault="00896682" w:rsidP="00E76D26">
      <w:pPr>
        <w:rPr>
          <w:sz w:val="18"/>
          <w:lang w:val="en-GB"/>
        </w:rPr>
      </w:pPr>
      <w:r w:rsidRPr="00714FB6">
        <w:rPr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896682" w:rsidRDefault="00896682" w:rsidP="00883763">
                  <w:pPr>
                    <w:rPr>
                      <w:b/>
                    </w:rPr>
                  </w:pPr>
                </w:p>
                <w:p w:rsidR="00896682" w:rsidRPr="00941435" w:rsidRDefault="00896682" w:rsidP="00E85F92">
                  <w:pPr>
                    <w:rPr>
                      <w:b/>
                      <w:lang w:val="en-GB"/>
                    </w:rPr>
                  </w:pPr>
                  <w:r w:rsidRPr="00941435">
                    <w:rPr>
                      <w:b/>
                      <w:lang w:val="en-GB"/>
                    </w:rPr>
                    <w:t>Related information</w:t>
                  </w:r>
                </w:p>
                <w:p w:rsidR="00896682" w:rsidRPr="00941435" w:rsidRDefault="00896682" w:rsidP="00E85F9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896682" w:rsidRPr="00941435" w:rsidRDefault="00896682" w:rsidP="00E85F9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896682" w:rsidRPr="00941435" w:rsidRDefault="00896682" w:rsidP="00E85F92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896682" w:rsidRPr="00941435" w:rsidRDefault="00896682" w:rsidP="00E85F92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896682" w:rsidRPr="00941435" w:rsidRDefault="00896682" w:rsidP="00E85F9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896682" w:rsidRPr="00941435" w:rsidRDefault="00896682" w:rsidP="00E85F9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896682" w:rsidRPr="00941435" w:rsidRDefault="00896682" w:rsidP="00E85F9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896682" w:rsidRPr="00941435" w:rsidRDefault="00896682" w:rsidP="00E85F9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7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896682" w:rsidRPr="00941435" w:rsidRDefault="00896682" w:rsidP="00E85F9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8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896682" w:rsidRPr="00941435" w:rsidRDefault="00896682" w:rsidP="00E85F92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896682" w:rsidRPr="00941435" w:rsidRDefault="00896682" w:rsidP="00E85F92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896682" w:rsidRPr="00941435" w:rsidRDefault="00896682" w:rsidP="00E85F9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9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896682" w:rsidRPr="00065E4D" w:rsidRDefault="00896682" w:rsidP="00E85F92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40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714FB6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82" w:rsidRDefault="00896682" w:rsidP="000662E2">
      <w:pPr>
        <w:spacing w:after="0" w:line="240" w:lineRule="auto"/>
      </w:pPr>
      <w:r>
        <w:separator/>
      </w:r>
    </w:p>
  </w:endnote>
  <w:endnote w:type="continuationSeparator" w:id="0">
    <w:p w:rsidR="00896682" w:rsidRDefault="0089668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896682" w:rsidRDefault="0089668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F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896682" w:rsidRDefault="0089668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F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896682" w:rsidRDefault="0089668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FB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82" w:rsidRDefault="00896682" w:rsidP="000662E2">
      <w:pPr>
        <w:spacing w:after="0" w:line="240" w:lineRule="auto"/>
      </w:pPr>
      <w:r>
        <w:separator/>
      </w:r>
    </w:p>
  </w:footnote>
  <w:footnote w:type="continuationSeparator" w:id="0">
    <w:p w:rsidR="00896682" w:rsidRDefault="0089668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82" w:rsidRDefault="00896682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896682" w:rsidRDefault="008966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82" w:rsidRDefault="00896682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>
      <w:rPr>
        <w:noProof/>
        <w:lang w:val="en-GB" w:eastAsia="en-GB"/>
      </w:rPr>
      <w:drawing>
        <wp:inline distT="0" distB="0" distL="0" distR="0" wp14:anchorId="04ACF592" wp14:editId="7A5592BD">
          <wp:extent cx="1865630" cy="709295"/>
          <wp:effectExtent l="0" t="0" r="0" b="0"/>
          <wp:docPr id="5" name="Obraz 5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896682" w:rsidRPr="003C6C8D" w:rsidRDefault="00896682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1D7F33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</w:p>
  <w:p w:rsidR="00896682" w:rsidRDefault="00896682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896682" w:rsidRPr="00C97596" w:rsidRDefault="00896682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15.01.2021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82" w:rsidRDefault="00896682">
    <w:pPr>
      <w:pStyle w:val="Nagwek"/>
    </w:pPr>
  </w:p>
  <w:p w:rsidR="00896682" w:rsidRDefault="008966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05pt;height:124.65pt;visibility:visible" o:bullet="t">
        <v:imagedata r:id="rId1" o:title=""/>
      </v:shape>
    </w:pict>
  </w:numPicBullet>
  <w:numPicBullet w:numPicBulletId="1">
    <w:pict>
      <v:shape id="_x0000_i1031" type="#_x0000_t75" style="width:124.1pt;height:124.6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74C"/>
    <w:rsid w:val="00001C5B"/>
    <w:rsid w:val="0000260E"/>
    <w:rsid w:val="00003437"/>
    <w:rsid w:val="00005FA6"/>
    <w:rsid w:val="0000709F"/>
    <w:rsid w:val="000108B8"/>
    <w:rsid w:val="000152F5"/>
    <w:rsid w:val="0001700C"/>
    <w:rsid w:val="000201FC"/>
    <w:rsid w:val="00024B66"/>
    <w:rsid w:val="00024EE7"/>
    <w:rsid w:val="00026BA3"/>
    <w:rsid w:val="00026FBB"/>
    <w:rsid w:val="00030ACD"/>
    <w:rsid w:val="00034160"/>
    <w:rsid w:val="0003614E"/>
    <w:rsid w:val="0004015D"/>
    <w:rsid w:val="0004582E"/>
    <w:rsid w:val="0004646A"/>
    <w:rsid w:val="000470AA"/>
    <w:rsid w:val="000531EB"/>
    <w:rsid w:val="00057CA1"/>
    <w:rsid w:val="000609C1"/>
    <w:rsid w:val="00065CCC"/>
    <w:rsid w:val="00065E4D"/>
    <w:rsid w:val="000662E2"/>
    <w:rsid w:val="00066883"/>
    <w:rsid w:val="00072D35"/>
    <w:rsid w:val="00074B1B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B60D7"/>
    <w:rsid w:val="000C08EE"/>
    <w:rsid w:val="000C135D"/>
    <w:rsid w:val="000C68F7"/>
    <w:rsid w:val="000D1D43"/>
    <w:rsid w:val="000D225C"/>
    <w:rsid w:val="000D2465"/>
    <w:rsid w:val="000D2A5C"/>
    <w:rsid w:val="000E0918"/>
    <w:rsid w:val="000F2650"/>
    <w:rsid w:val="001011C3"/>
    <w:rsid w:val="00102EAC"/>
    <w:rsid w:val="00107FC7"/>
    <w:rsid w:val="00110D87"/>
    <w:rsid w:val="001149A1"/>
    <w:rsid w:val="00114DB9"/>
    <w:rsid w:val="00116087"/>
    <w:rsid w:val="00130296"/>
    <w:rsid w:val="001315A3"/>
    <w:rsid w:val="00132297"/>
    <w:rsid w:val="00133A82"/>
    <w:rsid w:val="00135B65"/>
    <w:rsid w:val="00142037"/>
    <w:rsid w:val="001423B6"/>
    <w:rsid w:val="001441A0"/>
    <w:rsid w:val="001448A3"/>
    <w:rsid w:val="001448A7"/>
    <w:rsid w:val="00145121"/>
    <w:rsid w:val="00146621"/>
    <w:rsid w:val="00162325"/>
    <w:rsid w:val="00165856"/>
    <w:rsid w:val="00171DA5"/>
    <w:rsid w:val="001772F8"/>
    <w:rsid w:val="00190D25"/>
    <w:rsid w:val="00194845"/>
    <w:rsid w:val="00194DE1"/>
    <w:rsid w:val="001951DA"/>
    <w:rsid w:val="001A3A7F"/>
    <w:rsid w:val="001A7573"/>
    <w:rsid w:val="001A78D0"/>
    <w:rsid w:val="001B7E7B"/>
    <w:rsid w:val="001C1375"/>
    <w:rsid w:val="001C3269"/>
    <w:rsid w:val="001C7312"/>
    <w:rsid w:val="001D1DB4"/>
    <w:rsid w:val="001E1D94"/>
    <w:rsid w:val="001E4443"/>
    <w:rsid w:val="001E7DBB"/>
    <w:rsid w:val="001F439C"/>
    <w:rsid w:val="001F60D1"/>
    <w:rsid w:val="00205D76"/>
    <w:rsid w:val="00212DE8"/>
    <w:rsid w:val="00214CA5"/>
    <w:rsid w:val="002268BB"/>
    <w:rsid w:val="0024416D"/>
    <w:rsid w:val="00244DD1"/>
    <w:rsid w:val="002574F9"/>
    <w:rsid w:val="00257A17"/>
    <w:rsid w:val="002621B1"/>
    <w:rsid w:val="00262B61"/>
    <w:rsid w:val="0026302B"/>
    <w:rsid w:val="002724FF"/>
    <w:rsid w:val="00275FA6"/>
    <w:rsid w:val="00276811"/>
    <w:rsid w:val="00276C9A"/>
    <w:rsid w:val="00276F83"/>
    <w:rsid w:val="00280D7C"/>
    <w:rsid w:val="00282699"/>
    <w:rsid w:val="00285768"/>
    <w:rsid w:val="00285C5A"/>
    <w:rsid w:val="002906EA"/>
    <w:rsid w:val="00290CB6"/>
    <w:rsid w:val="002926DF"/>
    <w:rsid w:val="00295056"/>
    <w:rsid w:val="00296697"/>
    <w:rsid w:val="00296EB3"/>
    <w:rsid w:val="002A4D80"/>
    <w:rsid w:val="002B0472"/>
    <w:rsid w:val="002B5049"/>
    <w:rsid w:val="002B6B12"/>
    <w:rsid w:val="002D0020"/>
    <w:rsid w:val="002E086A"/>
    <w:rsid w:val="002E6140"/>
    <w:rsid w:val="002E6985"/>
    <w:rsid w:val="002E71B6"/>
    <w:rsid w:val="002F321F"/>
    <w:rsid w:val="002F77C8"/>
    <w:rsid w:val="003033FD"/>
    <w:rsid w:val="003047EF"/>
    <w:rsid w:val="00304F22"/>
    <w:rsid w:val="00305162"/>
    <w:rsid w:val="00306C7C"/>
    <w:rsid w:val="003077B5"/>
    <w:rsid w:val="00310F90"/>
    <w:rsid w:val="00317C90"/>
    <w:rsid w:val="00322EDD"/>
    <w:rsid w:val="00325FA3"/>
    <w:rsid w:val="00332320"/>
    <w:rsid w:val="00336B88"/>
    <w:rsid w:val="003405A4"/>
    <w:rsid w:val="003412A8"/>
    <w:rsid w:val="00341C29"/>
    <w:rsid w:val="00343BBC"/>
    <w:rsid w:val="00347D72"/>
    <w:rsid w:val="00351D21"/>
    <w:rsid w:val="00357611"/>
    <w:rsid w:val="00367237"/>
    <w:rsid w:val="0037077F"/>
    <w:rsid w:val="00372411"/>
    <w:rsid w:val="0037258A"/>
    <w:rsid w:val="00373882"/>
    <w:rsid w:val="003843DB"/>
    <w:rsid w:val="003901AC"/>
    <w:rsid w:val="00393761"/>
    <w:rsid w:val="00397181"/>
    <w:rsid w:val="00397D18"/>
    <w:rsid w:val="003A1B36"/>
    <w:rsid w:val="003A440F"/>
    <w:rsid w:val="003A7D83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D67C8"/>
    <w:rsid w:val="003D7BC2"/>
    <w:rsid w:val="003E3529"/>
    <w:rsid w:val="003E6F8F"/>
    <w:rsid w:val="003F4C97"/>
    <w:rsid w:val="003F54AA"/>
    <w:rsid w:val="003F7FE6"/>
    <w:rsid w:val="00400193"/>
    <w:rsid w:val="004002CD"/>
    <w:rsid w:val="004009D2"/>
    <w:rsid w:val="00417625"/>
    <w:rsid w:val="004212E7"/>
    <w:rsid w:val="0042446D"/>
    <w:rsid w:val="004276B0"/>
    <w:rsid w:val="00427BF8"/>
    <w:rsid w:val="00431C02"/>
    <w:rsid w:val="00435D6D"/>
    <w:rsid w:val="00437395"/>
    <w:rsid w:val="00445047"/>
    <w:rsid w:val="004469A3"/>
    <w:rsid w:val="004513A3"/>
    <w:rsid w:val="00451932"/>
    <w:rsid w:val="00453304"/>
    <w:rsid w:val="00454E14"/>
    <w:rsid w:val="004566AB"/>
    <w:rsid w:val="0045762F"/>
    <w:rsid w:val="004601AC"/>
    <w:rsid w:val="00460C26"/>
    <w:rsid w:val="00463E39"/>
    <w:rsid w:val="004640CD"/>
    <w:rsid w:val="004657FC"/>
    <w:rsid w:val="00467181"/>
    <w:rsid w:val="004733F6"/>
    <w:rsid w:val="00474E69"/>
    <w:rsid w:val="0048486C"/>
    <w:rsid w:val="00486EE6"/>
    <w:rsid w:val="0049189D"/>
    <w:rsid w:val="00493217"/>
    <w:rsid w:val="0049621B"/>
    <w:rsid w:val="004B2431"/>
    <w:rsid w:val="004B2465"/>
    <w:rsid w:val="004B4C23"/>
    <w:rsid w:val="004C01B5"/>
    <w:rsid w:val="004C1895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5A92"/>
    <w:rsid w:val="005077D1"/>
    <w:rsid w:val="00511F19"/>
    <w:rsid w:val="0051646A"/>
    <w:rsid w:val="00516A50"/>
    <w:rsid w:val="005203F1"/>
    <w:rsid w:val="0052058B"/>
    <w:rsid w:val="005214FA"/>
    <w:rsid w:val="00521BC3"/>
    <w:rsid w:val="00526A58"/>
    <w:rsid w:val="005316C2"/>
    <w:rsid w:val="00533632"/>
    <w:rsid w:val="00534040"/>
    <w:rsid w:val="0053648F"/>
    <w:rsid w:val="00541E6E"/>
    <w:rsid w:val="0054251F"/>
    <w:rsid w:val="00542AFC"/>
    <w:rsid w:val="005520D8"/>
    <w:rsid w:val="00556CF1"/>
    <w:rsid w:val="00573DFA"/>
    <w:rsid w:val="005762A7"/>
    <w:rsid w:val="005762F6"/>
    <w:rsid w:val="0058363D"/>
    <w:rsid w:val="00585D06"/>
    <w:rsid w:val="005875EB"/>
    <w:rsid w:val="005877DE"/>
    <w:rsid w:val="005916D7"/>
    <w:rsid w:val="0059573F"/>
    <w:rsid w:val="005A2784"/>
    <w:rsid w:val="005A698C"/>
    <w:rsid w:val="005A69F2"/>
    <w:rsid w:val="005A6C7D"/>
    <w:rsid w:val="005C1AF8"/>
    <w:rsid w:val="005C209B"/>
    <w:rsid w:val="005C778E"/>
    <w:rsid w:val="005D0389"/>
    <w:rsid w:val="005D1C04"/>
    <w:rsid w:val="005D470D"/>
    <w:rsid w:val="005E0799"/>
    <w:rsid w:val="005E2757"/>
    <w:rsid w:val="005E418C"/>
    <w:rsid w:val="005E6437"/>
    <w:rsid w:val="005F4399"/>
    <w:rsid w:val="005F5A80"/>
    <w:rsid w:val="006044FF"/>
    <w:rsid w:val="00604FF5"/>
    <w:rsid w:val="00607CC5"/>
    <w:rsid w:val="00613AEC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60778"/>
    <w:rsid w:val="00666DED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549"/>
    <w:rsid w:val="00696814"/>
    <w:rsid w:val="006A4686"/>
    <w:rsid w:val="006B0B72"/>
    <w:rsid w:val="006B0E9E"/>
    <w:rsid w:val="006B208D"/>
    <w:rsid w:val="006B20B4"/>
    <w:rsid w:val="006B5AE4"/>
    <w:rsid w:val="006B78EF"/>
    <w:rsid w:val="006D1507"/>
    <w:rsid w:val="006D19D5"/>
    <w:rsid w:val="006D4054"/>
    <w:rsid w:val="006D5C42"/>
    <w:rsid w:val="006D6B72"/>
    <w:rsid w:val="006E02EC"/>
    <w:rsid w:val="006E14B3"/>
    <w:rsid w:val="006E1601"/>
    <w:rsid w:val="006E2D00"/>
    <w:rsid w:val="006F145E"/>
    <w:rsid w:val="006F6B1F"/>
    <w:rsid w:val="007059D5"/>
    <w:rsid w:val="007063C3"/>
    <w:rsid w:val="007122CC"/>
    <w:rsid w:val="00714FB6"/>
    <w:rsid w:val="007162EB"/>
    <w:rsid w:val="007211B1"/>
    <w:rsid w:val="00721712"/>
    <w:rsid w:val="0072400B"/>
    <w:rsid w:val="00733D55"/>
    <w:rsid w:val="00737F21"/>
    <w:rsid w:val="00740107"/>
    <w:rsid w:val="007408FF"/>
    <w:rsid w:val="007418B3"/>
    <w:rsid w:val="0074537D"/>
    <w:rsid w:val="00746187"/>
    <w:rsid w:val="00752A67"/>
    <w:rsid w:val="00761070"/>
    <w:rsid w:val="0076254F"/>
    <w:rsid w:val="007676D7"/>
    <w:rsid w:val="00774934"/>
    <w:rsid w:val="00776D79"/>
    <w:rsid w:val="007801F5"/>
    <w:rsid w:val="00781552"/>
    <w:rsid w:val="00783CA4"/>
    <w:rsid w:val="007842FB"/>
    <w:rsid w:val="00786124"/>
    <w:rsid w:val="0078756B"/>
    <w:rsid w:val="0079022D"/>
    <w:rsid w:val="00792E24"/>
    <w:rsid w:val="00793154"/>
    <w:rsid w:val="007948D4"/>
    <w:rsid w:val="0079514B"/>
    <w:rsid w:val="00797060"/>
    <w:rsid w:val="00797771"/>
    <w:rsid w:val="007A2DC1"/>
    <w:rsid w:val="007A77F5"/>
    <w:rsid w:val="007B74D8"/>
    <w:rsid w:val="007C1363"/>
    <w:rsid w:val="007D3319"/>
    <w:rsid w:val="007D335D"/>
    <w:rsid w:val="007D4406"/>
    <w:rsid w:val="007E3314"/>
    <w:rsid w:val="007E4B03"/>
    <w:rsid w:val="007E71CF"/>
    <w:rsid w:val="007F045B"/>
    <w:rsid w:val="007F324B"/>
    <w:rsid w:val="007F3983"/>
    <w:rsid w:val="007F6195"/>
    <w:rsid w:val="008006E1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3E0"/>
    <w:rsid w:val="00847F0F"/>
    <w:rsid w:val="00852448"/>
    <w:rsid w:val="00860851"/>
    <w:rsid w:val="00864AD8"/>
    <w:rsid w:val="00866B61"/>
    <w:rsid w:val="00873B73"/>
    <w:rsid w:val="00876337"/>
    <w:rsid w:val="0088258A"/>
    <w:rsid w:val="008832C4"/>
    <w:rsid w:val="00883763"/>
    <w:rsid w:val="00885F63"/>
    <w:rsid w:val="00886332"/>
    <w:rsid w:val="00887348"/>
    <w:rsid w:val="00892238"/>
    <w:rsid w:val="00896682"/>
    <w:rsid w:val="008A26D9"/>
    <w:rsid w:val="008A4C58"/>
    <w:rsid w:val="008B4AE0"/>
    <w:rsid w:val="008C0C29"/>
    <w:rsid w:val="008C1A52"/>
    <w:rsid w:val="008C7879"/>
    <w:rsid w:val="008C7A01"/>
    <w:rsid w:val="008E64EF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0A9B"/>
    <w:rsid w:val="00920FC4"/>
    <w:rsid w:val="009227A6"/>
    <w:rsid w:val="00927AD2"/>
    <w:rsid w:val="00932D7A"/>
    <w:rsid w:val="00933B26"/>
    <w:rsid w:val="00933EC1"/>
    <w:rsid w:val="00942DCA"/>
    <w:rsid w:val="0094622C"/>
    <w:rsid w:val="009530DB"/>
    <w:rsid w:val="00953676"/>
    <w:rsid w:val="009668F9"/>
    <w:rsid w:val="009705EE"/>
    <w:rsid w:val="00971217"/>
    <w:rsid w:val="009731D6"/>
    <w:rsid w:val="0097339D"/>
    <w:rsid w:val="00977927"/>
    <w:rsid w:val="0098135C"/>
    <w:rsid w:val="0098156A"/>
    <w:rsid w:val="00982640"/>
    <w:rsid w:val="0098469A"/>
    <w:rsid w:val="00984980"/>
    <w:rsid w:val="00990133"/>
    <w:rsid w:val="00991BAC"/>
    <w:rsid w:val="009A206F"/>
    <w:rsid w:val="009A6EA0"/>
    <w:rsid w:val="009A703D"/>
    <w:rsid w:val="009B1399"/>
    <w:rsid w:val="009B1414"/>
    <w:rsid w:val="009B2242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9F70CD"/>
    <w:rsid w:val="009F7A99"/>
    <w:rsid w:val="00A06D23"/>
    <w:rsid w:val="00A07F00"/>
    <w:rsid w:val="00A12435"/>
    <w:rsid w:val="00A139F5"/>
    <w:rsid w:val="00A15A51"/>
    <w:rsid w:val="00A2136A"/>
    <w:rsid w:val="00A27522"/>
    <w:rsid w:val="00A3060E"/>
    <w:rsid w:val="00A34C24"/>
    <w:rsid w:val="00A365F4"/>
    <w:rsid w:val="00A37CE0"/>
    <w:rsid w:val="00A459FF"/>
    <w:rsid w:val="00A460E6"/>
    <w:rsid w:val="00A46BD5"/>
    <w:rsid w:val="00A47937"/>
    <w:rsid w:val="00A47D80"/>
    <w:rsid w:val="00A51051"/>
    <w:rsid w:val="00A51BB2"/>
    <w:rsid w:val="00A53132"/>
    <w:rsid w:val="00A563F2"/>
    <w:rsid w:val="00A566E8"/>
    <w:rsid w:val="00A60AEE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0732"/>
    <w:rsid w:val="00A93892"/>
    <w:rsid w:val="00AA569E"/>
    <w:rsid w:val="00AA710D"/>
    <w:rsid w:val="00AB0B8F"/>
    <w:rsid w:val="00AB27B9"/>
    <w:rsid w:val="00AB6D25"/>
    <w:rsid w:val="00AB7B31"/>
    <w:rsid w:val="00AC3D2C"/>
    <w:rsid w:val="00AD4947"/>
    <w:rsid w:val="00AD5F17"/>
    <w:rsid w:val="00AE20FD"/>
    <w:rsid w:val="00AE2D4B"/>
    <w:rsid w:val="00AE3075"/>
    <w:rsid w:val="00AE4F99"/>
    <w:rsid w:val="00AE777C"/>
    <w:rsid w:val="00B048A4"/>
    <w:rsid w:val="00B04E38"/>
    <w:rsid w:val="00B06265"/>
    <w:rsid w:val="00B10BBE"/>
    <w:rsid w:val="00B11B69"/>
    <w:rsid w:val="00B14952"/>
    <w:rsid w:val="00B2412D"/>
    <w:rsid w:val="00B24B6C"/>
    <w:rsid w:val="00B250D5"/>
    <w:rsid w:val="00B31357"/>
    <w:rsid w:val="00B31E5A"/>
    <w:rsid w:val="00B322EC"/>
    <w:rsid w:val="00B36425"/>
    <w:rsid w:val="00B42DDD"/>
    <w:rsid w:val="00B529AD"/>
    <w:rsid w:val="00B56D54"/>
    <w:rsid w:val="00B609CE"/>
    <w:rsid w:val="00B611C1"/>
    <w:rsid w:val="00B617A5"/>
    <w:rsid w:val="00B653AB"/>
    <w:rsid w:val="00B65F9E"/>
    <w:rsid w:val="00B66B19"/>
    <w:rsid w:val="00B674A5"/>
    <w:rsid w:val="00B81B60"/>
    <w:rsid w:val="00B84277"/>
    <w:rsid w:val="00B86545"/>
    <w:rsid w:val="00B914E9"/>
    <w:rsid w:val="00B91831"/>
    <w:rsid w:val="00B94737"/>
    <w:rsid w:val="00B956EE"/>
    <w:rsid w:val="00B97152"/>
    <w:rsid w:val="00BA1AD0"/>
    <w:rsid w:val="00BA2BA1"/>
    <w:rsid w:val="00BA3562"/>
    <w:rsid w:val="00BA5A42"/>
    <w:rsid w:val="00BB08C3"/>
    <w:rsid w:val="00BB27AF"/>
    <w:rsid w:val="00BB4BE0"/>
    <w:rsid w:val="00BB4D90"/>
    <w:rsid w:val="00BB4F09"/>
    <w:rsid w:val="00BB6447"/>
    <w:rsid w:val="00BB6E9C"/>
    <w:rsid w:val="00BC17C7"/>
    <w:rsid w:val="00BC2318"/>
    <w:rsid w:val="00BC427F"/>
    <w:rsid w:val="00BD3777"/>
    <w:rsid w:val="00BD4E33"/>
    <w:rsid w:val="00BE4B65"/>
    <w:rsid w:val="00BF2E22"/>
    <w:rsid w:val="00BF790C"/>
    <w:rsid w:val="00C00EDA"/>
    <w:rsid w:val="00C030DE"/>
    <w:rsid w:val="00C057E5"/>
    <w:rsid w:val="00C110DB"/>
    <w:rsid w:val="00C11CBD"/>
    <w:rsid w:val="00C1766A"/>
    <w:rsid w:val="00C22105"/>
    <w:rsid w:val="00C244B6"/>
    <w:rsid w:val="00C27C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70D76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54CE"/>
    <w:rsid w:val="00C96FAA"/>
    <w:rsid w:val="00C97A04"/>
    <w:rsid w:val="00CA107B"/>
    <w:rsid w:val="00CA484D"/>
    <w:rsid w:val="00CA4FB6"/>
    <w:rsid w:val="00CA5C74"/>
    <w:rsid w:val="00CC17BD"/>
    <w:rsid w:val="00CC6180"/>
    <w:rsid w:val="00CC72FC"/>
    <w:rsid w:val="00CC739E"/>
    <w:rsid w:val="00CC75D3"/>
    <w:rsid w:val="00CD1E2E"/>
    <w:rsid w:val="00CD352D"/>
    <w:rsid w:val="00CD58B7"/>
    <w:rsid w:val="00CF08EF"/>
    <w:rsid w:val="00CF09F2"/>
    <w:rsid w:val="00CF4099"/>
    <w:rsid w:val="00D00796"/>
    <w:rsid w:val="00D02D2C"/>
    <w:rsid w:val="00D14C59"/>
    <w:rsid w:val="00D1564D"/>
    <w:rsid w:val="00D261A2"/>
    <w:rsid w:val="00D2668A"/>
    <w:rsid w:val="00D3440A"/>
    <w:rsid w:val="00D34567"/>
    <w:rsid w:val="00D401C9"/>
    <w:rsid w:val="00D43419"/>
    <w:rsid w:val="00D47B8D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1F2B"/>
    <w:rsid w:val="00D8397C"/>
    <w:rsid w:val="00D9456F"/>
    <w:rsid w:val="00D94EED"/>
    <w:rsid w:val="00D96026"/>
    <w:rsid w:val="00DA0243"/>
    <w:rsid w:val="00DA0C7E"/>
    <w:rsid w:val="00DA433C"/>
    <w:rsid w:val="00DA52A7"/>
    <w:rsid w:val="00DA7C1C"/>
    <w:rsid w:val="00DB147A"/>
    <w:rsid w:val="00DB1B7A"/>
    <w:rsid w:val="00DC6708"/>
    <w:rsid w:val="00DC7CFA"/>
    <w:rsid w:val="00DE64C5"/>
    <w:rsid w:val="00DF712D"/>
    <w:rsid w:val="00DF7E46"/>
    <w:rsid w:val="00E01436"/>
    <w:rsid w:val="00E045BD"/>
    <w:rsid w:val="00E17A9F"/>
    <w:rsid w:val="00E17B77"/>
    <w:rsid w:val="00E23337"/>
    <w:rsid w:val="00E24A25"/>
    <w:rsid w:val="00E259EA"/>
    <w:rsid w:val="00E27E85"/>
    <w:rsid w:val="00E30793"/>
    <w:rsid w:val="00E32061"/>
    <w:rsid w:val="00E41FCF"/>
    <w:rsid w:val="00E42801"/>
    <w:rsid w:val="00E42FF9"/>
    <w:rsid w:val="00E4714C"/>
    <w:rsid w:val="00E51AEB"/>
    <w:rsid w:val="00E52175"/>
    <w:rsid w:val="00E522A7"/>
    <w:rsid w:val="00E54452"/>
    <w:rsid w:val="00E63312"/>
    <w:rsid w:val="00E664C5"/>
    <w:rsid w:val="00E671A2"/>
    <w:rsid w:val="00E67A17"/>
    <w:rsid w:val="00E717A9"/>
    <w:rsid w:val="00E75596"/>
    <w:rsid w:val="00E76D26"/>
    <w:rsid w:val="00E82C7E"/>
    <w:rsid w:val="00E85F92"/>
    <w:rsid w:val="00E905C4"/>
    <w:rsid w:val="00E93CDB"/>
    <w:rsid w:val="00E963C8"/>
    <w:rsid w:val="00EB02C9"/>
    <w:rsid w:val="00EB1390"/>
    <w:rsid w:val="00EB199D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5A17"/>
    <w:rsid w:val="00ED682B"/>
    <w:rsid w:val="00EE3F46"/>
    <w:rsid w:val="00EE41D5"/>
    <w:rsid w:val="00EE4ADB"/>
    <w:rsid w:val="00EE696D"/>
    <w:rsid w:val="00EF7B36"/>
    <w:rsid w:val="00F0028A"/>
    <w:rsid w:val="00F0292D"/>
    <w:rsid w:val="00F03717"/>
    <w:rsid w:val="00F037A4"/>
    <w:rsid w:val="00F04465"/>
    <w:rsid w:val="00F04C11"/>
    <w:rsid w:val="00F10D63"/>
    <w:rsid w:val="00F12FEC"/>
    <w:rsid w:val="00F26013"/>
    <w:rsid w:val="00F27C8F"/>
    <w:rsid w:val="00F30A0C"/>
    <w:rsid w:val="00F32749"/>
    <w:rsid w:val="00F37172"/>
    <w:rsid w:val="00F42746"/>
    <w:rsid w:val="00F4477E"/>
    <w:rsid w:val="00F45717"/>
    <w:rsid w:val="00F57391"/>
    <w:rsid w:val="00F60B5D"/>
    <w:rsid w:val="00F6537E"/>
    <w:rsid w:val="00F65EEC"/>
    <w:rsid w:val="00F6637E"/>
    <w:rsid w:val="00F67D8F"/>
    <w:rsid w:val="00F739B3"/>
    <w:rsid w:val="00F73C5D"/>
    <w:rsid w:val="00F74B10"/>
    <w:rsid w:val="00F80247"/>
    <w:rsid w:val="00F802BE"/>
    <w:rsid w:val="00F80E93"/>
    <w:rsid w:val="00F8197B"/>
    <w:rsid w:val="00F86024"/>
    <w:rsid w:val="00F8611A"/>
    <w:rsid w:val="00F86C02"/>
    <w:rsid w:val="00F90BB1"/>
    <w:rsid w:val="00F93CA3"/>
    <w:rsid w:val="00FA0677"/>
    <w:rsid w:val="00FA0AB4"/>
    <w:rsid w:val="00FA5128"/>
    <w:rsid w:val="00FB2D00"/>
    <w:rsid w:val="00FB42D4"/>
    <w:rsid w:val="00FB5906"/>
    <w:rsid w:val="00FB762F"/>
    <w:rsid w:val="00FC1516"/>
    <w:rsid w:val="00FC2AED"/>
    <w:rsid w:val="00FC6AF0"/>
    <w:rsid w:val="00FD39F6"/>
    <w:rsid w:val="00FD5EA7"/>
    <w:rsid w:val="00FD7DB8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66B61"/>
  </w:style>
  <w:style w:type="table" w:customStyle="1" w:styleId="Tabelasiatki1jasnaakcent111">
    <w:name w:val="Tabela siatki 1 — jasna — akcent 111"/>
    <w:basedOn w:val="Standardowy"/>
    <w:uiPriority w:val="46"/>
    <w:rsid w:val="00866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2">
    <w:name w:val="Siatka tabeli — jasna112"/>
    <w:basedOn w:val="Standardowy"/>
    <w:uiPriority w:val="40"/>
    <w:rsid w:val="00A90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864A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https://ec.europa.eu/eurostat/documents/10186/10693286/HICP_guidance.pdf" TargetMode="External"/><Relationship Id="rId26" Type="http://schemas.openxmlformats.org/officeDocument/2006/relationships/image" Target="media/image5.png"/><Relationship Id="rId39" Type="http://schemas.openxmlformats.org/officeDocument/2006/relationships/hyperlink" Target="http://stat.gov.pl/en/metainformations/glossary/terms-used-in-official-statistics/711,term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hyperlink" Target="http://swaid.stat.gov.pl/EN/SitePagesDBW/Ceny.aspx" TargetMode="External"/><Relationship Id="rId42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yperlink" Target="http://stat.gov.pl/en/topics/prices-trade/prices/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9" Type="http://schemas.openxmlformats.org/officeDocument/2006/relationships/hyperlink" Target="https://twitter.com/StatPoland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32" Type="http://schemas.openxmlformats.org/officeDocument/2006/relationships/hyperlink" Target="http://stat.gov.pl/en/latest-statistical-news/communications-and-announcements/" TargetMode="External"/><Relationship Id="rId37" Type="http://schemas.openxmlformats.org/officeDocument/2006/relationships/hyperlink" Target="http://stat.gov.pl/en/topics/prices-trade/price-indices/" TargetMode="External"/><Relationship Id="rId40" Type="http://schemas.openxmlformats.org/officeDocument/2006/relationships/hyperlink" Target="http://stat.gov.pl/en/metainformations/glossary/terms-used-in-official-statistics/32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eader" Target="header2.xml"/><Relationship Id="rId28" Type="http://schemas.openxmlformats.org/officeDocument/2006/relationships/image" Target="media/image6.png"/><Relationship Id="rId36" Type="http://schemas.openxmlformats.org/officeDocument/2006/relationships/hyperlink" Target="https://bdl.stat.gov.pl/BDL/start?lang=en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ec.europa.eu/eurostat/documents/10186/10693286/HICP_lifting_lockdown_measures_guidance.pdf" TargetMode="External"/><Relationship Id="rId31" Type="http://schemas.openxmlformats.org/officeDocument/2006/relationships/hyperlink" Target="https://www.facebook.com/GlownyUrzadStatystyczny/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footer" Target="footer1.xml"/><Relationship Id="rId27" Type="http://schemas.openxmlformats.org/officeDocument/2006/relationships/hyperlink" Target="https://stat.gov.pl/en/" TargetMode="External"/><Relationship Id="rId30" Type="http://schemas.openxmlformats.org/officeDocument/2006/relationships/image" Target="media/image7.png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79093621040562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WPŁYWY!$A$38:$A$47</c:f>
              <c:strCache>
                <c:ptCount val="10"/>
                <c:pt idx="0">
                  <c:v>Meat</c:v>
                </c:pt>
                <c:pt idx="1">
                  <c:v>Insurance</c:v>
                </c:pt>
                <c:pt idx="2">
                  <c:v>Garments</c:v>
                </c:pt>
                <c:pt idx="3">
                  <c:v>Telephone and telefax services</c:v>
                </c:pt>
                <c:pt idx="4">
                  <c:v>Footwear</c:v>
                </c:pt>
                <c:pt idx="5">
                  <c:v>Vegetables</c:v>
                </c:pt>
                <c:pt idx="6">
                  <c:v>Personal care</c:v>
                </c:pt>
                <c:pt idx="7">
                  <c:v>Fruit</c:v>
                </c:pt>
                <c:pt idx="8">
                  <c:v>Transport services</c:v>
                </c:pt>
                <c:pt idx="9">
                  <c:v>Fuels for personal transport equipment</c:v>
                </c:pt>
              </c:strCache>
            </c:strRef>
          </c:cat>
          <c:val>
            <c:numRef>
              <c:f>WPŁYWY!$C$38:$C$47</c:f>
              <c:numCache>
                <c:formatCode>0.00</c:formatCode>
                <c:ptCount val="10"/>
                <c:pt idx="0">
                  <c:v>-0.05</c:v>
                </c:pt>
                <c:pt idx="1">
                  <c:v>-0.04</c:v>
                </c:pt>
                <c:pt idx="2">
                  <c:v>-0.04</c:v>
                </c:pt>
                <c:pt idx="3">
                  <c:v>-0.03</c:v>
                </c:pt>
                <c:pt idx="4">
                  <c:v>-0.02</c:v>
                </c:pt>
                <c:pt idx="5">
                  <c:v>0.02</c:v>
                </c:pt>
                <c:pt idx="6">
                  <c:v>0.02</c:v>
                </c:pt>
                <c:pt idx="7">
                  <c:v>0.03</c:v>
                </c:pt>
                <c:pt idx="8">
                  <c:v>0.04</c:v>
                </c:pt>
                <c:pt idx="9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055296"/>
        <c:axId val="58249600"/>
      </c:barChart>
      <c:catAx>
        <c:axId val="5805529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8249600"/>
        <c:crossesAt val="0"/>
        <c:auto val="1"/>
        <c:lblAlgn val="ctr"/>
        <c:lblOffset val="750"/>
        <c:tickMarkSkip val="1"/>
        <c:noMultiLvlLbl val="0"/>
      </c:catAx>
      <c:valAx>
        <c:axId val="58249600"/>
        <c:scaling>
          <c:orientation val="minMax"/>
          <c:max val="0.15000000000000002"/>
          <c:min val="-5.000000000000001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8055296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8268672"/>
        <c:axId val="58279808"/>
      </c:barChart>
      <c:catAx>
        <c:axId val="58268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58279808"/>
        <c:crosses val="autoZero"/>
        <c:auto val="0"/>
        <c:lblAlgn val="ctr"/>
        <c:lblOffset val="100"/>
        <c:noMultiLvlLbl val="0"/>
      </c:catAx>
      <c:valAx>
        <c:axId val="58279808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582686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4.1462322130901709E-2"/>
                  <c:y val="4.1864066666407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8082859766814122E-2"/>
                  <c:y val="2.542452482330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4599079354789142E-2"/>
                  <c:y val="3.0088453984149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145085820135E-2"/>
                  <c:y val="-2.7279937179459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227975323367521E-2"/>
                  <c:y val="4.154535793643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5867348435223836E-2"/>
                  <c:y val="3.9887160660805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7129501773629281E-2"/>
                  <c:y val="2.5589322579096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6771994710827676E-2"/>
                  <c:y val="9.64078928417110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7965913138518742E-2"/>
                  <c:y val="-4.3477459311536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444456371647304E-2"/>
                  <c:y val="-2.346075183638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773249047039556E-2"/>
                  <c:y val="-2.1987571853858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6.7036273874512248E-2"/>
                  <c:y val="1.8926723619299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2801981009471848E-2"/>
                  <c:y val="-4.3891518610412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2614456373691134E-2"/>
                  <c:y val="-4.186633976002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-3.2632408784192511E-2"/>
                  <c:y val="-4.0261525316690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4959735156323769E-2"/>
                  <c:y val="-3.129865018084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'M-1'!$B$38:$B$61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'M-1'!$C$38:$C$61</c:f>
              <c:numCache>
                <c:formatCode>0.0</c:formatCode>
                <c:ptCount val="24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  <c:pt idx="18">
                  <c:v>-0.2</c:v>
                </c:pt>
                <c:pt idx="19">
                  <c:v>-0.1</c:v>
                </c:pt>
                <c:pt idx="20">
                  <c:v>0.2</c:v>
                </c:pt>
                <c:pt idx="21">
                  <c:v>0.1</c:v>
                </c:pt>
                <c:pt idx="22">
                  <c:v>0.1</c:v>
                </c:pt>
                <c:pt idx="23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309248"/>
        <c:axId val="58315136"/>
      </c:lineChart>
      <c:dateAx>
        <c:axId val="5830924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8315136"/>
        <c:crossesAt val="0"/>
        <c:auto val="0"/>
        <c:lblOffset val="100"/>
        <c:baseTimeUnit val="days"/>
      </c:dateAx>
      <c:valAx>
        <c:axId val="58315136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8309248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97722914833453E-2"/>
                  <c:y val="-4.1308898139890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248120674167937E-2"/>
                  <c:y val="-4.0655920751477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484229051433112E-2"/>
                  <c:y val="1.7395938664863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7786713153240278E-2"/>
                  <c:y val="-2.5901657031163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220935206238491E-2"/>
                  <c:y val="-4.1155862544958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8683374165693573E-2"/>
                  <c:y val="-2.977804865078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5.5357354447323932E-2"/>
                  <c:y val="1.9165486738470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3240754319135199E-2"/>
                  <c:y val="2.7510543188418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6745413967879209E-2"/>
                  <c:y val="-4.516224361791500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5.1570155566687668E-2"/>
                  <c:y val="2.8357121041210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818091270534931E-2"/>
                  <c:y val="1.6596429520775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6433994611805E-2"/>
                  <c:y val="1.3887949629802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(+FE)'!$B$38:$B$61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'M-12 (+FE)'!$D$38:$D$61</c:f>
              <c:numCache>
                <c:formatCode>0.0</c:formatCode>
                <c:ptCount val="24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190400"/>
        <c:axId val="115192192"/>
      </c:lineChart>
      <c:dateAx>
        <c:axId val="11519040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5192192"/>
        <c:crossesAt val="0"/>
        <c:auto val="0"/>
        <c:lblOffset val="100"/>
        <c:baseTimeUnit val="days"/>
      </c:dateAx>
      <c:valAx>
        <c:axId val="115192192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519040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m-12'!$B$39:$B$62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'CPI_HICP m-12'!$C$39:$C$62</c:f>
              <c:numCache>
                <c:formatCode>0.0</c:formatCode>
                <c:ptCount val="24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m-12'!$B$39:$B$62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'CPI_HICP m-12'!$E$39:$E$62</c:f>
              <c:numCache>
                <c:formatCode>0.0</c:formatCode>
                <c:ptCount val="24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  <c:pt idx="15">
                  <c:v>2.9</c:v>
                </c:pt>
                <c:pt idx="16">
                  <c:v>3.4</c:v>
                </c:pt>
                <c:pt idx="17">
                  <c:v>3.8</c:v>
                </c:pt>
                <c:pt idx="18">
                  <c:v>3.7</c:v>
                </c:pt>
                <c:pt idx="19">
                  <c:v>3.7</c:v>
                </c:pt>
                <c:pt idx="20">
                  <c:v>3.8</c:v>
                </c:pt>
                <c:pt idx="21">
                  <c:v>3.8</c:v>
                </c:pt>
                <c:pt idx="22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052096"/>
        <c:axId val="68053632"/>
      </c:lineChart>
      <c:catAx>
        <c:axId val="6805209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6805363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68053632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68052096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10613166744"/>
          <c:y val="0.6239401296153235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0.50088</cdr:x>
      <cdr:y>0.8682</cdr:y>
    </cdr:from>
    <cdr:to>
      <cdr:x>0.50136</cdr:x>
      <cdr:y>0.9442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565779" y="2221216"/>
          <a:ext cx="2460" cy="19443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0.07799</cdr:x>
      <cdr:y>0.92792</cdr:y>
    </cdr:from>
    <cdr:to>
      <cdr:x>0.50473</cdr:x>
      <cdr:y>0.99126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00396" y="2379565"/>
          <a:ext cx="2190750" cy="1624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0.50145</cdr:x>
      <cdr:y>0.93033</cdr:y>
    </cdr:from>
    <cdr:to>
      <cdr:x>0.92928</cdr:x>
      <cdr:y>0.99362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2574336" y="2385743"/>
          <a:ext cx="2196353" cy="1623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0.06813</cdr:x>
      <cdr:y>0.62248</cdr:y>
    </cdr:from>
    <cdr:to>
      <cdr:x>0.92916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8426" y="1634461"/>
          <a:ext cx="4403558" cy="73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0.06986</cdr:x>
      <cdr:y>0.29414</cdr:y>
    </cdr:from>
    <cdr:to>
      <cdr:x>0.92245</cdr:x>
      <cdr:y>0.29445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7284" y="772328"/>
          <a:ext cx="4360417" cy="80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0.92607</cdr:y>
    </cdr:from>
    <cdr:to>
      <cdr:x>0.49785</cdr:x>
      <cdr:y>0.98709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44450" y="2431733"/>
          <a:ext cx="2201706" cy="1602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0.49992</cdr:x>
      <cdr:y>0.92405</cdr:y>
    </cdr:from>
    <cdr:to>
      <cdr:x>0.9278</cdr:x>
      <cdr:y>0.98574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556740" y="2426442"/>
          <a:ext cx="2188339" cy="1619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0.49764</cdr:x>
      <cdr:y>0.86819</cdr:y>
    </cdr:from>
    <cdr:to>
      <cdr:x>0.49798</cdr:x>
      <cdr:y>0.9519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545100" y="2279751"/>
          <a:ext cx="1739" cy="21981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0.16723</cdr:x>
      <cdr:y>0.21251</cdr:y>
    </cdr:from>
    <cdr:to>
      <cdr:x>0.46727</cdr:x>
      <cdr:y>0.29141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854738" y="548335"/>
          <a:ext cx="1533527" cy="2035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0.16618</cdr:x>
      <cdr:y>0.62333</cdr:y>
    </cdr:from>
    <cdr:to>
      <cdr:x>0.44737</cdr:x>
      <cdr:y>0.70222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849376" y="1608364"/>
          <a:ext cx="1437184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0.44959</cdr:x>
      <cdr:y>0.45356</cdr:y>
    </cdr:from>
    <cdr:to>
      <cdr:x>0.63876</cdr:x>
      <cdr:y>0.54036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99312" y="1190924"/>
          <a:ext cx="967470" cy="2279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0.06424</cdr:x>
      <cdr:y>0.91859</cdr:y>
    </cdr:from>
    <cdr:to>
      <cdr:x>0.93314</cdr:x>
      <cdr:y>0.98915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30574" y="2335324"/>
          <a:ext cx="4471147" cy="1793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2019                                                                               2020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0.49771</cdr:x>
      <cdr:y>0.85313</cdr:y>
    </cdr:from>
    <cdr:to>
      <cdr:x>0.49779</cdr:x>
      <cdr:y>0.93601</cdr:y>
    </cdr:to>
    <cdr:sp macro="" textlink="">
      <cdr:nvSpPr>
        <cdr:cNvPr id="10" name="Łącznik prosty 8"/>
        <cdr:cNvSpPr/>
      </cdr:nvSpPr>
      <cdr:spPr bwMode="auto">
        <a:xfrm xmlns:a="http://schemas.openxmlformats.org/drawingml/2006/main" flipV="1">
          <a:off x="2549525" y="2158824"/>
          <a:ext cx="427" cy="20972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751A555-4D9A-4BD7-A2B1-6903271B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7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2</cp:revision>
  <cp:lastPrinted>2020-01-13T15:33:00Z</cp:lastPrinted>
  <dcterms:created xsi:type="dcterms:W3CDTF">2018-07-11T11:36:00Z</dcterms:created>
  <dcterms:modified xsi:type="dcterms:W3CDTF">2021-01-15T09:37:00Z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