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CD5D2" w14:textId="77777777" w:rsidR="00336A71" w:rsidRPr="00336A71" w:rsidRDefault="00336A71" w:rsidP="00336A71">
      <w:pPr>
        <w:pStyle w:val="tytuinformacji"/>
        <w:rPr>
          <w:shd w:val="clear" w:color="auto" w:fill="FFFFFF"/>
          <w:lang w:val="en-GB"/>
        </w:rPr>
      </w:pPr>
      <w:r w:rsidRPr="00336A71">
        <w:rPr>
          <w:shd w:val="clear" w:color="auto" w:fill="FFFFFF"/>
          <w:lang w:val="en-GB"/>
        </w:rPr>
        <w:t>Outpatient health care in 201</w:t>
      </w:r>
      <w:r w:rsidRPr="00336A71">
        <w:rPr>
          <w:color w:val="auto"/>
          <w:shd w:val="clear" w:color="auto" w:fill="FFFFFF"/>
          <w:lang w:val="en-GB"/>
        </w:rPr>
        <w:t>9</w:t>
      </w:r>
      <w:r w:rsidRPr="00336A71">
        <w:rPr>
          <w:shd w:val="clear" w:color="auto" w:fill="FFFFFF"/>
          <w:lang w:val="en-GB"/>
        </w:rPr>
        <w:t xml:space="preserve"> </w:t>
      </w:r>
    </w:p>
    <w:p w14:paraId="44A3CA48" w14:textId="5E4ED035" w:rsidR="00336A71" w:rsidRPr="00336A71" w:rsidRDefault="00336A71" w:rsidP="00336A71">
      <w:pPr>
        <w:pStyle w:val="tytuinformacji"/>
        <w:tabs>
          <w:tab w:val="left" w:pos="7225"/>
        </w:tabs>
        <w:rPr>
          <w:sz w:val="32"/>
          <w:szCs w:val="32"/>
          <w:shd w:val="clear" w:color="auto" w:fill="FFFFFF"/>
          <w:lang w:val="en-GB"/>
        </w:rPr>
      </w:pPr>
    </w:p>
    <w:p w14:paraId="5A9402B2" w14:textId="3A9567F9" w:rsidR="00336A71" w:rsidRPr="00336A71" w:rsidRDefault="00336A71" w:rsidP="00336A71">
      <w:pPr>
        <w:pStyle w:val="LID"/>
        <w:rPr>
          <w:lang w:val="en-GB"/>
        </w:rPr>
      </w:pPr>
      <w:r w:rsidRPr="00336A71">
        <w:rPr>
          <w:lang w:val="en-GB"/>
        </w:rPr>
        <w:t>At the end of 2019,</w:t>
      </w:r>
      <w:r w:rsidR="00623723">
        <w:rPr>
          <w:lang w:val="en-GB"/>
        </w:rPr>
        <w:t xml:space="preserve"> </w:t>
      </w:r>
      <w:r w:rsidR="00493905" w:rsidRPr="00493905">
        <w:rPr>
          <w:lang w:val="en-GB"/>
        </w:rPr>
        <w:t xml:space="preserve">outpatient health care was </w:t>
      </w:r>
      <w:r w:rsidR="00F512F7">
        <w:rPr>
          <w:lang w:val="en-GB"/>
        </w:rPr>
        <w:t xml:space="preserve">carried out </w:t>
      </w:r>
      <w:r w:rsidR="00493905" w:rsidRPr="00493905">
        <w:rPr>
          <w:lang w:val="en-GB"/>
        </w:rPr>
        <w:t>by</w:t>
      </w:r>
      <w:r w:rsidR="00493905">
        <w:rPr>
          <w:lang w:val="en-GB"/>
        </w:rPr>
        <w:t xml:space="preserve"> </w:t>
      </w:r>
      <w:r w:rsidRPr="00336A71">
        <w:rPr>
          <w:lang w:val="en-GB"/>
        </w:rPr>
        <w:t>21.8 thousand outpatient departments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>and 4.4 thousand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 xml:space="preserve">doctors and dentists practices </w:t>
      </w:r>
      <w:r w:rsidR="00493905" w:rsidRPr="00493905">
        <w:rPr>
          <w:lang w:val="en-GB"/>
        </w:rPr>
        <w:t xml:space="preserve">providing services </w:t>
      </w:r>
      <w:r w:rsidR="004309E0">
        <w:rPr>
          <w:lang w:val="en-GB"/>
        </w:rPr>
        <w:t>funded</w:t>
      </w:r>
      <w:r w:rsidR="00493905" w:rsidRPr="00493905">
        <w:rPr>
          <w:lang w:val="en-GB"/>
        </w:rPr>
        <w:t xml:space="preserve"> by</w:t>
      </w:r>
      <w:r w:rsidRPr="00336A71">
        <w:rPr>
          <w:lang w:val="en-GB"/>
        </w:rPr>
        <w:t xml:space="preserve"> public sources.</w:t>
      </w:r>
      <w:r w:rsidRPr="00074DD8"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81C8BB9" wp14:editId="203141A9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00000" cy="1224000"/>
                <wp:effectExtent l="0" t="0" r="0" b="0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2240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95FF" w14:textId="77777777" w:rsidR="00336A71" w:rsidRPr="00336A71" w:rsidRDefault="00336A71" w:rsidP="00336A7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E45BF7">
                              <w:rPr>
                                <w:rFonts w:asciiTheme="minorHAnsi" w:hAnsiTheme="minorHAnsi"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6E1F1BA" wp14:editId="5503534C">
                                  <wp:extent cx="334010" cy="334010"/>
                                  <wp:effectExtent l="0" t="0" r="8890" b="8890"/>
                                  <wp:docPr id="47" name="Obraz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1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36A7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1.2%</w:t>
                            </w:r>
                          </w:p>
                          <w:p w14:paraId="539B5511" w14:textId="35418C46" w:rsidR="00336A71" w:rsidRPr="00336A71" w:rsidRDefault="00375289" w:rsidP="00336A71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 w:rsidR="00336A71" w:rsidRPr="00336A71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ncrease in the number of specialized </w:t>
                            </w:r>
                            <w:r w:rsidR="00493905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doctors </w:t>
                            </w:r>
                            <w:r w:rsidR="00336A71" w:rsidRPr="00336A71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consultations </w:t>
                            </w:r>
                            <w:r w:rsidR="00493905">
                              <w:rPr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="00336A71" w:rsidRPr="00336A71">
                              <w:rPr>
                                <w:sz w:val="20"/>
                                <w:szCs w:val="20"/>
                                <w:lang w:val="en-GB"/>
                              </w:rPr>
                              <w:t>ompar</w:t>
                            </w:r>
                            <w:r w:rsidR="00493905">
                              <w:rPr>
                                <w:sz w:val="20"/>
                                <w:szCs w:val="20"/>
                                <w:lang w:val="en-GB"/>
                              </w:rPr>
                              <w:t>ed</w:t>
                            </w:r>
                            <w:r w:rsidR="00336A71" w:rsidRPr="00336A71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93905">
                              <w:rPr>
                                <w:sz w:val="20"/>
                                <w:szCs w:val="20"/>
                                <w:lang w:val="en-GB"/>
                              </w:rPr>
                              <w:t>to</w:t>
                            </w:r>
                            <w:r w:rsidR="00515138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C8B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41.75pt;height:96.4pt;z-index:25177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" fillcolor="#001d77" stroked="f">
                <v:textbox>
                  <w:txbxContent>
                    <w:p w14:paraId="612495FF" w14:textId="77777777" w:rsidR="00336A71" w:rsidRPr="00336A71" w:rsidRDefault="00336A71" w:rsidP="00336A7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E45BF7">
                        <w:rPr>
                          <w:rFonts w:asciiTheme="minorHAnsi" w:hAnsiTheme="minorHAnsi"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6E1F1BA" wp14:editId="5503534C">
                            <wp:extent cx="334010" cy="334010"/>
                            <wp:effectExtent l="0" t="0" r="8890" b="8890"/>
                            <wp:docPr id="47" name="Obraz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01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36A7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1.2%</w:t>
                      </w:r>
                    </w:p>
                    <w:p w14:paraId="539B5511" w14:textId="35418C46" w:rsidR="00336A71" w:rsidRPr="00336A71" w:rsidRDefault="00375289" w:rsidP="00336A71">
                      <w:pPr>
                        <w:spacing w:before="0" w:after="0" w:line="240" w:lineRule="auto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>I</w:t>
                      </w:r>
                      <w:r w:rsidR="00336A71" w:rsidRPr="00336A71">
                        <w:rPr>
                          <w:sz w:val="20"/>
                          <w:szCs w:val="20"/>
                          <w:lang w:val="en-GB"/>
                        </w:rPr>
                        <w:t xml:space="preserve">ncrease in the number of specialized </w:t>
                      </w:r>
                      <w:r w:rsidR="00493905">
                        <w:rPr>
                          <w:sz w:val="20"/>
                          <w:szCs w:val="20"/>
                          <w:lang w:val="en-GB"/>
                        </w:rPr>
                        <w:t xml:space="preserve">doctors </w:t>
                      </w:r>
                      <w:r w:rsidR="00336A71" w:rsidRPr="00336A71">
                        <w:rPr>
                          <w:sz w:val="20"/>
                          <w:szCs w:val="20"/>
                          <w:lang w:val="en-GB"/>
                        </w:rPr>
                        <w:t xml:space="preserve">consultations </w:t>
                      </w:r>
                      <w:r w:rsidR="00493905">
                        <w:rPr>
                          <w:sz w:val="20"/>
                          <w:szCs w:val="20"/>
                          <w:lang w:val="en-GB"/>
                        </w:rPr>
                        <w:t>c</w:t>
                      </w:r>
                      <w:r w:rsidR="00336A71" w:rsidRPr="00336A71">
                        <w:rPr>
                          <w:sz w:val="20"/>
                          <w:szCs w:val="20"/>
                          <w:lang w:val="en-GB"/>
                        </w:rPr>
                        <w:t>ompar</w:t>
                      </w:r>
                      <w:r w:rsidR="00493905">
                        <w:rPr>
                          <w:sz w:val="20"/>
                          <w:szCs w:val="20"/>
                          <w:lang w:val="en-GB"/>
                        </w:rPr>
                        <w:t>ed</w:t>
                      </w:r>
                      <w:r w:rsidR="00336A71" w:rsidRPr="00336A71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493905">
                        <w:rPr>
                          <w:sz w:val="20"/>
                          <w:szCs w:val="20"/>
                          <w:lang w:val="en-GB"/>
                        </w:rPr>
                        <w:t>to</w:t>
                      </w:r>
                      <w:r w:rsidR="00515138">
                        <w:rPr>
                          <w:sz w:val="20"/>
                          <w:szCs w:val="20"/>
                          <w:lang w:val="en-GB"/>
                        </w:rPr>
                        <w:t xml:space="preserve">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6A71">
        <w:rPr>
          <w:lang w:val="en-GB"/>
        </w:rPr>
        <w:t xml:space="preserve"> </w:t>
      </w:r>
      <w:r w:rsidR="00493905" w:rsidRPr="00493905">
        <w:rPr>
          <w:lang w:val="en-GB"/>
        </w:rPr>
        <w:t>During the year,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>291.5 milllion doctors</w:t>
      </w:r>
      <w:r w:rsidR="0049311F">
        <w:rPr>
          <w:lang w:val="en-GB"/>
        </w:rPr>
        <w:t xml:space="preserve"> </w:t>
      </w:r>
      <w:r w:rsidRPr="00336A71">
        <w:rPr>
          <w:lang w:val="en-GB"/>
        </w:rPr>
        <w:t xml:space="preserve">consultations and 34.3 million dentists consultations </w:t>
      </w:r>
      <w:r w:rsidR="00B5250E" w:rsidRPr="00B5250E">
        <w:rPr>
          <w:lang w:val="en-GB"/>
        </w:rPr>
        <w:t>were provided</w:t>
      </w:r>
      <w:r w:rsidRPr="00336A71">
        <w:rPr>
          <w:lang w:val="en-GB"/>
        </w:rPr>
        <w:t>.</w:t>
      </w:r>
    </w:p>
    <w:p w14:paraId="7B385EFF" w14:textId="77777777" w:rsidR="00336A71" w:rsidRPr="00336A71" w:rsidRDefault="00336A71" w:rsidP="00336A71">
      <w:pPr>
        <w:pStyle w:val="Nagwek1"/>
        <w:spacing w:before="0"/>
        <w:rPr>
          <w:bCs w:val="0"/>
          <w:lang w:val="en-GB"/>
        </w:rPr>
      </w:pPr>
    </w:p>
    <w:p w14:paraId="3CA151E6" w14:textId="77777777" w:rsidR="00336A71" w:rsidRPr="00336A71" w:rsidRDefault="00336A71" w:rsidP="00336A71">
      <w:pPr>
        <w:rPr>
          <w:lang w:val="en-GB" w:eastAsia="pl-PL"/>
        </w:rPr>
      </w:pPr>
    </w:p>
    <w:p w14:paraId="13CFC8BD" w14:textId="6057D2E8" w:rsidR="00336A71" w:rsidRPr="00336A71" w:rsidRDefault="00336A71" w:rsidP="00336A71">
      <w:pPr>
        <w:spacing w:before="240"/>
        <w:jc w:val="both"/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</w:pPr>
      <w:r w:rsidRPr="00E95264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CD861EA" wp14:editId="39D08D22">
                <wp:simplePos x="0" y="0"/>
                <wp:positionH relativeFrom="column">
                  <wp:posOffset>5234940</wp:posOffset>
                </wp:positionH>
                <wp:positionV relativeFrom="page">
                  <wp:posOffset>3420745</wp:posOffset>
                </wp:positionV>
                <wp:extent cx="1724400" cy="1486800"/>
                <wp:effectExtent l="0" t="0" r="0" b="0"/>
                <wp:wrapTight wrapText="bothSides">
                  <wp:wrapPolygon edited="0">
                    <wp:start x="716" y="0"/>
                    <wp:lineTo x="716" y="21314"/>
                    <wp:lineTo x="20765" y="21314"/>
                    <wp:lineTo x="20765" y="0"/>
                    <wp:lineTo x="716" y="0"/>
                  </wp:wrapPolygon>
                </wp:wrapTight>
                <wp:docPr id="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8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F65A5" w14:textId="50391B13" w:rsidR="00336A71" w:rsidRPr="00336A71" w:rsidRDefault="00336A71" w:rsidP="00336A7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336A71">
                              <w:rPr>
                                <w:lang w:val="en-GB"/>
                              </w:rPr>
                              <w:t>At the end of 2019, outpatient consultations</w:t>
                            </w:r>
                            <w:r w:rsidR="00515138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336A71">
                              <w:rPr>
                                <w:lang w:val="en-GB"/>
                              </w:rPr>
                              <w:t xml:space="preserve">were provided by 21.8 thousand outpatient </w:t>
                            </w:r>
                            <w:r w:rsidR="00612A06" w:rsidRPr="00336A71">
                              <w:rPr>
                                <w:lang w:val="en-GB"/>
                              </w:rPr>
                              <w:t>department</w:t>
                            </w:r>
                            <w:r w:rsidR="00612A06">
                              <w:rPr>
                                <w:lang w:val="en-GB"/>
                              </w:rPr>
                              <w:t>s</w:t>
                            </w:r>
                            <w:r w:rsidR="00515138">
                              <w:rPr>
                                <w:lang w:val="en-GB"/>
                              </w:rPr>
                              <w:t xml:space="preserve"> and 4.4</w:t>
                            </w:r>
                            <w:r w:rsidR="00612A06">
                              <w:rPr>
                                <w:lang w:val="en-GB"/>
                              </w:rPr>
                              <w:t> </w:t>
                            </w:r>
                            <w:r w:rsidR="00515138">
                              <w:rPr>
                                <w:lang w:val="en-GB"/>
                              </w:rPr>
                              <w:t xml:space="preserve">thousand doctors </w:t>
                            </w:r>
                            <w:r w:rsidRPr="00336A71">
                              <w:rPr>
                                <w:lang w:val="en-GB"/>
                              </w:rPr>
                              <w:t>and dentists practices</w:t>
                            </w:r>
                            <w:r w:rsidR="00515138" w:rsidRPr="00515138">
                              <w:rPr>
                                <w:lang w:val="en-GB"/>
                              </w:rPr>
                              <w:t xml:space="preserve"> providing services funded by public 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861E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2pt;margin-top:269.35pt;width:135.8pt;height:117.0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" filled="f" stroked="f">
                <v:textbox>
                  <w:txbxContent>
                    <w:p w14:paraId="7B9F65A5" w14:textId="50391B13" w:rsidR="00336A71" w:rsidRPr="00336A71" w:rsidRDefault="00336A71" w:rsidP="00336A71">
                      <w:pPr>
                        <w:pStyle w:val="tekstzboku"/>
                        <w:rPr>
                          <w:lang w:val="en-GB"/>
                        </w:rPr>
                      </w:pPr>
                      <w:r w:rsidRPr="00336A71">
                        <w:rPr>
                          <w:lang w:val="en-GB"/>
                        </w:rPr>
                        <w:t>At the end of 2019, outpatient consultations</w:t>
                      </w:r>
                      <w:r w:rsidR="00515138">
                        <w:rPr>
                          <w:lang w:val="en-GB"/>
                        </w:rPr>
                        <w:t xml:space="preserve"> </w:t>
                      </w:r>
                      <w:r w:rsidRPr="00336A71">
                        <w:rPr>
                          <w:lang w:val="en-GB"/>
                        </w:rPr>
                        <w:t xml:space="preserve">were provided by 21.8 thousand outpatient </w:t>
                      </w:r>
                      <w:r w:rsidR="00612A06" w:rsidRPr="00336A71">
                        <w:rPr>
                          <w:lang w:val="en-GB"/>
                        </w:rPr>
                        <w:t>department</w:t>
                      </w:r>
                      <w:r w:rsidR="00612A06">
                        <w:rPr>
                          <w:lang w:val="en-GB"/>
                        </w:rPr>
                        <w:t>s</w:t>
                      </w:r>
                      <w:r w:rsidR="00515138">
                        <w:rPr>
                          <w:lang w:val="en-GB"/>
                        </w:rPr>
                        <w:t xml:space="preserve"> and 4.4</w:t>
                      </w:r>
                      <w:r w:rsidR="00612A06">
                        <w:rPr>
                          <w:lang w:val="en-GB"/>
                        </w:rPr>
                        <w:t> </w:t>
                      </w:r>
                      <w:r w:rsidR="00515138">
                        <w:rPr>
                          <w:lang w:val="en-GB"/>
                        </w:rPr>
                        <w:t xml:space="preserve">thousand doctors </w:t>
                      </w:r>
                      <w:r w:rsidRPr="00336A71">
                        <w:rPr>
                          <w:lang w:val="en-GB"/>
                        </w:rPr>
                        <w:t>and dentists practices</w:t>
                      </w:r>
                      <w:r w:rsidR="00515138" w:rsidRPr="00515138">
                        <w:rPr>
                          <w:lang w:val="en-GB"/>
                        </w:rPr>
                        <w:t xml:space="preserve"> providing services funded by public sources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36A7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>Outpatient departments and</w:t>
      </w:r>
      <w:r w:rsidR="00623723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 xml:space="preserve"> </w:t>
      </w:r>
      <w:proofErr w:type="spellStart"/>
      <w:r w:rsidRPr="00336A7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>doctors</w:t>
      </w:r>
      <w:proofErr w:type="spellEnd"/>
      <w:r w:rsidRPr="00336A7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 xml:space="preserve"> practices</w:t>
      </w:r>
    </w:p>
    <w:p w14:paraId="2554A885" w14:textId="31E41BEA" w:rsidR="00336A71" w:rsidRPr="00336A71" w:rsidRDefault="00336A71" w:rsidP="00336A71">
      <w:pPr>
        <w:rPr>
          <w:lang w:val="en-GB"/>
        </w:rPr>
      </w:pPr>
      <w:r w:rsidRPr="00336A71">
        <w:rPr>
          <w:lang w:val="en-GB"/>
        </w:rPr>
        <w:t>At the end of 2019,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 xml:space="preserve">26.3 thousand providers of ambulatory health care were </w:t>
      </w:r>
      <w:r w:rsidR="00F512F7">
        <w:rPr>
          <w:lang w:val="en-GB"/>
        </w:rPr>
        <w:t>operating</w:t>
      </w:r>
      <w:r w:rsidRPr="00336A71">
        <w:rPr>
          <w:lang w:val="en-GB"/>
        </w:rPr>
        <w:t>,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>of whom 21.8 thousand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 xml:space="preserve">outpatient </w:t>
      </w:r>
      <w:r w:rsidR="00F512F7" w:rsidRPr="00336A71">
        <w:rPr>
          <w:lang w:val="en-GB"/>
        </w:rPr>
        <w:t>departments</w:t>
      </w:r>
      <w:r w:rsidRPr="009250FC">
        <w:rPr>
          <w:rStyle w:val="Odwoanieprzypisudolnego"/>
        </w:rPr>
        <w:footnoteReference w:id="1"/>
      </w:r>
      <w:r w:rsidRPr="00336A71">
        <w:rPr>
          <w:lang w:val="en-GB"/>
        </w:rPr>
        <w:t xml:space="preserve"> and 0.8 thousand </w:t>
      </w:r>
      <w:proofErr w:type="spellStart"/>
      <w:r w:rsidRPr="00336A71">
        <w:rPr>
          <w:lang w:val="en-GB"/>
        </w:rPr>
        <w:t>doctors</w:t>
      </w:r>
      <w:proofErr w:type="spellEnd"/>
      <w:r w:rsidRPr="00336A71">
        <w:rPr>
          <w:lang w:val="en-GB"/>
        </w:rPr>
        <w:t xml:space="preserve"> practices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>and 3.6 thousand dentists practices </w:t>
      </w:r>
      <w:r w:rsidR="00A06043" w:rsidRPr="00A06043">
        <w:rPr>
          <w:lang w:val="en-GB"/>
        </w:rPr>
        <w:t>providing services</w:t>
      </w:r>
      <w:r w:rsidR="00A06043">
        <w:rPr>
          <w:lang w:val="en-GB"/>
        </w:rPr>
        <w:t xml:space="preserve"> </w:t>
      </w:r>
      <w:r w:rsidRPr="00336A71">
        <w:rPr>
          <w:lang w:val="en-GB"/>
        </w:rPr>
        <w:t xml:space="preserve">funded by public sources. 20.4 thousand providers of ambulatory health care </w:t>
      </w:r>
      <w:r w:rsidR="00F512F7">
        <w:rPr>
          <w:lang w:val="en-GB"/>
        </w:rPr>
        <w:t>were located in urban areas</w:t>
      </w:r>
      <w:r w:rsidRPr="00336A71">
        <w:rPr>
          <w:lang w:val="en-GB"/>
        </w:rPr>
        <w:t>, and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 xml:space="preserve">5.9 thousand in rural areas. </w:t>
      </w:r>
    </w:p>
    <w:p w14:paraId="3BD1B016" w14:textId="7BEEA54A" w:rsidR="00336A71" w:rsidRPr="00336A71" w:rsidRDefault="00336A71" w:rsidP="00336A71">
      <w:pPr>
        <w:rPr>
          <w:lang w:val="en-GB"/>
        </w:rPr>
      </w:pPr>
      <w:r w:rsidRPr="00336A71">
        <w:rPr>
          <w:lang w:val="en-GB"/>
        </w:rPr>
        <w:t xml:space="preserve">The most outpatient </w:t>
      </w:r>
      <w:r w:rsidR="00F512F7" w:rsidRPr="00336A71">
        <w:rPr>
          <w:lang w:val="en-GB"/>
        </w:rPr>
        <w:t>departments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 xml:space="preserve">were </w:t>
      </w:r>
      <w:r w:rsidR="004309E0">
        <w:rPr>
          <w:lang w:val="en-GB"/>
        </w:rPr>
        <w:t>operating</w:t>
      </w:r>
      <w:r w:rsidRPr="00336A71">
        <w:rPr>
          <w:lang w:val="en-GB"/>
        </w:rPr>
        <w:t xml:space="preserve"> in </w:t>
      </w:r>
      <w:proofErr w:type="spellStart"/>
      <w:r w:rsidRPr="00336A71">
        <w:rPr>
          <w:lang w:val="en-GB"/>
        </w:rPr>
        <w:t>Mazowieckie</w:t>
      </w:r>
      <w:proofErr w:type="spellEnd"/>
      <w:r w:rsidRPr="00336A71">
        <w:rPr>
          <w:lang w:val="en-GB"/>
        </w:rPr>
        <w:t xml:space="preserve"> Voivodship</w:t>
      </w:r>
      <w:r w:rsidR="00C96808">
        <w:rPr>
          <w:lang w:val="en-GB"/>
        </w:rPr>
        <w:t xml:space="preserve"> </w:t>
      </w:r>
      <w:r w:rsidR="00C96808" w:rsidRPr="00336A71">
        <w:rPr>
          <w:lang w:val="en-GB"/>
        </w:rPr>
        <w:t>(3</w:t>
      </w:r>
      <w:r w:rsidR="00C96808">
        <w:rPr>
          <w:lang w:val="en-GB"/>
        </w:rPr>
        <w:t> </w:t>
      </w:r>
      <w:r w:rsidR="00C96808" w:rsidRPr="00336A71">
        <w:rPr>
          <w:lang w:val="en-GB"/>
        </w:rPr>
        <w:t>096)</w:t>
      </w:r>
      <w:r w:rsidRPr="00336A71">
        <w:rPr>
          <w:lang w:val="en-GB"/>
        </w:rPr>
        <w:t>, and the lowest</w:t>
      </w:r>
      <w:r w:rsidR="00623723">
        <w:rPr>
          <w:lang w:val="en-GB"/>
        </w:rPr>
        <w:t xml:space="preserve"> </w:t>
      </w:r>
      <w:r w:rsidR="00F512F7" w:rsidRPr="00F512F7">
        <w:rPr>
          <w:szCs w:val="19"/>
          <w:shd w:val="clear" w:color="auto" w:fill="FFFFFF"/>
          <w:lang w:val="en-GB"/>
        </w:rPr>
        <w:t>–</w:t>
      </w:r>
      <w:r w:rsidR="0099778B">
        <w:rPr>
          <w:lang w:val="en-GB"/>
        </w:rPr>
        <w:t xml:space="preserve"> </w:t>
      </w:r>
      <w:r w:rsidRPr="00336A71">
        <w:rPr>
          <w:lang w:val="en-GB"/>
        </w:rPr>
        <w:t xml:space="preserve">in </w:t>
      </w:r>
      <w:proofErr w:type="spellStart"/>
      <w:r w:rsidRPr="00336A71">
        <w:rPr>
          <w:lang w:val="en-GB"/>
        </w:rPr>
        <w:t>Opolskie</w:t>
      </w:r>
      <w:proofErr w:type="spellEnd"/>
      <w:r w:rsidRPr="00336A71">
        <w:rPr>
          <w:lang w:val="en-GB"/>
        </w:rPr>
        <w:t xml:space="preserve"> Voivodship</w:t>
      </w:r>
      <w:r w:rsidR="00C96808">
        <w:rPr>
          <w:lang w:val="en-GB"/>
        </w:rPr>
        <w:t xml:space="preserve"> </w:t>
      </w:r>
      <w:r w:rsidR="00C96808" w:rsidRPr="00336A71">
        <w:rPr>
          <w:lang w:val="en-GB"/>
        </w:rPr>
        <w:t>(548)</w:t>
      </w:r>
      <w:r w:rsidRPr="00336A71">
        <w:rPr>
          <w:lang w:val="en-GB"/>
        </w:rPr>
        <w:t>. The highest number of doctors</w:t>
      </w:r>
      <w:r w:rsidR="00206E7B">
        <w:rPr>
          <w:lang w:val="en-GB"/>
        </w:rPr>
        <w:t xml:space="preserve"> </w:t>
      </w:r>
      <w:r w:rsidRPr="00336A71">
        <w:rPr>
          <w:lang w:val="en-GB"/>
        </w:rPr>
        <w:t>and dentists practices</w:t>
      </w:r>
      <w:r w:rsidR="00206E7B">
        <w:rPr>
          <w:lang w:val="en-GB"/>
        </w:rPr>
        <w:t xml:space="preserve"> </w:t>
      </w:r>
      <w:r w:rsidR="009C5AF1" w:rsidRPr="009C5AF1">
        <w:rPr>
          <w:lang w:val="en-GB"/>
        </w:rPr>
        <w:t xml:space="preserve">providing health services </w:t>
      </w:r>
      <w:r w:rsidRPr="00336A71">
        <w:rPr>
          <w:lang w:val="en-GB"/>
        </w:rPr>
        <w:t>funded by National Health Fund was recorded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 xml:space="preserve">in </w:t>
      </w:r>
      <w:proofErr w:type="spellStart"/>
      <w:r w:rsidRPr="00336A71">
        <w:rPr>
          <w:lang w:val="en-GB"/>
        </w:rPr>
        <w:t>Wielkopolskie</w:t>
      </w:r>
      <w:proofErr w:type="spellEnd"/>
      <w:r w:rsidRPr="00336A71">
        <w:rPr>
          <w:lang w:val="en-GB"/>
        </w:rPr>
        <w:t xml:space="preserve"> Voivodship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 xml:space="preserve">(589), while the lowest </w:t>
      </w:r>
      <w:r w:rsidR="00F512F7" w:rsidRPr="00F512F7">
        <w:rPr>
          <w:szCs w:val="19"/>
          <w:shd w:val="clear" w:color="auto" w:fill="FFFFFF"/>
          <w:lang w:val="en-GB"/>
        </w:rPr>
        <w:t>–</w:t>
      </w:r>
      <w:r w:rsidRPr="00336A71">
        <w:rPr>
          <w:lang w:val="en-GB"/>
        </w:rPr>
        <w:t xml:space="preserve"> in </w:t>
      </w:r>
      <w:proofErr w:type="spellStart"/>
      <w:r w:rsidRPr="00336A71">
        <w:rPr>
          <w:lang w:val="en-GB"/>
        </w:rPr>
        <w:t>Małopolskie</w:t>
      </w:r>
      <w:proofErr w:type="spellEnd"/>
      <w:r w:rsidRPr="00336A71">
        <w:rPr>
          <w:lang w:val="en-GB"/>
        </w:rPr>
        <w:t xml:space="preserve"> Voivodship (141).</w:t>
      </w:r>
    </w:p>
    <w:p w14:paraId="765D178D" w14:textId="0D47F4E8" w:rsidR="00336A71" w:rsidRPr="00336A71" w:rsidRDefault="00336A71" w:rsidP="00336A71">
      <w:pPr>
        <w:keepNext/>
        <w:outlineLvl w:val="0"/>
        <w:rPr>
          <w:b/>
          <w:sz w:val="18"/>
          <w:szCs w:val="18"/>
          <w:lang w:val="en-GB"/>
        </w:rPr>
      </w:pPr>
    </w:p>
    <w:p w14:paraId="594775AC" w14:textId="456FDFC9" w:rsidR="00336A71" w:rsidRDefault="00336A71" w:rsidP="00F512F7">
      <w:pPr>
        <w:keepNext/>
        <w:ind w:left="680" w:hanging="680"/>
        <w:outlineLvl w:val="0"/>
        <w:rPr>
          <w:sz w:val="18"/>
          <w:szCs w:val="18"/>
          <w:lang w:val="en-GB"/>
        </w:rPr>
      </w:pPr>
      <w:r w:rsidRPr="00336A71">
        <w:rPr>
          <w:b/>
          <w:sz w:val="18"/>
          <w:szCs w:val="18"/>
          <w:lang w:val="en-GB"/>
        </w:rPr>
        <w:t xml:space="preserve">Chart 1. Outpatient </w:t>
      </w:r>
      <w:r w:rsidR="00F512F7" w:rsidRPr="00336A71">
        <w:rPr>
          <w:b/>
          <w:sz w:val="18"/>
          <w:szCs w:val="18"/>
          <w:lang w:val="en-GB"/>
        </w:rPr>
        <w:t>departments</w:t>
      </w:r>
      <w:r w:rsidRPr="00336A71">
        <w:rPr>
          <w:b/>
          <w:sz w:val="18"/>
          <w:szCs w:val="18"/>
          <w:lang w:val="en-GB"/>
        </w:rPr>
        <w:t xml:space="preserve"> by </w:t>
      </w:r>
      <w:r w:rsidR="00FD04C4">
        <w:rPr>
          <w:b/>
          <w:sz w:val="18"/>
          <w:szCs w:val="18"/>
          <w:lang w:val="en-GB"/>
        </w:rPr>
        <w:t>c</w:t>
      </w:r>
      <w:r w:rsidR="00FD04C4" w:rsidRPr="00FD04C4">
        <w:rPr>
          <w:b/>
          <w:sz w:val="18"/>
          <w:szCs w:val="18"/>
          <w:lang w:val="en-GB"/>
        </w:rPr>
        <w:t>lass of locality</w:t>
      </w:r>
      <w:r w:rsidR="00FD04C4">
        <w:rPr>
          <w:b/>
          <w:sz w:val="18"/>
          <w:szCs w:val="18"/>
          <w:lang w:val="en-GB"/>
        </w:rPr>
        <w:t xml:space="preserve"> and </w:t>
      </w:r>
      <w:r w:rsidRPr="00336A71">
        <w:rPr>
          <w:b/>
          <w:sz w:val="18"/>
          <w:szCs w:val="18"/>
          <w:lang w:val="en-GB"/>
        </w:rPr>
        <w:t>voivodships</w:t>
      </w:r>
      <w:r w:rsidR="0096411C">
        <w:rPr>
          <w:b/>
          <w:sz w:val="18"/>
          <w:szCs w:val="18"/>
          <w:lang w:val="en-GB"/>
        </w:rPr>
        <w:t xml:space="preserve"> </w:t>
      </w:r>
      <w:r w:rsidRPr="00336A71">
        <w:rPr>
          <w:b/>
          <w:sz w:val="18"/>
          <w:szCs w:val="18"/>
          <w:lang w:val="en-GB"/>
        </w:rPr>
        <w:t>in</w:t>
      </w:r>
      <w:r w:rsidR="00F512F7">
        <w:rPr>
          <w:b/>
          <w:sz w:val="18"/>
          <w:szCs w:val="18"/>
          <w:lang w:val="en-GB"/>
        </w:rPr>
        <w:t xml:space="preserve"> 2019</w:t>
      </w:r>
      <w:r w:rsidR="00F512F7">
        <w:rPr>
          <w:b/>
          <w:sz w:val="18"/>
          <w:szCs w:val="18"/>
          <w:lang w:val="en-GB"/>
        </w:rPr>
        <w:br/>
      </w:r>
      <w:r w:rsidRPr="00336A71">
        <w:rPr>
          <w:sz w:val="18"/>
          <w:szCs w:val="18"/>
          <w:lang w:val="en-GB"/>
        </w:rPr>
        <w:t>As of</w:t>
      </w:r>
      <w:r w:rsidR="00623723">
        <w:rPr>
          <w:sz w:val="18"/>
          <w:szCs w:val="18"/>
          <w:lang w:val="en-GB"/>
        </w:rPr>
        <w:t xml:space="preserve"> </w:t>
      </w:r>
      <w:r w:rsidRPr="00336A71">
        <w:rPr>
          <w:sz w:val="18"/>
          <w:szCs w:val="18"/>
          <w:lang w:val="en-GB"/>
        </w:rPr>
        <w:t>31st</w:t>
      </w:r>
      <w:r w:rsidR="00623723">
        <w:rPr>
          <w:sz w:val="18"/>
          <w:szCs w:val="18"/>
          <w:lang w:val="en-GB"/>
        </w:rPr>
        <w:t xml:space="preserve"> </w:t>
      </w:r>
      <w:r w:rsidRPr="00336A71">
        <w:rPr>
          <w:sz w:val="18"/>
          <w:szCs w:val="18"/>
          <w:lang w:val="en-GB"/>
        </w:rPr>
        <w:t>December</w:t>
      </w:r>
    </w:p>
    <w:p w14:paraId="4752D069" w14:textId="5F7E96E0" w:rsidR="00F512F7" w:rsidRDefault="00F512F7" w:rsidP="00F512F7">
      <w:pPr>
        <w:spacing w:before="0" w:after="160" w:line="259" w:lineRule="auto"/>
        <w:jc w:val="center"/>
        <w:rPr>
          <w:b/>
          <w:noProof/>
          <w:sz w:val="18"/>
          <w:szCs w:val="18"/>
          <w:lang w:eastAsia="pl-PL"/>
        </w:rPr>
      </w:pPr>
      <w:r>
        <w:rPr>
          <w:b/>
          <w:noProof/>
          <w:sz w:val="18"/>
          <w:szCs w:val="18"/>
          <w:lang w:eastAsia="pl-PL"/>
        </w:rPr>
        <w:drawing>
          <wp:inline distT="0" distB="0" distL="0" distR="0" wp14:anchorId="4C9270E1" wp14:editId="2CB2B961">
            <wp:extent cx="4761230" cy="31394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A255F" w14:textId="403B8B11" w:rsidR="00336A71" w:rsidRPr="00336A71" w:rsidRDefault="00336A71" w:rsidP="00336A71">
      <w:pPr>
        <w:spacing w:before="0" w:after="160" w:line="259" w:lineRule="auto"/>
        <w:rPr>
          <w:b/>
          <w:sz w:val="18"/>
          <w:szCs w:val="18"/>
          <w:lang w:val="en-GB"/>
        </w:rPr>
      </w:pPr>
      <w:r w:rsidRPr="00336A71">
        <w:rPr>
          <w:b/>
          <w:sz w:val="18"/>
          <w:szCs w:val="18"/>
          <w:lang w:val="en-GB"/>
        </w:rPr>
        <w:br w:type="page"/>
      </w:r>
    </w:p>
    <w:p w14:paraId="2C1A5424" w14:textId="521770CD" w:rsidR="00336A71" w:rsidRDefault="00AD6566" w:rsidP="00AD6566">
      <w:pPr>
        <w:keepNext/>
        <w:ind w:left="680" w:hanging="680"/>
        <w:outlineLvl w:val="0"/>
        <w:rPr>
          <w:sz w:val="18"/>
          <w:szCs w:val="18"/>
          <w:lang w:val="en-GB"/>
        </w:rPr>
      </w:pPr>
      <w:r>
        <w:rPr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792384" behindDoc="0" locked="0" layoutInCell="1" allowOverlap="1" wp14:anchorId="4826B13F" wp14:editId="4789BC60">
            <wp:simplePos x="0" y="0"/>
            <wp:positionH relativeFrom="margin">
              <wp:align>center</wp:align>
            </wp:positionH>
            <wp:positionV relativeFrom="paragraph">
              <wp:posOffset>624840</wp:posOffset>
            </wp:positionV>
            <wp:extent cx="4755515" cy="3139440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A71" w:rsidRPr="00336A71">
        <w:rPr>
          <w:b/>
          <w:sz w:val="18"/>
          <w:szCs w:val="18"/>
          <w:lang w:val="en-GB"/>
        </w:rPr>
        <w:t>Chart 2. Doctors and dentists practices</w:t>
      </w:r>
      <w:r w:rsidR="008F5AFD">
        <w:rPr>
          <w:b/>
          <w:sz w:val="18"/>
          <w:szCs w:val="18"/>
          <w:lang w:val="en-GB"/>
        </w:rPr>
        <w:t xml:space="preserve"> </w:t>
      </w:r>
      <w:r w:rsidR="00336A71" w:rsidRPr="00336A71">
        <w:rPr>
          <w:b/>
          <w:sz w:val="18"/>
          <w:szCs w:val="18"/>
          <w:lang w:val="en-GB"/>
        </w:rPr>
        <w:t>providing health services funded by public sources by</w:t>
      </w:r>
      <w:r w:rsidR="00FD04C4" w:rsidRPr="00FD04C4">
        <w:rPr>
          <w:lang w:val="en-GB"/>
        </w:rPr>
        <w:t xml:space="preserve"> </w:t>
      </w:r>
      <w:r w:rsidR="00FD04C4" w:rsidRPr="00FD04C4">
        <w:rPr>
          <w:b/>
          <w:sz w:val="18"/>
          <w:szCs w:val="18"/>
          <w:lang w:val="en-GB"/>
        </w:rPr>
        <w:t>class of locality</w:t>
      </w:r>
      <w:r w:rsidR="00FD04C4">
        <w:rPr>
          <w:b/>
          <w:sz w:val="18"/>
          <w:szCs w:val="18"/>
          <w:lang w:val="en-GB"/>
        </w:rPr>
        <w:t xml:space="preserve"> and</w:t>
      </w:r>
      <w:r w:rsidR="00336A71" w:rsidRPr="00336A71">
        <w:rPr>
          <w:b/>
          <w:sz w:val="18"/>
          <w:szCs w:val="18"/>
          <w:lang w:val="en-GB"/>
        </w:rPr>
        <w:t xml:space="preserve"> voivodships</w:t>
      </w:r>
      <w:r w:rsidR="0096411C">
        <w:rPr>
          <w:b/>
          <w:sz w:val="18"/>
          <w:szCs w:val="18"/>
          <w:lang w:val="en-GB"/>
        </w:rPr>
        <w:t xml:space="preserve"> </w:t>
      </w:r>
      <w:r w:rsidR="00336A71" w:rsidRPr="00336A71">
        <w:rPr>
          <w:b/>
          <w:sz w:val="18"/>
          <w:szCs w:val="18"/>
          <w:lang w:val="en-GB"/>
        </w:rPr>
        <w:t>in 2019</w:t>
      </w:r>
      <w:r>
        <w:rPr>
          <w:b/>
          <w:sz w:val="18"/>
          <w:szCs w:val="18"/>
          <w:lang w:val="en-GB"/>
        </w:rPr>
        <w:br/>
      </w:r>
      <w:r w:rsidR="00336A71" w:rsidRPr="00336A71">
        <w:rPr>
          <w:sz w:val="18"/>
          <w:szCs w:val="18"/>
          <w:lang w:val="en-GB"/>
        </w:rPr>
        <w:t>As of</w:t>
      </w:r>
      <w:r w:rsidR="00623723">
        <w:rPr>
          <w:sz w:val="18"/>
          <w:szCs w:val="18"/>
          <w:lang w:val="en-GB"/>
        </w:rPr>
        <w:t xml:space="preserve"> </w:t>
      </w:r>
      <w:r w:rsidR="00336A71" w:rsidRPr="00336A71">
        <w:rPr>
          <w:sz w:val="18"/>
          <w:szCs w:val="18"/>
          <w:lang w:val="en-GB"/>
        </w:rPr>
        <w:t>31st</w:t>
      </w:r>
      <w:r w:rsidR="00623723">
        <w:rPr>
          <w:sz w:val="18"/>
          <w:szCs w:val="18"/>
          <w:lang w:val="en-GB"/>
        </w:rPr>
        <w:t xml:space="preserve"> </w:t>
      </w:r>
      <w:r w:rsidR="00336A71" w:rsidRPr="00336A71">
        <w:rPr>
          <w:sz w:val="18"/>
          <w:szCs w:val="18"/>
          <w:lang w:val="en-GB"/>
        </w:rPr>
        <w:t>December</w:t>
      </w:r>
    </w:p>
    <w:p w14:paraId="091AA52D" w14:textId="75DBE3F3" w:rsidR="00336A71" w:rsidRPr="00336A71" w:rsidRDefault="00336A71" w:rsidP="00336A71">
      <w:pPr>
        <w:rPr>
          <w:sz w:val="18"/>
          <w:szCs w:val="18"/>
          <w:lang w:val="en-GB"/>
        </w:rPr>
      </w:pPr>
    </w:p>
    <w:p w14:paraId="5E3F5662" w14:textId="008546A2" w:rsidR="00336A71" w:rsidRPr="00336A71" w:rsidRDefault="00336A71" w:rsidP="00336A71">
      <w:pPr>
        <w:rPr>
          <w:lang w:val="en-GB"/>
        </w:rPr>
      </w:pPr>
      <w:r w:rsidRPr="00336A71">
        <w:rPr>
          <w:lang w:val="en-GB"/>
        </w:rPr>
        <w:t xml:space="preserve">In Poland, the number of population per </w:t>
      </w:r>
      <w:r w:rsidR="00AD6566">
        <w:rPr>
          <w:lang w:val="en-GB"/>
        </w:rPr>
        <w:t xml:space="preserve">1 </w:t>
      </w:r>
      <w:r w:rsidR="00FD03D7">
        <w:rPr>
          <w:lang w:val="en-GB"/>
        </w:rPr>
        <w:t>provider of ambulatory</w:t>
      </w:r>
      <w:r w:rsidR="0073097E">
        <w:rPr>
          <w:lang w:val="en-GB"/>
        </w:rPr>
        <w:t xml:space="preserve"> health care </w:t>
      </w:r>
      <w:r w:rsidRPr="00336A71">
        <w:rPr>
          <w:lang w:val="en-GB"/>
        </w:rPr>
        <w:t>amounted to 1 461 persons (by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>22</w:t>
      </w:r>
      <w:r w:rsidR="00E236C5">
        <w:rPr>
          <w:lang w:val="en-GB"/>
        </w:rPr>
        <w:t xml:space="preserve"> </w:t>
      </w:r>
      <w:r w:rsidRPr="00336A71">
        <w:rPr>
          <w:lang w:val="en-GB"/>
        </w:rPr>
        <w:t>more than in the previous year</w:t>
      </w:r>
      <w:r w:rsidR="00E236C5">
        <w:rPr>
          <w:lang w:val="en-GB"/>
        </w:rPr>
        <w:t>)</w:t>
      </w:r>
      <w:r w:rsidRPr="00336A71">
        <w:rPr>
          <w:lang w:val="en-GB"/>
        </w:rPr>
        <w:t>. The highest value was recorded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>in </w:t>
      </w:r>
      <w:proofErr w:type="spellStart"/>
      <w:r w:rsidRPr="00336A71">
        <w:rPr>
          <w:lang w:val="en-GB"/>
        </w:rPr>
        <w:t>Pomorskie</w:t>
      </w:r>
      <w:proofErr w:type="spellEnd"/>
      <w:r w:rsidRPr="00336A71">
        <w:rPr>
          <w:lang w:val="en-GB"/>
        </w:rPr>
        <w:t xml:space="preserve"> Voivodship (1 760), while the lowest</w:t>
      </w:r>
      <w:r w:rsidR="00623723">
        <w:rPr>
          <w:lang w:val="en-GB"/>
        </w:rPr>
        <w:t xml:space="preserve"> </w:t>
      </w:r>
      <w:r w:rsidRPr="00336A71">
        <w:rPr>
          <w:szCs w:val="19"/>
          <w:shd w:val="clear" w:color="auto" w:fill="FFFFFF"/>
          <w:lang w:val="en-GB"/>
        </w:rPr>
        <w:t>–</w:t>
      </w:r>
      <w:r w:rsidR="00623723">
        <w:rPr>
          <w:lang w:val="en-GB"/>
        </w:rPr>
        <w:t xml:space="preserve"> </w:t>
      </w:r>
      <w:r w:rsidRPr="00336A71">
        <w:rPr>
          <w:lang w:val="en-GB"/>
        </w:rPr>
        <w:t xml:space="preserve">in </w:t>
      </w:r>
      <w:proofErr w:type="spellStart"/>
      <w:r w:rsidRPr="00336A71">
        <w:rPr>
          <w:lang w:val="en-GB"/>
        </w:rPr>
        <w:t>Podkarpackie</w:t>
      </w:r>
      <w:proofErr w:type="spellEnd"/>
      <w:r w:rsidRPr="00336A71">
        <w:rPr>
          <w:lang w:val="en-GB"/>
        </w:rPr>
        <w:t xml:space="preserve"> Voivodship (1 233).</w:t>
      </w:r>
    </w:p>
    <w:p w14:paraId="3EE1DFCB" w14:textId="395119AE" w:rsidR="00336A71" w:rsidRPr="00336A71" w:rsidRDefault="00336A71" w:rsidP="00336A71">
      <w:pPr>
        <w:rPr>
          <w:lang w:val="en-GB"/>
        </w:rPr>
      </w:pPr>
    </w:p>
    <w:p w14:paraId="670C000F" w14:textId="334A6E89" w:rsidR="00336A71" w:rsidRDefault="006B61BC" w:rsidP="009B79EF">
      <w:pPr>
        <w:ind w:left="624" w:hanging="624"/>
        <w:rPr>
          <w:sz w:val="18"/>
          <w:szCs w:val="18"/>
          <w:lang w:val="en-GB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95456" behindDoc="0" locked="0" layoutInCell="1" allowOverlap="1" wp14:anchorId="0B12C193" wp14:editId="15DC510E">
            <wp:simplePos x="0" y="0"/>
            <wp:positionH relativeFrom="margin">
              <wp:align>right</wp:align>
            </wp:positionH>
            <wp:positionV relativeFrom="paragraph">
              <wp:posOffset>436880</wp:posOffset>
            </wp:positionV>
            <wp:extent cx="5122545" cy="3602990"/>
            <wp:effectExtent l="0" t="0" r="1905" b="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aAmb1_2019ANG_160620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6A71" w:rsidRPr="00336A71">
        <w:rPr>
          <w:b/>
          <w:sz w:val="18"/>
          <w:szCs w:val="18"/>
          <w:lang w:val="en-GB"/>
        </w:rPr>
        <w:t>Map 1. The number of population</w:t>
      </w:r>
      <w:r w:rsidR="00AD6566">
        <w:rPr>
          <w:b/>
          <w:sz w:val="18"/>
          <w:szCs w:val="18"/>
          <w:lang w:val="en-GB"/>
        </w:rPr>
        <w:t xml:space="preserve"> per 1 </w:t>
      </w:r>
      <w:r w:rsidR="00FD03D7">
        <w:rPr>
          <w:b/>
          <w:sz w:val="18"/>
          <w:szCs w:val="18"/>
          <w:lang w:val="en-GB"/>
        </w:rPr>
        <w:t>provider of ambulatory</w:t>
      </w:r>
      <w:r w:rsidR="0073097E" w:rsidRPr="0073097E">
        <w:rPr>
          <w:b/>
          <w:sz w:val="18"/>
          <w:szCs w:val="18"/>
          <w:lang w:val="en-GB"/>
        </w:rPr>
        <w:t xml:space="preserve"> health care </w:t>
      </w:r>
      <w:r w:rsidR="00336A71" w:rsidRPr="00336A71">
        <w:rPr>
          <w:b/>
          <w:sz w:val="18"/>
          <w:szCs w:val="18"/>
          <w:lang w:val="en-GB"/>
        </w:rPr>
        <w:t>by voivodships</w:t>
      </w:r>
      <w:r w:rsidR="008F5AFD">
        <w:rPr>
          <w:b/>
          <w:sz w:val="18"/>
          <w:szCs w:val="18"/>
          <w:lang w:val="en-GB"/>
        </w:rPr>
        <w:t xml:space="preserve"> </w:t>
      </w:r>
      <w:r w:rsidR="00AD6566">
        <w:rPr>
          <w:b/>
          <w:sz w:val="18"/>
          <w:szCs w:val="18"/>
          <w:lang w:val="en-GB"/>
        </w:rPr>
        <w:t>in 2019</w:t>
      </w:r>
      <w:r w:rsidR="00AD6566">
        <w:rPr>
          <w:b/>
          <w:sz w:val="18"/>
          <w:szCs w:val="18"/>
          <w:lang w:val="en-GB"/>
        </w:rPr>
        <w:br/>
      </w:r>
      <w:r w:rsidR="00336A71" w:rsidRPr="00336A71">
        <w:rPr>
          <w:sz w:val="18"/>
          <w:szCs w:val="18"/>
          <w:lang w:val="en-GB"/>
        </w:rPr>
        <w:t>As of</w:t>
      </w:r>
      <w:r w:rsidR="00623723">
        <w:rPr>
          <w:sz w:val="18"/>
          <w:szCs w:val="18"/>
          <w:lang w:val="en-GB"/>
        </w:rPr>
        <w:t xml:space="preserve"> </w:t>
      </w:r>
      <w:r w:rsidR="00336A71" w:rsidRPr="00336A71">
        <w:rPr>
          <w:sz w:val="18"/>
          <w:szCs w:val="18"/>
          <w:lang w:val="en-GB"/>
        </w:rPr>
        <w:t>31st</w:t>
      </w:r>
      <w:r w:rsidR="00623723">
        <w:rPr>
          <w:sz w:val="18"/>
          <w:szCs w:val="18"/>
          <w:lang w:val="en-GB"/>
        </w:rPr>
        <w:t xml:space="preserve"> </w:t>
      </w:r>
      <w:r w:rsidR="00336A71" w:rsidRPr="00336A71">
        <w:rPr>
          <w:sz w:val="18"/>
          <w:szCs w:val="18"/>
          <w:lang w:val="en-GB"/>
        </w:rPr>
        <w:t>December</w:t>
      </w:r>
    </w:p>
    <w:p w14:paraId="526B3ADB" w14:textId="6F949CA6" w:rsidR="00336A71" w:rsidRPr="00336A71" w:rsidRDefault="00336A71" w:rsidP="00336A71">
      <w:pPr>
        <w:spacing w:after="0"/>
        <w:ind w:firstLine="680"/>
        <w:rPr>
          <w:b/>
          <w:noProof/>
          <w:sz w:val="18"/>
          <w:szCs w:val="18"/>
          <w:lang w:val="en-GB" w:eastAsia="pl-PL"/>
        </w:rPr>
      </w:pPr>
    </w:p>
    <w:p w14:paraId="76BDC39D" w14:textId="77777777" w:rsidR="00336A71" w:rsidRPr="00336A71" w:rsidRDefault="00336A71" w:rsidP="00336A71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</w:pPr>
      <w:r w:rsidRPr="007D34E6">
        <w:rPr>
          <w:noProof/>
          <w:color w:val="212492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453BF9E8" wp14:editId="28EF12E6">
                <wp:simplePos x="0" y="0"/>
                <wp:positionH relativeFrom="margin">
                  <wp:posOffset>5231765</wp:posOffset>
                </wp:positionH>
                <wp:positionV relativeFrom="page">
                  <wp:posOffset>683895</wp:posOffset>
                </wp:positionV>
                <wp:extent cx="1724400" cy="936000"/>
                <wp:effectExtent l="0" t="0" r="0" b="0"/>
                <wp:wrapTight wrapText="bothSides">
                  <wp:wrapPolygon edited="0">
                    <wp:start x="716" y="0"/>
                    <wp:lineTo x="716" y="21102"/>
                    <wp:lineTo x="20765" y="21102"/>
                    <wp:lineTo x="20765" y="0"/>
                    <wp:lineTo x="716" y="0"/>
                  </wp:wrapPolygon>
                </wp:wrapTight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93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6F092" w14:textId="6EAB73A2" w:rsidR="00336A71" w:rsidRPr="00336A71" w:rsidRDefault="00336A71" w:rsidP="00336A7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336A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2019, there were provided 291.5 million doctors consultations and 34.3 million dentists </w:t>
                            </w:r>
                            <w:r w:rsidR="008F5AFD" w:rsidRPr="00336A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consultations</w:t>
                            </w:r>
                            <w:r w:rsidR="00FD03D7" w:rsidRPr="00FD03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FD03D7" w:rsidRPr="00336A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 outpatient health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F9E8" id="_x0000_s1028" type="#_x0000_t202" style="position:absolute;margin-left:411.95pt;margin-top:53.85pt;width:135.8pt;height:73.7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" filled="f" stroked="f">
                <v:textbox>
                  <w:txbxContent>
                    <w:p w14:paraId="2856F092" w14:textId="6EAB73A2" w:rsidR="00336A71" w:rsidRPr="00336A71" w:rsidRDefault="00336A71" w:rsidP="00336A7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336A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2019, there were provided 291.5 million doctors consultations and 34.3 million dentists </w:t>
                      </w:r>
                      <w:r w:rsidR="008F5AFD" w:rsidRPr="00336A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consultations</w:t>
                      </w:r>
                      <w:r w:rsidR="00FD03D7" w:rsidRPr="00FD03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FD03D7" w:rsidRPr="00336A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 outpatient health care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336A71"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  <w:t xml:space="preserve">Outpatient consultations </w:t>
      </w:r>
    </w:p>
    <w:p w14:paraId="690658FE" w14:textId="041D2F47" w:rsidR="00336A71" w:rsidRPr="00336A71" w:rsidRDefault="00336A71" w:rsidP="00336A71">
      <w:pPr>
        <w:rPr>
          <w:strike/>
          <w:szCs w:val="19"/>
          <w:shd w:val="clear" w:color="auto" w:fill="FFFFFF"/>
          <w:lang w:val="en-GB"/>
        </w:rPr>
      </w:pPr>
      <w:r w:rsidRPr="00336A71">
        <w:rPr>
          <w:szCs w:val="19"/>
          <w:shd w:val="clear" w:color="auto" w:fill="FFFFFF"/>
          <w:lang w:val="en-GB"/>
        </w:rPr>
        <w:t>In 2019, there were provided 325.8 million outpatient consultations</w:t>
      </w:r>
      <w:r w:rsidR="003A6F84">
        <w:rPr>
          <w:szCs w:val="19"/>
          <w:shd w:val="clear" w:color="auto" w:fill="FFFFFF"/>
          <w:lang w:val="en-GB"/>
        </w:rPr>
        <w:t xml:space="preserve"> </w:t>
      </w:r>
      <w:r w:rsidRPr="00336A71">
        <w:rPr>
          <w:szCs w:val="19"/>
          <w:shd w:val="clear" w:color="auto" w:fill="FFFFFF"/>
          <w:lang w:val="en-GB"/>
        </w:rPr>
        <w:t xml:space="preserve">– 291.5 doctors consultations (increase </w:t>
      </w:r>
      <w:r w:rsidR="00FD03D7" w:rsidRPr="00336A71">
        <w:rPr>
          <w:szCs w:val="19"/>
          <w:shd w:val="clear" w:color="auto" w:fill="FFFFFF"/>
          <w:lang w:val="en-GB"/>
        </w:rPr>
        <w:t xml:space="preserve">of 1.1% </w:t>
      </w:r>
      <w:r w:rsidRPr="00336A71">
        <w:rPr>
          <w:szCs w:val="19"/>
          <w:shd w:val="clear" w:color="auto" w:fill="FFFFFF"/>
          <w:lang w:val="en-GB"/>
        </w:rPr>
        <w:t xml:space="preserve">compared </w:t>
      </w:r>
      <w:r w:rsidR="00FD03D7">
        <w:rPr>
          <w:szCs w:val="19"/>
          <w:shd w:val="clear" w:color="auto" w:fill="FFFFFF"/>
          <w:lang w:val="en-GB"/>
        </w:rPr>
        <w:t>to</w:t>
      </w:r>
      <w:r w:rsidRPr="00336A71">
        <w:rPr>
          <w:szCs w:val="19"/>
          <w:shd w:val="clear" w:color="auto" w:fill="FFFFFF"/>
          <w:lang w:val="en-GB"/>
        </w:rPr>
        <w:t xml:space="preserve"> the previous year) and</w:t>
      </w:r>
      <w:r w:rsidR="00623723">
        <w:rPr>
          <w:szCs w:val="19"/>
          <w:shd w:val="clear" w:color="auto" w:fill="FFFFFF"/>
          <w:lang w:val="en-GB"/>
        </w:rPr>
        <w:t xml:space="preserve"> </w:t>
      </w:r>
      <w:r w:rsidRPr="00336A71">
        <w:rPr>
          <w:szCs w:val="19"/>
          <w:shd w:val="clear" w:color="auto" w:fill="FFFFFF"/>
          <w:lang w:val="en-GB"/>
        </w:rPr>
        <w:t xml:space="preserve">34.3 million dentists consultations (by 0.1% less than a year earlier). Of doctors consultations, 173.8 </w:t>
      </w:r>
      <w:r w:rsidR="008F5AFD" w:rsidRPr="00336A71">
        <w:rPr>
          <w:szCs w:val="19"/>
          <w:shd w:val="clear" w:color="auto" w:fill="FFFFFF"/>
          <w:lang w:val="en-GB"/>
        </w:rPr>
        <w:t>million</w:t>
      </w:r>
      <w:r w:rsidRPr="00336A71">
        <w:rPr>
          <w:szCs w:val="19"/>
          <w:shd w:val="clear" w:color="auto" w:fill="FFFFFF"/>
          <w:lang w:val="en-GB"/>
        </w:rPr>
        <w:t xml:space="preserve"> outpatient consultations </w:t>
      </w:r>
      <w:r w:rsidR="008F5AFD" w:rsidRPr="00336A71">
        <w:rPr>
          <w:szCs w:val="19"/>
          <w:shd w:val="clear" w:color="auto" w:fill="FFFFFF"/>
          <w:lang w:val="en-GB"/>
        </w:rPr>
        <w:t>were</w:t>
      </w:r>
      <w:r w:rsidRPr="00336A71">
        <w:rPr>
          <w:szCs w:val="19"/>
          <w:shd w:val="clear" w:color="auto" w:fill="FFFFFF"/>
          <w:lang w:val="en-GB"/>
        </w:rPr>
        <w:t xml:space="preserve"> in primary health care</w:t>
      </w:r>
      <w:r w:rsidRPr="00D97014">
        <w:rPr>
          <w:rStyle w:val="Odwoanieprzypisudolnego"/>
          <w:szCs w:val="19"/>
          <w:shd w:val="clear" w:color="auto" w:fill="FFFFFF"/>
        </w:rPr>
        <w:footnoteReference w:id="2"/>
      </w:r>
      <w:r w:rsidRPr="00336A71">
        <w:rPr>
          <w:szCs w:val="19"/>
          <w:shd w:val="clear" w:color="auto" w:fill="FFFFFF"/>
          <w:lang w:val="en-GB"/>
        </w:rPr>
        <w:t xml:space="preserve"> (by 1.0% more</w:t>
      </w:r>
      <w:r w:rsidR="00623723">
        <w:rPr>
          <w:szCs w:val="19"/>
          <w:shd w:val="clear" w:color="auto" w:fill="FFFFFF"/>
          <w:lang w:val="en-GB"/>
        </w:rPr>
        <w:t xml:space="preserve"> </w:t>
      </w:r>
      <w:r w:rsidRPr="00336A71">
        <w:rPr>
          <w:szCs w:val="19"/>
          <w:shd w:val="clear" w:color="auto" w:fill="FFFFFF"/>
          <w:lang w:val="en-GB"/>
        </w:rPr>
        <w:t xml:space="preserve">than in 2018.), and 117.7 million – were specialized consultations (increase </w:t>
      </w:r>
      <w:r w:rsidR="00A67479" w:rsidRPr="00336A71">
        <w:rPr>
          <w:szCs w:val="19"/>
          <w:shd w:val="clear" w:color="auto" w:fill="FFFFFF"/>
          <w:lang w:val="en-GB"/>
        </w:rPr>
        <w:t>of 1.2%</w:t>
      </w:r>
      <w:r w:rsidR="00A67479">
        <w:rPr>
          <w:szCs w:val="19"/>
          <w:shd w:val="clear" w:color="auto" w:fill="FFFFFF"/>
          <w:lang w:val="en-GB"/>
        </w:rPr>
        <w:t xml:space="preserve"> </w:t>
      </w:r>
      <w:r w:rsidRPr="00336A71">
        <w:rPr>
          <w:szCs w:val="19"/>
          <w:shd w:val="clear" w:color="auto" w:fill="FFFFFF"/>
          <w:lang w:val="en-GB"/>
        </w:rPr>
        <w:t xml:space="preserve">compared </w:t>
      </w:r>
      <w:r w:rsidR="00A67479">
        <w:rPr>
          <w:szCs w:val="19"/>
          <w:shd w:val="clear" w:color="auto" w:fill="FFFFFF"/>
          <w:lang w:val="en-GB"/>
        </w:rPr>
        <w:t>to</w:t>
      </w:r>
      <w:r w:rsidRPr="00336A71">
        <w:rPr>
          <w:szCs w:val="19"/>
          <w:shd w:val="clear" w:color="auto" w:fill="FFFFFF"/>
          <w:lang w:val="en-GB"/>
        </w:rPr>
        <w:t xml:space="preserve"> the previous year).</w:t>
      </w:r>
      <w:r w:rsidRPr="00336A71">
        <w:rPr>
          <w:strike/>
          <w:szCs w:val="19"/>
          <w:shd w:val="clear" w:color="auto" w:fill="FFFFFF"/>
          <w:lang w:val="en-GB"/>
        </w:rPr>
        <w:t xml:space="preserve"> </w:t>
      </w:r>
    </w:p>
    <w:p w14:paraId="3390E4F6" w14:textId="02A62C31" w:rsidR="00336A71" w:rsidRPr="00336A71" w:rsidRDefault="00336A71" w:rsidP="00336A71">
      <w:pPr>
        <w:rPr>
          <w:highlight w:val="yellow"/>
          <w:shd w:val="clear" w:color="auto" w:fill="FFFFFF"/>
          <w:lang w:val="en-GB"/>
        </w:rPr>
      </w:pPr>
      <w:r w:rsidRPr="00336A71">
        <w:rPr>
          <w:shd w:val="clear" w:color="auto" w:fill="FFFFFF"/>
          <w:lang w:val="en-GB"/>
        </w:rPr>
        <w:t>In primary health care</w:t>
      </w:r>
      <w:r w:rsidR="00623723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>children and youth in age up to 18 years</w:t>
      </w:r>
      <w:r w:rsidR="00623723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 xml:space="preserve">had 35.6 million consultations (decrease </w:t>
      </w:r>
      <w:r w:rsidR="00F26D39" w:rsidRPr="00336A71">
        <w:rPr>
          <w:shd w:val="clear" w:color="auto" w:fill="FFFFFF"/>
          <w:lang w:val="en-GB"/>
        </w:rPr>
        <w:t>of</w:t>
      </w:r>
      <w:r w:rsidR="00F26D39">
        <w:rPr>
          <w:shd w:val="clear" w:color="auto" w:fill="FFFFFF"/>
          <w:lang w:val="en-GB"/>
        </w:rPr>
        <w:t xml:space="preserve"> </w:t>
      </w:r>
      <w:r w:rsidR="00F26D39" w:rsidRPr="00336A71">
        <w:rPr>
          <w:shd w:val="clear" w:color="auto" w:fill="FFFFFF"/>
          <w:lang w:val="en-GB"/>
        </w:rPr>
        <w:t>3.1%</w:t>
      </w:r>
      <w:r w:rsidR="00F26D39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>compared with the previous year), while people aged 65 years and more</w:t>
      </w:r>
      <w:r w:rsidR="00623723">
        <w:rPr>
          <w:shd w:val="clear" w:color="auto" w:fill="FFFFFF"/>
          <w:lang w:val="en-GB"/>
        </w:rPr>
        <w:t xml:space="preserve"> </w:t>
      </w:r>
      <w:r w:rsidRPr="00336A71">
        <w:rPr>
          <w:szCs w:val="19"/>
          <w:shd w:val="clear" w:color="auto" w:fill="FFFFFF"/>
          <w:lang w:val="en-GB"/>
        </w:rPr>
        <w:t xml:space="preserve">– </w:t>
      </w:r>
      <w:r w:rsidRPr="00336A71">
        <w:rPr>
          <w:shd w:val="clear" w:color="auto" w:fill="FFFFFF"/>
          <w:lang w:val="en-GB"/>
        </w:rPr>
        <w:t xml:space="preserve">58.8 million (by 4.1% more than a year earlier). There were 14.5 million specialized consultations provided </w:t>
      </w:r>
      <w:r w:rsidR="00F26D39">
        <w:rPr>
          <w:shd w:val="clear" w:color="auto" w:fill="FFFFFF"/>
          <w:lang w:val="en-GB"/>
        </w:rPr>
        <w:t xml:space="preserve">to </w:t>
      </w:r>
      <w:r w:rsidRPr="00336A71">
        <w:rPr>
          <w:shd w:val="clear" w:color="auto" w:fill="FFFFFF"/>
          <w:lang w:val="en-GB"/>
        </w:rPr>
        <w:t>children and youth in age up to 18 years (by 0.8% less than in</w:t>
      </w:r>
      <w:r w:rsidR="00623723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 xml:space="preserve">2018) and 34.6 million </w:t>
      </w:r>
      <w:r w:rsidR="008F5AFD" w:rsidRPr="00336A71">
        <w:rPr>
          <w:shd w:val="clear" w:color="auto" w:fill="FFFFFF"/>
          <w:lang w:val="en-GB"/>
        </w:rPr>
        <w:t>consultations</w:t>
      </w:r>
      <w:r w:rsidRPr="00336A71">
        <w:rPr>
          <w:shd w:val="clear" w:color="auto" w:fill="FFFFFF"/>
          <w:lang w:val="en-GB"/>
        </w:rPr>
        <w:t xml:space="preserve"> provided </w:t>
      </w:r>
      <w:r w:rsidR="00F26D39">
        <w:rPr>
          <w:shd w:val="clear" w:color="auto" w:fill="FFFFFF"/>
          <w:lang w:val="en-GB"/>
        </w:rPr>
        <w:t xml:space="preserve">to </w:t>
      </w:r>
      <w:r w:rsidRPr="00336A71">
        <w:rPr>
          <w:shd w:val="clear" w:color="auto" w:fill="FFFFFF"/>
          <w:lang w:val="en-GB"/>
        </w:rPr>
        <w:t xml:space="preserve">people aged 65 years and more (by 2.7% more than in the previous year). </w:t>
      </w:r>
    </w:p>
    <w:p w14:paraId="58AC7F4B" w14:textId="0DD57820" w:rsidR="00336A71" w:rsidRPr="00336A71" w:rsidRDefault="00336A71" w:rsidP="00336A71">
      <w:pPr>
        <w:rPr>
          <w:rFonts w:cs="Arial"/>
          <w:b/>
          <w:sz w:val="18"/>
          <w:szCs w:val="18"/>
          <w:lang w:val="en-GB"/>
        </w:rPr>
      </w:pPr>
    </w:p>
    <w:p w14:paraId="6C9C367C" w14:textId="37A0B657" w:rsidR="00336A71" w:rsidRDefault="00DF797D" w:rsidP="00336A71">
      <w:pPr>
        <w:rPr>
          <w:rFonts w:cs="Arial"/>
          <w:b/>
          <w:sz w:val="18"/>
          <w:szCs w:val="18"/>
          <w:lang w:val="en-GB"/>
        </w:rPr>
      </w:pPr>
      <w:r w:rsidRPr="00DF797D"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93408" behindDoc="0" locked="0" layoutInCell="1" allowOverlap="1" wp14:anchorId="28977983" wp14:editId="60D460FB">
            <wp:simplePos x="0" y="0"/>
            <wp:positionH relativeFrom="margin">
              <wp:align>right</wp:align>
            </wp:positionH>
            <wp:positionV relativeFrom="paragraph">
              <wp:posOffset>231140</wp:posOffset>
            </wp:positionV>
            <wp:extent cx="5122545" cy="1834515"/>
            <wp:effectExtent l="0" t="0" r="1905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A71" w:rsidRPr="00336A71">
        <w:rPr>
          <w:rFonts w:cs="Arial"/>
          <w:b/>
          <w:sz w:val="18"/>
          <w:szCs w:val="18"/>
          <w:lang w:val="en-GB"/>
        </w:rPr>
        <w:t>Chart 3.</w:t>
      </w:r>
      <w:r w:rsidR="00336A71" w:rsidRPr="00336A71">
        <w:rPr>
          <w:rFonts w:eastAsiaTheme="minorEastAsia"/>
          <w:b/>
          <w:kern w:val="24"/>
          <w:sz w:val="18"/>
          <w:szCs w:val="18"/>
          <w:lang w:val="en-GB" w:eastAsia="pl-PL"/>
        </w:rPr>
        <w:t xml:space="preserve"> </w:t>
      </w:r>
      <w:r w:rsidR="00336A71" w:rsidRPr="00336A71">
        <w:rPr>
          <w:rFonts w:cs="Arial"/>
          <w:b/>
          <w:sz w:val="18"/>
          <w:szCs w:val="18"/>
          <w:lang w:val="en-GB"/>
        </w:rPr>
        <w:t>Outpatient consultations</w:t>
      </w:r>
      <w:r w:rsidR="00623723">
        <w:rPr>
          <w:rFonts w:cs="Arial"/>
          <w:b/>
          <w:sz w:val="18"/>
          <w:szCs w:val="18"/>
          <w:lang w:val="en-GB"/>
        </w:rPr>
        <w:t xml:space="preserve"> </w:t>
      </w:r>
      <w:r w:rsidR="00336A71" w:rsidRPr="00336A71">
        <w:rPr>
          <w:rFonts w:cs="Arial"/>
          <w:b/>
          <w:sz w:val="18"/>
          <w:szCs w:val="18"/>
          <w:lang w:val="en-GB"/>
        </w:rPr>
        <w:t>by type</w:t>
      </w:r>
      <w:r w:rsidR="00623723">
        <w:rPr>
          <w:rFonts w:cs="Arial"/>
          <w:b/>
          <w:sz w:val="18"/>
          <w:szCs w:val="18"/>
          <w:lang w:val="en-GB"/>
        </w:rPr>
        <w:t xml:space="preserve"> </w:t>
      </w:r>
      <w:r w:rsidR="003A34AE">
        <w:rPr>
          <w:rFonts w:cs="Arial"/>
          <w:b/>
          <w:sz w:val="18"/>
          <w:szCs w:val="18"/>
          <w:lang w:val="en-GB"/>
        </w:rPr>
        <w:t xml:space="preserve">of consultation </w:t>
      </w:r>
      <w:r w:rsidR="00336A71" w:rsidRPr="00336A71">
        <w:rPr>
          <w:rFonts w:cs="Arial"/>
          <w:b/>
          <w:sz w:val="18"/>
          <w:szCs w:val="18"/>
          <w:lang w:val="en-GB"/>
        </w:rPr>
        <w:t xml:space="preserve">and </w:t>
      </w:r>
      <w:r w:rsidR="003A34AE" w:rsidRPr="00336A71">
        <w:rPr>
          <w:rFonts w:cs="Arial"/>
          <w:b/>
          <w:sz w:val="18"/>
          <w:szCs w:val="18"/>
          <w:lang w:val="en-GB"/>
        </w:rPr>
        <w:t>patients</w:t>
      </w:r>
      <w:r w:rsidR="003A34AE">
        <w:rPr>
          <w:rFonts w:cs="Arial"/>
          <w:b/>
          <w:sz w:val="18"/>
          <w:szCs w:val="18"/>
          <w:lang w:val="en-GB"/>
        </w:rPr>
        <w:t>’</w:t>
      </w:r>
      <w:r w:rsidR="003A34AE" w:rsidRPr="00336A71">
        <w:rPr>
          <w:rFonts w:cs="Arial"/>
          <w:b/>
          <w:sz w:val="18"/>
          <w:szCs w:val="18"/>
          <w:lang w:val="en-GB"/>
        </w:rPr>
        <w:t xml:space="preserve"> </w:t>
      </w:r>
      <w:r w:rsidR="003A34AE">
        <w:rPr>
          <w:rFonts w:cs="Arial"/>
          <w:b/>
          <w:sz w:val="18"/>
          <w:szCs w:val="18"/>
          <w:lang w:val="en-GB"/>
        </w:rPr>
        <w:t>age</w:t>
      </w:r>
      <w:r w:rsidR="00336A71" w:rsidRPr="00336A71">
        <w:rPr>
          <w:rFonts w:cs="Arial"/>
          <w:b/>
          <w:sz w:val="18"/>
          <w:szCs w:val="18"/>
          <w:lang w:val="en-GB"/>
        </w:rPr>
        <w:t xml:space="preserve"> in 2019 </w:t>
      </w:r>
    </w:p>
    <w:p w14:paraId="3FE335DF" w14:textId="7D65C6B7" w:rsidR="00336A71" w:rsidRPr="00336A71" w:rsidRDefault="00336A71" w:rsidP="00336A71">
      <w:pPr>
        <w:spacing w:before="240" w:after="0"/>
        <w:jc w:val="both"/>
        <w:rPr>
          <w:shd w:val="clear" w:color="auto" w:fill="FFFFFF"/>
          <w:lang w:val="en-GB"/>
        </w:rPr>
      </w:pPr>
      <w:r w:rsidRPr="00662793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1670E2C0" wp14:editId="1B38AC68">
                <wp:simplePos x="0" y="0"/>
                <wp:positionH relativeFrom="column">
                  <wp:posOffset>5234940</wp:posOffset>
                </wp:positionH>
                <wp:positionV relativeFrom="page">
                  <wp:posOffset>4860925</wp:posOffset>
                </wp:positionV>
                <wp:extent cx="1724400" cy="1180800"/>
                <wp:effectExtent l="0" t="0" r="0" b="635"/>
                <wp:wrapTight wrapText="bothSides">
                  <wp:wrapPolygon edited="0">
                    <wp:start x="716" y="0"/>
                    <wp:lineTo x="716" y="21263"/>
                    <wp:lineTo x="20765" y="21263"/>
                    <wp:lineTo x="20765" y="0"/>
                    <wp:lineTo x="716" y="0"/>
                  </wp:wrapPolygon>
                </wp:wrapTight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18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DF46" w14:textId="5015B5D7" w:rsidR="00336A71" w:rsidRPr="008F5AFD" w:rsidRDefault="001339C1" w:rsidP="00336A7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Most</w:t>
                            </w:r>
                            <w:r w:rsidRPr="00336A71">
                              <w:rPr>
                                <w:lang w:val="en-GB"/>
                              </w:rPr>
                              <w:t xml:space="preserve"> doctors consultations </w:t>
                            </w:r>
                            <w:r>
                              <w:rPr>
                                <w:lang w:val="en-GB"/>
                              </w:rPr>
                              <w:t>i</w:t>
                            </w:r>
                            <w:r w:rsidR="00336A71" w:rsidRPr="00336A71">
                              <w:rPr>
                                <w:lang w:val="en-GB"/>
                              </w:rPr>
                              <w:t xml:space="preserve">n specialised outpatient health care were </w:t>
                            </w:r>
                            <w:r w:rsidR="00CF7397">
                              <w:rPr>
                                <w:lang w:val="en-GB"/>
                              </w:rPr>
                              <w:t xml:space="preserve">provided </w:t>
                            </w:r>
                            <w:r>
                              <w:rPr>
                                <w:lang w:val="en-GB"/>
                              </w:rPr>
                              <w:t xml:space="preserve">in surgical clinics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="00336A71" w:rsidRPr="00336A71">
                              <w:rPr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lang w:val="en-GB"/>
                              </w:rPr>
                              <w:t>approx. </w:t>
                            </w:r>
                            <w:r w:rsidR="00336A71" w:rsidRPr="008F5AFD">
                              <w:rPr>
                                <w:lang w:val="en-GB"/>
                              </w:rPr>
                              <w:t>21 </w:t>
                            </w:r>
                            <w:r w:rsidR="00375289" w:rsidRPr="008F5AFD">
                              <w:rPr>
                                <w:lang w:val="en-GB"/>
                              </w:rPr>
                              <w:t>million</w:t>
                            </w:r>
                            <w:r w:rsidR="00336A71" w:rsidRPr="008F5AFD">
                              <w:rPr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0E2C0" id="_x0000_s1029" type="#_x0000_t202" style="position:absolute;left:0;text-align:left;margin-left:412.2pt;margin-top:382.75pt;width:135.8pt;height:93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" filled="f" stroked="f">
                <v:textbox>
                  <w:txbxContent>
                    <w:p w14:paraId="0559DF46" w14:textId="5015B5D7" w:rsidR="00336A71" w:rsidRPr="008F5AFD" w:rsidRDefault="001339C1" w:rsidP="00336A71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Most</w:t>
                      </w:r>
                      <w:r w:rsidRPr="00336A71">
                        <w:rPr>
                          <w:lang w:val="en-GB"/>
                        </w:rPr>
                        <w:t xml:space="preserve"> doctors consultations</w:t>
                      </w:r>
                      <w:r w:rsidRPr="00336A71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i</w:t>
                      </w:r>
                      <w:r w:rsidR="00336A71" w:rsidRPr="00336A71">
                        <w:rPr>
                          <w:lang w:val="en-GB"/>
                        </w:rPr>
                        <w:t xml:space="preserve">n specialised outpatient health care were </w:t>
                      </w:r>
                      <w:r w:rsidR="00CF7397">
                        <w:rPr>
                          <w:lang w:val="en-GB"/>
                        </w:rPr>
                        <w:t xml:space="preserve">provided </w:t>
                      </w:r>
                      <w:r>
                        <w:rPr>
                          <w:lang w:val="en-GB"/>
                        </w:rPr>
                        <w:t xml:space="preserve">in surgical clinics </w:t>
                      </w:r>
                      <w:r>
                        <w:rPr>
                          <w:lang w:val="en-GB"/>
                        </w:rPr>
                        <w:br/>
                      </w:r>
                      <w:r w:rsidR="00336A71" w:rsidRPr="00336A71">
                        <w:rPr>
                          <w:lang w:val="en-GB"/>
                        </w:rPr>
                        <w:t>(</w:t>
                      </w:r>
                      <w:r>
                        <w:rPr>
                          <w:lang w:val="en-GB"/>
                        </w:rPr>
                        <w:t>approx. </w:t>
                      </w:r>
                      <w:r w:rsidR="00336A71" w:rsidRPr="008F5AFD">
                        <w:rPr>
                          <w:lang w:val="en-GB"/>
                        </w:rPr>
                        <w:t>21 </w:t>
                      </w:r>
                      <w:r w:rsidR="00375289" w:rsidRPr="008F5AFD">
                        <w:rPr>
                          <w:lang w:val="en-GB"/>
                        </w:rPr>
                        <w:t>million</w:t>
                      </w:r>
                      <w:r w:rsidR="00336A71" w:rsidRPr="008F5AFD">
                        <w:rPr>
                          <w:lang w:val="en-GB"/>
                        </w:rPr>
                        <w:t>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36A71">
        <w:rPr>
          <w:shd w:val="clear" w:color="auto" w:fill="FFFFFF"/>
          <w:lang w:val="en-GB"/>
        </w:rPr>
        <w:t>In specialised doctors care,</w:t>
      </w:r>
      <w:r w:rsidR="00623723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>the highest share of</w:t>
      </w:r>
      <w:r w:rsidR="00623723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>consultat</w:t>
      </w:r>
      <w:r w:rsidR="00F050F4">
        <w:rPr>
          <w:shd w:val="clear" w:color="auto" w:fill="FFFFFF"/>
          <w:lang w:val="en-GB"/>
        </w:rPr>
        <w:t>ions was in surgical clinic (17.</w:t>
      </w:r>
      <w:r w:rsidRPr="00336A71">
        <w:rPr>
          <w:shd w:val="clear" w:color="auto" w:fill="FFFFFF"/>
          <w:lang w:val="en-GB"/>
        </w:rPr>
        <w:t xml:space="preserve">9%). </w:t>
      </w:r>
      <w:r w:rsidR="008F5AFD" w:rsidRPr="00336A71">
        <w:rPr>
          <w:shd w:val="clear" w:color="auto" w:fill="FFFFFF"/>
          <w:lang w:val="en-GB"/>
        </w:rPr>
        <w:t>Consultations</w:t>
      </w:r>
      <w:r w:rsidRPr="00336A71">
        <w:rPr>
          <w:shd w:val="clear" w:color="auto" w:fill="FFFFFF"/>
          <w:lang w:val="en-GB"/>
        </w:rPr>
        <w:t xml:space="preserve"> were also</w:t>
      </w:r>
      <w:r w:rsidR="00623723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 xml:space="preserve">often provided in </w:t>
      </w:r>
      <w:proofErr w:type="spellStart"/>
      <w:r w:rsidRPr="00336A71">
        <w:rPr>
          <w:shd w:val="clear" w:color="auto" w:fill="FFFFFF"/>
          <w:lang w:val="en-GB"/>
        </w:rPr>
        <w:t>gynecological</w:t>
      </w:r>
      <w:proofErr w:type="spellEnd"/>
      <w:r w:rsidRPr="00336A71">
        <w:rPr>
          <w:shd w:val="clear" w:color="auto" w:fill="FFFFFF"/>
          <w:lang w:val="en-GB"/>
        </w:rPr>
        <w:t xml:space="preserve"> and obstetrical clinics (11.2%) and ophthalmology clinics (9.6%). </w:t>
      </w:r>
    </w:p>
    <w:p w14:paraId="0A968B8D" w14:textId="3D2A46D6" w:rsidR="00336A71" w:rsidRPr="00336A71" w:rsidRDefault="00336A71" w:rsidP="00336A71">
      <w:pPr>
        <w:spacing w:line="288" w:lineRule="auto"/>
        <w:rPr>
          <w:b/>
          <w:sz w:val="18"/>
          <w:szCs w:val="18"/>
          <w:lang w:val="en-GB"/>
        </w:rPr>
      </w:pPr>
    </w:p>
    <w:p w14:paraId="4C74440A" w14:textId="128423AA" w:rsidR="00336A71" w:rsidRPr="00336A71" w:rsidRDefault="00336A71" w:rsidP="00336A71">
      <w:pPr>
        <w:spacing w:line="288" w:lineRule="auto"/>
        <w:rPr>
          <w:b/>
          <w:noProof/>
          <w:color w:val="212492"/>
          <w:spacing w:val="-2"/>
          <w:sz w:val="18"/>
          <w:szCs w:val="18"/>
          <w:lang w:val="en-GB" w:eastAsia="pl-PL"/>
        </w:rPr>
      </w:pPr>
      <w:r w:rsidRPr="00336A71">
        <w:rPr>
          <w:b/>
          <w:sz w:val="18"/>
          <w:szCs w:val="18"/>
          <w:lang w:val="en-GB"/>
        </w:rPr>
        <w:t>Chart</w:t>
      </w:r>
      <w:r w:rsidR="00913483">
        <w:rPr>
          <w:b/>
          <w:sz w:val="18"/>
          <w:szCs w:val="18"/>
          <w:lang w:val="en-GB"/>
        </w:rPr>
        <w:t xml:space="preserve"> </w:t>
      </w:r>
      <w:r w:rsidRPr="00336A71">
        <w:rPr>
          <w:b/>
          <w:sz w:val="18"/>
          <w:szCs w:val="18"/>
          <w:lang w:val="en-GB"/>
        </w:rPr>
        <w:t xml:space="preserve">4. Specialized doctors consultations by type of clinic in </w:t>
      </w:r>
      <w:r w:rsidR="00DF797D">
        <w:rPr>
          <w:b/>
          <w:sz w:val="18"/>
          <w:szCs w:val="18"/>
          <w:lang w:val="en-GB"/>
        </w:rPr>
        <w:t>2019</w:t>
      </w:r>
    </w:p>
    <w:p w14:paraId="236306BB" w14:textId="4F1643C0" w:rsidR="00336A71" w:rsidRPr="00DF797D" w:rsidRDefault="00F26D39" w:rsidP="00336A71">
      <w:pPr>
        <w:spacing w:line="288" w:lineRule="auto"/>
        <w:rPr>
          <w:b/>
          <w:sz w:val="18"/>
          <w:szCs w:val="18"/>
          <w:lang w:val="en-GB"/>
        </w:rPr>
      </w:pPr>
      <w:r>
        <w:rPr>
          <w:b/>
          <w:noProof/>
          <w:sz w:val="18"/>
          <w:szCs w:val="18"/>
          <w:lang w:eastAsia="pl-PL"/>
        </w:rPr>
        <w:drawing>
          <wp:inline distT="0" distB="0" distL="0" distR="0" wp14:anchorId="1A88D6B7" wp14:editId="39856F94">
            <wp:extent cx="5078095" cy="3279775"/>
            <wp:effectExtent l="0" t="0" r="825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5F845" w14:textId="68201EC8" w:rsidR="00336A71" w:rsidRDefault="00FB084F" w:rsidP="00336A71">
      <w:pPr>
        <w:spacing w:before="0" w:after="160" w:line="259" w:lineRule="auto"/>
        <w:jc w:val="both"/>
        <w:rPr>
          <w:rFonts w:cs="Arial"/>
          <w:b/>
          <w:sz w:val="18"/>
          <w:szCs w:val="18"/>
          <w:lang w:val="en-GB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796480" behindDoc="0" locked="0" layoutInCell="1" allowOverlap="1" wp14:anchorId="2397CBB7" wp14:editId="79800447">
            <wp:simplePos x="0" y="0"/>
            <wp:positionH relativeFrom="margin">
              <wp:align>left</wp:align>
            </wp:positionH>
            <wp:positionV relativeFrom="paragraph">
              <wp:posOffset>205740</wp:posOffset>
            </wp:positionV>
            <wp:extent cx="5121275" cy="3919855"/>
            <wp:effectExtent l="0" t="0" r="3175" b="4445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91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A71" w:rsidRPr="00336A71">
        <w:rPr>
          <w:rFonts w:cs="Arial"/>
          <w:b/>
          <w:sz w:val="18"/>
          <w:szCs w:val="18"/>
          <w:lang w:val="en-GB"/>
        </w:rPr>
        <w:t>Chart 5.</w:t>
      </w:r>
      <w:r w:rsidR="00336A71" w:rsidRPr="00336A71">
        <w:rPr>
          <w:rFonts w:eastAsiaTheme="minorEastAsia"/>
          <w:b/>
          <w:kern w:val="24"/>
          <w:sz w:val="18"/>
          <w:szCs w:val="18"/>
          <w:lang w:val="en-GB" w:eastAsia="pl-PL"/>
        </w:rPr>
        <w:t xml:space="preserve"> Outpatient consultations</w:t>
      </w:r>
      <w:r w:rsidR="008F5AFD">
        <w:rPr>
          <w:rFonts w:eastAsiaTheme="minorEastAsia"/>
          <w:b/>
          <w:kern w:val="24"/>
          <w:sz w:val="18"/>
          <w:szCs w:val="18"/>
          <w:lang w:val="en-GB" w:eastAsia="pl-PL"/>
        </w:rPr>
        <w:t xml:space="preserve"> </w:t>
      </w:r>
      <w:r w:rsidR="00336A71" w:rsidRPr="00336A71">
        <w:rPr>
          <w:rFonts w:cs="Arial"/>
          <w:b/>
          <w:sz w:val="18"/>
          <w:szCs w:val="18"/>
          <w:lang w:val="en-GB"/>
        </w:rPr>
        <w:t>by voivodships and type of consultations</w:t>
      </w:r>
      <w:r w:rsidR="008F5AFD">
        <w:rPr>
          <w:rFonts w:cs="Arial"/>
          <w:b/>
          <w:sz w:val="18"/>
          <w:szCs w:val="18"/>
          <w:lang w:val="en-GB"/>
        </w:rPr>
        <w:t xml:space="preserve"> </w:t>
      </w:r>
      <w:r w:rsidR="00336A71" w:rsidRPr="00336A71">
        <w:rPr>
          <w:rFonts w:cs="Arial"/>
          <w:b/>
          <w:sz w:val="18"/>
          <w:szCs w:val="18"/>
          <w:lang w:val="en-GB"/>
        </w:rPr>
        <w:t>in</w:t>
      </w:r>
      <w:r w:rsidR="00623723">
        <w:rPr>
          <w:rFonts w:cs="Arial"/>
          <w:b/>
          <w:sz w:val="18"/>
          <w:szCs w:val="18"/>
          <w:lang w:val="en-GB"/>
        </w:rPr>
        <w:t xml:space="preserve"> </w:t>
      </w:r>
      <w:r w:rsidR="00336A71" w:rsidRPr="00336A71">
        <w:rPr>
          <w:rFonts w:cs="Arial"/>
          <w:b/>
          <w:sz w:val="18"/>
          <w:szCs w:val="18"/>
          <w:lang w:val="en-GB"/>
        </w:rPr>
        <w:t>2019</w:t>
      </w:r>
    </w:p>
    <w:p w14:paraId="4FFCAD17" w14:textId="168E31FB" w:rsidR="00331A10" w:rsidRDefault="00331A10" w:rsidP="00336A71">
      <w:pPr>
        <w:rPr>
          <w:shd w:val="clear" w:color="auto" w:fill="FFFFFF"/>
          <w:lang w:val="en-GB"/>
        </w:rPr>
      </w:pPr>
    </w:p>
    <w:p w14:paraId="0789D4B8" w14:textId="6FA89E1B" w:rsidR="00336A71" w:rsidRPr="00336A71" w:rsidRDefault="00336A71" w:rsidP="00336A71">
      <w:pPr>
        <w:rPr>
          <w:shd w:val="clear" w:color="auto" w:fill="FFFFFF"/>
          <w:lang w:val="en-GB"/>
        </w:rPr>
      </w:pPr>
      <w:r w:rsidRPr="00336A71">
        <w:rPr>
          <w:shd w:val="clear" w:color="auto" w:fill="FFFFFF"/>
          <w:lang w:val="en-GB"/>
        </w:rPr>
        <w:t>In 2019, the average number of outpatient consultations per capita was 8.5.</w:t>
      </w:r>
      <w:r w:rsidR="003A6F84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 xml:space="preserve">The highest value was recorded in </w:t>
      </w:r>
      <w:proofErr w:type="spellStart"/>
      <w:r w:rsidRPr="00336A71">
        <w:rPr>
          <w:shd w:val="clear" w:color="auto" w:fill="FFFFFF"/>
          <w:lang w:val="en-GB"/>
        </w:rPr>
        <w:t>Mazowieckie</w:t>
      </w:r>
      <w:proofErr w:type="spellEnd"/>
      <w:r w:rsidRPr="00336A71">
        <w:rPr>
          <w:shd w:val="clear" w:color="auto" w:fill="FFFFFF"/>
          <w:lang w:val="en-GB"/>
        </w:rPr>
        <w:t xml:space="preserve"> Voivodship</w:t>
      </w:r>
      <w:r w:rsidR="00C96808">
        <w:rPr>
          <w:shd w:val="clear" w:color="auto" w:fill="FFFFFF"/>
          <w:lang w:val="en-GB"/>
        </w:rPr>
        <w:t xml:space="preserve"> </w:t>
      </w:r>
      <w:r w:rsidR="00C96808" w:rsidRPr="00336A71">
        <w:rPr>
          <w:shd w:val="clear" w:color="auto" w:fill="FFFFFF"/>
          <w:lang w:val="en-GB"/>
        </w:rPr>
        <w:t>(9.2)</w:t>
      </w:r>
      <w:r w:rsidR="003A6F84">
        <w:rPr>
          <w:shd w:val="clear" w:color="auto" w:fill="FFFFFF"/>
          <w:lang w:val="en-GB"/>
        </w:rPr>
        <w:t>,</w:t>
      </w:r>
      <w:r w:rsidR="00623723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>while the lowest</w:t>
      </w:r>
      <w:r w:rsidR="00C96808">
        <w:rPr>
          <w:shd w:val="clear" w:color="auto" w:fill="FFFFFF"/>
          <w:lang w:val="en-GB"/>
        </w:rPr>
        <w:t xml:space="preserve"> </w:t>
      </w:r>
      <w:r w:rsidRPr="00336A71">
        <w:rPr>
          <w:shd w:val="clear" w:color="auto" w:fill="FFFFFF"/>
          <w:lang w:val="en-GB"/>
        </w:rPr>
        <w:t xml:space="preserve">– in </w:t>
      </w:r>
      <w:proofErr w:type="spellStart"/>
      <w:r w:rsidRPr="00336A71">
        <w:rPr>
          <w:shd w:val="clear" w:color="auto" w:fill="FFFFFF"/>
          <w:lang w:val="en-GB"/>
        </w:rPr>
        <w:t>Lubuskie</w:t>
      </w:r>
      <w:proofErr w:type="spellEnd"/>
      <w:r w:rsidRPr="00336A71">
        <w:rPr>
          <w:shd w:val="clear" w:color="auto" w:fill="FFFFFF"/>
          <w:lang w:val="en-GB"/>
        </w:rPr>
        <w:t xml:space="preserve"> Voivodship</w:t>
      </w:r>
      <w:r w:rsidR="00C96808">
        <w:rPr>
          <w:shd w:val="clear" w:color="auto" w:fill="FFFFFF"/>
          <w:lang w:val="en-GB"/>
        </w:rPr>
        <w:t xml:space="preserve"> </w:t>
      </w:r>
      <w:r w:rsidR="00C96808" w:rsidRPr="00336A71">
        <w:rPr>
          <w:shd w:val="clear" w:color="auto" w:fill="FFFFFF"/>
          <w:lang w:val="en-GB"/>
        </w:rPr>
        <w:t>(7.3)</w:t>
      </w:r>
      <w:r w:rsidRPr="00336A71">
        <w:rPr>
          <w:shd w:val="clear" w:color="auto" w:fill="FFFFFF"/>
          <w:lang w:val="en-GB"/>
        </w:rPr>
        <w:t>.</w:t>
      </w:r>
    </w:p>
    <w:p w14:paraId="4DB24646" w14:textId="3BEEDDAF" w:rsidR="00336A71" w:rsidRPr="00336A71" w:rsidRDefault="00336A71" w:rsidP="00336A71">
      <w:pPr>
        <w:spacing w:before="240"/>
        <w:contextualSpacing/>
        <w:rPr>
          <w:szCs w:val="19"/>
          <w:lang w:val="en-GB"/>
        </w:rPr>
      </w:pPr>
      <w:r w:rsidRPr="00495D5E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39602DB2" wp14:editId="41ADB3DE">
                <wp:simplePos x="0" y="0"/>
                <wp:positionH relativeFrom="column">
                  <wp:posOffset>5231765</wp:posOffset>
                </wp:positionH>
                <wp:positionV relativeFrom="page">
                  <wp:posOffset>4824730</wp:posOffset>
                </wp:positionV>
                <wp:extent cx="1724400" cy="860400"/>
                <wp:effectExtent l="0" t="0" r="0" b="0"/>
                <wp:wrapSquare wrapText="bothSides"/>
                <wp:docPr id="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F8AF" w14:textId="3E9317F4" w:rsidR="00336A71" w:rsidRPr="00336A71" w:rsidRDefault="00336A71" w:rsidP="00336A7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336A71">
                              <w:rPr>
                                <w:lang w:val="en-GB"/>
                              </w:rPr>
                              <w:t>In 2019</w:t>
                            </w:r>
                            <w:r w:rsidR="0049311F">
                              <w:rPr>
                                <w:lang w:val="en-GB"/>
                              </w:rPr>
                              <w:t>,</w:t>
                            </w:r>
                            <w:r w:rsidRPr="00336A71">
                              <w:rPr>
                                <w:lang w:val="en-GB"/>
                              </w:rPr>
                              <w:t xml:space="preserve"> the average number of outpatient consultations per capita was 8.5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02DB2" id="_x0000_s1030" type="#_x0000_t202" style="position:absolute;margin-left:411.95pt;margin-top:379.9pt;width:135.8pt;height:67.7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" filled="f" stroked="f">
                <v:textbox>
                  <w:txbxContent>
                    <w:p w14:paraId="524DF8AF" w14:textId="3E9317F4" w:rsidR="00336A71" w:rsidRPr="00336A71" w:rsidRDefault="00336A71" w:rsidP="00336A71">
                      <w:pPr>
                        <w:pStyle w:val="tekstzboku"/>
                        <w:rPr>
                          <w:lang w:val="en-GB"/>
                        </w:rPr>
                      </w:pPr>
                      <w:r w:rsidRPr="00336A71">
                        <w:rPr>
                          <w:lang w:val="en-GB"/>
                        </w:rPr>
                        <w:t>In 2019</w:t>
                      </w:r>
                      <w:r w:rsidR="0049311F">
                        <w:rPr>
                          <w:lang w:val="en-GB"/>
                        </w:rPr>
                        <w:t>,</w:t>
                      </w:r>
                      <w:r w:rsidRPr="00336A71">
                        <w:rPr>
                          <w:lang w:val="en-GB"/>
                        </w:rPr>
                        <w:t xml:space="preserve"> the average number of outpatient consultations per capita was 8.5 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B3EC472" w14:textId="1D46C5A5" w:rsidR="00336A71" w:rsidRPr="00336A71" w:rsidRDefault="00515138" w:rsidP="00336A71">
      <w:pPr>
        <w:spacing w:before="240"/>
        <w:contextualSpacing/>
        <w:rPr>
          <w:b/>
          <w:sz w:val="18"/>
          <w:szCs w:val="18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791360" behindDoc="0" locked="0" layoutInCell="1" allowOverlap="1" wp14:anchorId="7CE612E8" wp14:editId="77FD6AF2">
            <wp:simplePos x="0" y="0"/>
            <wp:positionH relativeFrom="margin">
              <wp:posOffset>60960</wp:posOffset>
            </wp:positionH>
            <wp:positionV relativeFrom="paragraph">
              <wp:posOffset>232410</wp:posOffset>
            </wp:positionV>
            <wp:extent cx="5122545" cy="3651250"/>
            <wp:effectExtent l="0" t="0" r="1905" b="6350"/>
            <wp:wrapTopAndBottom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paAmb2_2019ANG_0906202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6A71" w:rsidRPr="00336A71">
        <w:rPr>
          <w:b/>
          <w:sz w:val="18"/>
          <w:szCs w:val="18"/>
          <w:lang w:val="en-GB"/>
        </w:rPr>
        <w:t>Map 2. Outpatient consultations per capita by voivodships in 2019</w:t>
      </w:r>
      <w:bookmarkStart w:id="0" w:name="_GoBack"/>
      <w:bookmarkEnd w:id="0"/>
      <w:r w:rsidR="00336A71" w:rsidRPr="00336A71">
        <w:rPr>
          <w:b/>
          <w:noProof/>
          <w:color w:val="212492"/>
          <w:spacing w:val="-2"/>
          <w:sz w:val="18"/>
          <w:szCs w:val="18"/>
          <w:lang w:val="en-GB" w:eastAsia="pl-PL"/>
        </w:rPr>
        <w:t xml:space="preserve"> </w:t>
      </w:r>
    </w:p>
    <w:p w14:paraId="7FD47BED" w14:textId="2B8929D7" w:rsidR="00515138" w:rsidRDefault="00515138" w:rsidP="00E76D26">
      <w:pPr>
        <w:contextualSpacing/>
        <w:rPr>
          <w:szCs w:val="19"/>
          <w:lang w:val="en-GB"/>
        </w:rPr>
      </w:pPr>
      <w:r w:rsidRPr="00515138">
        <w:rPr>
          <w:szCs w:val="19"/>
          <w:lang w:val="en-GB"/>
        </w:rPr>
        <w:t>In the case of quoting data from the Statistics Poland, please provide information: "</w:t>
      </w:r>
      <w:proofErr w:type="spellStart"/>
      <w:r w:rsidRPr="00515138">
        <w:rPr>
          <w:szCs w:val="19"/>
          <w:lang w:val="en-GB"/>
        </w:rPr>
        <w:t>Statis</w:t>
      </w:r>
      <w:proofErr w:type="spellEnd"/>
      <w:r w:rsidRPr="00515138">
        <w:rPr>
          <w:szCs w:val="19"/>
          <w:lang w:val="en-GB"/>
        </w:rPr>
        <w:t>-tics Poland data source", and in the case of publishing calculations made on data published by the Statistics Poland, please provide information: "Own study based on Statistics Poland data".</w:t>
      </w:r>
    </w:p>
    <w:p w14:paraId="22278F6D" w14:textId="148D6517" w:rsidR="00651EB8" w:rsidRPr="00E122C7" w:rsidRDefault="00651EB8" w:rsidP="00E76D26">
      <w:pPr>
        <w:contextualSpacing/>
        <w:rPr>
          <w:szCs w:val="19"/>
          <w:lang w:val="en-GB"/>
        </w:rPr>
        <w:sectPr w:rsidR="00651EB8" w:rsidRPr="00E122C7" w:rsidSect="003B18B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2B6073C" w14:textId="77777777" w:rsidR="000470AA" w:rsidRPr="001F551B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A67479" w14:paraId="6C34950E" w14:textId="77777777" w:rsidTr="009A5961">
        <w:trPr>
          <w:trHeight w:val="1506"/>
        </w:trPr>
        <w:tc>
          <w:tcPr>
            <w:tcW w:w="4195" w:type="dxa"/>
          </w:tcPr>
          <w:p w14:paraId="7C40834D" w14:textId="77777777" w:rsidR="0025563A" w:rsidRPr="001F551B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F551B">
              <w:rPr>
                <w:rFonts w:cs="Arial"/>
                <w:color w:val="000000" w:themeColor="text1"/>
                <w:sz w:val="20"/>
                <w:lang w:val="en-GB"/>
              </w:rPr>
              <w:t>Prepared by</w:t>
            </w:r>
            <w:r w:rsidR="000470AA" w:rsidRPr="001F551B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14:paraId="51FA2080" w14:textId="77777777" w:rsidR="00FA4729" w:rsidRPr="001F551B" w:rsidRDefault="00DE4987" w:rsidP="003A56B5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hyperlink r:id="rId23" w:tgtFrame="_blank" w:history="1">
              <w:r w:rsidR="003A56B5" w:rsidRPr="001F551B">
                <w:rPr>
                  <w:b/>
                  <w:color w:val="000000" w:themeColor="text1"/>
                  <w:sz w:val="20"/>
                  <w:lang w:val="en-GB"/>
                </w:rPr>
                <w:t>Statistical Office in</w:t>
              </w:r>
            </w:hyperlink>
            <w:r w:rsidR="003A56B5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="00FE218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Kraków</w:t>
            </w:r>
            <w:proofErr w:type="spellEnd"/>
            <w:r w:rsidR="00FA4729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03BDAE56" w14:textId="77777777" w:rsidR="00FA4729" w:rsidRDefault="00FA4729" w:rsidP="00FA4729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</w:rPr>
            </w:pPr>
            <w:proofErr w:type="spellStart"/>
            <w:r w:rsidRPr="00FA4729">
              <w:rPr>
                <w:rFonts w:cs="Arial"/>
                <w:b/>
                <w:color w:val="000000" w:themeColor="text1"/>
                <w:sz w:val="20"/>
              </w:rPr>
              <w:t>Director</w:t>
            </w:r>
            <w:proofErr w:type="spellEnd"/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="00FE218E" w:rsidRPr="00FE218E">
              <w:rPr>
                <w:rFonts w:cs="Arial"/>
                <w:b/>
                <w:color w:val="000000" w:themeColor="text1"/>
                <w:sz w:val="20"/>
              </w:rPr>
              <w:t>Agnieszka Szlubowska</w:t>
            </w:r>
          </w:p>
          <w:p w14:paraId="1ED5D8EF" w14:textId="77777777" w:rsidR="00FA4729" w:rsidRPr="008F3638" w:rsidRDefault="003A56B5" w:rsidP="00FA4729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(+48 </w:t>
            </w:r>
            <w:r w:rsidR="00FE21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2) </w:t>
            </w:r>
            <w:r w:rsidR="00FE218E" w:rsidRPr="00FE21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420 40 50</w:t>
            </w:r>
          </w:p>
          <w:p w14:paraId="0CF00B70" w14:textId="77777777"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14:paraId="6FF38D85" w14:textId="77777777" w:rsidR="00AC3FCE" w:rsidRPr="001F551B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F551B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1F551B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1F551B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6D890C3E" w14:textId="43546366" w:rsidR="000470AA" w:rsidRPr="001F551B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Statistic</w:t>
            </w:r>
            <w:r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1F551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DA79A23" w14:textId="77777777" w:rsidR="00FA4729" w:rsidRPr="001F551B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F55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F551B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61D1150B" w14:textId="77777777" w:rsidR="00FA4729" w:rsidRPr="008F3638" w:rsidRDefault="003A56B5" w:rsidP="00FA472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="00FA4729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FA472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A4729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2D212927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8473CC3" w14:textId="77777777" w:rsidR="000470AA" w:rsidRPr="001F551B" w:rsidRDefault="000470AA" w:rsidP="000470AA">
      <w:pPr>
        <w:rPr>
          <w:sz w:val="20"/>
          <w:lang w:val="en-GB"/>
        </w:rPr>
      </w:pPr>
    </w:p>
    <w:p w14:paraId="1FF2D64A" w14:textId="77777777" w:rsidR="000470AA" w:rsidRPr="001F551B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A67479" w14:paraId="1ECCF5D0" w14:textId="77777777" w:rsidTr="00A24587">
        <w:trPr>
          <w:trHeight w:val="610"/>
        </w:trPr>
        <w:tc>
          <w:tcPr>
            <w:tcW w:w="2721" w:type="pct"/>
            <w:vMerge w:val="restart"/>
          </w:tcPr>
          <w:p w14:paraId="4213995E" w14:textId="77777777" w:rsidR="000470AA" w:rsidRPr="001F551B" w:rsidRDefault="001D2736" w:rsidP="00A24587">
            <w:pPr>
              <w:rPr>
                <w:b/>
                <w:sz w:val="20"/>
                <w:lang w:val="en-GB"/>
              </w:rPr>
            </w:pPr>
            <w:r w:rsidRPr="001F551B">
              <w:rPr>
                <w:b/>
                <w:sz w:val="20"/>
                <w:lang w:val="en-GB"/>
              </w:rPr>
              <w:t>Press Office</w:t>
            </w:r>
          </w:p>
          <w:p w14:paraId="04EF85BE" w14:textId="77777777" w:rsidR="000470AA" w:rsidRPr="001F551B" w:rsidRDefault="003A56B5" w:rsidP="00A2458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="00D64203" w:rsidRPr="001F551B">
              <w:rPr>
                <w:sz w:val="20"/>
                <w:lang w:val="en-GB"/>
              </w:rPr>
              <w:t xml:space="preserve">608 34 91, </w:t>
            </w:r>
            <w:r w:rsidR="000470AA" w:rsidRPr="001F551B">
              <w:rPr>
                <w:sz w:val="20"/>
                <w:lang w:val="en-GB"/>
              </w:rPr>
              <w:t xml:space="preserve">608 38 04 </w:t>
            </w:r>
          </w:p>
          <w:p w14:paraId="73EA6E49" w14:textId="77777777" w:rsidR="000470AA" w:rsidRPr="001F551B" w:rsidRDefault="000470AA" w:rsidP="00A24587">
            <w:pPr>
              <w:rPr>
                <w:sz w:val="18"/>
                <w:lang w:val="en-GB"/>
              </w:rPr>
            </w:pPr>
            <w:r w:rsidRPr="001F551B">
              <w:rPr>
                <w:b/>
                <w:sz w:val="20"/>
                <w:lang w:val="en-GB"/>
              </w:rPr>
              <w:t>e-mail:</w:t>
            </w:r>
            <w:r w:rsidRPr="001F551B">
              <w:rPr>
                <w:sz w:val="20"/>
                <w:lang w:val="en-GB"/>
              </w:rPr>
              <w:t xml:space="preserve"> </w:t>
            </w:r>
            <w:hyperlink r:id="rId24" w:history="1">
              <w:r w:rsidRPr="001F55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395E36E" w14:textId="77777777" w:rsidR="000470AA" w:rsidRPr="001F551B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B715097" wp14:editId="552D85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8429EA5" w14:textId="77777777" w:rsidR="000470AA" w:rsidRPr="001F551B" w:rsidRDefault="000470AA" w:rsidP="000470AA">
            <w:pPr>
              <w:rPr>
                <w:sz w:val="18"/>
                <w:lang w:val="en-GB"/>
              </w:rPr>
            </w:pPr>
            <w:r w:rsidRPr="001F551B">
              <w:rPr>
                <w:sz w:val="20"/>
                <w:lang w:val="en-GB"/>
              </w:rPr>
              <w:t>www.stat.gov.pl</w:t>
            </w:r>
            <w:r w:rsidR="001D2736" w:rsidRPr="001F551B">
              <w:rPr>
                <w:sz w:val="20"/>
                <w:lang w:val="en-GB"/>
              </w:rPr>
              <w:t>/en/</w:t>
            </w:r>
          </w:p>
        </w:tc>
      </w:tr>
      <w:tr w:rsidR="000470AA" w14:paraId="3BDF1C6C" w14:textId="77777777" w:rsidTr="00A24587">
        <w:trPr>
          <w:trHeight w:val="436"/>
        </w:trPr>
        <w:tc>
          <w:tcPr>
            <w:tcW w:w="2721" w:type="pct"/>
            <w:vMerge/>
          </w:tcPr>
          <w:p w14:paraId="37FEE62F" w14:textId="77777777" w:rsidR="000470AA" w:rsidRPr="001F551B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8D166B3" w14:textId="77777777" w:rsidR="000470AA" w:rsidRPr="001F551B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E656963" wp14:editId="2388E84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45DC1C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430107EC" w14:textId="77777777" w:rsidTr="00A24587">
        <w:trPr>
          <w:trHeight w:val="436"/>
        </w:trPr>
        <w:tc>
          <w:tcPr>
            <w:tcW w:w="2721" w:type="pct"/>
            <w:vMerge/>
          </w:tcPr>
          <w:p w14:paraId="7952391E" w14:textId="77777777"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2662497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64412E2" wp14:editId="0C95443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39695E4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1999B623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65C858" wp14:editId="3CC3A8D1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7C9D6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0C6DCB9" w14:textId="77777777" w:rsidR="00AB6D25" w:rsidRPr="001F551B" w:rsidRDefault="000C0DD6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1F551B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780E9812" w14:textId="77777777" w:rsidR="0052360F" w:rsidRPr="00166A9F" w:rsidRDefault="00DE498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52360F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Health and health care in 2018</w:t>
                              </w:r>
                            </w:hyperlink>
                          </w:p>
                          <w:p w14:paraId="62ECD5D6" w14:textId="77777777" w:rsidR="00152003" w:rsidRPr="00AB0A55" w:rsidRDefault="00DE4987" w:rsidP="0015200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152003" w:rsidRPr="00AB0A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Methodological report. Health and health care statistics − Statistics Poland’s reports</w:t>
                              </w:r>
                            </w:hyperlink>
                          </w:p>
                          <w:p w14:paraId="32D450C7" w14:textId="77777777" w:rsidR="00673C26" w:rsidRPr="001F551B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162BBA90" w14:textId="77777777" w:rsidR="00AB6D25" w:rsidRPr="001F551B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26A0D8BE" w14:textId="77777777" w:rsidR="00673C26" w:rsidRPr="00166A9F" w:rsidRDefault="00DE498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231EF6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Local Data Bank -&gt;</w:t>
                              </w:r>
                              <w:r w:rsidR="00D84A63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 xml:space="preserve"> </w:t>
                              </w:r>
                              <w:r w:rsidR="00231EF6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Health care, social welfare and benefits to the family</w:t>
                              </w:r>
                            </w:hyperlink>
                          </w:p>
                          <w:p w14:paraId="03A7ADDF" w14:textId="77777777" w:rsidR="00673C26" w:rsidRPr="00166A9F" w:rsidRDefault="00DE498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proofErr w:type="spellStart"/>
                              <w:r w:rsidR="006C04AE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Knowladge</w:t>
                              </w:r>
                              <w:proofErr w:type="spellEnd"/>
                              <w:r w:rsidR="006C04AE" w:rsidRPr="00166A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 xml:space="preserve"> Databases -&gt;Health and Health care</w:t>
                              </w:r>
                            </w:hyperlink>
                            <w:r w:rsidR="006C04AE" w:rsidRPr="00166A9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  <w:t xml:space="preserve"> </w:t>
                            </w:r>
                          </w:p>
                          <w:p w14:paraId="52C5E401" w14:textId="77777777" w:rsidR="00AB6D25" w:rsidRPr="001F551B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0CC8E9B6" w14:textId="77777777" w:rsidR="00AB6D25" w:rsidRPr="001F551B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</w:t>
                            </w:r>
                            <w:r w:rsidR="00B1321E"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 xml:space="preserve"> statis</w:t>
                            </w:r>
                            <w:r w:rsidR="00915AA6" w:rsidRPr="001F551B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tics</w:t>
                            </w:r>
                          </w:p>
                          <w:p w14:paraId="5A4F6D78" w14:textId="44D75746" w:rsidR="00F15EA4" w:rsidRPr="003A34AE" w:rsidRDefault="00DE4987" w:rsidP="00137E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F15EA4" w:rsidRPr="00DF79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Specialised out-patient services</w:t>
                              </w:r>
                            </w:hyperlink>
                          </w:p>
                          <w:p w14:paraId="483CB39B" w14:textId="596C70E7" w:rsidR="008F639B" w:rsidRPr="00DF797D" w:rsidRDefault="00DE4987" w:rsidP="00137E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8F639B" w:rsidRPr="00DF79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Out-patient health care services</w:t>
                              </w:r>
                            </w:hyperlink>
                          </w:p>
                          <w:p w14:paraId="1426B2C4" w14:textId="2C26CA7C" w:rsidR="008F639B" w:rsidRPr="003A34AE" w:rsidRDefault="00DE4987" w:rsidP="00137E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8F639B" w:rsidRPr="00DF79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Primary health care</w:t>
                              </w:r>
                            </w:hyperlink>
                          </w:p>
                          <w:p w14:paraId="19FE1B8C" w14:textId="52282D26" w:rsidR="008F639B" w:rsidRPr="00DF797D" w:rsidRDefault="00DE4987" w:rsidP="00137E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8F639B" w:rsidRPr="00DF79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Consultation</w:t>
                              </w:r>
                            </w:hyperlink>
                          </w:p>
                          <w:p w14:paraId="6F1F2225" w14:textId="610154DC" w:rsidR="008F639B" w:rsidRPr="00DF797D" w:rsidRDefault="008F639B" w:rsidP="00137E2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r w:rsidRPr="00DF797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Pr="00DF797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"https://stat.gov.pl/en/metainformations/glossary/terms-used-in-official-statistics/1447,term.html" </w:instrText>
                            </w:r>
                            <w:r w:rsidRPr="00DF797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DF797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  <w:t>Medical practice</w:t>
                            </w:r>
                          </w:p>
                          <w:p w14:paraId="4C7BEC0D" w14:textId="5AD72961" w:rsidR="006C04AE" w:rsidRPr="008F639B" w:rsidRDefault="008F639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GB"/>
                              </w:rPr>
                            </w:pPr>
                            <w:r w:rsidRPr="00DF797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36" w:history="1">
                              <w:r w:rsidRPr="00DF79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GB"/>
                                </w:rPr>
                                <w:t>An out-patient department</w:t>
                              </w:r>
                            </w:hyperlink>
                          </w:p>
                          <w:p w14:paraId="491B9B4B" w14:textId="77777777" w:rsidR="006C04AE" w:rsidRPr="007352D2" w:rsidRDefault="006C04A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C858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27B7C9D6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0C6DCB9" w14:textId="77777777" w:rsidR="00AB6D25" w:rsidRPr="001F551B" w:rsidRDefault="000C0DD6" w:rsidP="00AB6D25">
                      <w:pPr>
                        <w:rPr>
                          <w:b/>
                          <w:lang w:val="en-GB"/>
                        </w:rPr>
                      </w:pPr>
                      <w:r w:rsidRPr="001F551B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780E9812" w14:textId="77777777" w:rsidR="0052360F" w:rsidRPr="00166A9F" w:rsidRDefault="00AF202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52360F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Health and health care in 2018</w:t>
                        </w:r>
                      </w:hyperlink>
                    </w:p>
                    <w:p w14:paraId="62ECD5D6" w14:textId="77777777" w:rsidR="00152003" w:rsidRPr="00AB0A55" w:rsidRDefault="00AF2029" w:rsidP="0015200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9" w:history="1">
                        <w:r w:rsidR="00152003" w:rsidRPr="00AB0A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Methodological report. Health and health care statistics − Statistics Poland’s reports</w:t>
                        </w:r>
                      </w:hyperlink>
                    </w:p>
                    <w:p w14:paraId="32D450C7" w14:textId="77777777" w:rsidR="00673C26" w:rsidRPr="001F551B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162BBA90" w14:textId="77777777" w:rsidR="00AB6D25" w:rsidRPr="001F551B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26A0D8BE" w14:textId="77777777" w:rsidR="00673C26" w:rsidRPr="00166A9F" w:rsidRDefault="00AF202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231EF6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Local Data Bank -&gt;</w:t>
                        </w:r>
                        <w:r w:rsidR="00D84A63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 xml:space="preserve"> </w:t>
                        </w:r>
                        <w:r w:rsidR="00231EF6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Health care, social welfare and benefits to the family</w:t>
                        </w:r>
                      </w:hyperlink>
                    </w:p>
                    <w:p w14:paraId="03A7ADDF" w14:textId="77777777" w:rsidR="00673C26" w:rsidRPr="00166A9F" w:rsidRDefault="00AF202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proofErr w:type="spellStart"/>
                        <w:r w:rsidR="006C04AE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Knowladge</w:t>
                        </w:r>
                        <w:proofErr w:type="spellEnd"/>
                        <w:r w:rsidR="006C04AE" w:rsidRPr="00166A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 xml:space="preserve"> Databases -&gt;Health and Health care</w:t>
                        </w:r>
                      </w:hyperlink>
                      <w:r w:rsidR="006C04AE" w:rsidRPr="00166A9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  <w:t xml:space="preserve"> </w:t>
                      </w:r>
                    </w:p>
                    <w:p w14:paraId="52C5E401" w14:textId="77777777" w:rsidR="00AB6D25" w:rsidRPr="001F551B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0CC8E9B6" w14:textId="77777777" w:rsidR="00AB6D25" w:rsidRPr="001F551B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</w:t>
                      </w:r>
                      <w:r w:rsidR="00B1321E"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 statis</w:t>
                      </w:r>
                      <w:r w:rsidR="00915AA6" w:rsidRPr="001F551B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tics</w:t>
                      </w:r>
                    </w:p>
                    <w:p w14:paraId="5A4F6D78" w14:textId="44D75746" w:rsidR="00F15EA4" w:rsidRPr="00DF797D" w:rsidRDefault="00F050F4" w:rsidP="00137E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2" w:history="1">
                        <w:r w:rsidR="00F15EA4" w:rsidRPr="00DF79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Specialised out-patient services</w:t>
                        </w:r>
                      </w:hyperlink>
                    </w:p>
                    <w:p w14:paraId="483CB39B" w14:textId="596C70E7" w:rsidR="008F639B" w:rsidRPr="00DF797D" w:rsidRDefault="00F050F4" w:rsidP="00137E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8F639B" w:rsidRPr="00DF79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Out-patient health care services</w:t>
                        </w:r>
                      </w:hyperlink>
                    </w:p>
                    <w:p w14:paraId="1426B2C4" w14:textId="2C26CA7C" w:rsidR="008F639B" w:rsidRPr="00DF797D" w:rsidRDefault="00F050F4" w:rsidP="00137E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4" w:history="1">
                        <w:r w:rsidR="008F639B" w:rsidRPr="00DF79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Primary health care</w:t>
                        </w:r>
                      </w:hyperlink>
                    </w:p>
                    <w:p w14:paraId="19FE1B8C" w14:textId="52282D26" w:rsidR="008F639B" w:rsidRPr="00DF797D" w:rsidRDefault="00F050F4" w:rsidP="00137E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8F639B" w:rsidRPr="00DF79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Consultation</w:t>
                        </w:r>
                      </w:hyperlink>
                    </w:p>
                    <w:p w14:paraId="6F1F2225" w14:textId="610154DC" w:rsidR="008F639B" w:rsidRPr="00DF797D" w:rsidRDefault="008F639B" w:rsidP="00137E2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r w:rsidRPr="00DF797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Pr="00DF797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"https://stat.gov.pl/en/metainformations/glossary/terms-used-in-official-statistics/1447,term.html" </w:instrText>
                      </w:r>
                      <w:r w:rsidRPr="00DF797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DF797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  <w:t>Medical practice</w:t>
                      </w:r>
                    </w:p>
                    <w:p w14:paraId="4C7BEC0D" w14:textId="5AD72961" w:rsidR="006C04AE" w:rsidRPr="008F639B" w:rsidRDefault="008F639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GB"/>
                        </w:rPr>
                      </w:pPr>
                      <w:r w:rsidRPr="00DF797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46" w:history="1">
                        <w:r w:rsidRPr="00DF79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An out-pati</w:t>
                        </w:r>
                        <w:r w:rsidRPr="00DF79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e</w:t>
                        </w:r>
                        <w:r w:rsidRPr="00DF79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GB"/>
                          </w:rPr>
                          <w:t>nt department</w:t>
                        </w:r>
                      </w:hyperlink>
                    </w:p>
                    <w:p w14:paraId="491B9B4B" w14:textId="77777777" w:rsidR="006C04AE" w:rsidRPr="007352D2" w:rsidRDefault="006C04AE" w:rsidP="00AB6D25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7"/>
      <w:footerReference w:type="default" r:id="rId4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B66E7" w14:textId="77777777" w:rsidR="00DE4987" w:rsidRDefault="00DE4987" w:rsidP="000662E2">
      <w:pPr>
        <w:spacing w:after="0" w:line="240" w:lineRule="auto"/>
      </w:pPr>
      <w:r>
        <w:separator/>
      </w:r>
    </w:p>
  </w:endnote>
  <w:endnote w:type="continuationSeparator" w:id="0">
    <w:p w14:paraId="19F686FF" w14:textId="77777777" w:rsidR="00DE4987" w:rsidRDefault="00DE49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A01C418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5AF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12BBA21C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5A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E2BA467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5A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7E3E9" w14:textId="77777777" w:rsidR="00DE4987" w:rsidRDefault="00DE4987" w:rsidP="000662E2">
      <w:pPr>
        <w:spacing w:after="0" w:line="240" w:lineRule="auto"/>
      </w:pPr>
      <w:r>
        <w:separator/>
      </w:r>
    </w:p>
  </w:footnote>
  <w:footnote w:type="continuationSeparator" w:id="0">
    <w:p w14:paraId="496DE629" w14:textId="77777777" w:rsidR="00DE4987" w:rsidRDefault="00DE4987" w:rsidP="000662E2">
      <w:pPr>
        <w:spacing w:after="0" w:line="240" w:lineRule="auto"/>
      </w:pPr>
      <w:r>
        <w:continuationSeparator/>
      </w:r>
    </w:p>
  </w:footnote>
  <w:footnote w:id="1">
    <w:p w14:paraId="1F81AE3B" w14:textId="2976738C" w:rsidR="00336A71" w:rsidRPr="00336A71" w:rsidRDefault="00336A71" w:rsidP="00336A71">
      <w:pPr>
        <w:pStyle w:val="Tekstprzypisudolnego"/>
        <w:rPr>
          <w:sz w:val="16"/>
          <w:szCs w:val="16"/>
          <w:lang w:val="en-GB"/>
        </w:rPr>
      </w:pPr>
      <w:r w:rsidRPr="00AF3262">
        <w:rPr>
          <w:rStyle w:val="Odwoanieprzypisudolnego"/>
          <w:sz w:val="16"/>
          <w:szCs w:val="16"/>
        </w:rPr>
        <w:footnoteRef/>
      </w:r>
      <w:r w:rsidR="00F512F7">
        <w:rPr>
          <w:sz w:val="16"/>
          <w:szCs w:val="16"/>
          <w:lang w:val="en-GB"/>
        </w:rPr>
        <w:t xml:space="preserve"> </w:t>
      </w:r>
      <w:r w:rsidRPr="00336A71">
        <w:rPr>
          <w:sz w:val="16"/>
          <w:szCs w:val="16"/>
          <w:lang w:val="en-GB"/>
        </w:rPr>
        <w:t xml:space="preserve">Including outpatient </w:t>
      </w:r>
      <w:r w:rsidR="00F512F7" w:rsidRPr="00336A71">
        <w:rPr>
          <w:sz w:val="16"/>
          <w:szCs w:val="16"/>
          <w:lang w:val="en-GB"/>
        </w:rPr>
        <w:t>departments</w:t>
      </w:r>
      <w:r w:rsidRPr="00336A71">
        <w:rPr>
          <w:sz w:val="16"/>
          <w:szCs w:val="16"/>
          <w:lang w:val="en-GB"/>
        </w:rPr>
        <w:t xml:space="preserve"> of Ministry of National Defence and Ministry of the Interior and Administration.</w:t>
      </w:r>
      <w:r w:rsidRPr="00336A71">
        <w:rPr>
          <w:rFonts w:ascii="Fira Sans SemiBold" w:eastAsia="Times New Roman" w:hAnsi="Fira Sans SemiBold" w:cs="Times New Roman"/>
          <w:bCs/>
          <w:noProof/>
          <w:color w:val="001D77"/>
          <w:szCs w:val="24"/>
          <w:lang w:val="en-GB" w:eastAsia="pl-PL"/>
        </w:rPr>
        <w:t xml:space="preserve"> </w:t>
      </w:r>
    </w:p>
  </w:footnote>
  <w:footnote w:id="2">
    <w:p w14:paraId="4D05CF38" w14:textId="4CCC2959" w:rsidR="00336A71" w:rsidRPr="00336A71" w:rsidRDefault="00336A71" w:rsidP="00336A71">
      <w:pPr>
        <w:pStyle w:val="Tekstprzypisudolnego"/>
        <w:rPr>
          <w:sz w:val="16"/>
          <w:szCs w:val="16"/>
          <w:lang w:val="en-GB"/>
        </w:rPr>
      </w:pPr>
      <w:r w:rsidRPr="00012095">
        <w:rPr>
          <w:rStyle w:val="Odwoanieprzypisudolnego"/>
          <w:sz w:val="16"/>
          <w:szCs w:val="16"/>
        </w:rPr>
        <w:footnoteRef/>
      </w:r>
      <w:r w:rsidRPr="00336A71">
        <w:rPr>
          <w:sz w:val="16"/>
          <w:szCs w:val="16"/>
          <w:lang w:val="en-GB"/>
        </w:rPr>
        <w:t xml:space="preserve"> Including information on holiday and </w:t>
      </w:r>
      <w:proofErr w:type="spellStart"/>
      <w:r w:rsidRPr="00336A71">
        <w:rPr>
          <w:sz w:val="16"/>
          <w:szCs w:val="16"/>
          <w:lang w:val="en-GB"/>
        </w:rPr>
        <w:t>nighttime</w:t>
      </w:r>
      <w:proofErr w:type="spellEnd"/>
      <w:r w:rsidRPr="00336A71">
        <w:rPr>
          <w:sz w:val="16"/>
          <w:szCs w:val="16"/>
          <w:lang w:val="en-GB"/>
        </w:rPr>
        <w:t xml:space="preserve"> medical service. There are health care be</w:t>
      </w:r>
      <w:r w:rsidR="00183CF0">
        <w:rPr>
          <w:sz w:val="16"/>
          <w:szCs w:val="16"/>
          <w:lang w:val="en-GB"/>
        </w:rPr>
        <w:t xml:space="preserve">nefits in primary health care, </w:t>
      </w:r>
      <w:r w:rsidRPr="00336A71">
        <w:rPr>
          <w:sz w:val="16"/>
          <w:szCs w:val="16"/>
          <w:lang w:val="en-GB"/>
        </w:rPr>
        <w:t>provided from 6 pm to 8 pm on the following day and 24 hours on public holidays.</w:t>
      </w:r>
      <w:r w:rsidRPr="003A6F84">
        <w:rPr>
          <w:sz w:val="16"/>
          <w:szCs w:val="16"/>
          <w:lang w:val="en-GB"/>
        </w:rPr>
        <w:t xml:space="preserve"> </w:t>
      </w:r>
      <w:r w:rsidRPr="00336A71">
        <w:rPr>
          <w:sz w:val="16"/>
          <w:szCs w:val="16"/>
          <w:lang w:val="en-GB"/>
        </w:rPr>
        <w:t xml:space="preserve">Including </w:t>
      </w:r>
      <w:r w:rsidR="003A6F84">
        <w:rPr>
          <w:sz w:val="16"/>
          <w:szCs w:val="16"/>
          <w:lang w:val="en-GB"/>
        </w:rPr>
        <w:t>also</w:t>
      </w:r>
      <w:r w:rsidRPr="00336A71">
        <w:rPr>
          <w:sz w:val="16"/>
          <w:szCs w:val="16"/>
          <w:lang w:val="en-GB"/>
        </w:rPr>
        <w:t xml:space="preserve"> information on holiday and </w:t>
      </w:r>
      <w:proofErr w:type="spellStart"/>
      <w:r w:rsidRPr="00336A71">
        <w:rPr>
          <w:sz w:val="16"/>
          <w:szCs w:val="16"/>
          <w:lang w:val="en-GB"/>
        </w:rPr>
        <w:t>nighttime</w:t>
      </w:r>
      <w:proofErr w:type="spellEnd"/>
      <w:r w:rsidRPr="00336A71">
        <w:rPr>
          <w:sz w:val="16"/>
          <w:szCs w:val="16"/>
          <w:lang w:val="en-GB"/>
        </w:rPr>
        <w:t xml:space="preserve"> medical service given as a </w:t>
      </w:r>
      <w:r w:rsidR="00A67479" w:rsidRPr="00336A71">
        <w:rPr>
          <w:sz w:val="16"/>
          <w:szCs w:val="16"/>
          <w:lang w:val="en-GB"/>
        </w:rPr>
        <w:t>subcontract</w:t>
      </w:r>
      <w:r w:rsidRPr="00336A71">
        <w:rPr>
          <w:sz w:val="16"/>
          <w:szCs w:val="16"/>
          <w:lang w:val="en-GB"/>
        </w:rPr>
        <w:t xml:space="preserve"> with a hospital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C35B3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A12500" wp14:editId="1D15278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3684FD0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8C37A" w14:textId="77777777"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4F9B08B0" wp14:editId="09A938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17" name="Obraz 17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DD1A4C" wp14:editId="2C46AA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38AB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DD1A4C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9E638AB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E05091E" wp14:editId="123B7E7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20AFFEA2" w14:textId="77777777" w:rsidR="001C7430" w:rsidRDefault="001C7430">
    <w:pPr>
      <w:pStyle w:val="Nagwek"/>
      <w:rPr>
        <w:noProof/>
        <w:lang w:eastAsia="pl-PL"/>
      </w:rPr>
    </w:pPr>
  </w:p>
  <w:p w14:paraId="1AC84221" w14:textId="77777777" w:rsidR="001C7430" w:rsidRDefault="001C7430">
    <w:pPr>
      <w:pStyle w:val="Nagwek"/>
      <w:rPr>
        <w:noProof/>
        <w:lang w:eastAsia="pl-PL"/>
      </w:rPr>
    </w:pPr>
  </w:p>
  <w:p w14:paraId="0F9DA516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F708344" wp14:editId="6A6872D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E5067" w14:textId="43FD8A39" w:rsidR="00F37172" w:rsidRPr="00C97596" w:rsidRDefault="0051513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</w:t>
                          </w:r>
                          <w:r w:rsidR="00566AFD">
                            <w:rPr>
                              <w:rFonts w:ascii="Fira Sans SemiBold" w:hAnsi="Fira Sans SemiBold"/>
                              <w:color w:val="001D77"/>
                            </w:rPr>
                            <w:t>.06.2020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0834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43E5067" w14:textId="43FD8A39" w:rsidR="00F37172" w:rsidRPr="00C97596" w:rsidRDefault="0051513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</w:t>
                    </w:r>
                    <w:r w:rsidR="00566AFD">
                      <w:rPr>
                        <w:rFonts w:ascii="Fira Sans SemiBold" w:hAnsi="Fira Sans SemiBold"/>
                        <w:color w:val="001D77"/>
                      </w:rPr>
                      <w:t>.06.2020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7887" w14:textId="77777777" w:rsidR="00607CC5" w:rsidRDefault="00607CC5">
    <w:pPr>
      <w:pStyle w:val="Nagwek"/>
    </w:pPr>
  </w:p>
  <w:p w14:paraId="633B942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33"/>
    <w:rsid w:val="00006B0A"/>
    <w:rsid w:val="0000709F"/>
    <w:rsid w:val="000108B8"/>
    <w:rsid w:val="000152F5"/>
    <w:rsid w:val="00026AF0"/>
    <w:rsid w:val="0004582E"/>
    <w:rsid w:val="000470AA"/>
    <w:rsid w:val="000526B8"/>
    <w:rsid w:val="00057418"/>
    <w:rsid w:val="00057CA1"/>
    <w:rsid w:val="00064EFE"/>
    <w:rsid w:val="000662E2"/>
    <w:rsid w:val="00066883"/>
    <w:rsid w:val="00066B26"/>
    <w:rsid w:val="000670DE"/>
    <w:rsid w:val="00067E4F"/>
    <w:rsid w:val="00074DD8"/>
    <w:rsid w:val="00075CE1"/>
    <w:rsid w:val="000806F7"/>
    <w:rsid w:val="00093C74"/>
    <w:rsid w:val="000B0727"/>
    <w:rsid w:val="000C0DD6"/>
    <w:rsid w:val="000C135D"/>
    <w:rsid w:val="000C3280"/>
    <w:rsid w:val="000C5748"/>
    <w:rsid w:val="000D1D43"/>
    <w:rsid w:val="000D1EAB"/>
    <w:rsid w:val="000D225C"/>
    <w:rsid w:val="000D2A5C"/>
    <w:rsid w:val="000D5015"/>
    <w:rsid w:val="000E0918"/>
    <w:rsid w:val="001011C3"/>
    <w:rsid w:val="00105E9D"/>
    <w:rsid w:val="00110D87"/>
    <w:rsid w:val="001133E2"/>
    <w:rsid w:val="00114DB9"/>
    <w:rsid w:val="00116087"/>
    <w:rsid w:val="00130296"/>
    <w:rsid w:val="001339C1"/>
    <w:rsid w:val="00133EFD"/>
    <w:rsid w:val="00137E2A"/>
    <w:rsid w:val="001423B6"/>
    <w:rsid w:val="001424E0"/>
    <w:rsid w:val="001448A7"/>
    <w:rsid w:val="00146621"/>
    <w:rsid w:val="00151281"/>
    <w:rsid w:val="00152003"/>
    <w:rsid w:val="001524B7"/>
    <w:rsid w:val="0016006B"/>
    <w:rsid w:val="00160C38"/>
    <w:rsid w:val="00162325"/>
    <w:rsid w:val="00166A9F"/>
    <w:rsid w:val="0017674F"/>
    <w:rsid w:val="00181DDC"/>
    <w:rsid w:val="00183CF0"/>
    <w:rsid w:val="001951DA"/>
    <w:rsid w:val="001B02E9"/>
    <w:rsid w:val="001C3269"/>
    <w:rsid w:val="001C7430"/>
    <w:rsid w:val="001D1DB4"/>
    <w:rsid w:val="001D2736"/>
    <w:rsid w:val="001D2818"/>
    <w:rsid w:val="001D5A25"/>
    <w:rsid w:val="001D6AEA"/>
    <w:rsid w:val="001F551B"/>
    <w:rsid w:val="00206E7B"/>
    <w:rsid w:val="00214800"/>
    <w:rsid w:val="00223CE0"/>
    <w:rsid w:val="00231EF6"/>
    <w:rsid w:val="0025563A"/>
    <w:rsid w:val="002574F9"/>
    <w:rsid w:val="00262B61"/>
    <w:rsid w:val="002655F3"/>
    <w:rsid w:val="00270291"/>
    <w:rsid w:val="00270666"/>
    <w:rsid w:val="00276811"/>
    <w:rsid w:val="002777D0"/>
    <w:rsid w:val="00282699"/>
    <w:rsid w:val="002926DF"/>
    <w:rsid w:val="00296697"/>
    <w:rsid w:val="002A6113"/>
    <w:rsid w:val="002B0472"/>
    <w:rsid w:val="002B6B12"/>
    <w:rsid w:val="002D4283"/>
    <w:rsid w:val="002D5D08"/>
    <w:rsid w:val="002E4410"/>
    <w:rsid w:val="002E6140"/>
    <w:rsid w:val="002E6985"/>
    <w:rsid w:val="002E71B6"/>
    <w:rsid w:val="002F3D85"/>
    <w:rsid w:val="002F77C8"/>
    <w:rsid w:val="00304F22"/>
    <w:rsid w:val="00304F6C"/>
    <w:rsid w:val="00306C7C"/>
    <w:rsid w:val="00322EDD"/>
    <w:rsid w:val="00331527"/>
    <w:rsid w:val="00331A10"/>
    <w:rsid w:val="00332320"/>
    <w:rsid w:val="00336A71"/>
    <w:rsid w:val="003375FF"/>
    <w:rsid w:val="00347D72"/>
    <w:rsid w:val="003568C8"/>
    <w:rsid w:val="00357611"/>
    <w:rsid w:val="00364C32"/>
    <w:rsid w:val="00365AE3"/>
    <w:rsid w:val="00367237"/>
    <w:rsid w:val="0037077F"/>
    <w:rsid w:val="00372411"/>
    <w:rsid w:val="00373882"/>
    <w:rsid w:val="00375289"/>
    <w:rsid w:val="003843DB"/>
    <w:rsid w:val="00391300"/>
    <w:rsid w:val="00393761"/>
    <w:rsid w:val="00397D18"/>
    <w:rsid w:val="003A1B36"/>
    <w:rsid w:val="003A2056"/>
    <w:rsid w:val="003A34AE"/>
    <w:rsid w:val="003A56B5"/>
    <w:rsid w:val="003A6869"/>
    <w:rsid w:val="003A6F84"/>
    <w:rsid w:val="003B1454"/>
    <w:rsid w:val="003B18B6"/>
    <w:rsid w:val="003C59E0"/>
    <w:rsid w:val="003C6C8D"/>
    <w:rsid w:val="003C786B"/>
    <w:rsid w:val="003D2696"/>
    <w:rsid w:val="003D4F95"/>
    <w:rsid w:val="003D5F42"/>
    <w:rsid w:val="003D60A9"/>
    <w:rsid w:val="003F4C97"/>
    <w:rsid w:val="003F5882"/>
    <w:rsid w:val="003F7A34"/>
    <w:rsid w:val="003F7FE6"/>
    <w:rsid w:val="00400193"/>
    <w:rsid w:val="00416DE5"/>
    <w:rsid w:val="004212E7"/>
    <w:rsid w:val="00422675"/>
    <w:rsid w:val="0042446D"/>
    <w:rsid w:val="00427BF8"/>
    <w:rsid w:val="004309E0"/>
    <w:rsid w:val="00431C02"/>
    <w:rsid w:val="00437395"/>
    <w:rsid w:val="00445047"/>
    <w:rsid w:val="00463E39"/>
    <w:rsid w:val="004640E8"/>
    <w:rsid w:val="004657FC"/>
    <w:rsid w:val="004733F6"/>
    <w:rsid w:val="00474E69"/>
    <w:rsid w:val="00480F0B"/>
    <w:rsid w:val="0049311F"/>
    <w:rsid w:val="00493905"/>
    <w:rsid w:val="0049621B"/>
    <w:rsid w:val="004C1895"/>
    <w:rsid w:val="004C6D40"/>
    <w:rsid w:val="004F0C3C"/>
    <w:rsid w:val="004F63FC"/>
    <w:rsid w:val="0050160A"/>
    <w:rsid w:val="00505A92"/>
    <w:rsid w:val="00515138"/>
    <w:rsid w:val="005203F1"/>
    <w:rsid w:val="00521BC3"/>
    <w:rsid w:val="0052360F"/>
    <w:rsid w:val="00533632"/>
    <w:rsid w:val="00535763"/>
    <w:rsid w:val="00540F97"/>
    <w:rsid w:val="0054192C"/>
    <w:rsid w:val="00541E6E"/>
    <w:rsid w:val="0054251F"/>
    <w:rsid w:val="005520D8"/>
    <w:rsid w:val="00556CF1"/>
    <w:rsid w:val="00566AFD"/>
    <w:rsid w:val="005762A7"/>
    <w:rsid w:val="0058376C"/>
    <w:rsid w:val="005916D7"/>
    <w:rsid w:val="00595AB8"/>
    <w:rsid w:val="005A698C"/>
    <w:rsid w:val="005B0F01"/>
    <w:rsid w:val="005B31DA"/>
    <w:rsid w:val="005B7D5D"/>
    <w:rsid w:val="005C7DFA"/>
    <w:rsid w:val="005D5492"/>
    <w:rsid w:val="005E0799"/>
    <w:rsid w:val="005F5A80"/>
    <w:rsid w:val="006044FF"/>
    <w:rsid w:val="00607CC5"/>
    <w:rsid w:val="00612A06"/>
    <w:rsid w:val="00623723"/>
    <w:rsid w:val="00633014"/>
    <w:rsid w:val="0063437B"/>
    <w:rsid w:val="00651EB8"/>
    <w:rsid w:val="00654A64"/>
    <w:rsid w:val="006631DD"/>
    <w:rsid w:val="00663999"/>
    <w:rsid w:val="006673CA"/>
    <w:rsid w:val="00673C26"/>
    <w:rsid w:val="00675C98"/>
    <w:rsid w:val="006812AF"/>
    <w:rsid w:val="0068327D"/>
    <w:rsid w:val="00693D1A"/>
    <w:rsid w:val="00694AF0"/>
    <w:rsid w:val="006A2E6B"/>
    <w:rsid w:val="006A3089"/>
    <w:rsid w:val="006A4686"/>
    <w:rsid w:val="006B0E9E"/>
    <w:rsid w:val="006B25E6"/>
    <w:rsid w:val="006B5AE4"/>
    <w:rsid w:val="006B61BC"/>
    <w:rsid w:val="006C04AE"/>
    <w:rsid w:val="006C4EAA"/>
    <w:rsid w:val="006D1507"/>
    <w:rsid w:val="006D4054"/>
    <w:rsid w:val="006E02EC"/>
    <w:rsid w:val="006E0512"/>
    <w:rsid w:val="00717063"/>
    <w:rsid w:val="007211B1"/>
    <w:rsid w:val="0073097E"/>
    <w:rsid w:val="007316DD"/>
    <w:rsid w:val="0073223E"/>
    <w:rsid w:val="007352D2"/>
    <w:rsid w:val="00740B52"/>
    <w:rsid w:val="00746187"/>
    <w:rsid w:val="00751390"/>
    <w:rsid w:val="0076254F"/>
    <w:rsid w:val="00770EF8"/>
    <w:rsid w:val="00774ED9"/>
    <w:rsid w:val="007801F5"/>
    <w:rsid w:val="00783CA4"/>
    <w:rsid w:val="007842FB"/>
    <w:rsid w:val="00786124"/>
    <w:rsid w:val="0079514B"/>
    <w:rsid w:val="007A2DC1"/>
    <w:rsid w:val="007B15AF"/>
    <w:rsid w:val="007D3319"/>
    <w:rsid w:val="007D335D"/>
    <w:rsid w:val="007E3314"/>
    <w:rsid w:val="007E39A5"/>
    <w:rsid w:val="007E4B03"/>
    <w:rsid w:val="007F22D2"/>
    <w:rsid w:val="007F324B"/>
    <w:rsid w:val="0080553C"/>
    <w:rsid w:val="00805B46"/>
    <w:rsid w:val="008222D9"/>
    <w:rsid w:val="00825DC2"/>
    <w:rsid w:val="00826192"/>
    <w:rsid w:val="008330F3"/>
    <w:rsid w:val="00834AD3"/>
    <w:rsid w:val="00843795"/>
    <w:rsid w:val="00847F0F"/>
    <w:rsid w:val="00852448"/>
    <w:rsid w:val="00852946"/>
    <w:rsid w:val="00867BB1"/>
    <w:rsid w:val="00876D0A"/>
    <w:rsid w:val="0088258A"/>
    <w:rsid w:val="00886332"/>
    <w:rsid w:val="008A26D9"/>
    <w:rsid w:val="008A29B3"/>
    <w:rsid w:val="008C0C29"/>
    <w:rsid w:val="008E2748"/>
    <w:rsid w:val="008F3638"/>
    <w:rsid w:val="008F4441"/>
    <w:rsid w:val="008F5AFD"/>
    <w:rsid w:val="008F639B"/>
    <w:rsid w:val="008F6F31"/>
    <w:rsid w:val="008F74DF"/>
    <w:rsid w:val="008F7AE4"/>
    <w:rsid w:val="00904991"/>
    <w:rsid w:val="009127BA"/>
    <w:rsid w:val="00913483"/>
    <w:rsid w:val="009134D1"/>
    <w:rsid w:val="00915AA6"/>
    <w:rsid w:val="009227A6"/>
    <w:rsid w:val="00933EC1"/>
    <w:rsid w:val="009530DB"/>
    <w:rsid w:val="00953676"/>
    <w:rsid w:val="0095512A"/>
    <w:rsid w:val="0096411C"/>
    <w:rsid w:val="00964274"/>
    <w:rsid w:val="009705EE"/>
    <w:rsid w:val="00977927"/>
    <w:rsid w:val="0098135C"/>
    <w:rsid w:val="0098156A"/>
    <w:rsid w:val="00982BDD"/>
    <w:rsid w:val="00985CF5"/>
    <w:rsid w:val="00991BAC"/>
    <w:rsid w:val="0099479C"/>
    <w:rsid w:val="0099778B"/>
    <w:rsid w:val="009A3105"/>
    <w:rsid w:val="009A5961"/>
    <w:rsid w:val="009A6EA0"/>
    <w:rsid w:val="009B6210"/>
    <w:rsid w:val="009B79EF"/>
    <w:rsid w:val="009C1335"/>
    <w:rsid w:val="009C1AB2"/>
    <w:rsid w:val="009C5AF1"/>
    <w:rsid w:val="009C69C0"/>
    <w:rsid w:val="009C7251"/>
    <w:rsid w:val="009D1EB8"/>
    <w:rsid w:val="009D4C25"/>
    <w:rsid w:val="009E2E91"/>
    <w:rsid w:val="009E38B5"/>
    <w:rsid w:val="009F41DD"/>
    <w:rsid w:val="00A03F9B"/>
    <w:rsid w:val="00A06043"/>
    <w:rsid w:val="00A10529"/>
    <w:rsid w:val="00A139F5"/>
    <w:rsid w:val="00A14CB7"/>
    <w:rsid w:val="00A22528"/>
    <w:rsid w:val="00A24587"/>
    <w:rsid w:val="00A365F4"/>
    <w:rsid w:val="00A47D80"/>
    <w:rsid w:val="00A53132"/>
    <w:rsid w:val="00A5424C"/>
    <w:rsid w:val="00A563F2"/>
    <w:rsid w:val="00A566E8"/>
    <w:rsid w:val="00A67479"/>
    <w:rsid w:val="00A74901"/>
    <w:rsid w:val="00A810F9"/>
    <w:rsid w:val="00A86ECC"/>
    <w:rsid w:val="00A86FCC"/>
    <w:rsid w:val="00A97ACE"/>
    <w:rsid w:val="00AA710D"/>
    <w:rsid w:val="00AB5DFF"/>
    <w:rsid w:val="00AB6D25"/>
    <w:rsid w:val="00AC3FCE"/>
    <w:rsid w:val="00AC5B46"/>
    <w:rsid w:val="00AD6566"/>
    <w:rsid w:val="00AE2D4B"/>
    <w:rsid w:val="00AE4F99"/>
    <w:rsid w:val="00AF2029"/>
    <w:rsid w:val="00AF265A"/>
    <w:rsid w:val="00B12859"/>
    <w:rsid w:val="00B1321E"/>
    <w:rsid w:val="00B14952"/>
    <w:rsid w:val="00B31E5A"/>
    <w:rsid w:val="00B360BD"/>
    <w:rsid w:val="00B5250E"/>
    <w:rsid w:val="00B54027"/>
    <w:rsid w:val="00B653AB"/>
    <w:rsid w:val="00B65F9E"/>
    <w:rsid w:val="00B66B19"/>
    <w:rsid w:val="00B77848"/>
    <w:rsid w:val="00B900C1"/>
    <w:rsid w:val="00B914E9"/>
    <w:rsid w:val="00B956EE"/>
    <w:rsid w:val="00BA2BA1"/>
    <w:rsid w:val="00BA49AF"/>
    <w:rsid w:val="00BB4F09"/>
    <w:rsid w:val="00BC39B4"/>
    <w:rsid w:val="00BD4E33"/>
    <w:rsid w:val="00BE13B8"/>
    <w:rsid w:val="00BE1FF3"/>
    <w:rsid w:val="00BE597E"/>
    <w:rsid w:val="00C030DE"/>
    <w:rsid w:val="00C04373"/>
    <w:rsid w:val="00C1522E"/>
    <w:rsid w:val="00C22105"/>
    <w:rsid w:val="00C244B6"/>
    <w:rsid w:val="00C3702F"/>
    <w:rsid w:val="00C46E8C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808"/>
    <w:rsid w:val="00C96FAA"/>
    <w:rsid w:val="00C97A04"/>
    <w:rsid w:val="00CA107B"/>
    <w:rsid w:val="00CA484D"/>
    <w:rsid w:val="00CA4FB6"/>
    <w:rsid w:val="00CA5214"/>
    <w:rsid w:val="00CB41A7"/>
    <w:rsid w:val="00CC739E"/>
    <w:rsid w:val="00CD58B7"/>
    <w:rsid w:val="00CF4099"/>
    <w:rsid w:val="00CF7397"/>
    <w:rsid w:val="00D00796"/>
    <w:rsid w:val="00D261A2"/>
    <w:rsid w:val="00D30555"/>
    <w:rsid w:val="00D616D2"/>
    <w:rsid w:val="00D637D3"/>
    <w:rsid w:val="00D63B5F"/>
    <w:rsid w:val="00D64203"/>
    <w:rsid w:val="00D70EF7"/>
    <w:rsid w:val="00D8397C"/>
    <w:rsid w:val="00D84A63"/>
    <w:rsid w:val="00D94EED"/>
    <w:rsid w:val="00D96026"/>
    <w:rsid w:val="00DA13A4"/>
    <w:rsid w:val="00DA3022"/>
    <w:rsid w:val="00DA334F"/>
    <w:rsid w:val="00DA7BF8"/>
    <w:rsid w:val="00DA7C1C"/>
    <w:rsid w:val="00DB147A"/>
    <w:rsid w:val="00DB1B7A"/>
    <w:rsid w:val="00DC4272"/>
    <w:rsid w:val="00DC6708"/>
    <w:rsid w:val="00DC7F82"/>
    <w:rsid w:val="00DD168F"/>
    <w:rsid w:val="00DE4987"/>
    <w:rsid w:val="00DF797D"/>
    <w:rsid w:val="00E01436"/>
    <w:rsid w:val="00E045BD"/>
    <w:rsid w:val="00E122C7"/>
    <w:rsid w:val="00E17B77"/>
    <w:rsid w:val="00E23337"/>
    <w:rsid w:val="00E2349A"/>
    <w:rsid w:val="00E236C5"/>
    <w:rsid w:val="00E259EA"/>
    <w:rsid w:val="00E30AF1"/>
    <w:rsid w:val="00E31ACC"/>
    <w:rsid w:val="00E32061"/>
    <w:rsid w:val="00E3529B"/>
    <w:rsid w:val="00E42FF9"/>
    <w:rsid w:val="00E4714C"/>
    <w:rsid w:val="00E51AEB"/>
    <w:rsid w:val="00E522A7"/>
    <w:rsid w:val="00E54452"/>
    <w:rsid w:val="00E55910"/>
    <w:rsid w:val="00E664C5"/>
    <w:rsid w:val="00E671A2"/>
    <w:rsid w:val="00E76D26"/>
    <w:rsid w:val="00E84408"/>
    <w:rsid w:val="00E91456"/>
    <w:rsid w:val="00EB1390"/>
    <w:rsid w:val="00EB2C71"/>
    <w:rsid w:val="00EB4340"/>
    <w:rsid w:val="00EB556D"/>
    <w:rsid w:val="00EB5A7D"/>
    <w:rsid w:val="00EC27D4"/>
    <w:rsid w:val="00EC68F8"/>
    <w:rsid w:val="00ED1D5F"/>
    <w:rsid w:val="00ED55C0"/>
    <w:rsid w:val="00ED682B"/>
    <w:rsid w:val="00EE2B9F"/>
    <w:rsid w:val="00EE41D5"/>
    <w:rsid w:val="00EE4CAF"/>
    <w:rsid w:val="00F037A4"/>
    <w:rsid w:val="00F050F4"/>
    <w:rsid w:val="00F06B26"/>
    <w:rsid w:val="00F15EA4"/>
    <w:rsid w:val="00F261C6"/>
    <w:rsid w:val="00F26D39"/>
    <w:rsid w:val="00F27C8F"/>
    <w:rsid w:val="00F32749"/>
    <w:rsid w:val="00F3484E"/>
    <w:rsid w:val="00F37172"/>
    <w:rsid w:val="00F376B4"/>
    <w:rsid w:val="00F4196A"/>
    <w:rsid w:val="00F4477E"/>
    <w:rsid w:val="00F512F7"/>
    <w:rsid w:val="00F541ED"/>
    <w:rsid w:val="00F670E8"/>
    <w:rsid w:val="00F67D8F"/>
    <w:rsid w:val="00F802BE"/>
    <w:rsid w:val="00F86024"/>
    <w:rsid w:val="00F8611A"/>
    <w:rsid w:val="00F90251"/>
    <w:rsid w:val="00F934AB"/>
    <w:rsid w:val="00F963F2"/>
    <w:rsid w:val="00FA4729"/>
    <w:rsid w:val="00FA5128"/>
    <w:rsid w:val="00FB084F"/>
    <w:rsid w:val="00FB42D4"/>
    <w:rsid w:val="00FB5906"/>
    <w:rsid w:val="00FB762F"/>
    <w:rsid w:val="00FC2AED"/>
    <w:rsid w:val="00FD03D7"/>
    <w:rsid w:val="00FD04C4"/>
    <w:rsid w:val="00FD5EA7"/>
    <w:rsid w:val="00FD670D"/>
    <w:rsid w:val="00FE218E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83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F261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68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D168F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3.png"/><Relationship Id="rId39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s://stat.gov.pl/en/metainformations/glossary/terms-used-in-official-statistics/3158,term.html" TargetMode="External"/><Relationship Id="rId42" Type="http://schemas.openxmlformats.org/officeDocument/2006/relationships/hyperlink" Target="https://stat.gov.pl/en/metainformations/glossary/terms-used-in-official-statistics/3178,term.html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hyperlink" Target="https://stat.gov.pl/obszary-tematyczne/zdrowie/zdrowie/zeszyt-metodologiczny-statystyka-zdrowia-i-ochrony-zdrowia-sprawozdawczosc-gus,21,1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en/metainformations/glossary/terms-used-in-official-statistics/3178,term.html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s://stat.gov.pl/en/metainformations/glossary/terms-used-in-official-statistics/3154,term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7.emf"/><Relationship Id="rId23" Type="http://schemas.openxmlformats.org/officeDocument/2006/relationships/hyperlink" Target="http://warszawa.stat.gov.pl/en/" TargetMode="External"/><Relationship Id="rId28" Type="http://schemas.openxmlformats.org/officeDocument/2006/relationships/hyperlink" Target="https://stat.gov.pl/en/topics/health/health/health-and-health-care-in-2018,1,9.html" TargetMode="External"/><Relationship Id="rId36" Type="http://schemas.openxmlformats.org/officeDocument/2006/relationships/hyperlink" Target="https://stat.gov.pl/en/metainformations/glossary/terms-used-in-official-statistics/3164,term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31" Type="http://schemas.openxmlformats.org/officeDocument/2006/relationships/hyperlink" Target="http://swaid.stat.gov.pl/EN/SitePagesDBW/ZdrowieOchronaZdrowia.aspx" TargetMode="External"/><Relationship Id="rId44" Type="http://schemas.openxmlformats.org/officeDocument/2006/relationships/hyperlink" Target="https://stat.gov.pl/en/metainformations/glossary/terms-used-in-official-statistics/3158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image" Target="media/image14.png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s://stat.gov.pl/en/metainformations/glossary/terms-used-in-official-statistics/3154,term.html" TargetMode="External"/><Relationship Id="rId43" Type="http://schemas.openxmlformats.org/officeDocument/2006/relationships/hyperlink" Target="https://stat.gov.pl/en/metainformations/glossary/terms-used-in-official-statistics/1946,term.html" TargetMode="External"/><Relationship Id="rId48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2.png"/><Relationship Id="rId33" Type="http://schemas.openxmlformats.org/officeDocument/2006/relationships/hyperlink" Target="https://stat.gov.pl/en/metainformations/glossary/terms-used-in-official-statistics/1946,term.html" TargetMode="External"/><Relationship Id="rId38" Type="http://schemas.openxmlformats.org/officeDocument/2006/relationships/hyperlink" Target="https://stat.gov.pl/en/topics/health/health/health-and-health-care-in-2018,1,9.html" TargetMode="External"/><Relationship Id="rId46" Type="http://schemas.openxmlformats.org/officeDocument/2006/relationships/hyperlink" Target="https://stat.gov.pl/en/metainformations/glossary/terms-used-in-official-statistics/3164,term.html" TargetMode="External"/><Relationship Id="rId20" Type="http://schemas.openxmlformats.org/officeDocument/2006/relationships/footer" Target="footer1.xml"/><Relationship Id="rId41" Type="http://schemas.openxmlformats.org/officeDocument/2006/relationships/hyperlink" Target="http://swaid.stat.gov.pl/EN/SitePagesDBW/ZdrowieOchronaZdrowia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STAT\KARCZMARSKIJ</Osoba>
    <_SourceUrl xmlns="http://schemas.microsoft.com/sharepoint/v3" xsi:nil="true"/>
    <NazwaPliku xmlns="9070EBFB-EDD5-4A8B-ADA9-FC396769AC9B">Informacja sygnalna_szablon 2019 EN US.DOCX.DOCX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E307-68DB-4D7B-B624-E4A2839956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FADBF462-1D9B-4871-AD73-F43B239AD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72A38-359D-4F10-B8F1-B6F7F239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5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2020-06-23T05:55:00Z</cp:lastPrinted>
  <dcterms:created xsi:type="dcterms:W3CDTF">2020-05-04T10:49:00Z</dcterms:created>
  <dcterms:modified xsi:type="dcterms:W3CDTF">2020-06-23T05:56:00Z</dcterms:modified>
</cp:coreProperties>
</file>