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785F40" w:rsidRDefault="000A490C" w:rsidP="00074DD8">
      <w:pPr>
        <w:pStyle w:val="tytuinformacji"/>
        <w:rPr>
          <w:shd w:val="clear" w:color="auto" w:fill="FFFFFF"/>
          <w:lang w:val="en-US"/>
        </w:rPr>
      </w:pPr>
      <w:r w:rsidRPr="00785F40">
        <w:rPr>
          <w:shd w:val="clear" w:color="auto" w:fill="FFFFFF"/>
          <w:lang w:val="en-US"/>
        </w:rPr>
        <w:t>Activ</w:t>
      </w:r>
      <w:r w:rsidR="00BC2765" w:rsidRPr="00785F40">
        <w:rPr>
          <w:shd w:val="clear" w:color="auto" w:fill="FFFFFF"/>
          <w:lang w:val="en-US"/>
        </w:rPr>
        <w:t>ity of leasing companies in 2019</w:t>
      </w:r>
    </w:p>
    <w:p w:rsidR="00393761" w:rsidRPr="00785F40" w:rsidRDefault="00393761" w:rsidP="00074DD8">
      <w:pPr>
        <w:pStyle w:val="tytuinformacji"/>
        <w:rPr>
          <w:sz w:val="32"/>
          <w:lang w:val="en-US"/>
        </w:rPr>
      </w:pPr>
    </w:p>
    <w:p w:rsidR="00003437" w:rsidRPr="00785F40" w:rsidRDefault="00003437" w:rsidP="00D33CF4">
      <w:pPr>
        <w:pStyle w:val="LID"/>
        <w:rPr>
          <w:b w:val="0"/>
          <w:bCs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785F40" w:rsidRDefault="00C4700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C4700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5755" cy="325755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785F4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785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92.6</w:t>
                            </w:r>
                          </w:p>
                          <w:p w:rsidR="00933EC1" w:rsidRPr="00785F40" w:rsidRDefault="00E107F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785F40">
                              <w:rPr>
                                <w:lang w:val="en-US"/>
                              </w:rPr>
                              <w:t>D</w:t>
                            </w:r>
                            <w:r w:rsidR="00524721" w:rsidRPr="00785F40">
                              <w:rPr>
                                <w:lang w:val="en-US"/>
                              </w:rPr>
                              <w:t>ynamics of new lease agreements value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33EC1" w:rsidRPr="00785F40" w:rsidRDefault="00C4700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C47003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325755" cy="325755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785F4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785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92.6</w:t>
                      </w:r>
                    </w:p>
                    <w:p w:rsidR="00933EC1" w:rsidRPr="00785F40" w:rsidRDefault="00E107F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785F40">
                        <w:rPr>
                          <w:lang w:val="en-US"/>
                        </w:rPr>
                        <w:t>D</w:t>
                      </w:r>
                      <w:r w:rsidR="00524721" w:rsidRPr="00785F40">
                        <w:rPr>
                          <w:lang w:val="en-US"/>
                        </w:rPr>
                        <w:t>ynamics of new lease agreements value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511" w:rsidRPr="00785F40">
        <w:rPr>
          <w:lang w:val="en-US"/>
        </w:rPr>
        <w:t xml:space="preserve">The survey covered </w:t>
      </w:r>
      <w:r w:rsidR="00F7688B" w:rsidRPr="00785F40">
        <w:rPr>
          <w:lang w:val="en-US"/>
        </w:rPr>
        <w:t>83</w:t>
      </w:r>
      <w:r w:rsidR="00A67511" w:rsidRPr="00785F40">
        <w:rPr>
          <w:lang w:val="en-US"/>
        </w:rPr>
        <w:t xml:space="preserve"> enterpr</w:t>
      </w:r>
      <w:r w:rsidR="00D33CF4" w:rsidRPr="00785F40">
        <w:rPr>
          <w:lang w:val="en-US"/>
        </w:rPr>
        <w:t>ises conducting leasing activity</w:t>
      </w:r>
      <w:r w:rsidR="00F7688B" w:rsidRPr="00785F40">
        <w:rPr>
          <w:lang w:val="en-US"/>
        </w:rPr>
        <w:t xml:space="preserve"> in 2019</w:t>
      </w:r>
      <w:r w:rsidR="00A67511" w:rsidRPr="00785F40">
        <w:rPr>
          <w:lang w:val="en-US"/>
        </w:rPr>
        <w:t xml:space="preserve">. </w:t>
      </w:r>
      <w:r w:rsidR="00D33CF4" w:rsidRPr="00785F40">
        <w:rPr>
          <w:lang w:val="en-US"/>
        </w:rPr>
        <w:t xml:space="preserve"> </w:t>
      </w:r>
      <w:r w:rsidR="00F7688B" w:rsidRPr="00785F40">
        <w:rPr>
          <w:bCs/>
          <w:lang w:val="en-US"/>
        </w:rPr>
        <w:t>Throughout 2019</w:t>
      </w:r>
      <w:r w:rsidR="00A67511" w:rsidRPr="00785F40">
        <w:rPr>
          <w:bCs/>
          <w:lang w:val="en-US"/>
        </w:rPr>
        <w:t>, the surveyed</w:t>
      </w:r>
      <w:r w:rsidR="00E73765" w:rsidRPr="00785F40">
        <w:rPr>
          <w:bCs/>
          <w:lang w:val="en-US"/>
        </w:rPr>
        <w:t xml:space="preserve"> enterprises concluded 60</w:t>
      </w:r>
      <w:r w:rsidR="00F7688B" w:rsidRPr="00785F40">
        <w:rPr>
          <w:bCs/>
          <w:lang w:val="en-US"/>
        </w:rPr>
        <w:t>9</w:t>
      </w:r>
      <w:r w:rsidR="00E73765" w:rsidRPr="00785F40">
        <w:rPr>
          <w:bCs/>
          <w:lang w:val="en-US"/>
        </w:rPr>
        <w:t xml:space="preserve"> thousand</w:t>
      </w:r>
      <w:r w:rsidR="00A67511" w:rsidRPr="00785F40">
        <w:rPr>
          <w:bCs/>
          <w:lang w:val="en-US"/>
        </w:rPr>
        <w:t xml:space="preserve"> ne</w:t>
      </w:r>
      <w:r w:rsidR="00E73765" w:rsidRPr="00785F40">
        <w:rPr>
          <w:bCs/>
          <w:lang w:val="en-US"/>
        </w:rPr>
        <w:t>w lease agreements for 7</w:t>
      </w:r>
      <w:r w:rsidR="00F7688B" w:rsidRPr="00785F40">
        <w:rPr>
          <w:bCs/>
          <w:lang w:val="en-US"/>
        </w:rPr>
        <w:t>19</w:t>
      </w:r>
      <w:r w:rsidR="00E73765" w:rsidRPr="00785F40">
        <w:rPr>
          <w:bCs/>
          <w:lang w:val="en-US"/>
        </w:rPr>
        <w:t xml:space="preserve"> thousand</w:t>
      </w:r>
      <w:r w:rsidR="00A67511" w:rsidRPr="00785F40">
        <w:rPr>
          <w:bCs/>
          <w:lang w:val="en-US"/>
        </w:rPr>
        <w:t xml:space="preserve"> assets/items leased.</w:t>
      </w:r>
    </w:p>
    <w:p w:rsidR="00D33CF4" w:rsidRPr="00785F40" w:rsidRDefault="00D33CF4" w:rsidP="00074DD8">
      <w:pPr>
        <w:pStyle w:val="Nagwek1"/>
        <w:rPr>
          <w:shd w:val="clear" w:color="auto" w:fill="FFFFFF"/>
          <w:lang w:val="en-US"/>
        </w:rPr>
      </w:pPr>
    </w:p>
    <w:p w:rsidR="00D33CF4" w:rsidRPr="00785F40" w:rsidRDefault="00D33CF4" w:rsidP="00074DD8">
      <w:pPr>
        <w:pStyle w:val="Nagwek1"/>
        <w:rPr>
          <w:shd w:val="clear" w:color="auto" w:fill="FFFFFF"/>
          <w:lang w:val="en-US"/>
        </w:rPr>
      </w:pPr>
    </w:p>
    <w:p w:rsidR="00C22105" w:rsidRPr="00785F4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97" w:rsidRPr="00785F40" w:rsidRDefault="00345A97" w:rsidP="00345A9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The valu</w:t>
                            </w:r>
                            <w:r w:rsidR="009F1C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 of concluded co</w:t>
                            </w:r>
                            <w:r w:rsidR="009F1C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n</w:t>
                            </w:r>
                            <w:r w:rsidR="009F1C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tracts in 2019</w:t>
                            </w:r>
                            <w:r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amounted to </w:t>
                            </w:r>
                            <w:r w:rsidR="00E973A9"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PLN </w:t>
                            </w:r>
                            <w:r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6</w:t>
                            </w:r>
                            <w:r w:rsidR="009F1C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1</w:t>
                            </w:r>
                            <w:r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.</w:t>
                            </w:r>
                            <w:r w:rsidR="009F1C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5</w:t>
                            </w:r>
                            <w:r w:rsidRPr="00345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billion </w:t>
                            </w:r>
                          </w:p>
                          <w:p w:rsidR="00D616D2" w:rsidRPr="00785F40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345A97" w:rsidRPr="00785F40" w:rsidRDefault="00345A97" w:rsidP="00345A9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The valu</w:t>
                      </w:r>
                      <w:r w:rsidR="009F1C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 of concluded co</w:t>
                      </w:r>
                      <w:r w:rsidR="009F1C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n</w:t>
                      </w:r>
                      <w:r w:rsidR="009F1C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tracts in 2019</w:t>
                      </w:r>
                      <w:r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amounted to </w:t>
                      </w:r>
                      <w:r w:rsidR="00E973A9"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PLN </w:t>
                      </w:r>
                      <w:r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6</w:t>
                      </w:r>
                      <w:r w:rsidR="009F1C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1</w:t>
                      </w:r>
                      <w:r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.</w:t>
                      </w:r>
                      <w:r w:rsidR="009F1C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5</w:t>
                      </w:r>
                      <w:r w:rsidRPr="00345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billion </w:t>
                      </w:r>
                    </w:p>
                    <w:p w:rsidR="00D616D2" w:rsidRPr="00785F40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3F22" w:rsidRPr="00785F40">
        <w:rPr>
          <w:lang w:val="en-US"/>
        </w:rPr>
        <w:t>Basic data on leasing companies</w:t>
      </w:r>
    </w:p>
    <w:p w:rsidR="00EE144A" w:rsidRPr="009F1CFC" w:rsidRDefault="00EE144A" w:rsidP="00EE144A">
      <w:pPr>
        <w:rPr>
          <w:shd w:val="clear" w:color="auto" w:fill="FFFFFF"/>
          <w:lang w:val="en"/>
        </w:rPr>
      </w:pPr>
      <w:r>
        <w:rPr>
          <w:shd w:val="clear" w:color="auto" w:fill="FFFFFF"/>
          <w:lang w:val="en"/>
        </w:rPr>
        <w:t>T</w:t>
      </w:r>
      <w:r w:rsidRPr="00EE144A">
        <w:rPr>
          <w:shd w:val="clear" w:color="auto" w:fill="FFFFFF"/>
          <w:lang w:val="en"/>
        </w:rPr>
        <w:t xml:space="preserve">he </w:t>
      </w:r>
      <w:r>
        <w:rPr>
          <w:shd w:val="clear" w:color="auto" w:fill="FFFFFF"/>
          <w:lang w:val="en"/>
        </w:rPr>
        <w:t>surveye</w:t>
      </w:r>
      <w:r w:rsidRPr="00EE144A">
        <w:rPr>
          <w:shd w:val="clear" w:color="auto" w:fill="FFFFFF"/>
          <w:lang w:val="en"/>
        </w:rPr>
        <w:t xml:space="preserve">d entities (lessors) were represented by capital companies: </w:t>
      </w:r>
      <w:r w:rsidR="00984B07">
        <w:rPr>
          <w:shd w:val="clear" w:color="auto" w:fill="FFFFFF"/>
          <w:lang w:val="en"/>
        </w:rPr>
        <w:t>55 limited liability companies,</w:t>
      </w:r>
      <w:r w:rsidRPr="00EE144A">
        <w:rPr>
          <w:shd w:val="clear" w:color="auto" w:fill="FFFFFF"/>
          <w:lang w:val="en"/>
        </w:rPr>
        <w:t xml:space="preserve"> 2</w:t>
      </w:r>
      <w:r w:rsidR="00984B07">
        <w:rPr>
          <w:shd w:val="clear" w:color="auto" w:fill="FFFFFF"/>
          <w:lang w:val="en"/>
        </w:rPr>
        <w:t>6</w:t>
      </w:r>
      <w:r w:rsidRPr="00EE144A">
        <w:rPr>
          <w:shd w:val="clear" w:color="auto" w:fill="FFFFFF"/>
          <w:lang w:val="en"/>
        </w:rPr>
        <w:t xml:space="preserve"> joint-stock companies</w:t>
      </w:r>
      <w:r w:rsidR="00984B07">
        <w:rPr>
          <w:shd w:val="clear" w:color="auto" w:fill="FFFFFF"/>
          <w:lang w:val="en"/>
        </w:rPr>
        <w:t xml:space="preserve"> and </w:t>
      </w:r>
      <w:r w:rsidR="00945B66">
        <w:rPr>
          <w:shd w:val="clear" w:color="auto" w:fill="FFFFFF"/>
          <w:lang w:val="en"/>
        </w:rPr>
        <w:t>2</w:t>
      </w:r>
      <w:r w:rsidR="00984B07">
        <w:rPr>
          <w:shd w:val="clear" w:color="auto" w:fill="FFFFFF"/>
          <w:lang w:val="en"/>
        </w:rPr>
        <w:t xml:space="preserve"> companies with other legal forms</w:t>
      </w:r>
      <w:r w:rsidRPr="00EE144A">
        <w:rPr>
          <w:shd w:val="clear" w:color="auto" w:fill="FFFFFF"/>
          <w:lang w:val="en"/>
        </w:rPr>
        <w:t xml:space="preserve">. </w:t>
      </w:r>
      <w:r>
        <w:rPr>
          <w:shd w:val="clear" w:color="auto" w:fill="FFFFFF"/>
          <w:lang w:val="en"/>
        </w:rPr>
        <w:t>For</w:t>
      </w:r>
      <w:r w:rsidRPr="00EE144A">
        <w:rPr>
          <w:shd w:val="clear" w:color="auto" w:fill="FFFFFF"/>
          <w:lang w:val="en"/>
        </w:rPr>
        <w:t xml:space="preserve"> </w:t>
      </w:r>
      <w:r w:rsidR="00945B66">
        <w:rPr>
          <w:shd w:val="clear" w:color="auto" w:fill="FFFFFF"/>
          <w:lang w:val="en"/>
        </w:rPr>
        <w:t>18</w:t>
      </w:r>
      <w:r w:rsidRPr="00EE144A">
        <w:rPr>
          <w:shd w:val="clear" w:color="auto" w:fill="FFFFFF"/>
          <w:lang w:val="en"/>
        </w:rPr>
        <w:t xml:space="preserve"> </w:t>
      </w:r>
      <w:r>
        <w:rPr>
          <w:shd w:val="clear" w:color="auto" w:fill="FFFFFF"/>
          <w:lang w:val="en"/>
        </w:rPr>
        <w:t xml:space="preserve">of these </w:t>
      </w:r>
      <w:r w:rsidRPr="00EE144A">
        <w:rPr>
          <w:shd w:val="clear" w:color="auto" w:fill="FFFFFF"/>
          <w:lang w:val="en"/>
        </w:rPr>
        <w:t xml:space="preserve">enterprises leasing was the only type of </w:t>
      </w:r>
      <w:r>
        <w:rPr>
          <w:shd w:val="clear" w:color="auto" w:fill="FFFFFF"/>
          <w:lang w:val="en"/>
        </w:rPr>
        <w:t xml:space="preserve">their </w:t>
      </w:r>
      <w:r w:rsidRPr="00EE144A">
        <w:rPr>
          <w:shd w:val="clear" w:color="auto" w:fill="FFFFFF"/>
          <w:lang w:val="en"/>
        </w:rPr>
        <w:t xml:space="preserve">activity, </w:t>
      </w:r>
      <w:r>
        <w:rPr>
          <w:shd w:val="clear" w:color="auto" w:fill="FFFFFF"/>
          <w:lang w:val="en"/>
        </w:rPr>
        <w:t>for</w:t>
      </w:r>
      <w:r w:rsidRPr="00EE144A">
        <w:rPr>
          <w:shd w:val="clear" w:color="auto" w:fill="FFFFFF"/>
          <w:lang w:val="en"/>
        </w:rPr>
        <w:t xml:space="preserve"> </w:t>
      </w:r>
      <w:r w:rsidR="00945B66">
        <w:rPr>
          <w:shd w:val="clear" w:color="auto" w:fill="FFFFFF"/>
          <w:lang w:val="en"/>
        </w:rPr>
        <w:t>39</w:t>
      </w:r>
      <w:r w:rsidRPr="00EE144A">
        <w:rPr>
          <w:shd w:val="clear" w:color="auto" w:fill="FFFFFF"/>
          <w:lang w:val="en"/>
        </w:rPr>
        <w:t xml:space="preserve"> </w:t>
      </w:r>
      <w:r w:rsidR="004A4833">
        <w:rPr>
          <w:shd w:val="clear" w:color="auto" w:fill="FFFFFF"/>
          <w:lang w:val="en"/>
        </w:rPr>
        <w:t xml:space="preserve">- </w:t>
      </w:r>
      <w:r>
        <w:rPr>
          <w:shd w:val="clear" w:color="auto" w:fill="FFFFFF"/>
          <w:lang w:val="en"/>
        </w:rPr>
        <w:t>the dominant type of the acti</w:t>
      </w:r>
      <w:r>
        <w:rPr>
          <w:shd w:val="clear" w:color="auto" w:fill="FFFFFF"/>
          <w:lang w:val="en"/>
        </w:rPr>
        <w:t>v</w:t>
      </w:r>
      <w:r>
        <w:rPr>
          <w:shd w:val="clear" w:color="auto" w:fill="FFFFFF"/>
          <w:lang w:val="en"/>
        </w:rPr>
        <w:t>ity</w:t>
      </w:r>
      <w:r w:rsidRPr="00EE144A">
        <w:rPr>
          <w:shd w:val="clear" w:color="auto" w:fill="FFFFFF"/>
          <w:lang w:val="en"/>
        </w:rPr>
        <w:t xml:space="preserve">, and </w:t>
      </w:r>
      <w:r w:rsidRPr="009F1CFC">
        <w:rPr>
          <w:shd w:val="clear" w:color="auto" w:fill="FFFFFF"/>
          <w:lang w:val="en"/>
        </w:rPr>
        <w:t>for 2</w:t>
      </w:r>
      <w:r w:rsidR="00945B66" w:rsidRPr="009F1CFC">
        <w:rPr>
          <w:shd w:val="clear" w:color="auto" w:fill="FFFFFF"/>
          <w:lang w:val="en"/>
        </w:rPr>
        <w:t>6</w:t>
      </w:r>
      <w:r w:rsidRPr="009F1CFC">
        <w:rPr>
          <w:shd w:val="clear" w:color="auto" w:fill="FFFFFF"/>
          <w:lang w:val="en"/>
        </w:rPr>
        <w:t xml:space="preserve"> enterprises </w:t>
      </w:r>
      <w:r w:rsidR="004A4833" w:rsidRPr="009F1CFC">
        <w:rPr>
          <w:shd w:val="clear" w:color="auto" w:fill="FFFFFF"/>
          <w:lang w:val="en"/>
        </w:rPr>
        <w:t xml:space="preserve">it was </w:t>
      </w:r>
      <w:r w:rsidRPr="009F1CFC">
        <w:rPr>
          <w:shd w:val="clear" w:color="auto" w:fill="FFFFFF"/>
          <w:lang w:val="en"/>
        </w:rPr>
        <w:t>the</w:t>
      </w:r>
      <w:r w:rsidR="003C4415">
        <w:rPr>
          <w:shd w:val="clear" w:color="auto" w:fill="FFFFFF"/>
          <w:lang w:val="en"/>
        </w:rPr>
        <w:t>ir</w:t>
      </w:r>
      <w:r w:rsidRPr="009F1CFC">
        <w:rPr>
          <w:shd w:val="clear" w:color="auto" w:fill="FFFFFF"/>
          <w:lang w:val="en"/>
        </w:rPr>
        <w:t xml:space="preserve"> peripheral activity.</w:t>
      </w:r>
    </w:p>
    <w:p w:rsidR="00894DFD" w:rsidRPr="009F1CFC" w:rsidRDefault="00894DFD" w:rsidP="00894DFD">
      <w:pPr>
        <w:rPr>
          <w:shd w:val="clear" w:color="auto" w:fill="FFFFFF"/>
          <w:lang w:val="en"/>
        </w:rPr>
      </w:pPr>
      <w:r w:rsidRPr="009F1CFC">
        <w:rPr>
          <w:shd w:val="clear" w:color="auto" w:fill="FFFFFF"/>
          <w:lang w:val="en"/>
        </w:rPr>
        <w:t xml:space="preserve">The capital groups included </w:t>
      </w:r>
      <w:r w:rsidR="009F1CFC" w:rsidRPr="009F1CFC">
        <w:rPr>
          <w:shd w:val="clear" w:color="auto" w:fill="FFFFFF"/>
          <w:lang w:val="en"/>
        </w:rPr>
        <w:t>66</w:t>
      </w:r>
      <w:r w:rsidRPr="009F1CFC">
        <w:rPr>
          <w:shd w:val="clear" w:color="auto" w:fill="FFFFFF"/>
          <w:lang w:val="en"/>
        </w:rPr>
        <w:t xml:space="preserve"> ent</w:t>
      </w:r>
      <w:r w:rsidR="00064439" w:rsidRPr="009F1CFC">
        <w:rPr>
          <w:shd w:val="clear" w:color="auto" w:fill="FFFFFF"/>
          <w:lang w:val="en"/>
        </w:rPr>
        <w:t>ities</w:t>
      </w:r>
      <w:r w:rsidRPr="009F1CFC">
        <w:rPr>
          <w:shd w:val="clear" w:color="auto" w:fill="FFFFFF"/>
          <w:lang w:val="en"/>
        </w:rPr>
        <w:t xml:space="preserve"> from the </w:t>
      </w:r>
      <w:r w:rsidR="00064439" w:rsidRPr="009F1CFC">
        <w:rPr>
          <w:shd w:val="clear" w:color="auto" w:fill="FFFFFF"/>
          <w:lang w:val="en"/>
        </w:rPr>
        <w:t>surveye</w:t>
      </w:r>
      <w:r w:rsidRPr="009F1CFC">
        <w:rPr>
          <w:shd w:val="clear" w:color="auto" w:fill="FFFFFF"/>
          <w:lang w:val="en"/>
        </w:rPr>
        <w:t xml:space="preserve">d group of leasing enterprises, </w:t>
      </w:r>
      <w:r w:rsidR="00064439" w:rsidRPr="009F1CFC">
        <w:rPr>
          <w:shd w:val="clear" w:color="auto" w:fill="FFFFFF"/>
          <w:lang w:val="en"/>
        </w:rPr>
        <w:t>where</w:t>
      </w:r>
      <w:r w:rsidRPr="009F1CFC">
        <w:rPr>
          <w:shd w:val="clear" w:color="auto" w:fill="FFFFFF"/>
          <w:lang w:val="en"/>
        </w:rPr>
        <w:t xml:space="preserve"> 5</w:t>
      </w:r>
      <w:r w:rsidR="009F1CFC" w:rsidRPr="009F1CFC">
        <w:rPr>
          <w:shd w:val="clear" w:color="auto" w:fill="FFFFFF"/>
          <w:lang w:val="en"/>
        </w:rPr>
        <w:t>3</w:t>
      </w:r>
      <w:r w:rsidRPr="009F1CFC">
        <w:rPr>
          <w:shd w:val="clear" w:color="auto" w:fill="FFFFFF"/>
          <w:lang w:val="en"/>
        </w:rPr>
        <w:t xml:space="preserve"> were subsidiaries, </w:t>
      </w:r>
      <w:r w:rsidR="009F1CFC" w:rsidRPr="009F1CFC">
        <w:rPr>
          <w:shd w:val="clear" w:color="auto" w:fill="FFFFFF"/>
          <w:lang w:val="en"/>
        </w:rPr>
        <w:t>8</w:t>
      </w:r>
      <w:r w:rsidRPr="009F1CFC">
        <w:rPr>
          <w:shd w:val="clear" w:color="auto" w:fill="FFFFFF"/>
          <w:lang w:val="en"/>
        </w:rPr>
        <w:t xml:space="preserve"> parent entities, and </w:t>
      </w:r>
      <w:r w:rsidR="009F1CFC" w:rsidRPr="009F1CFC">
        <w:rPr>
          <w:shd w:val="clear" w:color="auto" w:fill="FFFFFF"/>
          <w:lang w:val="en"/>
        </w:rPr>
        <w:t>5</w:t>
      </w:r>
      <w:r w:rsidRPr="009F1CFC">
        <w:rPr>
          <w:shd w:val="clear" w:color="auto" w:fill="FFFFFF"/>
          <w:lang w:val="en"/>
        </w:rPr>
        <w:t xml:space="preserve"> parent and subsidiary entities </w:t>
      </w:r>
      <w:r w:rsidR="00064439" w:rsidRPr="009F1CFC">
        <w:rPr>
          <w:shd w:val="clear" w:color="auto" w:fill="FFFFFF"/>
          <w:lang w:val="en"/>
        </w:rPr>
        <w:t>at once</w:t>
      </w:r>
      <w:r w:rsidRPr="009F1CFC">
        <w:rPr>
          <w:shd w:val="clear" w:color="auto" w:fill="FFFFFF"/>
          <w:lang w:val="en"/>
        </w:rPr>
        <w:t>.</w:t>
      </w:r>
    </w:p>
    <w:p w:rsidR="002E3BE8" w:rsidRPr="00785F40" w:rsidRDefault="002E3BE8" w:rsidP="002E3BE8">
      <w:pPr>
        <w:rPr>
          <w:shd w:val="clear" w:color="auto" w:fill="FFFFFF"/>
          <w:lang w:val="en-US"/>
        </w:rPr>
      </w:pPr>
      <w:r w:rsidRPr="00785F40">
        <w:rPr>
          <w:shd w:val="clear" w:color="auto" w:fill="FFFFFF"/>
          <w:lang w:val="en-US"/>
        </w:rPr>
        <w:t>As of the end of the previous year</w:t>
      </w:r>
      <w:r w:rsidR="00FA5405" w:rsidRPr="00785F40">
        <w:rPr>
          <w:shd w:val="clear" w:color="auto" w:fill="FFFFFF"/>
          <w:lang w:val="en-US"/>
        </w:rPr>
        <w:t>,</w:t>
      </w:r>
      <w:r w:rsidRPr="00785F40">
        <w:rPr>
          <w:shd w:val="clear" w:color="auto" w:fill="FFFFFF"/>
          <w:lang w:val="en-US"/>
        </w:rPr>
        <w:t xml:space="preserve"> 1</w:t>
      </w:r>
      <w:r w:rsidR="000E0D90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>.</w:t>
      </w:r>
      <w:r w:rsidR="000E0D90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 xml:space="preserve"> thousand employees performed work connected with leasing in </w:t>
      </w:r>
      <w:r w:rsidR="000E0D90" w:rsidRPr="00785F40">
        <w:rPr>
          <w:shd w:val="clear" w:color="auto" w:fill="FFFFFF"/>
          <w:lang w:val="en-US"/>
        </w:rPr>
        <w:t>the surveyed entities, of this 7</w:t>
      </w:r>
      <w:r w:rsidRPr="00785F40">
        <w:rPr>
          <w:shd w:val="clear" w:color="auto" w:fill="FFFFFF"/>
          <w:lang w:val="en-US"/>
        </w:rPr>
        <w:t>.</w:t>
      </w:r>
      <w:r w:rsidR="000E0D90" w:rsidRPr="00785F40">
        <w:rPr>
          <w:shd w:val="clear" w:color="auto" w:fill="FFFFFF"/>
          <w:lang w:val="en-US"/>
        </w:rPr>
        <w:t>7</w:t>
      </w:r>
      <w:r w:rsidRPr="00785F40">
        <w:rPr>
          <w:shd w:val="clear" w:color="auto" w:fill="FFFFFF"/>
          <w:lang w:val="en-US"/>
        </w:rPr>
        <w:t xml:space="preserve"> thousand persons on the ba</w:t>
      </w:r>
      <w:r w:rsidR="000E0D90" w:rsidRPr="00785F40">
        <w:rPr>
          <w:shd w:val="clear" w:color="auto" w:fill="FFFFFF"/>
          <w:lang w:val="en-US"/>
        </w:rPr>
        <w:t>sis of an employment contract, 755</w:t>
      </w:r>
      <w:r w:rsidRPr="00785F40">
        <w:rPr>
          <w:shd w:val="clear" w:color="auto" w:fill="FFFFFF"/>
          <w:lang w:val="en-US"/>
        </w:rPr>
        <w:t xml:space="preserve"> persons on the basis of a mandate contract, agency contract or specific task contract and 1.</w:t>
      </w:r>
      <w:r w:rsidR="000E0D90" w:rsidRPr="00785F40">
        <w:rPr>
          <w:shd w:val="clear" w:color="auto" w:fill="FFFFFF"/>
          <w:lang w:val="en-US"/>
        </w:rPr>
        <w:t>6</w:t>
      </w:r>
      <w:r w:rsidRPr="00785F40">
        <w:rPr>
          <w:shd w:val="clear" w:color="auto" w:fill="FFFFFF"/>
          <w:lang w:val="en-US"/>
        </w:rPr>
        <w:t xml:space="preserve"> thousand self-employed persons in accordance with the Business Activity Act.</w:t>
      </w:r>
    </w:p>
    <w:p w:rsidR="00E97A00" w:rsidRPr="00785F40" w:rsidRDefault="00E97A00" w:rsidP="00E97A00">
      <w:pPr>
        <w:pStyle w:val="HTML-wstpniesformatowany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The distribution network of leasing products comprised 2.</w:t>
      </w:r>
      <w:r w:rsidR="000E0D90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2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branches and autho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r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ized representative offices.</w:t>
      </w:r>
    </w:p>
    <w:p w:rsidR="00DC02DB" w:rsidRPr="00785F40" w:rsidRDefault="00DC02DB" w:rsidP="00DC02DB">
      <w:pPr>
        <w:pStyle w:val="Nagwek1"/>
        <w:rPr>
          <w:b/>
          <w:noProof/>
          <w:color w:val="212492"/>
          <w:spacing w:val="-2"/>
          <w:lang w:val="en-US"/>
        </w:rPr>
      </w:pPr>
      <w:r w:rsidRPr="00987586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62CA9C9" wp14:editId="2A7A6B33">
                <wp:simplePos x="0" y="0"/>
                <wp:positionH relativeFrom="column">
                  <wp:posOffset>5248275</wp:posOffset>
                </wp:positionH>
                <wp:positionV relativeFrom="paragraph">
                  <wp:posOffset>168275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EC" w:rsidRDefault="00711EEC" w:rsidP="00711EEC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As of</w:t>
                            </w:r>
                            <w:r w:rsidR="0008514C">
                              <w:rPr>
                                <w:lang w:val="en"/>
                              </w:rPr>
                              <w:t xml:space="preserve"> the end of 201</w:t>
                            </w:r>
                            <w:r w:rsidR="000C4EE5">
                              <w:rPr>
                                <w:lang w:val="en"/>
                              </w:rPr>
                              <w:t>9</w:t>
                            </w:r>
                            <w:r w:rsidR="00BB72CB">
                              <w:rPr>
                                <w:lang w:val="en"/>
                              </w:rPr>
                              <w:t>, 886</w:t>
                            </w:r>
                            <w:r w:rsidR="0008514C">
                              <w:rPr>
                                <w:lang w:val="en"/>
                              </w:rPr>
                              <w:t> </w:t>
                            </w:r>
                            <w:r w:rsidR="00BB72CB">
                              <w:rPr>
                                <w:lang w:val="en"/>
                              </w:rPr>
                              <w:t xml:space="preserve">thousand </w:t>
                            </w:r>
                            <w:r w:rsidRPr="00711EEC">
                              <w:rPr>
                                <w:lang w:val="en"/>
                              </w:rPr>
                              <w:t xml:space="preserve">lessees </w:t>
                            </w:r>
                            <w:r>
                              <w:rPr>
                                <w:lang w:val="en"/>
                              </w:rPr>
                              <w:t>used leasing services; they leased 22</w:t>
                            </w:r>
                            <w:r w:rsidR="00BB72CB">
                              <w:rPr>
                                <w:lang w:val="en"/>
                              </w:rPr>
                              <w:t>12</w:t>
                            </w:r>
                            <w:r>
                              <w:rPr>
                                <w:lang w:val="en"/>
                              </w:rPr>
                              <w:t xml:space="preserve"> thousand assets</w:t>
                            </w:r>
                            <w:r w:rsidRPr="00711EEC">
                              <w:rPr>
                                <w:lang w:val="en"/>
                              </w:rPr>
                              <w:t>/</w:t>
                            </w:r>
                            <w:r>
                              <w:rPr>
                                <w:lang w:val="en"/>
                              </w:rPr>
                              <w:t>item</w:t>
                            </w:r>
                            <w:r w:rsidRPr="00711EEC">
                              <w:rPr>
                                <w:lang w:val="en"/>
                              </w:rPr>
                              <w:t>s worth PLN 1</w:t>
                            </w:r>
                            <w:r w:rsidR="00BB72CB">
                              <w:rPr>
                                <w:lang w:val="en"/>
                              </w:rPr>
                              <w:t>08</w:t>
                            </w:r>
                            <w:r w:rsidRPr="00711EEC">
                              <w:rPr>
                                <w:lang w:val="en"/>
                              </w:rPr>
                              <w:t>.</w:t>
                            </w:r>
                            <w:r w:rsidR="00BB72CB">
                              <w:rPr>
                                <w:lang w:val="en"/>
                              </w:rPr>
                              <w:t>4</w:t>
                            </w:r>
                            <w:r w:rsidRPr="00711EEC">
                              <w:rPr>
                                <w:lang w:val="en"/>
                              </w:rPr>
                              <w:t xml:space="preserve"> billion</w:t>
                            </w:r>
                          </w:p>
                          <w:p w:rsidR="000C4EE5" w:rsidRPr="00785F40" w:rsidRDefault="000C4EE5" w:rsidP="00711EE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11EEC" w:rsidRPr="00785F40" w:rsidRDefault="00711EEC" w:rsidP="00DC02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margin-left:413.25pt;margin-top:13.25pt;width:135.85pt;height:83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" filled="f" stroked="f">
                <v:textbox>
                  <w:txbxContent>
                    <w:p w:rsidR="00711EEC" w:rsidRDefault="00711EEC" w:rsidP="00711EEC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As of</w:t>
                      </w:r>
                      <w:r w:rsidR="0008514C">
                        <w:rPr>
                          <w:lang w:val="en"/>
                        </w:rPr>
                        <w:t xml:space="preserve"> the end of 201</w:t>
                      </w:r>
                      <w:r w:rsidR="000C4EE5">
                        <w:rPr>
                          <w:lang w:val="en"/>
                        </w:rPr>
                        <w:t>9</w:t>
                      </w:r>
                      <w:r w:rsidR="00BB72CB">
                        <w:rPr>
                          <w:lang w:val="en"/>
                        </w:rPr>
                        <w:t>, 886</w:t>
                      </w:r>
                      <w:r w:rsidR="0008514C">
                        <w:rPr>
                          <w:lang w:val="en"/>
                        </w:rPr>
                        <w:t> </w:t>
                      </w:r>
                      <w:r w:rsidR="00BB72CB">
                        <w:rPr>
                          <w:lang w:val="en"/>
                        </w:rPr>
                        <w:t xml:space="preserve">thousand </w:t>
                      </w:r>
                      <w:r w:rsidRPr="00711EEC">
                        <w:rPr>
                          <w:lang w:val="en"/>
                        </w:rPr>
                        <w:t xml:space="preserve">lessees </w:t>
                      </w:r>
                      <w:r>
                        <w:rPr>
                          <w:lang w:val="en"/>
                        </w:rPr>
                        <w:t>used leasing services; they leased 22</w:t>
                      </w:r>
                      <w:r w:rsidR="00BB72CB">
                        <w:rPr>
                          <w:lang w:val="en"/>
                        </w:rPr>
                        <w:t>12</w:t>
                      </w:r>
                      <w:r>
                        <w:rPr>
                          <w:lang w:val="en"/>
                        </w:rPr>
                        <w:t xml:space="preserve"> thousand assets</w:t>
                      </w:r>
                      <w:r w:rsidRPr="00711EEC">
                        <w:rPr>
                          <w:lang w:val="en"/>
                        </w:rPr>
                        <w:t>/</w:t>
                      </w:r>
                      <w:r>
                        <w:rPr>
                          <w:lang w:val="en"/>
                        </w:rPr>
                        <w:t>item</w:t>
                      </w:r>
                      <w:r w:rsidRPr="00711EEC">
                        <w:rPr>
                          <w:lang w:val="en"/>
                        </w:rPr>
                        <w:t>s worth PLN 1</w:t>
                      </w:r>
                      <w:r w:rsidR="00BB72CB">
                        <w:rPr>
                          <w:lang w:val="en"/>
                        </w:rPr>
                        <w:t>08</w:t>
                      </w:r>
                      <w:r w:rsidRPr="00711EEC">
                        <w:rPr>
                          <w:lang w:val="en"/>
                        </w:rPr>
                        <w:t>.</w:t>
                      </w:r>
                      <w:r w:rsidR="00BB72CB">
                        <w:rPr>
                          <w:lang w:val="en"/>
                        </w:rPr>
                        <w:t>4</w:t>
                      </w:r>
                      <w:r w:rsidRPr="00711EEC">
                        <w:rPr>
                          <w:lang w:val="en"/>
                        </w:rPr>
                        <w:t xml:space="preserve"> billion</w:t>
                      </w:r>
                    </w:p>
                    <w:p w:rsidR="000C4EE5" w:rsidRPr="00785F40" w:rsidRDefault="000C4EE5" w:rsidP="00711EE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11EEC" w:rsidRPr="00785F40" w:rsidRDefault="00711EEC" w:rsidP="00DC02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85F40">
        <w:rPr>
          <w:lang w:val="en-US"/>
        </w:rPr>
        <w:t>Characteristics of leasing services</w:t>
      </w:r>
    </w:p>
    <w:p w:rsidR="00140CEE" w:rsidRPr="00785F40" w:rsidRDefault="00140CEE" w:rsidP="00140CEE">
      <w:pPr>
        <w:pStyle w:val="HTML-wstpniesformatowany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During 201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 the surveyed leasing companies concluded 6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09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new contracts with 4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44</w:t>
      </w:r>
      <w:r w:rsidR="00E973A9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lessees, leasing 7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19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</w:t>
      </w:r>
      <w:r w:rsidR="00E973A9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assets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/</w:t>
      </w:r>
      <w:r w:rsidR="00E973A9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items for an amount of PLN 6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</w:t>
      </w:r>
      <w:r w:rsidR="003D4A87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95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l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lion. The subject of these leasing agreements were both new </w:t>
      </w:r>
      <w:r w:rsidR="00EB4C27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asset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s/items (worth PLN 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49</w:t>
      </w:r>
      <w:r w:rsidR="003D4A87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9 million) and </w:t>
      </w:r>
      <w:r w:rsidR="00805F1C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the 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used </w:t>
      </w:r>
      <w:r w:rsidR="00EB4C27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ones</w:t>
      </w:r>
      <w:r w:rsidR="00E73765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(PLN 1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2</w:t>
      </w:r>
      <w:r w:rsidR="003D4A87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8B3B02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377</w:t>
      </w:r>
      <w:r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million)</w:t>
      </w:r>
      <w:r w:rsidR="00805F1C" w:rsidRPr="00785F40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.</w:t>
      </w:r>
    </w:p>
    <w:p w:rsidR="00765B99" w:rsidRPr="00785F40" w:rsidRDefault="00765B99" w:rsidP="00765B99">
      <w:pPr>
        <w:pStyle w:val="tytuwykresu"/>
        <w:ind w:left="567" w:hanging="567"/>
        <w:rPr>
          <w:noProof/>
          <w:lang w:val="en-US" w:eastAsia="pl-PL"/>
        </w:rPr>
      </w:pPr>
    </w:p>
    <w:p w:rsidR="00765B99" w:rsidRDefault="004D0C49" w:rsidP="00765B99">
      <w:pPr>
        <w:pStyle w:val="tytuwykresu"/>
        <w:ind w:left="567" w:hanging="567"/>
        <w:rPr>
          <w:shd w:val="clear" w:color="auto" w:fill="FFFFFF"/>
          <w:lang w:val="en"/>
        </w:rPr>
      </w:pPr>
      <w:r w:rsidRPr="00785F40">
        <w:rPr>
          <w:lang w:val="en-US"/>
        </w:rPr>
        <w:t>Table</w:t>
      </w:r>
      <w:r w:rsidR="00FB5906" w:rsidRPr="00785F40">
        <w:rPr>
          <w:lang w:val="en-US"/>
        </w:rPr>
        <w:t xml:space="preserve"> </w:t>
      </w:r>
      <w:r w:rsidR="00074DD8" w:rsidRPr="00785F40">
        <w:rPr>
          <w:lang w:val="en-US"/>
        </w:rPr>
        <w:t>1</w:t>
      </w:r>
      <w:r w:rsidR="008F4441" w:rsidRPr="00785F40">
        <w:rPr>
          <w:lang w:val="en-US"/>
        </w:rPr>
        <w:t>.</w:t>
      </w:r>
      <w:r w:rsidR="00074DD8" w:rsidRPr="00785F40">
        <w:rPr>
          <w:shd w:val="clear" w:color="auto" w:fill="FFFFFF"/>
          <w:lang w:val="en-US"/>
        </w:rPr>
        <w:t xml:space="preserve"> </w:t>
      </w:r>
      <w:r w:rsidR="00765B99" w:rsidRPr="00765B99">
        <w:rPr>
          <w:shd w:val="clear" w:color="auto" w:fill="FFFFFF"/>
          <w:lang w:val="en"/>
        </w:rPr>
        <w:t xml:space="preserve">General information about enterprises and their leasing </w:t>
      </w:r>
      <w:r w:rsidR="00765B99">
        <w:rPr>
          <w:shd w:val="clear" w:color="auto" w:fill="FFFFFF"/>
          <w:lang w:val="en"/>
        </w:rPr>
        <w:t>activities in the period from 1 </w:t>
      </w:r>
      <w:r w:rsidR="00765B99" w:rsidRPr="00765B99">
        <w:rPr>
          <w:shd w:val="clear" w:color="auto" w:fill="FFFFFF"/>
          <w:lang w:val="en"/>
        </w:rPr>
        <w:t>January to 31 December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86"/>
        <w:gridCol w:w="1844"/>
        <w:gridCol w:w="1653"/>
      </w:tblGrid>
      <w:tr w:rsidR="00765B99" w:rsidRPr="00987586" w:rsidTr="009A419F">
        <w:trPr>
          <w:trHeight w:val="57"/>
        </w:trPr>
        <w:tc>
          <w:tcPr>
            <w:tcW w:w="2889" w:type="pct"/>
            <w:vAlign w:val="center"/>
          </w:tcPr>
          <w:p w:rsidR="00765B99" w:rsidRPr="00987586" w:rsidRDefault="00765B99" w:rsidP="009A419F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113" w:type="pct"/>
            <w:vAlign w:val="center"/>
          </w:tcPr>
          <w:p w:rsidR="00765B99" w:rsidRPr="00987586" w:rsidRDefault="00765B99" w:rsidP="000657E3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0657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8" w:type="pct"/>
            <w:vAlign w:val="center"/>
          </w:tcPr>
          <w:p w:rsidR="00765B99" w:rsidRPr="00987586" w:rsidRDefault="00765B99" w:rsidP="009A419F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0657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019</w:t>
            </w:r>
          </w:p>
        </w:tc>
      </w:tr>
      <w:tr w:rsidR="000657E3" w:rsidRPr="00987586" w:rsidTr="009A419F">
        <w:trPr>
          <w:trHeight w:val="381"/>
        </w:trPr>
        <w:tc>
          <w:tcPr>
            <w:tcW w:w="2889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asciiTheme="majorHAnsi" w:eastAsiaTheme="majorEastAsia" w:hAnsiTheme="majorHAnsi" w:cstheme="majorBidi"/>
                <w:color w:val="2E74B5" w:themeColor="accent1" w:themeShade="BF"/>
                <w:sz w:val="16"/>
                <w:szCs w:val="16"/>
                <w:lang w:val="en-US"/>
              </w:rPr>
            </w:pPr>
            <w:r w:rsidRPr="00785F4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US"/>
              </w:rPr>
              <w:t>The number of surveyed entities</w:t>
            </w:r>
          </w:p>
        </w:tc>
        <w:tc>
          <w:tcPr>
            <w:tcW w:w="1113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b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8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</w:t>
            </w:r>
          </w:p>
        </w:tc>
      </w:tr>
      <w:tr w:rsidR="000657E3" w:rsidRPr="00987586" w:rsidTr="009A419F">
        <w:trPr>
          <w:trHeight w:val="381"/>
        </w:trPr>
        <w:tc>
          <w:tcPr>
            <w:tcW w:w="2889" w:type="pct"/>
            <w:tcBorders>
              <w:top w:val="single" w:sz="4" w:space="0" w:color="212492"/>
            </w:tcBorders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ind w:left="176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</w:pPr>
            <w:r w:rsidRPr="00785F40">
              <w:rPr>
                <w:rFonts w:eastAsiaTheme="majorEastAsia" w:cstheme="majorBidi"/>
                <w:sz w:val="16"/>
                <w:szCs w:val="16"/>
                <w:lang w:val="en-US"/>
              </w:rPr>
              <w:t>of which entities were leasing activity was the only type or dominant type of activity</w:t>
            </w:r>
          </w:p>
        </w:tc>
        <w:tc>
          <w:tcPr>
            <w:tcW w:w="1113" w:type="pct"/>
            <w:tcBorders>
              <w:top w:val="single" w:sz="4" w:space="0" w:color="212492"/>
            </w:tcBorders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98" w:type="pct"/>
            <w:tcBorders>
              <w:top w:val="single" w:sz="4" w:space="0" w:color="212492"/>
            </w:tcBorders>
            <w:vAlign w:val="center"/>
          </w:tcPr>
          <w:p w:rsidR="000657E3" w:rsidRPr="00CA02B3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A02B3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</w:tr>
      <w:tr w:rsidR="000657E3" w:rsidRPr="00987586" w:rsidTr="009A419F">
        <w:trPr>
          <w:trHeight w:val="57"/>
        </w:trPr>
        <w:tc>
          <w:tcPr>
            <w:tcW w:w="2889" w:type="pct"/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</w:pPr>
            <w:r w:rsidRPr="00AB14A0">
              <w:rPr>
                <w:rFonts w:eastAsiaTheme="majorEastAsia" w:cstheme="majorBidi"/>
                <w:color w:val="000000" w:themeColor="text1"/>
                <w:sz w:val="16"/>
                <w:szCs w:val="16"/>
                <w:lang w:val="en"/>
              </w:rPr>
              <w:t>Number of lessees (clients) who have concluded new co</w:t>
            </w:r>
            <w:r w:rsidRPr="00AB14A0">
              <w:rPr>
                <w:rFonts w:eastAsiaTheme="majorEastAsia" w:cstheme="majorBidi"/>
                <w:color w:val="000000" w:themeColor="text1"/>
                <w:sz w:val="16"/>
                <w:szCs w:val="16"/>
                <w:lang w:val="en"/>
              </w:rPr>
              <w:t>n</w:t>
            </w:r>
            <w:r w:rsidRPr="00AB14A0">
              <w:rPr>
                <w:rFonts w:eastAsiaTheme="majorEastAsia" w:cstheme="majorBidi"/>
                <w:color w:val="000000" w:themeColor="text1"/>
                <w:sz w:val="16"/>
                <w:szCs w:val="16"/>
                <w:lang w:val="en"/>
              </w:rPr>
              <w:t>tracts</w:t>
            </w:r>
          </w:p>
        </w:tc>
        <w:tc>
          <w:tcPr>
            <w:tcW w:w="1113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451 163</w:t>
            </w:r>
          </w:p>
        </w:tc>
        <w:tc>
          <w:tcPr>
            <w:tcW w:w="998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443 952</w:t>
            </w:r>
          </w:p>
        </w:tc>
      </w:tr>
      <w:tr w:rsidR="000657E3" w:rsidRPr="00987586" w:rsidTr="009A419F">
        <w:trPr>
          <w:trHeight w:val="57"/>
        </w:trPr>
        <w:tc>
          <w:tcPr>
            <w:tcW w:w="2889" w:type="pct"/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</w:pPr>
            <w:r w:rsidRPr="00AB14A0">
              <w:rPr>
                <w:rFonts w:eastAsiaTheme="majorEastAsia" w:cstheme="majorBidi"/>
                <w:color w:val="000000" w:themeColor="text1"/>
                <w:sz w:val="16"/>
                <w:szCs w:val="16"/>
                <w:lang w:val="en"/>
              </w:rPr>
              <w:t>Number of new contracts concluded</w:t>
            </w:r>
          </w:p>
        </w:tc>
        <w:tc>
          <w:tcPr>
            <w:tcW w:w="1113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620 408</w:t>
            </w:r>
          </w:p>
        </w:tc>
        <w:tc>
          <w:tcPr>
            <w:tcW w:w="998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608 833</w:t>
            </w:r>
          </w:p>
        </w:tc>
      </w:tr>
      <w:tr w:rsidR="000657E3" w:rsidRPr="00987586" w:rsidTr="009A419F">
        <w:trPr>
          <w:trHeight w:val="57"/>
        </w:trPr>
        <w:tc>
          <w:tcPr>
            <w:tcW w:w="2889" w:type="pct"/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</w:pPr>
            <w:r w:rsidRPr="00785F40"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  <w:t>Number of assets/items leased</w:t>
            </w:r>
          </w:p>
        </w:tc>
        <w:tc>
          <w:tcPr>
            <w:tcW w:w="1113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726 613</w:t>
            </w:r>
          </w:p>
        </w:tc>
        <w:tc>
          <w:tcPr>
            <w:tcW w:w="998" w:type="pct"/>
            <w:vAlign w:val="center"/>
          </w:tcPr>
          <w:p w:rsidR="000657E3" w:rsidRPr="00987586" w:rsidRDefault="000657E3" w:rsidP="000657E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719 329</w:t>
            </w:r>
          </w:p>
        </w:tc>
      </w:tr>
      <w:tr w:rsidR="000657E3" w:rsidRPr="00987586" w:rsidTr="009A419F">
        <w:trPr>
          <w:trHeight w:val="57"/>
        </w:trPr>
        <w:tc>
          <w:tcPr>
            <w:tcW w:w="2889" w:type="pct"/>
            <w:vAlign w:val="center"/>
          </w:tcPr>
          <w:p w:rsidR="000657E3" w:rsidRPr="00785F40" w:rsidRDefault="000657E3" w:rsidP="000657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</w:pPr>
            <w:r w:rsidRPr="00785F40"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  <w:t>Value of assets/items leased in PLN mil</w:t>
            </w:r>
            <w:r w:rsidR="001C5B51"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  <w:t>l</w:t>
            </w:r>
            <w:r w:rsidRPr="00785F40">
              <w:rPr>
                <w:rFonts w:eastAsiaTheme="majorEastAsia" w:cstheme="majorBidi"/>
                <w:color w:val="000000" w:themeColor="text1"/>
                <w:sz w:val="16"/>
                <w:szCs w:val="16"/>
                <w:lang w:val="en-US"/>
              </w:rPr>
              <w:t>ion</w:t>
            </w:r>
          </w:p>
        </w:tc>
        <w:tc>
          <w:tcPr>
            <w:tcW w:w="1113" w:type="pct"/>
            <w:vAlign w:val="center"/>
          </w:tcPr>
          <w:p w:rsidR="000657E3" w:rsidRPr="00987586" w:rsidRDefault="000657E3" w:rsidP="000657E3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66 440</w:t>
            </w:r>
          </w:p>
        </w:tc>
        <w:tc>
          <w:tcPr>
            <w:tcW w:w="998" w:type="pct"/>
            <w:vAlign w:val="center"/>
          </w:tcPr>
          <w:p w:rsidR="000657E3" w:rsidRPr="00987586" w:rsidRDefault="000657E3" w:rsidP="000657E3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61 495</w:t>
            </w:r>
          </w:p>
        </w:tc>
      </w:tr>
    </w:tbl>
    <w:p w:rsidR="00362B2B" w:rsidRDefault="00362B2B" w:rsidP="002C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color w:val="FF0000"/>
          <w:shd w:val="clear" w:color="auto" w:fill="FFFFFF"/>
        </w:rPr>
      </w:pPr>
    </w:p>
    <w:p w:rsidR="002774EF" w:rsidRPr="00785F40" w:rsidRDefault="002C58F1" w:rsidP="0027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shd w:val="clear" w:color="auto" w:fill="FFFFFF"/>
          <w:lang w:val="en-US"/>
        </w:rPr>
      </w:pPr>
      <w:r w:rsidRPr="00785F40">
        <w:rPr>
          <w:shd w:val="clear" w:color="auto" w:fill="FFFFFF"/>
          <w:lang w:val="en-US"/>
        </w:rPr>
        <w:lastRenderedPageBreak/>
        <w:t xml:space="preserve">Leasing of means of road transport </w:t>
      </w:r>
      <w:r w:rsidR="00EB6F31" w:rsidRPr="00785F40">
        <w:rPr>
          <w:shd w:val="clear" w:color="auto" w:fill="FFFFFF"/>
          <w:lang w:val="en-US"/>
        </w:rPr>
        <w:t>was</w:t>
      </w:r>
      <w:r w:rsidR="006D3ED3" w:rsidRPr="00785F40">
        <w:rPr>
          <w:shd w:val="clear" w:color="auto" w:fill="FFFFFF"/>
          <w:lang w:val="en-US"/>
        </w:rPr>
        <w:t xml:space="preserve"> </w:t>
      </w:r>
      <w:r w:rsidRPr="00785F40">
        <w:rPr>
          <w:shd w:val="clear" w:color="auto" w:fill="FFFFFF"/>
          <w:lang w:val="en-US"/>
        </w:rPr>
        <w:t>the main position in the subject structure of the new contracts - 7</w:t>
      </w:r>
      <w:r w:rsidR="00202253" w:rsidRPr="00785F40">
        <w:rPr>
          <w:shd w:val="clear" w:color="auto" w:fill="FFFFFF"/>
          <w:lang w:val="en-US"/>
        </w:rPr>
        <w:t>1</w:t>
      </w:r>
      <w:r w:rsidRPr="00785F40">
        <w:rPr>
          <w:shd w:val="clear" w:color="auto" w:fill="FFFFFF"/>
          <w:lang w:val="en-US"/>
        </w:rPr>
        <w:t>.</w:t>
      </w:r>
      <w:r w:rsidR="00202253" w:rsidRPr="00785F40">
        <w:rPr>
          <w:shd w:val="clear" w:color="auto" w:fill="FFFFFF"/>
          <w:lang w:val="en-US"/>
        </w:rPr>
        <w:t>6</w:t>
      </w:r>
      <w:r w:rsidRPr="00785F40">
        <w:rPr>
          <w:shd w:val="clear" w:color="auto" w:fill="FFFFFF"/>
          <w:lang w:val="en-US"/>
        </w:rPr>
        <w:t>% of the total value. The share of passenger cars accounted for 61.</w:t>
      </w:r>
      <w:r w:rsidR="00202253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 xml:space="preserve">% of the value of road transport means, and for trucks and vans </w:t>
      </w:r>
      <w:r w:rsidR="005823E7" w:rsidRPr="00785F40">
        <w:rPr>
          <w:shd w:val="clear" w:color="auto" w:fill="FFFFFF"/>
          <w:lang w:val="en-US"/>
        </w:rPr>
        <w:t xml:space="preserve">it was </w:t>
      </w:r>
      <w:r w:rsidRPr="00785F40">
        <w:rPr>
          <w:shd w:val="clear" w:color="auto" w:fill="FFFFFF"/>
          <w:lang w:val="en-US"/>
        </w:rPr>
        <w:t>1</w:t>
      </w:r>
      <w:r w:rsidR="00202253" w:rsidRPr="00785F40">
        <w:rPr>
          <w:shd w:val="clear" w:color="auto" w:fill="FFFFFF"/>
          <w:lang w:val="en-US"/>
        </w:rPr>
        <w:t>4</w:t>
      </w:r>
      <w:r w:rsidRPr="00785F40">
        <w:rPr>
          <w:shd w:val="clear" w:color="auto" w:fill="FFFFFF"/>
          <w:lang w:val="en-US"/>
        </w:rPr>
        <w:t>.</w:t>
      </w:r>
      <w:r w:rsidR="00202253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>%.</w:t>
      </w:r>
    </w:p>
    <w:p w:rsidR="002774EF" w:rsidRPr="00785F40" w:rsidRDefault="002774EF" w:rsidP="0027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shd w:val="clear" w:color="auto" w:fill="FFFFFF"/>
          <w:lang w:val="en-US"/>
        </w:rPr>
      </w:pPr>
      <w:r w:rsidRPr="00785F40">
        <w:rPr>
          <w:shd w:val="clear" w:color="auto" w:fill="FFFFFF"/>
          <w:lang w:val="en-US"/>
        </w:rPr>
        <w:t xml:space="preserve">Industrial machinery and equipment </w:t>
      </w:r>
      <w:r w:rsidR="00E57D05" w:rsidRPr="00785F40">
        <w:rPr>
          <w:shd w:val="clear" w:color="auto" w:fill="FFFFFF"/>
          <w:lang w:val="en-US"/>
        </w:rPr>
        <w:t>were</w:t>
      </w:r>
      <w:r w:rsidRPr="00785F40">
        <w:rPr>
          <w:shd w:val="clear" w:color="auto" w:fill="FFFFFF"/>
          <w:lang w:val="en-US"/>
        </w:rPr>
        <w:t xml:space="preserve"> important leasing segment, constituting 2</w:t>
      </w:r>
      <w:r w:rsidR="00202253" w:rsidRPr="00785F40">
        <w:rPr>
          <w:shd w:val="clear" w:color="auto" w:fill="FFFFFF"/>
          <w:lang w:val="en-US"/>
        </w:rPr>
        <w:t>3</w:t>
      </w:r>
      <w:r w:rsidRPr="00785F40">
        <w:rPr>
          <w:shd w:val="clear" w:color="auto" w:fill="FFFFFF"/>
          <w:lang w:val="en-US"/>
        </w:rPr>
        <w:t>.</w:t>
      </w:r>
      <w:r w:rsidR="00202253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>% of the value of newly con</w:t>
      </w:r>
      <w:r w:rsidR="00E57D05" w:rsidRPr="00785F40">
        <w:rPr>
          <w:shd w:val="clear" w:color="auto" w:fill="FFFFFF"/>
          <w:lang w:val="en-US"/>
        </w:rPr>
        <w:t>cluded contracts. In this group</w:t>
      </w:r>
      <w:r w:rsidRPr="00785F40">
        <w:rPr>
          <w:shd w:val="clear" w:color="auto" w:fill="FFFFFF"/>
          <w:lang w:val="en-US"/>
        </w:rPr>
        <w:t xml:space="preserve"> 2</w:t>
      </w:r>
      <w:r w:rsidR="00202253" w:rsidRPr="00785F40">
        <w:rPr>
          <w:shd w:val="clear" w:color="auto" w:fill="FFFFFF"/>
          <w:lang w:val="en-US"/>
        </w:rPr>
        <w:t>1</w:t>
      </w:r>
      <w:r w:rsidRPr="00785F40">
        <w:rPr>
          <w:shd w:val="clear" w:color="auto" w:fill="FFFFFF"/>
          <w:lang w:val="en-US"/>
        </w:rPr>
        <w:t>.</w:t>
      </w:r>
      <w:r w:rsidR="00202253" w:rsidRPr="00785F40">
        <w:rPr>
          <w:shd w:val="clear" w:color="auto" w:fill="FFFFFF"/>
          <w:lang w:val="en-US"/>
        </w:rPr>
        <w:t>3</w:t>
      </w:r>
      <w:r w:rsidRPr="00785F40">
        <w:rPr>
          <w:shd w:val="clear" w:color="auto" w:fill="FFFFFF"/>
          <w:lang w:val="en-US"/>
        </w:rPr>
        <w:t>% were construction equipment, 1</w:t>
      </w:r>
      <w:r w:rsidR="005823E7" w:rsidRPr="00785F40">
        <w:rPr>
          <w:shd w:val="clear" w:color="auto" w:fill="FFFFFF"/>
          <w:lang w:val="en-US"/>
        </w:rPr>
        <w:t>0</w:t>
      </w:r>
      <w:r w:rsidRPr="00785F40">
        <w:rPr>
          <w:shd w:val="clear" w:color="auto" w:fill="FFFFFF"/>
          <w:lang w:val="en-US"/>
        </w:rPr>
        <w:t>.</w:t>
      </w:r>
      <w:r w:rsidR="005823E7" w:rsidRPr="00785F40">
        <w:rPr>
          <w:shd w:val="clear" w:color="auto" w:fill="FFFFFF"/>
          <w:lang w:val="en-US"/>
        </w:rPr>
        <w:t>1</w:t>
      </w:r>
      <w:r w:rsidRPr="00785F40">
        <w:rPr>
          <w:shd w:val="clear" w:color="auto" w:fill="FFFFFF"/>
          <w:lang w:val="en-US"/>
        </w:rPr>
        <w:t xml:space="preserve">% </w:t>
      </w:r>
      <w:r w:rsidR="005823E7" w:rsidRPr="00785F40">
        <w:rPr>
          <w:shd w:val="clear" w:color="auto" w:fill="FFFFFF"/>
          <w:lang w:val="en-US"/>
        </w:rPr>
        <w:t xml:space="preserve">metalworking machinery and 9.0% </w:t>
      </w:r>
      <w:r w:rsidRPr="00785F40">
        <w:rPr>
          <w:shd w:val="clear" w:color="auto" w:fill="FFFFFF"/>
          <w:lang w:val="en-US"/>
        </w:rPr>
        <w:t xml:space="preserve">agricultural machinery. </w:t>
      </w:r>
      <w:r w:rsidR="005823E7" w:rsidRPr="00785F40">
        <w:rPr>
          <w:shd w:val="clear" w:color="auto" w:fill="FFFFFF"/>
          <w:lang w:val="en-US"/>
        </w:rPr>
        <w:t>Computers and office acce</w:t>
      </w:r>
      <w:r w:rsidR="005823E7" w:rsidRPr="00785F40">
        <w:rPr>
          <w:shd w:val="clear" w:color="auto" w:fill="FFFFFF"/>
          <w:lang w:val="en-US"/>
        </w:rPr>
        <w:t>s</w:t>
      </w:r>
      <w:r w:rsidR="005823E7" w:rsidRPr="00785F40">
        <w:rPr>
          <w:shd w:val="clear" w:color="auto" w:fill="FFFFFF"/>
          <w:lang w:val="en-US"/>
        </w:rPr>
        <w:t>sories leased constituted 1.6% of the total value of new lease contracts and r</w:t>
      </w:r>
      <w:r w:rsidRPr="00785F40">
        <w:rPr>
          <w:shd w:val="clear" w:color="auto" w:fill="FFFFFF"/>
          <w:lang w:val="en-US"/>
        </w:rPr>
        <w:t>eal estate</w:t>
      </w:r>
      <w:r w:rsidR="00E57D05" w:rsidRPr="00785F40">
        <w:rPr>
          <w:shd w:val="clear" w:color="auto" w:fill="FFFFFF"/>
          <w:lang w:val="en-US"/>
        </w:rPr>
        <w:t>s</w:t>
      </w:r>
      <w:r w:rsidRPr="00785F40">
        <w:rPr>
          <w:shd w:val="clear" w:color="auto" w:fill="FFFFFF"/>
          <w:lang w:val="en-US"/>
        </w:rPr>
        <w:t xml:space="preserve"> leased</w:t>
      </w:r>
      <w:r w:rsidR="005823E7" w:rsidRPr="00785F40">
        <w:rPr>
          <w:shd w:val="clear" w:color="auto" w:fill="FFFFFF"/>
          <w:lang w:val="en-US"/>
        </w:rPr>
        <w:t xml:space="preserve"> – 1.2%</w:t>
      </w:r>
      <w:r w:rsidRPr="00785F40">
        <w:rPr>
          <w:shd w:val="clear" w:color="auto" w:fill="FFFFFF"/>
          <w:lang w:val="en-US"/>
        </w:rPr>
        <w:t>.</w:t>
      </w:r>
    </w:p>
    <w:p w:rsidR="00362B2B" w:rsidRPr="00785F40" w:rsidRDefault="00362B2B" w:rsidP="0027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shd w:val="clear" w:color="auto" w:fill="FFFFFF"/>
          <w:lang w:val="en-US"/>
        </w:rPr>
      </w:pPr>
    </w:p>
    <w:p w:rsidR="00BB1508" w:rsidRPr="00785F40" w:rsidRDefault="00362B2B" w:rsidP="00BB1508">
      <w:pPr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</w:pPr>
      <w:r w:rsidRPr="00566E1F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391B1EE" wp14:editId="6763E12F">
                <wp:simplePos x="0" y="0"/>
                <wp:positionH relativeFrom="page">
                  <wp:align>right</wp:align>
                </wp:positionH>
                <wp:positionV relativeFrom="paragraph">
                  <wp:posOffset>313690</wp:posOffset>
                </wp:positionV>
                <wp:extent cx="1725295" cy="880745"/>
                <wp:effectExtent l="0" t="0" r="0" b="0"/>
                <wp:wrapTight wrapText="bothSides">
                  <wp:wrapPolygon edited="0">
                    <wp:start x="715" y="0"/>
                    <wp:lineTo x="715" y="21024"/>
                    <wp:lineTo x="20749" y="2102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785F40" w:rsidRDefault="005A74EC" w:rsidP="005A74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after="0" w:line="240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Clients from the Mazowieckie voivodship constituted 31.7% of the number of lessees who concluded new co</w:t>
                            </w: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tracts in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84.65pt;margin-top:24.7pt;width:135.85pt;height:69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" filled="f" stroked="f">
                <v:textbox>
                  <w:txbxContent>
                    <w:p w:rsidR="00F802BE" w:rsidRPr="00785F40" w:rsidRDefault="005A74EC" w:rsidP="005A74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after="0" w:line="240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Clients from the Mazowieckie voivodship constituted 31.7% of the number of lessees who concluded new co</w:t>
                      </w: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tracts in 2019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1508" w:rsidRPr="00BB1508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Characteristics of lessees (clients)</w:t>
      </w:r>
    </w:p>
    <w:p w:rsidR="00ED6C96" w:rsidRPr="00FF39A0" w:rsidRDefault="00ED6C96" w:rsidP="00ED6C96">
      <w:pPr>
        <w:rPr>
          <w:shd w:val="clear" w:color="auto" w:fill="FFFFFF"/>
          <w:lang w:val="en"/>
        </w:rPr>
      </w:pPr>
      <w:r w:rsidRPr="00FF39A0">
        <w:rPr>
          <w:shd w:val="clear" w:color="auto" w:fill="FFFFFF"/>
          <w:lang w:val="en"/>
        </w:rPr>
        <w:t>Enterprises dominated in the subjective structure of clients (lessees). They leased a</w:t>
      </w:r>
      <w:r w:rsidRPr="00FF39A0">
        <w:rPr>
          <w:shd w:val="clear" w:color="auto" w:fill="FFFFFF"/>
          <w:lang w:val="en"/>
        </w:rPr>
        <w:t>s</w:t>
      </w:r>
      <w:r w:rsidRPr="00FF39A0">
        <w:rPr>
          <w:shd w:val="clear" w:color="auto" w:fill="FFFFFF"/>
          <w:lang w:val="en"/>
        </w:rPr>
        <w:t xml:space="preserve">sets/items for PLN </w:t>
      </w:r>
      <w:r w:rsidR="00FF39A0" w:rsidRPr="00785F40">
        <w:rPr>
          <w:shd w:val="clear" w:color="auto" w:fill="FFFFFF"/>
          <w:lang w:val="en-US"/>
        </w:rPr>
        <w:t>56,637 </w:t>
      </w:r>
      <w:r w:rsidRPr="00FF39A0">
        <w:rPr>
          <w:shd w:val="clear" w:color="auto" w:fill="FFFFFF"/>
          <w:lang w:val="en"/>
        </w:rPr>
        <w:t>million (9</w:t>
      </w:r>
      <w:r w:rsidR="00FF39A0" w:rsidRPr="00FF39A0">
        <w:rPr>
          <w:shd w:val="clear" w:color="auto" w:fill="FFFFFF"/>
          <w:lang w:val="en"/>
        </w:rPr>
        <w:t>2</w:t>
      </w:r>
      <w:r w:rsidRPr="00FF39A0">
        <w:rPr>
          <w:shd w:val="clear" w:color="auto" w:fill="FFFFFF"/>
          <w:lang w:val="en"/>
        </w:rPr>
        <w:t>.</w:t>
      </w:r>
      <w:r w:rsidR="00FF39A0" w:rsidRPr="00FF39A0">
        <w:rPr>
          <w:shd w:val="clear" w:color="auto" w:fill="FFFFFF"/>
          <w:lang w:val="en"/>
        </w:rPr>
        <w:t>1</w:t>
      </w:r>
      <w:r w:rsidRPr="00FF39A0">
        <w:rPr>
          <w:shd w:val="clear" w:color="auto" w:fill="FFFFFF"/>
          <w:lang w:val="en"/>
        </w:rPr>
        <w:t xml:space="preserve">% of the total value of new contracts). Natural persons leased assets/items for PLN </w:t>
      </w:r>
      <w:r w:rsidR="00FF39A0" w:rsidRPr="00785F40">
        <w:rPr>
          <w:shd w:val="clear" w:color="auto" w:fill="FFFFFF"/>
          <w:lang w:val="en-US"/>
        </w:rPr>
        <w:t>4,789 </w:t>
      </w:r>
      <w:r w:rsidRPr="00FF39A0">
        <w:rPr>
          <w:shd w:val="clear" w:color="auto" w:fill="FFFFFF"/>
          <w:lang w:val="en"/>
        </w:rPr>
        <w:t>million (</w:t>
      </w:r>
      <w:r w:rsidR="00FF39A0" w:rsidRPr="00FF39A0">
        <w:rPr>
          <w:shd w:val="clear" w:color="auto" w:fill="FFFFFF"/>
          <w:lang w:val="en"/>
        </w:rPr>
        <w:t>7</w:t>
      </w:r>
      <w:r w:rsidRPr="00FF39A0">
        <w:rPr>
          <w:shd w:val="clear" w:color="auto" w:fill="FFFFFF"/>
          <w:lang w:val="en"/>
        </w:rPr>
        <w:t>.</w:t>
      </w:r>
      <w:r w:rsidR="00FF39A0" w:rsidRPr="00FF39A0">
        <w:rPr>
          <w:shd w:val="clear" w:color="auto" w:fill="FFFFFF"/>
          <w:lang w:val="en"/>
        </w:rPr>
        <w:t>8</w:t>
      </w:r>
      <w:r w:rsidRPr="00FF39A0">
        <w:rPr>
          <w:shd w:val="clear" w:color="auto" w:fill="FFFFFF"/>
          <w:lang w:val="en"/>
        </w:rPr>
        <w:t xml:space="preserve">%) and lessees from public administration for PLN </w:t>
      </w:r>
      <w:r w:rsidR="00FF39A0" w:rsidRPr="00FF39A0">
        <w:rPr>
          <w:shd w:val="clear" w:color="auto" w:fill="FFFFFF"/>
          <w:lang w:val="en"/>
        </w:rPr>
        <w:t>69</w:t>
      </w:r>
      <w:r w:rsidRPr="00FF39A0">
        <w:rPr>
          <w:shd w:val="clear" w:color="auto" w:fill="FFFFFF"/>
          <w:lang w:val="en"/>
        </w:rPr>
        <w:t xml:space="preserve"> million (0.1%).</w:t>
      </w:r>
    </w:p>
    <w:p w:rsidR="00ED6C96" w:rsidRDefault="00ED6C96" w:rsidP="00ED6C96">
      <w:pPr>
        <w:rPr>
          <w:b/>
          <w:lang w:val="en-US"/>
        </w:rPr>
      </w:pPr>
      <w:r w:rsidRPr="00FF39A0">
        <w:rPr>
          <w:shd w:val="clear" w:color="auto" w:fill="FFFFFF"/>
          <w:lang w:val="en"/>
        </w:rPr>
        <w:t>The sectors that most frequent</w:t>
      </w:r>
      <w:r w:rsidR="00FF39A0" w:rsidRPr="00FF39A0">
        <w:rPr>
          <w:shd w:val="clear" w:color="auto" w:fill="FFFFFF"/>
          <w:lang w:val="en"/>
        </w:rPr>
        <w:t>ly used leasing services in 2019</w:t>
      </w:r>
      <w:r w:rsidRPr="00FF39A0">
        <w:rPr>
          <w:shd w:val="clear" w:color="auto" w:fill="FFFFFF"/>
          <w:lang w:val="en"/>
        </w:rPr>
        <w:t xml:space="preserve"> were NACE sections: manufa</w:t>
      </w:r>
      <w:r w:rsidRPr="00FF39A0">
        <w:rPr>
          <w:shd w:val="clear" w:color="auto" w:fill="FFFFFF"/>
          <w:lang w:val="en"/>
        </w:rPr>
        <w:t>c</w:t>
      </w:r>
      <w:r w:rsidRPr="00FF39A0">
        <w:rPr>
          <w:shd w:val="clear" w:color="auto" w:fill="FFFFFF"/>
          <w:lang w:val="en"/>
        </w:rPr>
        <w:t>turing, construction, wholesale and retail trade, transport and storage as well as other se</w:t>
      </w:r>
      <w:r w:rsidRPr="00FF39A0">
        <w:rPr>
          <w:shd w:val="clear" w:color="auto" w:fill="FFFFFF"/>
          <w:lang w:val="en"/>
        </w:rPr>
        <w:t>r</w:t>
      </w:r>
      <w:r w:rsidRPr="00FF39A0">
        <w:rPr>
          <w:shd w:val="clear" w:color="auto" w:fill="FFFFFF"/>
          <w:lang w:val="en"/>
        </w:rPr>
        <w:t xml:space="preserve">vice activities. These industries have concluded new contracts for a value of PLN </w:t>
      </w:r>
      <w:r w:rsidR="00FF39A0" w:rsidRPr="00785F40">
        <w:rPr>
          <w:spacing w:val="-2"/>
          <w:szCs w:val="19"/>
          <w:lang w:val="en-US" w:eastAsia="pl-PL"/>
        </w:rPr>
        <w:t xml:space="preserve">39,863 </w:t>
      </w:r>
      <w:r w:rsidRPr="00FF39A0">
        <w:rPr>
          <w:shd w:val="clear" w:color="auto" w:fill="FFFFFF"/>
          <w:lang w:val="en"/>
        </w:rPr>
        <w:t>mi</w:t>
      </w:r>
      <w:r w:rsidRPr="00FF39A0">
        <w:rPr>
          <w:shd w:val="clear" w:color="auto" w:fill="FFFFFF"/>
          <w:lang w:val="en"/>
        </w:rPr>
        <w:t>l</w:t>
      </w:r>
      <w:r w:rsidRPr="00FF39A0">
        <w:rPr>
          <w:shd w:val="clear" w:color="auto" w:fill="FFFFFF"/>
          <w:lang w:val="en"/>
        </w:rPr>
        <w:t>lion, which was 6</w:t>
      </w:r>
      <w:r w:rsidR="00FF39A0" w:rsidRPr="00FF39A0">
        <w:rPr>
          <w:shd w:val="clear" w:color="auto" w:fill="FFFFFF"/>
          <w:lang w:val="en"/>
        </w:rPr>
        <w:t>4</w:t>
      </w:r>
      <w:r w:rsidRPr="00FF39A0">
        <w:rPr>
          <w:shd w:val="clear" w:color="auto" w:fill="FFFFFF"/>
          <w:lang w:val="en"/>
        </w:rPr>
        <w:t>.</w:t>
      </w:r>
      <w:r w:rsidR="00FF39A0" w:rsidRPr="00FF39A0">
        <w:rPr>
          <w:shd w:val="clear" w:color="auto" w:fill="FFFFFF"/>
          <w:lang w:val="en"/>
        </w:rPr>
        <w:t>8</w:t>
      </w:r>
      <w:r w:rsidRPr="00FF39A0">
        <w:rPr>
          <w:shd w:val="clear" w:color="auto" w:fill="FFFFFF"/>
          <w:lang w:val="en"/>
        </w:rPr>
        <w:t>% of the total value of contracts.</w:t>
      </w:r>
      <w:r w:rsidRPr="00785F40">
        <w:rPr>
          <w:b/>
          <w:lang w:val="en-US"/>
        </w:rPr>
        <w:t xml:space="preserve"> </w:t>
      </w:r>
    </w:p>
    <w:p w:rsidR="00440531" w:rsidRPr="00785F40" w:rsidRDefault="00440531" w:rsidP="00ED6C96">
      <w:pPr>
        <w:rPr>
          <w:b/>
          <w:lang w:val="en-US"/>
        </w:rPr>
      </w:pPr>
    </w:p>
    <w:p w:rsidR="00440531" w:rsidRPr="00785F40" w:rsidRDefault="00440531" w:rsidP="00440531">
      <w:pPr>
        <w:rPr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44256" behindDoc="0" locked="0" layoutInCell="1" allowOverlap="1" wp14:anchorId="73BE6E58" wp14:editId="6B9C10AA">
            <wp:simplePos x="0" y="0"/>
            <wp:positionH relativeFrom="column">
              <wp:posOffset>38100</wp:posOffset>
            </wp:positionH>
            <wp:positionV relativeFrom="paragraph">
              <wp:posOffset>300990</wp:posOffset>
            </wp:positionV>
            <wp:extent cx="5122545" cy="3057525"/>
            <wp:effectExtent l="0" t="0" r="0" b="0"/>
            <wp:wrapTopAndBottom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F40">
        <w:rPr>
          <w:b/>
          <w:lang w:val="en-US"/>
        </w:rPr>
        <w:t>Chart 1.</w:t>
      </w:r>
      <w:r w:rsidRPr="00785F40">
        <w:rPr>
          <w:b/>
          <w:shd w:val="clear" w:color="auto" w:fill="FFFFFF"/>
          <w:lang w:val="en-US"/>
        </w:rPr>
        <w:t xml:space="preserve"> </w:t>
      </w:r>
      <w:r w:rsidRPr="004D0C49">
        <w:rPr>
          <w:b/>
          <w:shd w:val="clear" w:color="auto" w:fill="FFFFFF"/>
          <w:lang w:val="en"/>
        </w:rPr>
        <w:t xml:space="preserve">The value of new lease contracts by type of </w:t>
      </w:r>
      <w:r>
        <w:rPr>
          <w:b/>
          <w:shd w:val="clear" w:color="auto" w:fill="FFFFFF"/>
          <w:lang w:val="en"/>
        </w:rPr>
        <w:t xml:space="preserve">the </w:t>
      </w:r>
      <w:r w:rsidRPr="004D0C49">
        <w:rPr>
          <w:b/>
          <w:shd w:val="clear" w:color="auto" w:fill="FFFFFF"/>
          <w:lang w:val="en"/>
        </w:rPr>
        <w:t>lessee</w:t>
      </w:r>
      <w:r>
        <w:rPr>
          <w:b/>
          <w:shd w:val="clear" w:color="auto" w:fill="FFFFFF"/>
          <w:lang w:val="en"/>
        </w:rPr>
        <w:t>’s</w:t>
      </w:r>
      <w:r w:rsidRPr="004D0C49">
        <w:rPr>
          <w:b/>
          <w:shd w:val="clear" w:color="auto" w:fill="FFFFFF"/>
          <w:lang w:val="en"/>
        </w:rPr>
        <w:t xml:space="preserve"> business (</w:t>
      </w:r>
      <w:r>
        <w:rPr>
          <w:b/>
          <w:shd w:val="clear" w:color="auto" w:fill="FFFFFF"/>
          <w:lang w:val="en"/>
        </w:rPr>
        <w:t>NACE section)</w:t>
      </w:r>
    </w:p>
    <w:p w:rsidR="001C5B51" w:rsidRDefault="001C5B51" w:rsidP="00E73765">
      <w:pPr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</w:pPr>
    </w:p>
    <w:p w:rsidR="00E73765" w:rsidRDefault="00921967" w:rsidP="00E73765">
      <w:pPr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</w:pPr>
      <w:bookmarkStart w:id="0" w:name="_GoBack"/>
      <w:bookmarkEnd w:id="0"/>
      <w:r w:rsidRPr="00921967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4F1C40F2" wp14:editId="09F4525E">
                <wp:simplePos x="0" y="0"/>
                <wp:positionH relativeFrom="page">
                  <wp:align>right</wp:align>
                </wp:positionH>
                <wp:positionV relativeFrom="paragraph">
                  <wp:posOffset>61788</wp:posOffset>
                </wp:positionV>
                <wp:extent cx="1725295" cy="1093470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3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57F" w:rsidRDefault="001C5B51" w:rsidP="0065657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2019 t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he net profit for the 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total 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amount of PLN 9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42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million was</w:t>
                            </w:r>
                            <w:r w:rsid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made by 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3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8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companie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s,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while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1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9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entities </w:t>
                            </w:r>
                            <w:r w:rsid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d a loss of PLN 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100</w:t>
                            </w:r>
                            <w:r w:rsidR="0065657F"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million</w:t>
                            </w:r>
                          </w:p>
                          <w:p w:rsidR="00921967" w:rsidRPr="00785F40" w:rsidRDefault="00921967" w:rsidP="0065657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65657F" w:rsidRPr="00785F40" w:rsidRDefault="0065657F" w:rsidP="0065657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margin-left:84.65pt;margin-top:4.85pt;width:135.85pt;height:86.1pt;z-index:-2515742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" filled="f" stroked="f">
                <v:textbox>
                  <w:txbxContent>
                    <w:p w:rsidR="0065657F" w:rsidRDefault="001C5B51" w:rsidP="0065657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 2019 t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he net profit for the 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total 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amount of PLN 9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42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million was</w:t>
                      </w:r>
                      <w:r w:rsid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made by 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3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8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companie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s,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while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1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9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entities </w:t>
                      </w:r>
                      <w:r w:rsid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d a loss of PLN 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100</w:t>
                      </w:r>
                      <w:r w:rsidR="0065657F"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million</w:t>
                      </w:r>
                    </w:p>
                    <w:p w:rsidR="00921967" w:rsidRPr="00785F40" w:rsidRDefault="00921967" w:rsidP="0065657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65657F" w:rsidRPr="00785F40" w:rsidRDefault="0065657F" w:rsidP="0065657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E7252" w:rsidRPr="00FE7252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Financial situation of leasing companies</w:t>
      </w:r>
    </w:p>
    <w:p w:rsidR="00950D8E" w:rsidRPr="00785F40" w:rsidRDefault="00D0492E" w:rsidP="00950D8E">
      <w:pPr>
        <w:rPr>
          <w:color w:val="FF0000"/>
          <w:shd w:val="clear" w:color="auto" w:fill="FFFFFF"/>
          <w:lang w:val="en-US"/>
        </w:rPr>
      </w:pPr>
      <w:r w:rsidRPr="00785F40">
        <w:rPr>
          <w:spacing w:val="-2"/>
          <w:szCs w:val="19"/>
          <w:lang w:val="en-US"/>
        </w:rPr>
        <w:t xml:space="preserve">The value of assets of </w:t>
      </w:r>
      <w:r w:rsidR="00217888" w:rsidRPr="00785F40">
        <w:rPr>
          <w:spacing w:val="-2"/>
          <w:szCs w:val="19"/>
          <w:lang w:val="en-US"/>
        </w:rPr>
        <w:t>57</w:t>
      </w:r>
      <w:r w:rsidRPr="00785F40">
        <w:rPr>
          <w:spacing w:val="-2"/>
          <w:szCs w:val="19"/>
          <w:lang w:val="en-US"/>
        </w:rPr>
        <w:t xml:space="preserve"> companies (</w:t>
      </w:r>
      <w:r w:rsidR="00217888" w:rsidRPr="00785F40">
        <w:rPr>
          <w:spacing w:val="-2"/>
          <w:szCs w:val="19"/>
          <w:lang w:val="en-US"/>
        </w:rPr>
        <w:t>18</w:t>
      </w:r>
      <w:r w:rsidRPr="00785F40">
        <w:rPr>
          <w:spacing w:val="-2"/>
          <w:szCs w:val="19"/>
          <w:lang w:val="en-US"/>
        </w:rPr>
        <w:t xml:space="preserve"> companies </w:t>
      </w:r>
      <w:r w:rsidR="009D7B4D" w:rsidRPr="00785F40">
        <w:rPr>
          <w:spacing w:val="-2"/>
          <w:szCs w:val="19"/>
          <w:lang w:val="en-US"/>
        </w:rPr>
        <w:t>for</w:t>
      </w:r>
      <w:r w:rsidRPr="00785F40">
        <w:rPr>
          <w:spacing w:val="-2"/>
          <w:szCs w:val="19"/>
          <w:lang w:val="en-US"/>
        </w:rPr>
        <w:t xml:space="preserve"> which leasing activity was the only type of activity and </w:t>
      </w:r>
      <w:r w:rsidR="00217888" w:rsidRPr="00785F40">
        <w:rPr>
          <w:spacing w:val="-2"/>
          <w:szCs w:val="19"/>
          <w:lang w:val="en-US"/>
        </w:rPr>
        <w:t>39</w:t>
      </w:r>
      <w:r w:rsidRPr="00785F40">
        <w:rPr>
          <w:spacing w:val="-2"/>
          <w:szCs w:val="19"/>
          <w:lang w:val="en-US"/>
        </w:rPr>
        <w:t xml:space="preserve"> for which leasing activity was the dominant activity) amounted to PLN </w:t>
      </w:r>
      <w:r w:rsidR="00217888" w:rsidRPr="00785F40">
        <w:rPr>
          <w:shd w:val="clear" w:color="auto" w:fill="FFFFFF"/>
          <w:lang w:val="en-US"/>
        </w:rPr>
        <w:t>148,254 </w:t>
      </w:r>
      <w:r w:rsidRPr="00785F40">
        <w:rPr>
          <w:spacing w:val="-2"/>
          <w:szCs w:val="19"/>
          <w:lang w:val="en-US"/>
        </w:rPr>
        <w:t xml:space="preserve">million </w:t>
      </w:r>
      <w:r w:rsidR="00217888" w:rsidRPr="00785F40">
        <w:rPr>
          <w:spacing w:val="-2"/>
          <w:szCs w:val="19"/>
          <w:lang w:val="en-US"/>
        </w:rPr>
        <w:t>as at the end of 2019</w:t>
      </w:r>
      <w:r w:rsidRPr="00785F40">
        <w:rPr>
          <w:spacing w:val="-2"/>
          <w:szCs w:val="19"/>
          <w:lang w:val="en-US"/>
        </w:rPr>
        <w:t xml:space="preserve">. </w:t>
      </w:r>
      <w:r w:rsidRPr="009D7B4D">
        <w:rPr>
          <w:spacing w:val="-2"/>
          <w:szCs w:val="19"/>
          <w:lang w:val="en"/>
        </w:rPr>
        <w:t xml:space="preserve">Fixed assets with the value of </w:t>
      </w:r>
      <w:r w:rsidR="008565F7" w:rsidRPr="009D7B4D">
        <w:rPr>
          <w:spacing w:val="-2"/>
          <w:szCs w:val="19"/>
          <w:lang w:val="en"/>
        </w:rPr>
        <w:t xml:space="preserve">PLN </w:t>
      </w:r>
      <w:r w:rsidR="009D7B4D" w:rsidRPr="00785F40">
        <w:rPr>
          <w:shd w:val="clear" w:color="auto" w:fill="FFFFFF"/>
          <w:lang w:val="en-US"/>
        </w:rPr>
        <w:t>97,202 </w:t>
      </w:r>
      <w:r w:rsidRPr="009D7B4D">
        <w:rPr>
          <w:spacing w:val="-2"/>
          <w:szCs w:val="19"/>
          <w:lang w:val="en"/>
        </w:rPr>
        <w:t xml:space="preserve">million </w:t>
      </w:r>
      <w:r w:rsidR="00942BA2" w:rsidRPr="009D7B4D">
        <w:rPr>
          <w:spacing w:val="-2"/>
          <w:szCs w:val="19"/>
          <w:lang w:val="en"/>
        </w:rPr>
        <w:t>were</w:t>
      </w:r>
      <w:r w:rsidRPr="009D7B4D">
        <w:rPr>
          <w:spacing w:val="-2"/>
          <w:szCs w:val="19"/>
          <w:lang w:val="en"/>
        </w:rPr>
        <w:t xml:space="preserve"> the largest </w:t>
      </w:r>
      <w:r w:rsidR="00942BA2" w:rsidRPr="009D7B4D">
        <w:rPr>
          <w:spacing w:val="-2"/>
          <w:szCs w:val="19"/>
          <w:lang w:val="en"/>
        </w:rPr>
        <w:t>category</w:t>
      </w:r>
      <w:r w:rsidR="009D7B4D" w:rsidRPr="009D7B4D">
        <w:rPr>
          <w:spacing w:val="-2"/>
          <w:szCs w:val="19"/>
          <w:lang w:val="en"/>
        </w:rPr>
        <w:t xml:space="preserve"> (</w:t>
      </w:r>
      <w:r w:rsidR="009D7B4D" w:rsidRPr="00785F40">
        <w:rPr>
          <w:spacing w:val="-2"/>
          <w:szCs w:val="19"/>
          <w:lang w:val="en-US" w:eastAsia="pl-PL"/>
        </w:rPr>
        <w:t>65.6%</w:t>
      </w:r>
      <w:r w:rsidR="009D7B4D" w:rsidRPr="009D7B4D">
        <w:rPr>
          <w:spacing w:val="-2"/>
          <w:szCs w:val="19"/>
          <w:lang w:val="en"/>
        </w:rPr>
        <w:t>)</w:t>
      </w:r>
      <w:r w:rsidR="00942BA2" w:rsidRPr="009D7B4D">
        <w:rPr>
          <w:spacing w:val="-2"/>
          <w:szCs w:val="19"/>
          <w:lang w:val="en"/>
        </w:rPr>
        <w:t xml:space="preserve">. </w:t>
      </w:r>
      <w:r w:rsidR="00FC553B" w:rsidRPr="009D7B4D">
        <w:rPr>
          <w:spacing w:val="-2"/>
          <w:szCs w:val="19"/>
          <w:lang w:val="en"/>
        </w:rPr>
        <w:t xml:space="preserve">Current assets amounted to PLN </w:t>
      </w:r>
      <w:r w:rsidR="009D7B4D" w:rsidRPr="00785F40">
        <w:rPr>
          <w:spacing w:val="-2"/>
          <w:szCs w:val="19"/>
          <w:lang w:val="en-US" w:eastAsia="pl-PL"/>
        </w:rPr>
        <w:t>51,051 </w:t>
      </w:r>
      <w:r w:rsidR="00FC553B" w:rsidRPr="009D7B4D">
        <w:rPr>
          <w:spacing w:val="-2"/>
          <w:szCs w:val="19"/>
          <w:lang w:val="en"/>
        </w:rPr>
        <w:t>million, which was 34</w:t>
      </w:r>
      <w:r w:rsidR="00E73765" w:rsidRPr="009D7B4D">
        <w:rPr>
          <w:spacing w:val="-2"/>
          <w:szCs w:val="19"/>
          <w:lang w:val="en"/>
        </w:rPr>
        <w:t>.</w:t>
      </w:r>
      <w:r w:rsidR="009D7B4D" w:rsidRPr="009D7B4D">
        <w:rPr>
          <w:spacing w:val="-2"/>
          <w:szCs w:val="19"/>
          <w:lang w:val="en"/>
        </w:rPr>
        <w:t>4</w:t>
      </w:r>
      <w:r w:rsidR="00FC553B" w:rsidRPr="009D7B4D">
        <w:rPr>
          <w:spacing w:val="-2"/>
          <w:szCs w:val="19"/>
          <w:lang w:val="en"/>
        </w:rPr>
        <w:t xml:space="preserve">% of the total assets. </w:t>
      </w:r>
      <w:r w:rsidR="00950D8E" w:rsidRPr="009D7B4D">
        <w:rPr>
          <w:shd w:val="clear" w:color="auto" w:fill="FFFFFF"/>
          <w:lang w:val="en"/>
        </w:rPr>
        <w:t>In the liabilities of this group of leasing companie</w:t>
      </w:r>
      <w:r w:rsidR="00D55758" w:rsidRPr="009D7B4D">
        <w:rPr>
          <w:shd w:val="clear" w:color="auto" w:fill="FFFFFF"/>
          <w:lang w:val="en"/>
        </w:rPr>
        <w:t>s 95</w:t>
      </w:r>
      <w:r w:rsidR="00E73765" w:rsidRPr="009D7B4D">
        <w:rPr>
          <w:shd w:val="clear" w:color="auto" w:fill="FFFFFF"/>
          <w:lang w:val="en"/>
        </w:rPr>
        <w:t>.</w:t>
      </w:r>
      <w:r w:rsidR="00950D8E" w:rsidRPr="009D7B4D">
        <w:rPr>
          <w:shd w:val="clear" w:color="auto" w:fill="FFFFFF"/>
          <w:lang w:val="en"/>
        </w:rPr>
        <w:t>1% of the value were li</w:t>
      </w:r>
      <w:r w:rsidR="00950D8E" w:rsidRPr="009D7B4D">
        <w:rPr>
          <w:shd w:val="clear" w:color="auto" w:fill="FFFFFF"/>
          <w:lang w:val="en"/>
        </w:rPr>
        <w:t>a</w:t>
      </w:r>
      <w:r w:rsidR="00950D8E" w:rsidRPr="009D7B4D">
        <w:rPr>
          <w:shd w:val="clear" w:color="auto" w:fill="FFFFFF"/>
          <w:lang w:val="en"/>
        </w:rPr>
        <w:t xml:space="preserve">bilities and provisions for liabilities in the amount of PLN </w:t>
      </w:r>
      <w:r w:rsidR="009D7B4D" w:rsidRPr="00785F40">
        <w:rPr>
          <w:spacing w:val="-2"/>
          <w:szCs w:val="19"/>
          <w:lang w:val="en-US" w:eastAsia="pl-PL"/>
        </w:rPr>
        <w:t>140,962 </w:t>
      </w:r>
      <w:r w:rsidR="00950D8E" w:rsidRPr="009D7B4D">
        <w:rPr>
          <w:shd w:val="clear" w:color="auto" w:fill="FFFFFF"/>
          <w:lang w:val="en"/>
        </w:rPr>
        <w:t xml:space="preserve">million. </w:t>
      </w:r>
    </w:p>
    <w:p w:rsidR="00D4156C" w:rsidRDefault="00D4156C" w:rsidP="00D4156C">
      <w:pPr>
        <w:rPr>
          <w:shd w:val="clear" w:color="auto" w:fill="FFFFFF"/>
          <w:lang w:val="en"/>
        </w:rPr>
      </w:pPr>
      <w:r w:rsidRPr="009F1FCE">
        <w:rPr>
          <w:shd w:val="clear" w:color="auto" w:fill="FFFFFF"/>
          <w:lang w:val="en"/>
        </w:rPr>
        <w:t xml:space="preserve">Revenues from total activity of entities </w:t>
      </w:r>
      <w:r w:rsidR="009F1FCE" w:rsidRPr="009F1FCE">
        <w:rPr>
          <w:shd w:val="clear" w:color="auto" w:fill="FFFFFF"/>
          <w:lang w:val="en"/>
        </w:rPr>
        <w:t>for</w:t>
      </w:r>
      <w:r w:rsidRPr="009F1FCE">
        <w:rPr>
          <w:shd w:val="clear" w:color="auto" w:fill="FFFFFF"/>
          <w:lang w:val="en"/>
        </w:rPr>
        <w:t xml:space="preserve"> which leasing was the only or dominant type of activity amounted to PLN </w:t>
      </w:r>
      <w:r w:rsidR="009F1FCE" w:rsidRPr="00785F40">
        <w:rPr>
          <w:spacing w:val="-2"/>
          <w:szCs w:val="19"/>
          <w:lang w:val="en-US" w:eastAsia="pl-PL"/>
        </w:rPr>
        <w:t>14,122 </w:t>
      </w:r>
      <w:r w:rsidRPr="009F1FCE">
        <w:rPr>
          <w:shd w:val="clear" w:color="auto" w:fill="FFFFFF"/>
          <w:lang w:val="en"/>
        </w:rPr>
        <w:t xml:space="preserve">million. </w:t>
      </w:r>
      <w:r w:rsidR="00451A79" w:rsidRPr="009F1FCE">
        <w:rPr>
          <w:shd w:val="clear" w:color="auto" w:fill="FFFFFF"/>
          <w:lang w:val="en"/>
        </w:rPr>
        <w:t>Sales revenues had the largest share in t</w:t>
      </w:r>
      <w:r w:rsidRPr="009F1FCE">
        <w:rPr>
          <w:shd w:val="clear" w:color="auto" w:fill="FFFFFF"/>
          <w:lang w:val="en"/>
        </w:rPr>
        <w:t xml:space="preserve">he structure of these revenues </w:t>
      </w:r>
      <w:r w:rsidR="009F1FCE" w:rsidRPr="009F1FCE">
        <w:rPr>
          <w:shd w:val="clear" w:color="auto" w:fill="FFFFFF"/>
          <w:lang w:val="en"/>
        </w:rPr>
        <w:t>–</w:t>
      </w:r>
      <w:r w:rsidRPr="009F1FCE">
        <w:rPr>
          <w:shd w:val="clear" w:color="auto" w:fill="FFFFFF"/>
          <w:lang w:val="en"/>
        </w:rPr>
        <w:t xml:space="preserve"> </w:t>
      </w:r>
      <w:r w:rsidR="009F1FCE" w:rsidRPr="00785F40">
        <w:rPr>
          <w:spacing w:val="-2"/>
          <w:szCs w:val="19"/>
          <w:lang w:val="en-US" w:eastAsia="pl-PL"/>
        </w:rPr>
        <w:t>80.6%</w:t>
      </w:r>
      <w:r w:rsidRPr="009F1FCE">
        <w:rPr>
          <w:shd w:val="clear" w:color="auto" w:fill="FFFFFF"/>
          <w:lang w:val="en"/>
        </w:rPr>
        <w:t xml:space="preserve">. </w:t>
      </w:r>
      <w:r w:rsidR="00451A79" w:rsidRPr="009F1FCE">
        <w:rPr>
          <w:shd w:val="clear" w:color="auto" w:fill="FFFFFF"/>
          <w:lang w:val="en"/>
        </w:rPr>
        <w:t>T</w:t>
      </w:r>
      <w:r w:rsidRPr="009F1FCE">
        <w:rPr>
          <w:shd w:val="clear" w:color="auto" w:fill="FFFFFF"/>
          <w:lang w:val="en"/>
        </w:rPr>
        <w:t xml:space="preserve">otal activity </w:t>
      </w:r>
      <w:r w:rsidR="00451A79" w:rsidRPr="009F1FCE">
        <w:rPr>
          <w:shd w:val="clear" w:color="auto" w:fill="FFFFFF"/>
          <w:lang w:val="en"/>
        </w:rPr>
        <w:t xml:space="preserve">expenses </w:t>
      </w:r>
      <w:r w:rsidRPr="009F1FCE">
        <w:rPr>
          <w:shd w:val="clear" w:color="auto" w:fill="FFFFFF"/>
          <w:lang w:val="en"/>
        </w:rPr>
        <w:t xml:space="preserve">amounted to PLN </w:t>
      </w:r>
      <w:r w:rsidR="009F1FCE" w:rsidRPr="00785F40">
        <w:rPr>
          <w:spacing w:val="-2"/>
          <w:szCs w:val="19"/>
          <w:lang w:val="en-US" w:eastAsia="pl-PL"/>
        </w:rPr>
        <w:t>13,052 </w:t>
      </w:r>
      <w:r w:rsidRPr="009F1FCE">
        <w:rPr>
          <w:shd w:val="clear" w:color="auto" w:fill="FFFFFF"/>
          <w:lang w:val="en"/>
        </w:rPr>
        <w:t xml:space="preserve">million, </w:t>
      </w:r>
      <w:r w:rsidR="00451A79" w:rsidRPr="009F1FCE">
        <w:rPr>
          <w:shd w:val="clear" w:color="auto" w:fill="FFFFFF"/>
          <w:lang w:val="en"/>
        </w:rPr>
        <w:t xml:space="preserve">were costs of </w:t>
      </w:r>
      <w:r w:rsidRPr="009F1FCE">
        <w:rPr>
          <w:shd w:val="clear" w:color="auto" w:fill="FFFFFF"/>
          <w:lang w:val="en"/>
        </w:rPr>
        <w:t xml:space="preserve">operating </w:t>
      </w:r>
      <w:r w:rsidR="00451A79" w:rsidRPr="009F1FCE">
        <w:rPr>
          <w:shd w:val="clear" w:color="auto" w:fill="FFFFFF"/>
          <w:lang w:val="en"/>
        </w:rPr>
        <w:t>activity</w:t>
      </w:r>
      <w:r w:rsidRPr="009F1FCE">
        <w:rPr>
          <w:shd w:val="clear" w:color="auto" w:fill="FFFFFF"/>
          <w:lang w:val="en"/>
        </w:rPr>
        <w:t xml:space="preserve"> accounted for 54.</w:t>
      </w:r>
      <w:r w:rsidR="009F1FCE" w:rsidRPr="009F1FCE">
        <w:rPr>
          <w:shd w:val="clear" w:color="auto" w:fill="FFFFFF"/>
          <w:lang w:val="en"/>
        </w:rPr>
        <w:t>0</w:t>
      </w:r>
      <w:r w:rsidRPr="009F1FCE">
        <w:rPr>
          <w:shd w:val="clear" w:color="auto" w:fill="FFFFFF"/>
          <w:lang w:val="en"/>
        </w:rPr>
        <w:t xml:space="preserve">%. The net financial result </w:t>
      </w:r>
      <w:r w:rsidR="00451A79" w:rsidRPr="009F1FCE">
        <w:rPr>
          <w:shd w:val="clear" w:color="auto" w:fill="FFFFFF"/>
          <w:lang w:val="en"/>
        </w:rPr>
        <w:t>amounted to</w:t>
      </w:r>
      <w:r w:rsidRPr="009F1FCE">
        <w:rPr>
          <w:shd w:val="clear" w:color="auto" w:fill="FFFFFF"/>
          <w:lang w:val="en"/>
        </w:rPr>
        <w:t xml:space="preserve"> PLN </w:t>
      </w:r>
      <w:r w:rsidR="009F1FCE" w:rsidRPr="009F1FCE">
        <w:rPr>
          <w:shd w:val="clear" w:color="auto" w:fill="FFFFFF"/>
          <w:lang w:val="en"/>
        </w:rPr>
        <w:t>842</w:t>
      </w:r>
      <w:r w:rsidRPr="009F1FCE">
        <w:rPr>
          <w:shd w:val="clear" w:color="auto" w:fill="FFFFFF"/>
          <w:lang w:val="en"/>
        </w:rPr>
        <w:t xml:space="preserve"> million.</w:t>
      </w:r>
    </w:p>
    <w:p w:rsidR="00E23177" w:rsidRDefault="00E23177" w:rsidP="00E23177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data, please provide information: “Source of data: Stati</w:t>
      </w:r>
      <w:r w:rsidRPr="00C704E3">
        <w:rPr>
          <w:lang w:val="en-US"/>
        </w:rPr>
        <w:t>s</w:t>
      </w:r>
      <w:r w:rsidRPr="00C704E3">
        <w:rPr>
          <w:lang w:val="en-US"/>
        </w:rPr>
        <w:t>tics Poland”, and in case of publishing calculations made on data published by Statistics Poland, please include the following disclaimer: “Own study based on figures from Statistics Poland”</w:t>
      </w:r>
    </w:p>
    <w:p w:rsidR="00E23177" w:rsidRPr="00785F40" w:rsidRDefault="00E23177" w:rsidP="00E76D26">
      <w:pPr>
        <w:rPr>
          <w:sz w:val="18"/>
          <w:lang w:val="en-US"/>
        </w:rPr>
        <w:sectPr w:rsidR="00E23177" w:rsidRPr="00785F40" w:rsidSect="00B72F9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785F40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440531" w:rsidTr="009A5961">
        <w:trPr>
          <w:trHeight w:val="1506"/>
        </w:trPr>
        <w:tc>
          <w:tcPr>
            <w:tcW w:w="4195" w:type="dxa"/>
          </w:tcPr>
          <w:p w:rsidR="0025563A" w:rsidRPr="00785F40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785F40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785F40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FA4729" w:rsidRPr="00785F40" w:rsidRDefault="006A0213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Macroeconomic Studies and Finance 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br/>
              <w:t xml:space="preserve">Statistics </w:t>
            </w:r>
            <w:r w:rsidR="00FA4729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FA4729" w:rsidRPr="00785F40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Director </w:t>
            </w:r>
            <w:r w:rsidR="00AD40D1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Mirosław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D40D1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Błażej</w:t>
            </w:r>
          </w:p>
          <w:p w:rsidR="00F418D1" w:rsidRPr="008F3638" w:rsidRDefault="00F418D1" w:rsidP="00F418D1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22) </w:t>
            </w:r>
            <w:r w:rsidR="00AD40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D40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37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D40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785F40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85F40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785F40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785F40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4B381A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:rsidR="000470AA" w:rsidRPr="00785F40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o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f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Statistic</w:t>
            </w:r>
            <w:r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785F4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FA4729" w:rsidRPr="00785F40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785F40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785F40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785F40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  <w:proofErr w:type="spellEnd"/>
          </w:p>
          <w:p w:rsidR="00F418D1" w:rsidRPr="008F3638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785F40" w:rsidRDefault="000470AA" w:rsidP="000470AA">
      <w:pPr>
        <w:rPr>
          <w:sz w:val="20"/>
          <w:lang w:val="en-US"/>
        </w:rPr>
      </w:pPr>
    </w:p>
    <w:p w:rsidR="000470AA" w:rsidRPr="00785F4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40531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785F40" w:rsidRDefault="001D2736" w:rsidP="00A24587">
            <w:pPr>
              <w:rPr>
                <w:b/>
                <w:sz w:val="20"/>
                <w:lang w:val="en-US"/>
              </w:rPr>
            </w:pPr>
            <w:r w:rsidRPr="00785F40">
              <w:rPr>
                <w:b/>
                <w:sz w:val="20"/>
                <w:lang w:val="en-US"/>
              </w:rPr>
              <w:t>Press Office</w:t>
            </w:r>
          </w:p>
          <w:p w:rsidR="00F418D1" w:rsidRPr="00785F40" w:rsidRDefault="00F418D1" w:rsidP="00F418D1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785F40">
              <w:rPr>
                <w:sz w:val="20"/>
                <w:lang w:val="en-US"/>
              </w:rPr>
              <w:t xml:space="preserve">608 34 91, 608 38 04 </w:t>
            </w:r>
          </w:p>
          <w:p w:rsidR="000470AA" w:rsidRPr="00785F40" w:rsidRDefault="000470AA" w:rsidP="00A24587">
            <w:pPr>
              <w:rPr>
                <w:sz w:val="18"/>
                <w:lang w:val="en-US"/>
              </w:rPr>
            </w:pPr>
            <w:r w:rsidRPr="00785F40">
              <w:rPr>
                <w:b/>
                <w:sz w:val="20"/>
                <w:lang w:val="en-US"/>
              </w:rPr>
              <w:t>e-mail:</w:t>
            </w:r>
            <w:r w:rsidRPr="00785F40">
              <w:rPr>
                <w:sz w:val="20"/>
                <w:lang w:val="en-US"/>
              </w:rPr>
              <w:t xml:space="preserve"> </w:t>
            </w:r>
            <w:hyperlink r:id="rId17" w:history="1">
              <w:r w:rsidRPr="00785F4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785F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85F40" w:rsidRDefault="000470AA" w:rsidP="000470AA">
            <w:pPr>
              <w:rPr>
                <w:sz w:val="18"/>
                <w:lang w:val="en-US"/>
              </w:rPr>
            </w:pPr>
            <w:r w:rsidRPr="00785F40">
              <w:rPr>
                <w:sz w:val="20"/>
                <w:lang w:val="en-US"/>
              </w:rPr>
              <w:t>www.stat.gov.pl</w:t>
            </w:r>
            <w:r w:rsidR="001D2736" w:rsidRPr="00785F40">
              <w:rPr>
                <w:sz w:val="20"/>
                <w:lang w:val="en-US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785F40" w:rsidRDefault="000470AA" w:rsidP="00A2458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785F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785F4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AB6D25" w:rsidRPr="00785F40" w:rsidRDefault="0066415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440531">
                              <w:rPr>
                                <w:lang w:val="en-US"/>
                              </w:rPr>
                              <w:instrText xml:space="preserve"> HYPERLINK "https://stat.gov.pl/en/topics/economic-activities-finances/financial-results/specialized-segments-of-financial-market-2018,5,3.html" </w:instrText>
                            </w:r>
                            <w:r>
                              <w:fldChar w:fldCharType="separate"/>
                            </w:r>
                            <w:r w:rsidR="00924E2E" w:rsidRPr="00785F4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Specialized segments of financial market 2018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673C26" w:rsidRPr="00785F40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AB6D25" w:rsidRPr="00785F40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:rsidR="00F85591" w:rsidRPr="00785F40" w:rsidRDefault="00664155" w:rsidP="00F8559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440531">
                              <w:rPr>
                                <w:lang w:val="en-US"/>
                              </w:rPr>
                              <w:instrText xml:space="preserve"> HYPERLINK "https://stat.gov.pl/en/metainformations/glossary/terms-used-in-official-statistics/174,term.html" </w:instrText>
                            </w:r>
                            <w:r>
                              <w:fldChar w:fldCharType="separate"/>
                            </w:r>
                            <w:r w:rsidR="00F85591" w:rsidRPr="00785F4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Leasing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DB4CC6" w:rsidRDefault="00664155" w:rsidP="00DB4CC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proofErr w:type="spellStart"/>
                              <w:r w:rsidR="00DB4CC6" w:rsidRPr="00D639B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Leaseholder</w:t>
                              </w:r>
                              <w:proofErr w:type="spellEnd"/>
                              <w:r w:rsidR="00DB4CC6" w:rsidRPr="00D639B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, </w:t>
                              </w:r>
                              <w:proofErr w:type="spellStart"/>
                              <w:r w:rsidR="00DB4CC6" w:rsidRPr="00D639B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lessee</w:t>
                              </w:r>
                              <w:proofErr w:type="spellEnd"/>
                            </w:hyperlink>
                          </w:p>
                          <w:p w:rsidR="00DB4CC6" w:rsidRPr="00E72B1C" w:rsidRDefault="00664155" w:rsidP="00DB4CC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proofErr w:type="spellStart"/>
                              <w:r w:rsidR="00DB4CC6" w:rsidRPr="00E72B1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Leaser</w:t>
                              </w:r>
                              <w:proofErr w:type="spellEnd"/>
                              <w:r w:rsidR="00DB4CC6" w:rsidRPr="00E72B1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, </w:t>
                              </w:r>
                              <w:proofErr w:type="spellStart"/>
                              <w:r w:rsidR="00DB4CC6" w:rsidRPr="00E72B1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lessor</w:t>
                              </w:r>
                              <w:proofErr w:type="spellEnd"/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785F4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785F40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AB6D25" w:rsidRPr="00785F40" w:rsidRDefault="0066415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440531">
                        <w:rPr>
                          <w:lang w:val="en-US"/>
                        </w:rPr>
                        <w:instrText xml:space="preserve"> HYPERLINK "https://stat.gov.pl/en/topics/economic-activities-finances/financial-results/specialized-segments-of-financial-market-2018,5,3.html" </w:instrText>
                      </w:r>
                      <w:r>
                        <w:fldChar w:fldCharType="separate"/>
                      </w:r>
                      <w:r w:rsidR="00924E2E" w:rsidRPr="00785F4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Specialized segments of financial market 2018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673C26" w:rsidRPr="00785F40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AB6D25" w:rsidRPr="00785F40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:rsidR="00F85591" w:rsidRPr="00785F40" w:rsidRDefault="00664155" w:rsidP="00F8559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440531">
                        <w:rPr>
                          <w:lang w:val="en-US"/>
                        </w:rPr>
                        <w:instrText xml:space="preserve"> HYPERLINK "https://stat.gov.pl/en/metainformations/glossary/terms-used-in-official-statistics/174,term.html" </w:instrText>
                      </w:r>
                      <w:r>
                        <w:fldChar w:fldCharType="separate"/>
                      </w:r>
                      <w:r w:rsidR="00F85591" w:rsidRPr="00785F4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Leasing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DB4CC6" w:rsidRDefault="00664155" w:rsidP="00DB4CC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3" w:history="1">
                        <w:proofErr w:type="spellStart"/>
                        <w:r w:rsidR="00DB4CC6" w:rsidRPr="00D639B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Leaseholder</w:t>
                        </w:r>
                        <w:proofErr w:type="spellEnd"/>
                        <w:r w:rsidR="00DB4CC6" w:rsidRPr="00D639B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, </w:t>
                        </w:r>
                        <w:proofErr w:type="spellStart"/>
                        <w:r w:rsidR="00DB4CC6" w:rsidRPr="00D639B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lessee</w:t>
                        </w:r>
                        <w:proofErr w:type="spellEnd"/>
                      </w:hyperlink>
                    </w:p>
                    <w:p w:rsidR="00DB4CC6" w:rsidRPr="00E72B1C" w:rsidRDefault="00664155" w:rsidP="00DB4CC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4" w:history="1">
                        <w:proofErr w:type="spellStart"/>
                        <w:r w:rsidR="00DB4CC6" w:rsidRPr="00E72B1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Leaser</w:t>
                        </w:r>
                        <w:proofErr w:type="spellEnd"/>
                        <w:r w:rsidR="00DB4CC6" w:rsidRPr="00E72B1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, </w:t>
                        </w:r>
                        <w:proofErr w:type="spellStart"/>
                        <w:r w:rsidR="00DB4CC6" w:rsidRPr="00E72B1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lessor</w:t>
                        </w:r>
                        <w:proofErr w:type="spellEnd"/>
                      </w:hyperlink>
                    </w:p>
                    <w:p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55" w:rsidRDefault="00664155" w:rsidP="000662E2">
      <w:pPr>
        <w:spacing w:after="0" w:line="240" w:lineRule="auto"/>
      </w:pPr>
      <w:r>
        <w:separator/>
      </w:r>
    </w:p>
  </w:endnote>
  <w:endnote w:type="continuationSeparator" w:id="0">
    <w:p w:rsidR="00664155" w:rsidRDefault="0066415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076485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3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6D" w:rsidRDefault="00EB556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3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55" w:rsidRDefault="00664155" w:rsidP="000662E2">
      <w:pPr>
        <w:spacing w:after="0" w:line="240" w:lineRule="auto"/>
      </w:pPr>
      <w:r>
        <w:separator/>
      </w:r>
    </w:p>
  </w:footnote>
  <w:footnote w:type="continuationSeparator" w:id="0">
    <w:p w:rsidR="00664155" w:rsidRDefault="0066415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BEFAB6" wp14:editId="4EA4E64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722A9DA" wp14:editId="77DAE04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9" name="Obraz 19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DB7DC1" wp14:editId="59742D2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8F51B6A" wp14:editId="4E29A11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E154180" wp14:editId="007E9F0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0A490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6D6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7688B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7688B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0A490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6D6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7688B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7688B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.55pt;height:125.5pt;visibility:visible;mso-wrap-style:square" o:bullet="t">
        <v:imagedata r:id="rId1" o:title=""/>
      </v:shape>
    </w:pict>
  </w:numPicBullet>
  <w:numPicBullet w:numPicBulletId="1">
    <w:pict>
      <v:shape id="_x0000_i1043" type="#_x0000_t75" style="width:123.55pt;height:125.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853"/>
    <w:rsid w:val="00001C5B"/>
    <w:rsid w:val="00003437"/>
    <w:rsid w:val="00004288"/>
    <w:rsid w:val="0000709F"/>
    <w:rsid w:val="000108B8"/>
    <w:rsid w:val="000152F5"/>
    <w:rsid w:val="0004582E"/>
    <w:rsid w:val="000470AA"/>
    <w:rsid w:val="00057CA1"/>
    <w:rsid w:val="00064439"/>
    <w:rsid w:val="000657E3"/>
    <w:rsid w:val="000662E2"/>
    <w:rsid w:val="00066883"/>
    <w:rsid w:val="000670DE"/>
    <w:rsid w:val="00074DD8"/>
    <w:rsid w:val="000806F7"/>
    <w:rsid w:val="00080863"/>
    <w:rsid w:val="0008514C"/>
    <w:rsid w:val="0009036F"/>
    <w:rsid w:val="00093C74"/>
    <w:rsid w:val="000A490C"/>
    <w:rsid w:val="000B0727"/>
    <w:rsid w:val="000C0DD6"/>
    <w:rsid w:val="000C135D"/>
    <w:rsid w:val="000C4EE5"/>
    <w:rsid w:val="000D1D43"/>
    <w:rsid w:val="000D1EAB"/>
    <w:rsid w:val="000D225C"/>
    <w:rsid w:val="000D2A5C"/>
    <w:rsid w:val="000D4173"/>
    <w:rsid w:val="000E0918"/>
    <w:rsid w:val="000E0D90"/>
    <w:rsid w:val="000E7435"/>
    <w:rsid w:val="001011C3"/>
    <w:rsid w:val="00101666"/>
    <w:rsid w:val="00110D87"/>
    <w:rsid w:val="00114DB9"/>
    <w:rsid w:val="00116087"/>
    <w:rsid w:val="00130296"/>
    <w:rsid w:val="00135B14"/>
    <w:rsid w:val="00140CEE"/>
    <w:rsid w:val="001423B6"/>
    <w:rsid w:val="0014351A"/>
    <w:rsid w:val="001448A7"/>
    <w:rsid w:val="00146621"/>
    <w:rsid w:val="0016166A"/>
    <w:rsid w:val="00162325"/>
    <w:rsid w:val="00162E0C"/>
    <w:rsid w:val="001951DA"/>
    <w:rsid w:val="001A2887"/>
    <w:rsid w:val="001B28F3"/>
    <w:rsid w:val="001C3269"/>
    <w:rsid w:val="001C5B51"/>
    <w:rsid w:val="001C7430"/>
    <w:rsid w:val="001D1DB4"/>
    <w:rsid w:val="001D2736"/>
    <w:rsid w:val="001D30D5"/>
    <w:rsid w:val="001F33C7"/>
    <w:rsid w:val="00202253"/>
    <w:rsid w:val="00217888"/>
    <w:rsid w:val="0022163F"/>
    <w:rsid w:val="00223CE0"/>
    <w:rsid w:val="00232648"/>
    <w:rsid w:val="0025563A"/>
    <w:rsid w:val="002574F9"/>
    <w:rsid w:val="00260B69"/>
    <w:rsid w:val="00262B61"/>
    <w:rsid w:val="00267794"/>
    <w:rsid w:val="00276811"/>
    <w:rsid w:val="002774EF"/>
    <w:rsid w:val="002800E4"/>
    <w:rsid w:val="00282699"/>
    <w:rsid w:val="002926DF"/>
    <w:rsid w:val="00296697"/>
    <w:rsid w:val="002A6113"/>
    <w:rsid w:val="002B0472"/>
    <w:rsid w:val="002B6B12"/>
    <w:rsid w:val="002C58F1"/>
    <w:rsid w:val="002D5D08"/>
    <w:rsid w:val="002E3BE8"/>
    <w:rsid w:val="002E6140"/>
    <w:rsid w:val="002E6985"/>
    <w:rsid w:val="002E71B6"/>
    <w:rsid w:val="002F77C8"/>
    <w:rsid w:val="00304F22"/>
    <w:rsid w:val="00306C7C"/>
    <w:rsid w:val="00322EDD"/>
    <w:rsid w:val="00325FAD"/>
    <w:rsid w:val="00331527"/>
    <w:rsid w:val="00332320"/>
    <w:rsid w:val="00335C89"/>
    <w:rsid w:val="00340352"/>
    <w:rsid w:val="00345A97"/>
    <w:rsid w:val="00347D72"/>
    <w:rsid w:val="00354FCD"/>
    <w:rsid w:val="00357611"/>
    <w:rsid w:val="00362B2B"/>
    <w:rsid w:val="00367237"/>
    <w:rsid w:val="0037077F"/>
    <w:rsid w:val="00372411"/>
    <w:rsid w:val="00373882"/>
    <w:rsid w:val="00382849"/>
    <w:rsid w:val="003843DB"/>
    <w:rsid w:val="00391300"/>
    <w:rsid w:val="00393761"/>
    <w:rsid w:val="00397D18"/>
    <w:rsid w:val="003A1B36"/>
    <w:rsid w:val="003A2056"/>
    <w:rsid w:val="003B1454"/>
    <w:rsid w:val="003B18B6"/>
    <w:rsid w:val="003C4415"/>
    <w:rsid w:val="003C59E0"/>
    <w:rsid w:val="003C6C8D"/>
    <w:rsid w:val="003D4A87"/>
    <w:rsid w:val="003D4F95"/>
    <w:rsid w:val="003D5C6E"/>
    <w:rsid w:val="003D5F42"/>
    <w:rsid w:val="003D60A9"/>
    <w:rsid w:val="003D726C"/>
    <w:rsid w:val="003E16C3"/>
    <w:rsid w:val="003F4C97"/>
    <w:rsid w:val="003F5BD9"/>
    <w:rsid w:val="003F7A34"/>
    <w:rsid w:val="003F7FE6"/>
    <w:rsid w:val="00400193"/>
    <w:rsid w:val="00413C70"/>
    <w:rsid w:val="00413C93"/>
    <w:rsid w:val="004212E7"/>
    <w:rsid w:val="0042446D"/>
    <w:rsid w:val="00427BF8"/>
    <w:rsid w:val="0043055A"/>
    <w:rsid w:val="00431C02"/>
    <w:rsid w:val="00437395"/>
    <w:rsid w:val="00440531"/>
    <w:rsid w:val="00445047"/>
    <w:rsid w:val="00451A79"/>
    <w:rsid w:val="00463E39"/>
    <w:rsid w:val="004657FC"/>
    <w:rsid w:val="00466D03"/>
    <w:rsid w:val="004733F6"/>
    <w:rsid w:val="00474E69"/>
    <w:rsid w:val="0049621B"/>
    <w:rsid w:val="004A4833"/>
    <w:rsid w:val="004B381A"/>
    <w:rsid w:val="004C1895"/>
    <w:rsid w:val="004C6D40"/>
    <w:rsid w:val="004D0C49"/>
    <w:rsid w:val="004F0C3C"/>
    <w:rsid w:val="004F63FC"/>
    <w:rsid w:val="00505A92"/>
    <w:rsid w:val="005134BB"/>
    <w:rsid w:val="005203F1"/>
    <w:rsid w:val="00521BC3"/>
    <w:rsid w:val="00524721"/>
    <w:rsid w:val="00531743"/>
    <w:rsid w:val="00533632"/>
    <w:rsid w:val="00541E6E"/>
    <w:rsid w:val="0054251F"/>
    <w:rsid w:val="005508B0"/>
    <w:rsid w:val="005520D8"/>
    <w:rsid w:val="00553E19"/>
    <w:rsid w:val="00556CF1"/>
    <w:rsid w:val="0055716A"/>
    <w:rsid w:val="00566E1F"/>
    <w:rsid w:val="005762A7"/>
    <w:rsid w:val="005823E7"/>
    <w:rsid w:val="005916D7"/>
    <w:rsid w:val="005922C7"/>
    <w:rsid w:val="005A698C"/>
    <w:rsid w:val="005A74EC"/>
    <w:rsid w:val="005B0D19"/>
    <w:rsid w:val="005C1E18"/>
    <w:rsid w:val="005C6631"/>
    <w:rsid w:val="005E0799"/>
    <w:rsid w:val="005E14C2"/>
    <w:rsid w:val="005F0BEC"/>
    <w:rsid w:val="005F5A80"/>
    <w:rsid w:val="006044FF"/>
    <w:rsid w:val="00607CC5"/>
    <w:rsid w:val="00617934"/>
    <w:rsid w:val="00633014"/>
    <w:rsid w:val="0063437B"/>
    <w:rsid w:val="00641C79"/>
    <w:rsid w:val="00647009"/>
    <w:rsid w:val="0065657F"/>
    <w:rsid w:val="006573B8"/>
    <w:rsid w:val="00660E51"/>
    <w:rsid w:val="00663999"/>
    <w:rsid w:val="00664155"/>
    <w:rsid w:val="006673CA"/>
    <w:rsid w:val="00673C26"/>
    <w:rsid w:val="006812AF"/>
    <w:rsid w:val="0068327D"/>
    <w:rsid w:val="00694AF0"/>
    <w:rsid w:val="006A0213"/>
    <w:rsid w:val="006A4686"/>
    <w:rsid w:val="006B0E9E"/>
    <w:rsid w:val="006B0F42"/>
    <w:rsid w:val="006B1AD5"/>
    <w:rsid w:val="006B3BED"/>
    <w:rsid w:val="006B5AE4"/>
    <w:rsid w:val="006D1507"/>
    <w:rsid w:val="006D3ED3"/>
    <w:rsid w:val="006D4054"/>
    <w:rsid w:val="006E02EC"/>
    <w:rsid w:val="006F3422"/>
    <w:rsid w:val="006F6D6B"/>
    <w:rsid w:val="00711EEC"/>
    <w:rsid w:val="007211B1"/>
    <w:rsid w:val="0073223E"/>
    <w:rsid w:val="00733213"/>
    <w:rsid w:val="00741F80"/>
    <w:rsid w:val="00746187"/>
    <w:rsid w:val="0076254F"/>
    <w:rsid w:val="00765B99"/>
    <w:rsid w:val="00770EF8"/>
    <w:rsid w:val="007801F5"/>
    <w:rsid w:val="00783CA4"/>
    <w:rsid w:val="007842FB"/>
    <w:rsid w:val="00785F40"/>
    <w:rsid w:val="00786124"/>
    <w:rsid w:val="0079514B"/>
    <w:rsid w:val="007A2DC1"/>
    <w:rsid w:val="007D3319"/>
    <w:rsid w:val="007D335D"/>
    <w:rsid w:val="007E3314"/>
    <w:rsid w:val="007E4B03"/>
    <w:rsid w:val="007F25BE"/>
    <w:rsid w:val="007F324B"/>
    <w:rsid w:val="0080553C"/>
    <w:rsid w:val="00805B46"/>
    <w:rsid w:val="00805F1C"/>
    <w:rsid w:val="00825DC2"/>
    <w:rsid w:val="00834AD3"/>
    <w:rsid w:val="00834DF5"/>
    <w:rsid w:val="00843795"/>
    <w:rsid w:val="00847F0F"/>
    <w:rsid w:val="00852448"/>
    <w:rsid w:val="008565F7"/>
    <w:rsid w:val="0086760D"/>
    <w:rsid w:val="0088258A"/>
    <w:rsid w:val="00886332"/>
    <w:rsid w:val="00886A7D"/>
    <w:rsid w:val="00894DFD"/>
    <w:rsid w:val="00895FF8"/>
    <w:rsid w:val="008A26D9"/>
    <w:rsid w:val="008A7B88"/>
    <w:rsid w:val="008B001E"/>
    <w:rsid w:val="008B3B02"/>
    <w:rsid w:val="008C0C29"/>
    <w:rsid w:val="008F3638"/>
    <w:rsid w:val="008F4441"/>
    <w:rsid w:val="008F6F31"/>
    <w:rsid w:val="008F74DF"/>
    <w:rsid w:val="009127BA"/>
    <w:rsid w:val="00915AA6"/>
    <w:rsid w:val="00921967"/>
    <w:rsid w:val="009227A6"/>
    <w:rsid w:val="00923638"/>
    <w:rsid w:val="009242B8"/>
    <w:rsid w:val="00924E2E"/>
    <w:rsid w:val="00933EC1"/>
    <w:rsid w:val="00942BA2"/>
    <w:rsid w:val="00945B66"/>
    <w:rsid w:val="00950D8E"/>
    <w:rsid w:val="009530DB"/>
    <w:rsid w:val="00953676"/>
    <w:rsid w:val="0095512A"/>
    <w:rsid w:val="009705EE"/>
    <w:rsid w:val="00974637"/>
    <w:rsid w:val="00977927"/>
    <w:rsid w:val="0098135C"/>
    <w:rsid w:val="0098156A"/>
    <w:rsid w:val="00984B07"/>
    <w:rsid w:val="00985CF5"/>
    <w:rsid w:val="00991BAC"/>
    <w:rsid w:val="009A5961"/>
    <w:rsid w:val="009A6EA0"/>
    <w:rsid w:val="009C1335"/>
    <w:rsid w:val="009C1AB2"/>
    <w:rsid w:val="009C7251"/>
    <w:rsid w:val="009D7B4D"/>
    <w:rsid w:val="009E0985"/>
    <w:rsid w:val="009E2E91"/>
    <w:rsid w:val="009E5A64"/>
    <w:rsid w:val="009F1CFC"/>
    <w:rsid w:val="009F1FCE"/>
    <w:rsid w:val="00A139F5"/>
    <w:rsid w:val="00A15F16"/>
    <w:rsid w:val="00A24587"/>
    <w:rsid w:val="00A30006"/>
    <w:rsid w:val="00A365F4"/>
    <w:rsid w:val="00A37DBC"/>
    <w:rsid w:val="00A47D80"/>
    <w:rsid w:val="00A53132"/>
    <w:rsid w:val="00A563F2"/>
    <w:rsid w:val="00A566E8"/>
    <w:rsid w:val="00A61128"/>
    <w:rsid w:val="00A67511"/>
    <w:rsid w:val="00A810F9"/>
    <w:rsid w:val="00A86ECC"/>
    <w:rsid w:val="00A86FCC"/>
    <w:rsid w:val="00A94074"/>
    <w:rsid w:val="00AA710D"/>
    <w:rsid w:val="00AB14A0"/>
    <w:rsid w:val="00AB5DFF"/>
    <w:rsid w:val="00AB6D25"/>
    <w:rsid w:val="00AC3FCE"/>
    <w:rsid w:val="00AD40D1"/>
    <w:rsid w:val="00AE2D4B"/>
    <w:rsid w:val="00AE4F99"/>
    <w:rsid w:val="00AE59BC"/>
    <w:rsid w:val="00B032F3"/>
    <w:rsid w:val="00B04B80"/>
    <w:rsid w:val="00B12859"/>
    <w:rsid w:val="00B1321E"/>
    <w:rsid w:val="00B147CB"/>
    <w:rsid w:val="00B14952"/>
    <w:rsid w:val="00B2764F"/>
    <w:rsid w:val="00B30ABB"/>
    <w:rsid w:val="00B31E5A"/>
    <w:rsid w:val="00B521D5"/>
    <w:rsid w:val="00B653AB"/>
    <w:rsid w:val="00B65F9E"/>
    <w:rsid w:val="00B66B19"/>
    <w:rsid w:val="00B72F9E"/>
    <w:rsid w:val="00B73F22"/>
    <w:rsid w:val="00B914E9"/>
    <w:rsid w:val="00B91519"/>
    <w:rsid w:val="00B956EE"/>
    <w:rsid w:val="00BA2BA1"/>
    <w:rsid w:val="00BB1508"/>
    <w:rsid w:val="00BB4F09"/>
    <w:rsid w:val="00BB6A91"/>
    <w:rsid w:val="00BB72CB"/>
    <w:rsid w:val="00BC2765"/>
    <w:rsid w:val="00BC39B4"/>
    <w:rsid w:val="00BD2D71"/>
    <w:rsid w:val="00BD4E33"/>
    <w:rsid w:val="00BE13B8"/>
    <w:rsid w:val="00BF53A8"/>
    <w:rsid w:val="00C030DE"/>
    <w:rsid w:val="00C034BC"/>
    <w:rsid w:val="00C05E39"/>
    <w:rsid w:val="00C06732"/>
    <w:rsid w:val="00C22105"/>
    <w:rsid w:val="00C244B6"/>
    <w:rsid w:val="00C3702F"/>
    <w:rsid w:val="00C42943"/>
    <w:rsid w:val="00C47003"/>
    <w:rsid w:val="00C502EA"/>
    <w:rsid w:val="00C64A37"/>
    <w:rsid w:val="00C71415"/>
    <w:rsid w:val="00C7158E"/>
    <w:rsid w:val="00C71E0A"/>
    <w:rsid w:val="00C7250B"/>
    <w:rsid w:val="00C7346B"/>
    <w:rsid w:val="00C76A59"/>
    <w:rsid w:val="00C77C0E"/>
    <w:rsid w:val="00C91687"/>
    <w:rsid w:val="00C9209D"/>
    <w:rsid w:val="00C924A8"/>
    <w:rsid w:val="00C945FE"/>
    <w:rsid w:val="00C96FAA"/>
    <w:rsid w:val="00C97A04"/>
    <w:rsid w:val="00CA107B"/>
    <w:rsid w:val="00CA2132"/>
    <w:rsid w:val="00CA484D"/>
    <w:rsid w:val="00CA4FB6"/>
    <w:rsid w:val="00CB41A7"/>
    <w:rsid w:val="00CB5B23"/>
    <w:rsid w:val="00CC739E"/>
    <w:rsid w:val="00CD58B7"/>
    <w:rsid w:val="00CF4099"/>
    <w:rsid w:val="00D00796"/>
    <w:rsid w:val="00D0492E"/>
    <w:rsid w:val="00D261A2"/>
    <w:rsid w:val="00D30555"/>
    <w:rsid w:val="00D33CF4"/>
    <w:rsid w:val="00D4156C"/>
    <w:rsid w:val="00D5107C"/>
    <w:rsid w:val="00D55758"/>
    <w:rsid w:val="00D616D2"/>
    <w:rsid w:val="00D63B5F"/>
    <w:rsid w:val="00D64203"/>
    <w:rsid w:val="00D70EF7"/>
    <w:rsid w:val="00D8363D"/>
    <w:rsid w:val="00D8397C"/>
    <w:rsid w:val="00D85984"/>
    <w:rsid w:val="00D931B8"/>
    <w:rsid w:val="00D94EED"/>
    <w:rsid w:val="00D96026"/>
    <w:rsid w:val="00DA4463"/>
    <w:rsid w:val="00DA7C1C"/>
    <w:rsid w:val="00DB147A"/>
    <w:rsid w:val="00DB1B7A"/>
    <w:rsid w:val="00DB2D41"/>
    <w:rsid w:val="00DB4CC6"/>
    <w:rsid w:val="00DC02DB"/>
    <w:rsid w:val="00DC6708"/>
    <w:rsid w:val="00E01436"/>
    <w:rsid w:val="00E045BD"/>
    <w:rsid w:val="00E107FB"/>
    <w:rsid w:val="00E17B77"/>
    <w:rsid w:val="00E23177"/>
    <w:rsid w:val="00E23337"/>
    <w:rsid w:val="00E259EA"/>
    <w:rsid w:val="00E31ACC"/>
    <w:rsid w:val="00E32061"/>
    <w:rsid w:val="00E341FB"/>
    <w:rsid w:val="00E3783E"/>
    <w:rsid w:val="00E42FF9"/>
    <w:rsid w:val="00E4714C"/>
    <w:rsid w:val="00E51AEB"/>
    <w:rsid w:val="00E522A7"/>
    <w:rsid w:val="00E54452"/>
    <w:rsid w:val="00E57D05"/>
    <w:rsid w:val="00E664C5"/>
    <w:rsid w:val="00E671A2"/>
    <w:rsid w:val="00E73765"/>
    <w:rsid w:val="00E76D26"/>
    <w:rsid w:val="00E84408"/>
    <w:rsid w:val="00E973A9"/>
    <w:rsid w:val="00E97A00"/>
    <w:rsid w:val="00EB1390"/>
    <w:rsid w:val="00EB2C71"/>
    <w:rsid w:val="00EB4340"/>
    <w:rsid w:val="00EB4C27"/>
    <w:rsid w:val="00EB556D"/>
    <w:rsid w:val="00EB5A7D"/>
    <w:rsid w:val="00EB6F31"/>
    <w:rsid w:val="00ED55C0"/>
    <w:rsid w:val="00ED682B"/>
    <w:rsid w:val="00ED6C96"/>
    <w:rsid w:val="00EE144A"/>
    <w:rsid w:val="00EE41D5"/>
    <w:rsid w:val="00EE76E6"/>
    <w:rsid w:val="00F037A4"/>
    <w:rsid w:val="00F05B0E"/>
    <w:rsid w:val="00F06B26"/>
    <w:rsid w:val="00F07C01"/>
    <w:rsid w:val="00F27C8F"/>
    <w:rsid w:val="00F32749"/>
    <w:rsid w:val="00F37172"/>
    <w:rsid w:val="00F416C8"/>
    <w:rsid w:val="00F418D1"/>
    <w:rsid w:val="00F4477E"/>
    <w:rsid w:val="00F47038"/>
    <w:rsid w:val="00F47563"/>
    <w:rsid w:val="00F670E8"/>
    <w:rsid w:val="00F67D8F"/>
    <w:rsid w:val="00F7688B"/>
    <w:rsid w:val="00F802BE"/>
    <w:rsid w:val="00F84C10"/>
    <w:rsid w:val="00F85591"/>
    <w:rsid w:val="00F86024"/>
    <w:rsid w:val="00F8611A"/>
    <w:rsid w:val="00F862C2"/>
    <w:rsid w:val="00FA4729"/>
    <w:rsid w:val="00FA5128"/>
    <w:rsid w:val="00FA5405"/>
    <w:rsid w:val="00FB42D4"/>
    <w:rsid w:val="00FB5906"/>
    <w:rsid w:val="00FB762F"/>
    <w:rsid w:val="00FC2AED"/>
    <w:rsid w:val="00FC553B"/>
    <w:rsid w:val="00FD4C0A"/>
    <w:rsid w:val="00FD5EA7"/>
    <w:rsid w:val="00FD670D"/>
    <w:rsid w:val="00FE7252"/>
    <w:rsid w:val="00FF39A0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w">
    <w:name w:val="hw"/>
    <w:basedOn w:val="Domylnaczcionkaakapitu"/>
    <w:rsid w:val="0058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w">
    <w:name w:val="hw"/>
    <w:basedOn w:val="Domylnaczcionkaakapitu"/>
    <w:rsid w:val="0058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metainformations/glossary/terms-used-in-official-statistics/1626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wmf"/><Relationship Id="rId24" Type="http://schemas.openxmlformats.org/officeDocument/2006/relationships/hyperlink" Target="https://stat.gov.pl/en/metainformations/glossary/terms-used-in-official-statistics/1625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metainformations/glossary/terms-used-in-official-statistics/1626,term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metainformations/glossary/terms-used-in-official-statistics/1625,term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858068596761972E-2"/>
          <c:y val="5.2255010179802303E-2"/>
          <c:w val="0.82283396241516671"/>
          <c:h val="0.76925879592153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Arkusz3!$A$3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-2.076843198338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076843198338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0768431983385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0904284356260265E-17"/>
                  <c:y val="-1.6614745586708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792363951902812E-3"/>
                  <c:y val="-4.15368639667705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Arkusz3!$B$2:$G$2</c:f>
              <c:strCache>
                <c:ptCount val="6"/>
                <c:pt idx="0">
                  <c:v>Manufacturing</c:v>
                </c:pt>
                <c:pt idx="1">
                  <c:v>Construction</c:v>
                </c:pt>
                <c:pt idx="2">
                  <c:v>Trade</c:v>
                </c:pt>
                <c:pt idx="3">
                  <c:v>Transportation and storage</c:v>
                </c:pt>
                <c:pt idx="4">
                  <c:v>Other service activities</c:v>
                </c:pt>
                <c:pt idx="5">
                  <c:v>Other</c:v>
                </c:pt>
              </c:strCache>
            </c:strRef>
          </c:cat>
          <c:val>
            <c:numRef>
              <c:f>Arkusz3!$B$3:$G$3</c:f>
              <c:numCache>
                <c:formatCode>#,##0</c:formatCode>
                <c:ptCount val="6"/>
                <c:pt idx="0">
                  <c:v>9144</c:v>
                </c:pt>
                <c:pt idx="1">
                  <c:v>5946</c:v>
                </c:pt>
                <c:pt idx="2">
                  <c:v>10460</c:v>
                </c:pt>
                <c:pt idx="3">
                  <c:v>11495</c:v>
                </c:pt>
                <c:pt idx="4">
                  <c:v>6850</c:v>
                </c:pt>
                <c:pt idx="5">
                  <c:v>22546</c:v>
                </c:pt>
              </c:numCache>
            </c:numRef>
          </c:val>
        </c:ser>
        <c:ser>
          <c:idx val="1"/>
          <c:order val="1"/>
          <c:tx>
            <c:strRef>
              <c:f>Arkusz3!$A$4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dLbls>
            <c:dLbl>
              <c:idx val="0"/>
              <c:layout>
                <c:manualLayout>
                  <c:x val="2.4792363951902812E-3"/>
                  <c:y val="1.6614745586708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452142178130132E-17"/>
                  <c:y val="-1.2461059190031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6614745586708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0904284356260265E-17"/>
                  <c:y val="1.2461059190031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076843198338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792363951902812E-3"/>
                  <c:y val="8.3073727933541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Arkusz3!$B$2:$G$2</c:f>
              <c:strCache>
                <c:ptCount val="6"/>
                <c:pt idx="0">
                  <c:v>Manufacturing</c:v>
                </c:pt>
                <c:pt idx="1">
                  <c:v>Construction</c:v>
                </c:pt>
                <c:pt idx="2">
                  <c:v>Trade</c:v>
                </c:pt>
                <c:pt idx="3">
                  <c:v>Transportation and storage</c:v>
                </c:pt>
                <c:pt idx="4">
                  <c:v>Other service activities</c:v>
                </c:pt>
                <c:pt idx="5">
                  <c:v>Other</c:v>
                </c:pt>
              </c:strCache>
            </c:strRef>
          </c:cat>
          <c:val>
            <c:numRef>
              <c:f>Arkusz3!$B$4:$G$4</c:f>
              <c:numCache>
                <c:formatCode>#,##0</c:formatCode>
                <c:ptCount val="6"/>
                <c:pt idx="0">
                  <c:v>8727</c:v>
                </c:pt>
                <c:pt idx="1">
                  <c:v>5979</c:v>
                </c:pt>
                <c:pt idx="2">
                  <c:v>10029</c:v>
                </c:pt>
                <c:pt idx="3">
                  <c:v>9809</c:v>
                </c:pt>
                <c:pt idx="4">
                  <c:v>5319</c:v>
                </c:pt>
                <c:pt idx="5">
                  <c:v>21632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81310464"/>
        <c:axId val="81312000"/>
      </c:barChart>
      <c:catAx>
        <c:axId val="8131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81312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1312000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in PLN</a:t>
                </a:r>
                <a:r>
                  <a:rPr lang="pl-PL" sz="900" baseline="0"/>
                  <a:t> mi</a:t>
                </a:r>
                <a:r>
                  <a:rPr lang="pl-PL" sz="900"/>
                  <a:t>llion</a:t>
                </a:r>
              </a:p>
            </c:rich>
          </c:tx>
          <c:layout>
            <c:manualLayout>
              <c:xMode val="edge"/>
              <c:yMode val="edge"/>
              <c:x val="9.1685675772491981E-2"/>
              <c:y val="1.3144618604917378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8131046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8621993559841838"/>
          <c:y val="0.93627918005576405"/>
          <c:w val="0.20990490020055572"/>
          <c:h val="6.3490860567910271E-2"/>
        </c:manualLayout>
      </c:layout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STAT\NOWINSKAA</Osoba>
    <NazwaPliku xmlns="8C029B3F-2CC4-4A59-AF0D-A90575FA3373">Activity of leasing companies in 2019.News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6B0B-CF7C-4682-8501-00D5D1F82BE4}"/>
</file>

<file path=customXml/itemProps2.xml><?xml version="1.0" encoding="utf-8"?>
<ds:datastoreItem xmlns:ds="http://schemas.openxmlformats.org/officeDocument/2006/customXml" ds:itemID="{9A5BBAB6-5F41-42A6-ABC0-F18899749704}"/>
</file>

<file path=customXml/itemProps3.xml><?xml version="1.0" encoding="utf-8"?>
<ds:datastoreItem xmlns:ds="http://schemas.openxmlformats.org/officeDocument/2006/customXml" ds:itemID="{7159F95B-06BB-4AB9-8427-09DD28270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2020-06-23T17:27:00Z</dcterms:created>
  <dcterms:modified xsi:type="dcterms:W3CDTF">2020-06-29T04:29:00Z</dcterms:modified>
</cp:coreProperties>
</file>