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70AF8D20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 w:rsidRPr="00D642EB">
        <w:rPr>
          <w:lang w:val="en-GB"/>
        </w:rPr>
        <w:t xml:space="preserve">production </w:t>
      </w:r>
      <w:r w:rsidRPr="00C640AC">
        <w:rPr>
          <w:lang w:val="en-GB"/>
        </w:rPr>
        <w:t xml:space="preserve">in </w:t>
      </w:r>
      <w:r w:rsidR="00A01C36">
        <w:rPr>
          <w:lang w:val="en-GB"/>
        </w:rPr>
        <w:t>July</w:t>
      </w:r>
      <w:r w:rsidR="00E875FA" w:rsidRPr="001B2137">
        <w:rPr>
          <w:lang w:val="en-GB"/>
        </w:rPr>
        <w:t xml:space="preserve"> </w:t>
      </w:r>
      <w:r w:rsidRPr="001B2137">
        <w:rPr>
          <w:lang w:val="en-GB"/>
        </w:rPr>
        <w:t>20</w:t>
      </w:r>
      <w:r w:rsidR="00D07CF2" w:rsidRPr="001B2137">
        <w:rPr>
          <w:lang w:val="en-GB"/>
        </w:rPr>
        <w:t>20</w:t>
      </w:r>
    </w:p>
    <w:p w14:paraId="647085B9" w14:textId="3D80C204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6A7223B7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6800B1D">
                <wp:simplePos x="0" y="0"/>
                <wp:positionH relativeFrom="margin">
                  <wp:posOffset>8255</wp:posOffset>
                </wp:positionH>
                <wp:positionV relativeFrom="paragraph">
                  <wp:posOffset>80010</wp:posOffset>
                </wp:positionV>
                <wp:extent cx="1828800" cy="150939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0939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457B69A3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0745" w:rsidRPr="00AF73E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B073E7" w:rsidRPr="00AF73E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AF73E9" w:rsidRPr="00AF73E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Pr="00AF73E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76985CBC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>he growth of producer prices in construction</w:t>
                            </w:r>
                            <w:r w:rsidR="0002212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F750DA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042A68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01C36">
                              <w:rPr>
                                <w:lang w:val="en-US"/>
                              </w:rPr>
                              <w:t xml:space="preserve">July </w:t>
                            </w:r>
                            <w:r w:rsidR="009C0463">
                              <w:rPr>
                                <w:lang w:val="en-US"/>
                              </w:rPr>
                              <w:t>201</w:t>
                            </w:r>
                            <w:r w:rsidR="009F4DEB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65pt;margin-top:6.3pt;width:2in;height:118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" fillcolor="#001d77" stroked="f">
                <v:textbox>
                  <w:txbxContent>
                    <w:p w14:paraId="4687A174" w14:textId="457B69A3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0745" w:rsidRPr="00AF73E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B073E7" w:rsidRPr="00AF73E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AF73E9" w:rsidRPr="00AF73E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Pr="00AF73E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76985CBC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>he growth of producer prices in construction</w:t>
                      </w:r>
                      <w:r w:rsidR="00022126">
                        <w:rPr>
                          <w:lang w:val="en-US"/>
                        </w:rPr>
                        <w:t xml:space="preserve">        </w:t>
                      </w:r>
                      <w:r w:rsidR="00F750DA">
                        <w:rPr>
                          <w:lang w:val="en-US"/>
                        </w:rPr>
                        <w:t xml:space="preserve"> in</w:t>
                      </w:r>
                      <w:r w:rsidR="00825064">
                        <w:rPr>
                          <w:lang w:val="en-US"/>
                        </w:rPr>
                        <w:t xml:space="preserve">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042A68">
                        <w:rPr>
                          <w:lang w:val="en-US"/>
                        </w:rPr>
                        <w:t xml:space="preserve">         </w:t>
                      </w:r>
                      <w:r w:rsidR="00825064">
                        <w:rPr>
                          <w:lang w:val="en-US"/>
                        </w:rPr>
                        <w:t xml:space="preserve"> </w:t>
                      </w:r>
                      <w:r w:rsidR="00A01C36">
                        <w:rPr>
                          <w:lang w:val="en-US"/>
                        </w:rPr>
                        <w:t xml:space="preserve">July </w:t>
                      </w:r>
                      <w:r w:rsidR="009C0463">
                        <w:rPr>
                          <w:lang w:val="en-US"/>
                        </w:rPr>
                        <w:t>201</w:t>
                      </w:r>
                      <w:r w:rsidR="009F4DEB">
                        <w:rPr>
                          <w:lang w:val="en-US"/>
                        </w:rPr>
                        <w:t>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1B2137">
        <w:rPr>
          <w:rFonts w:eastAsia="Times New Roman" w:cs="Times New Roman"/>
          <w:bCs/>
          <w:noProof w:val="0"/>
          <w:lang w:val="en-US" w:eastAsia="en-US"/>
        </w:rPr>
        <w:t>data in</w:t>
      </w:r>
      <w:r w:rsidR="00D07CF2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D745D" w:rsidRPr="001B2137">
        <w:rPr>
          <w:rFonts w:eastAsia="Times New Roman" w:cs="Times New Roman"/>
          <w:bCs/>
          <w:noProof w:val="0"/>
          <w:lang w:val="en-US" w:eastAsia="en-US"/>
        </w:rPr>
        <w:t>Ju</w:t>
      </w:r>
      <w:r w:rsidR="00A01C36">
        <w:rPr>
          <w:rFonts w:eastAsia="Times New Roman" w:cs="Times New Roman"/>
          <w:bCs/>
          <w:noProof w:val="0"/>
          <w:lang w:val="en-US" w:eastAsia="en-US"/>
        </w:rPr>
        <w:t>ly</w:t>
      </w:r>
      <w:r w:rsidR="00773062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11FEC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1B2137">
        <w:rPr>
          <w:rFonts w:eastAsia="Times New Roman" w:cs="Times New Roman"/>
          <w:bCs/>
          <w:noProof w:val="0"/>
          <w:lang w:val="en-US" w:eastAsia="en-US"/>
        </w:rPr>
        <w:t>20</w:t>
      </w:r>
      <w:r w:rsidR="00D07CF2" w:rsidRPr="001B2137">
        <w:rPr>
          <w:rFonts w:eastAsia="Times New Roman" w:cs="Times New Roman"/>
          <w:bCs/>
          <w:noProof w:val="0"/>
          <w:lang w:val="en-US" w:eastAsia="en-US"/>
        </w:rPr>
        <w:t>20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AD792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A01C3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511FEC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4861F3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the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prices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>of construction and assembly production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5E0644" w:rsidRPr="00C640AC">
        <w:rPr>
          <w:rFonts w:eastAsia="Times New Roman" w:cs="Times New Roman"/>
          <w:bCs/>
          <w:noProof w:val="0"/>
          <w:lang w:val="en-US" w:eastAsia="en-US"/>
        </w:rPr>
        <w:t>in</w:t>
      </w:r>
      <w:r w:rsidR="005E0644" w:rsidRPr="008710F6">
        <w:rPr>
          <w:rFonts w:eastAsia="Times New Roman" w:cs="Times New Roman"/>
          <w:bCs/>
          <w:noProof w:val="0"/>
          <w:lang w:val="en-US" w:eastAsia="en-US"/>
        </w:rPr>
        <w:t xml:space="preserve"> comparison</w:t>
      </w:r>
      <w:r w:rsidR="005E0644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E0644" w:rsidRPr="005B0866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the corresponding month of the previous year </w:t>
      </w:r>
      <w:r w:rsidR="00825064" w:rsidRPr="00C640AC">
        <w:rPr>
          <w:rFonts w:eastAsia="Times New Roman" w:cs="Times New Roman"/>
          <w:bCs/>
          <w:noProof w:val="0"/>
          <w:lang w:val="en-US" w:eastAsia="en-US"/>
        </w:rPr>
        <w:t>were higher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E4406" w:rsidRPr="001B2137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850745" w:rsidRPr="001B2137">
        <w:rPr>
          <w:rFonts w:eastAsia="Times New Roman" w:cs="Times New Roman"/>
          <w:bCs/>
          <w:noProof w:val="0"/>
          <w:lang w:val="en-US" w:eastAsia="en-US"/>
        </w:rPr>
        <w:t>2</w:t>
      </w:r>
      <w:r w:rsidR="00BE4406" w:rsidRPr="001B2137">
        <w:rPr>
          <w:rFonts w:eastAsia="Times New Roman" w:cs="Times New Roman"/>
          <w:bCs/>
          <w:noProof w:val="0"/>
          <w:lang w:val="en-US" w:eastAsia="en-US"/>
        </w:rPr>
        <w:t>.</w:t>
      </w:r>
      <w:r w:rsidR="00AF73E9">
        <w:rPr>
          <w:rFonts w:eastAsia="Times New Roman" w:cs="Times New Roman"/>
          <w:bCs/>
          <w:noProof w:val="0"/>
          <w:lang w:val="en-US" w:eastAsia="en-US"/>
        </w:rPr>
        <w:t>5</w:t>
      </w:r>
      <w:r w:rsidR="00BE4406" w:rsidRPr="001B2137">
        <w:rPr>
          <w:rFonts w:eastAsia="Times New Roman" w:cs="Times New Roman"/>
          <w:bCs/>
          <w:noProof w:val="0"/>
          <w:lang w:val="en-US" w:eastAsia="en-US"/>
        </w:rPr>
        <w:t>%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 and</w:t>
      </w:r>
      <w:r w:rsidR="00AF6D46" w:rsidRP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50745">
        <w:rPr>
          <w:rFonts w:eastAsia="Times New Roman" w:cs="Times New Roman"/>
          <w:bCs/>
          <w:noProof w:val="0"/>
          <w:lang w:val="en-US" w:eastAsia="en-US"/>
        </w:rPr>
        <w:t>in</w:t>
      </w:r>
      <w:r w:rsidR="00AF6D46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C640AC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184AB4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AF6D46" w:rsidRPr="008867CB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A01C36">
        <w:rPr>
          <w:rFonts w:eastAsia="Times New Roman" w:cs="Times New Roman"/>
          <w:bCs/>
          <w:noProof w:val="0"/>
          <w:lang w:val="en-US" w:eastAsia="en-US"/>
        </w:rPr>
        <w:t>June</w:t>
      </w:r>
      <w:r w:rsidR="00AF6D46" w:rsidRPr="001B2137">
        <w:rPr>
          <w:rFonts w:eastAsia="Times New Roman" w:cs="Times New Roman"/>
          <w:bCs/>
          <w:noProof w:val="0"/>
          <w:lang w:val="en-US" w:eastAsia="en-US"/>
        </w:rPr>
        <w:t xml:space="preserve"> 2020 -</w:t>
      </w:r>
      <w:r w:rsidR="00BE4406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60621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1B2137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1B2137">
        <w:rPr>
          <w:rFonts w:eastAsia="Times New Roman" w:cs="Times New Roman"/>
          <w:bCs/>
          <w:noProof w:val="0"/>
          <w:lang w:val="en-US" w:eastAsia="en-US"/>
        </w:rPr>
        <w:t>0.</w:t>
      </w:r>
      <w:r w:rsidR="00AF73E9">
        <w:rPr>
          <w:rFonts w:eastAsia="Times New Roman" w:cs="Times New Roman"/>
          <w:bCs/>
          <w:noProof w:val="0"/>
          <w:lang w:val="en-US" w:eastAsia="en-US"/>
        </w:rPr>
        <w:t>2</w:t>
      </w:r>
      <w:r w:rsidR="00825064" w:rsidRPr="001B2137">
        <w:rPr>
          <w:rFonts w:eastAsia="Times New Roman" w:cs="Times New Roman"/>
          <w:bCs/>
          <w:noProof w:val="0"/>
          <w:lang w:val="en-US" w:eastAsia="en-US"/>
        </w:rPr>
        <w:t>%</w:t>
      </w:r>
      <w:r w:rsidR="00AF6D46" w:rsidRPr="001B2137">
        <w:rPr>
          <w:rFonts w:eastAsia="Times New Roman" w:cs="Times New Roman"/>
          <w:bCs/>
          <w:noProof w:val="0"/>
          <w:lang w:val="en-US" w:eastAsia="en-US"/>
        </w:rPr>
        <w:t>.</w:t>
      </w:r>
      <w:r w:rsidR="00825064" w:rsidRPr="00850745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2ED8A808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25665E50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48058A1C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2F8B8E29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0E09C60E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2132165B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5E5EF992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</w:t>
      </w:r>
      <w:r w:rsidR="00953162">
        <w:rPr>
          <w:shd w:val="clear" w:color="auto" w:fill="FFFFFF"/>
          <w:lang w:val="en-US"/>
        </w:rPr>
        <w:t>with</w:t>
      </w:r>
      <w:r w:rsidRPr="008D0E6E">
        <w:rPr>
          <w:shd w:val="clear" w:color="auto" w:fill="FFFFFF"/>
          <w:lang w:val="en-US"/>
        </w:rPr>
        <w:t xml:space="preserve">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 xml:space="preserve">e growth of prices was recorded in </w:t>
      </w:r>
      <w:r w:rsidR="006753ED" w:rsidRPr="006753ED">
        <w:rPr>
          <w:shd w:val="clear" w:color="auto" w:fill="FFFFFF"/>
          <w:lang w:val="en-US"/>
        </w:rPr>
        <w:t>civil engineering (by 0.3%),</w:t>
      </w:r>
      <w:r w:rsidR="000C341D">
        <w:rPr>
          <w:shd w:val="clear" w:color="auto" w:fill="FFFFFF"/>
          <w:lang w:val="en-US"/>
        </w:rPr>
        <w:t xml:space="preserve"> </w:t>
      </w:r>
      <w:r w:rsidRPr="006753ED">
        <w:rPr>
          <w:shd w:val="clear" w:color="auto" w:fill="FFFFFF"/>
          <w:lang w:val="en-US"/>
        </w:rPr>
        <w:t>construction of</w:t>
      </w:r>
      <w:r w:rsidR="008F7774" w:rsidRPr="006753ED">
        <w:rPr>
          <w:shd w:val="clear" w:color="auto" w:fill="FFFFFF"/>
          <w:lang w:val="en-US"/>
        </w:rPr>
        <w:t> </w:t>
      </w:r>
      <w:r w:rsidRPr="006753ED">
        <w:rPr>
          <w:shd w:val="clear" w:color="auto" w:fill="FFFFFF"/>
          <w:lang w:val="en-US"/>
        </w:rPr>
        <w:t>buildings</w:t>
      </w:r>
      <w:r w:rsidR="006753ED" w:rsidRPr="006753ED">
        <w:rPr>
          <w:shd w:val="clear" w:color="auto" w:fill="FFFFFF"/>
          <w:lang w:val="en-US"/>
        </w:rPr>
        <w:t xml:space="preserve"> (by 0.2%), </w:t>
      </w:r>
      <w:r w:rsidR="00881C2B" w:rsidRPr="006753ED">
        <w:rPr>
          <w:shd w:val="clear" w:color="auto" w:fill="FFFFFF"/>
          <w:lang w:val="en-US"/>
        </w:rPr>
        <w:t xml:space="preserve"> as well as in</w:t>
      </w:r>
      <w:r w:rsidR="00AF6663" w:rsidRPr="006753ED">
        <w:rPr>
          <w:shd w:val="clear" w:color="auto" w:fill="FFFFFF"/>
          <w:lang w:val="en-US"/>
        </w:rPr>
        <w:t xml:space="preserve"> </w:t>
      </w:r>
      <w:proofErr w:type="spellStart"/>
      <w:r w:rsidR="00AF6663" w:rsidRPr="006753ED">
        <w:rPr>
          <w:shd w:val="clear" w:color="auto" w:fill="FFFFFF"/>
          <w:lang w:val="en-US"/>
        </w:rPr>
        <w:t>specialised</w:t>
      </w:r>
      <w:proofErr w:type="spellEnd"/>
      <w:r w:rsidR="00AF6663" w:rsidRPr="006753ED">
        <w:rPr>
          <w:shd w:val="clear" w:color="auto" w:fill="FFFFFF"/>
          <w:lang w:val="en-US"/>
        </w:rPr>
        <w:t xml:space="preserve"> construction </w:t>
      </w:r>
      <w:r w:rsidR="00AF16C9">
        <w:rPr>
          <w:shd w:val="clear" w:color="auto" w:fill="FFFFFF"/>
          <w:lang w:val="en-US"/>
        </w:rPr>
        <w:t xml:space="preserve">    </w:t>
      </w:r>
      <w:r w:rsidR="00AF6663" w:rsidRPr="006753ED">
        <w:rPr>
          <w:shd w:val="clear" w:color="auto" w:fill="FFFFFF"/>
          <w:lang w:val="en-US"/>
        </w:rPr>
        <w:t>activities</w:t>
      </w:r>
      <w:r w:rsidR="00881C2B" w:rsidRPr="006753ED">
        <w:rPr>
          <w:shd w:val="clear" w:color="auto" w:fill="FFFFFF"/>
          <w:lang w:val="en-US"/>
        </w:rPr>
        <w:t xml:space="preserve"> (by 0.</w:t>
      </w:r>
      <w:r w:rsidR="006753ED" w:rsidRPr="006753ED">
        <w:rPr>
          <w:shd w:val="clear" w:color="auto" w:fill="FFFFFF"/>
          <w:lang w:val="en-US"/>
        </w:rPr>
        <w:t>1</w:t>
      </w:r>
      <w:r w:rsidR="00881C2B" w:rsidRPr="006753ED">
        <w:rPr>
          <w:shd w:val="clear" w:color="auto" w:fill="FFFFFF"/>
          <w:lang w:val="en-US"/>
        </w:rPr>
        <w:t>%</w:t>
      </w:r>
      <w:r w:rsidR="006753ED" w:rsidRPr="006753ED">
        <w:rPr>
          <w:shd w:val="clear" w:color="auto" w:fill="FFFFFF"/>
          <w:lang w:val="en-US"/>
        </w:rPr>
        <w:t>)</w:t>
      </w:r>
      <w:r w:rsidR="00113493" w:rsidRPr="006753ED">
        <w:rPr>
          <w:shd w:val="clear" w:color="auto" w:fill="FFFFFF"/>
          <w:lang w:val="en-US"/>
        </w:rPr>
        <w:t>.</w:t>
      </w:r>
      <w:r w:rsidR="009940F2">
        <w:rPr>
          <w:shd w:val="clear" w:color="auto" w:fill="FFFFFF"/>
          <w:lang w:val="en-US"/>
        </w:rPr>
        <w:t xml:space="preserve"> </w:t>
      </w:r>
    </w:p>
    <w:p w14:paraId="24DC2195" w14:textId="65147F27" w:rsidR="00F93261" w:rsidRDefault="00A37DA6" w:rsidP="008F7774">
      <w:pPr>
        <w:rPr>
          <w:shd w:val="clear" w:color="auto" w:fill="FFFFFF"/>
          <w:lang w:val="en-US"/>
        </w:rPr>
      </w:pPr>
      <w:r w:rsidRPr="00955079">
        <w:rPr>
          <w:shd w:val="clear" w:color="auto" w:fill="FFFFFF"/>
          <w:lang w:val="en-US"/>
        </w:rPr>
        <w:t xml:space="preserve">In </w:t>
      </w:r>
      <w:r w:rsidRPr="00AF6663">
        <w:rPr>
          <w:shd w:val="clear" w:color="auto" w:fill="FFFFFF"/>
          <w:lang w:val="en-US"/>
        </w:rPr>
        <w:t xml:space="preserve">comparison </w:t>
      </w:r>
      <w:r w:rsidR="00953162" w:rsidRPr="00AF6663">
        <w:rPr>
          <w:shd w:val="clear" w:color="auto" w:fill="FFFFFF"/>
          <w:lang w:val="en-US"/>
        </w:rPr>
        <w:t>with</w:t>
      </w:r>
      <w:r w:rsidRPr="00AF6663">
        <w:rPr>
          <w:shd w:val="clear" w:color="auto" w:fill="FFFFFF"/>
          <w:lang w:val="en-US"/>
        </w:rPr>
        <w:t xml:space="preserve"> </w:t>
      </w:r>
      <w:r w:rsidR="00BD745D" w:rsidRPr="00AF6663">
        <w:rPr>
          <w:shd w:val="clear" w:color="auto" w:fill="FFFFFF"/>
          <w:lang w:val="en-US"/>
        </w:rPr>
        <w:t>Ju</w:t>
      </w:r>
      <w:r w:rsidR="006753ED">
        <w:rPr>
          <w:shd w:val="clear" w:color="auto" w:fill="FFFFFF"/>
          <w:lang w:val="en-US"/>
        </w:rPr>
        <w:t>ly</w:t>
      </w:r>
      <w:r w:rsidR="00511FEC" w:rsidRPr="00AF6663">
        <w:rPr>
          <w:shd w:val="clear" w:color="auto" w:fill="FFFFFF"/>
          <w:lang w:val="en-US"/>
        </w:rPr>
        <w:t xml:space="preserve"> </w:t>
      </w:r>
      <w:r w:rsidR="004445F9" w:rsidRPr="00AF6663">
        <w:rPr>
          <w:shd w:val="clear" w:color="auto" w:fill="FFFFFF"/>
          <w:lang w:val="en-US"/>
        </w:rPr>
        <w:t>201</w:t>
      </w:r>
      <w:r w:rsidR="009F4DEB" w:rsidRPr="00AF6663">
        <w:rPr>
          <w:shd w:val="clear" w:color="auto" w:fill="FFFFFF"/>
          <w:lang w:val="en-US"/>
        </w:rPr>
        <w:t>9</w:t>
      </w:r>
      <w:r w:rsidR="006D140F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of </w:t>
      </w:r>
      <w:r w:rsidR="00F93261" w:rsidRPr="00F92D4C">
        <w:rPr>
          <w:shd w:val="clear" w:color="auto" w:fill="FFFFFF"/>
          <w:lang w:val="en-US"/>
        </w:rPr>
        <w:t xml:space="preserve">buildings </w:t>
      </w:r>
      <w:r w:rsidR="00F93261" w:rsidRPr="006753ED">
        <w:rPr>
          <w:shd w:val="clear" w:color="auto" w:fill="FFFFFF"/>
          <w:lang w:val="en-US"/>
        </w:rPr>
        <w:t xml:space="preserve">(by </w:t>
      </w:r>
      <w:r w:rsidR="006753ED" w:rsidRPr="006753ED">
        <w:rPr>
          <w:shd w:val="clear" w:color="auto" w:fill="FFFFFF"/>
          <w:lang w:val="en-US"/>
        </w:rPr>
        <w:t>2</w:t>
      </w:r>
      <w:r w:rsidR="00F93261" w:rsidRPr="006753ED">
        <w:rPr>
          <w:shd w:val="clear" w:color="auto" w:fill="FFFFFF"/>
          <w:lang w:val="en-US"/>
        </w:rPr>
        <w:t>.</w:t>
      </w:r>
      <w:r w:rsidR="006753ED" w:rsidRPr="006753ED">
        <w:rPr>
          <w:shd w:val="clear" w:color="auto" w:fill="FFFFFF"/>
          <w:lang w:val="en-US"/>
        </w:rPr>
        <w:t>8</w:t>
      </w:r>
      <w:r w:rsidR="00F93261" w:rsidRPr="006753ED">
        <w:rPr>
          <w:shd w:val="clear" w:color="auto" w:fill="FFFFFF"/>
          <w:lang w:val="en-US"/>
        </w:rPr>
        <w:t>%),</w:t>
      </w:r>
      <w:r w:rsidR="00F93261" w:rsidRPr="00080B2A">
        <w:rPr>
          <w:shd w:val="clear" w:color="auto" w:fill="FFFFFF"/>
          <w:lang w:val="en-US"/>
        </w:rPr>
        <w:t xml:space="preserve"> </w:t>
      </w:r>
      <w:r w:rsidR="00F93261" w:rsidRPr="004C60A2">
        <w:rPr>
          <w:shd w:val="clear" w:color="auto" w:fill="FFFFFF"/>
          <w:lang w:val="en-US"/>
        </w:rPr>
        <w:t>civil</w:t>
      </w:r>
      <w:r w:rsidR="00F93261" w:rsidRPr="007D298F">
        <w:rPr>
          <w:shd w:val="clear" w:color="auto" w:fill="FFFFFF"/>
          <w:lang w:val="en-US"/>
        </w:rPr>
        <w:t xml:space="preserve"> </w:t>
      </w:r>
      <w:r w:rsidR="00F93261" w:rsidRPr="00E0764A">
        <w:rPr>
          <w:shd w:val="clear" w:color="auto" w:fill="FFFFFF"/>
          <w:lang w:val="en-US"/>
        </w:rPr>
        <w:t>engineering</w:t>
      </w:r>
      <w:r w:rsidR="006753ED">
        <w:rPr>
          <w:shd w:val="clear" w:color="auto" w:fill="FFFFFF"/>
          <w:lang w:val="en-US"/>
        </w:rPr>
        <w:t xml:space="preserve"> </w:t>
      </w:r>
      <w:r w:rsidR="006753ED" w:rsidRPr="006753ED">
        <w:rPr>
          <w:shd w:val="clear" w:color="auto" w:fill="FFFFFF"/>
          <w:lang w:val="en-US"/>
        </w:rPr>
        <w:t>(by 2.</w:t>
      </w:r>
      <w:r w:rsidR="006753ED">
        <w:rPr>
          <w:shd w:val="clear" w:color="auto" w:fill="FFFFFF"/>
          <w:lang w:val="en-US"/>
        </w:rPr>
        <w:t>5</w:t>
      </w:r>
      <w:r w:rsidR="006753ED" w:rsidRPr="006753ED">
        <w:rPr>
          <w:shd w:val="clear" w:color="auto" w:fill="FFFFFF"/>
          <w:lang w:val="en-US"/>
        </w:rPr>
        <w:t>%),</w:t>
      </w:r>
      <w:r w:rsidR="006753ED" w:rsidRPr="00080B2A">
        <w:rPr>
          <w:shd w:val="clear" w:color="auto" w:fill="FFFFFF"/>
          <w:lang w:val="en-US"/>
        </w:rPr>
        <w:t xml:space="preserve"> </w:t>
      </w:r>
      <w:r w:rsidR="00F93261" w:rsidRPr="00E0764A">
        <w:rPr>
          <w:shd w:val="clear" w:color="auto" w:fill="FFFFFF"/>
          <w:lang w:val="en-US"/>
        </w:rPr>
        <w:t xml:space="preserve"> </w:t>
      </w:r>
      <w:r w:rsidR="00F93261" w:rsidRPr="008E198E">
        <w:rPr>
          <w:shd w:val="clear" w:color="auto" w:fill="FFFFFF"/>
          <w:lang w:val="en-US"/>
        </w:rPr>
        <w:t>as</w:t>
      </w:r>
      <w:r w:rsidR="00F93261">
        <w:rPr>
          <w:shd w:val="clear" w:color="auto" w:fill="FFFFFF"/>
          <w:lang w:val="en-US"/>
        </w:rPr>
        <w:t xml:space="preserve"> well as </w:t>
      </w:r>
      <w:r w:rsidR="00F93261" w:rsidRPr="007D298F">
        <w:rPr>
          <w:shd w:val="clear" w:color="auto" w:fill="FFFFFF"/>
          <w:lang w:val="en-US"/>
        </w:rPr>
        <w:t>in</w:t>
      </w:r>
      <w:r w:rsidR="00F93261">
        <w:rPr>
          <w:shd w:val="clear" w:color="auto" w:fill="FFFFFF"/>
          <w:lang w:val="en-US"/>
        </w:rPr>
        <w:t xml:space="preserve">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6D140F">
        <w:rPr>
          <w:shd w:val="clear" w:color="auto" w:fill="FFFFFF"/>
          <w:lang w:val="en-US"/>
        </w:rPr>
        <w:t xml:space="preserve">activities </w:t>
      </w:r>
      <w:r w:rsidR="00F93261" w:rsidRPr="006753ED">
        <w:rPr>
          <w:shd w:val="clear" w:color="auto" w:fill="FFFFFF"/>
          <w:lang w:val="en-US"/>
        </w:rPr>
        <w:t>(by</w:t>
      </w:r>
      <w:r w:rsidR="008F7774" w:rsidRPr="006753ED">
        <w:rPr>
          <w:shd w:val="clear" w:color="auto" w:fill="FFFFFF"/>
          <w:lang w:val="en-US"/>
        </w:rPr>
        <w:t> </w:t>
      </w:r>
      <w:r w:rsidR="006264AA" w:rsidRPr="006753ED">
        <w:rPr>
          <w:shd w:val="clear" w:color="auto" w:fill="FFFFFF"/>
          <w:lang w:val="en-US"/>
        </w:rPr>
        <w:t>2</w:t>
      </w:r>
      <w:r w:rsidR="00F93261" w:rsidRPr="006753ED">
        <w:rPr>
          <w:shd w:val="clear" w:color="auto" w:fill="FFFFFF"/>
          <w:lang w:val="en-US"/>
        </w:rPr>
        <w:t>.</w:t>
      </w:r>
      <w:r w:rsidR="006753ED" w:rsidRPr="006753ED">
        <w:rPr>
          <w:shd w:val="clear" w:color="auto" w:fill="FFFFFF"/>
          <w:lang w:val="en-US"/>
        </w:rPr>
        <w:t>3</w:t>
      </w:r>
      <w:r w:rsidR="00F93261" w:rsidRPr="006753ED">
        <w:rPr>
          <w:shd w:val="clear" w:color="auto" w:fill="FFFFFF"/>
          <w:lang w:val="en-US"/>
        </w:rPr>
        <w:t>%).</w:t>
      </w:r>
    </w:p>
    <w:p w14:paraId="4C6A228B" w14:textId="4D96B821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507A3714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39BD4C1F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>Table 1</w:t>
      </w:r>
      <w:r w:rsidR="005C0CF9" w:rsidRPr="000740AC">
        <w:rPr>
          <w:b/>
          <w:shd w:val="clear" w:color="auto" w:fill="FFFFFF"/>
          <w:lang w:val="en-US"/>
        </w:rPr>
        <w:t xml:space="preserve">. Price indices of construction and assembly  </w:t>
      </w:r>
      <w:r w:rsidR="005C0CF9" w:rsidRPr="00080B2A">
        <w:rPr>
          <w:b/>
          <w:shd w:val="clear" w:color="auto" w:fill="FFFFFF"/>
          <w:lang w:val="en-US"/>
        </w:rPr>
        <w:t>production in</w:t>
      </w:r>
      <w:r w:rsidR="005E24D3" w:rsidRPr="00080B2A">
        <w:rPr>
          <w:b/>
          <w:shd w:val="clear" w:color="auto" w:fill="FFFFFF"/>
          <w:lang w:val="en-US"/>
        </w:rPr>
        <w:t xml:space="preserve"> </w:t>
      </w:r>
      <w:r w:rsidR="00BD745D">
        <w:rPr>
          <w:b/>
          <w:shd w:val="clear" w:color="auto" w:fill="FFFFFF"/>
          <w:lang w:val="en-US"/>
        </w:rPr>
        <w:t>Ju</w:t>
      </w:r>
      <w:r w:rsidR="00A01C36">
        <w:rPr>
          <w:b/>
          <w:shd w:val="clear" w:color="auto" w:fill="FFFFFF"/>
          <w:lang w:val="en-US"/>
        </w:rPr>
        <w:t>ly</w:t>
      </w:r>
      <w:r w:rsidR="00511FEC" w:rsidRPr="008867CB">
        <w:rPr>
          <w:b/>
          <w:shd w:val="clear" w:color="auto" w:fill="FFFFFF"/>
          <w:lang w:val="en-US"/>
        </w:rPr>
        <w:t xml:space="preserve"> </w:t>
      </w:r>
      <w:r w:rsidR="00773062" w:rsidRPr="008867CB">
        <w:rPr>
          <w:b/>
          <w:shd w:val="clear" w:color="auto" w:fill="FFFFFF"/>
          <w:lang w:val="en-US"/>
        </w:rPr>
        <w:t>2</w:t>
      </w:r>
      <w:r w:rsidR="005C0CF9" w:rsidRPr="008867CB">
        <w:rPr>
          <w:b/>
          <w:shd w:val="clear" w:color="auto" w:fill="FFFFFF"/>
          <w:lang w:val="en-US"/>
        </w:rPr>
        <w:t>0</w:t>
      </w:r>
      <w:r w:rsidR="00D05C8A" w:rsidRPr="008867CB">
        <w:rPr>
          <w:b/>
          <w:shd w:val="clear" w:color="auto" w:fill="FFFFFF"/>
          <w:lang w:val="en-US"/>
        </w:rPr>
        <w:t>20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5248F0" w:rsidRPr="00C84A7C" w14:paraId="709E6D5B" w14:textId="77777777" w:rsidTr="00A5183E">
        <w:tc>
          <w:tcPr>
            <w:tcW w:w="2194" w:type="dxa"/>
          </w:tcPr>
          <w:p w14:paraId="287F1F89" w14:textId="77777777" w:rsidR="005248F0" w:rsidRPr="00442A25" w:rsidRDefault="005248F0" w:rsidP="00A5183E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2FE99CBE" w14:textId="7B9FED81" w:rsidR="005248F0" w:rsidRPr="00640865" w:rsidRDefault="00773062" w:rsidP="00857EDD">
            <w:pPr>
              <w:jc w:val="center"/>
              <w:rPr>
                <w:shd w:val="clear" w:color="auto" w:fill="FFFFFF"/>
              </w:rPr>
            </w:pPr>
            <w:r w:rsidRPr="00640865">
              <w:rPr>
                <w:color w:val="000000" w:themeColor="text1"/>
                <w:sz w:val="16"/>
                <w:szCs w:val="16"/>
              </w:rPr>
              <w:t>V</w:t>
            </w:r>
            <w:r w:rsidR="00A01C36">
              <w:rPr>
                <w:color w:val="000000" w:themeColor="text1"/>
                <w:sz w:val="16"/>
                <w:szCs w:val="16"/>
              </w:rPr>
              <w:t>I</w:t>
            </w:r>
            <w:r w:rsidR="005248F0" w:rsidRPr="00640865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2859" w:type="dxa"/>
            <w:gridSpan w:val="3"/>
          </w:tcPr>
          <w:p w14:paraId="302EF3ED" w14:textId="6CA15FF2" w:rsidR="005248F0" w:rsidRPr="00640865" w:rsidRDefault="00511FEC" w:rsidP="00857EDD">
            <w:pPr>
              <w:jc w:val="center"/>
              <w:rPr>
                <w:shd w:val="clear" w:color="auto" w:fill="FFFFFF"/>
              </w:rPr>
            </w:pPr>
            <w:r w:rsidRPr="00640865">
              <w:rPr>
                <w:color w:val="000000" w:themeColor="text1"/>
                <w:sz w:val="16"/>
                <w:szCs w:val="16"/>
              </w:rPr>
              <w:t>V</w:t>
            </w:r>
            <w:r w:rsidR="00BD745D" w:rsidRPr="00640865">
              <w:rPr>
                <w:color w:val="000000" w:themeColor="text1"/>
                <w:sz w:val="16"/>
                <w:szCs w:val="16"/>
              </w:rPr>
              <w:t>I</w:t>
            </w:r>
            <w:r w:rsidR="00A01C36">
              <w:rPr>
                <w:color w:val="000000" w:themeColor="text1"/>
                <w:sz w:val="16"/>
                <w:szCs w:val="16"/>
              </w:rPr>
              <w:t>I</w:t>
            </w:r>
            <w:r w:rsidR="005248F0" w:rsidRPr="0064086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C377DB" w:rsidRPr="00640865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53" w:type="dxa"/>
          </w:tcPr>
          <w:p w14:paraId="145088D7" w14:textId="171A075C" w:rsidR="005248F0" w:rsidRPr="00640865" w:rsidRDefault="005248F0" w:rsidP="007730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0865">
              <w:rPr>
                <w:color w:val="000000" w:themeColor="text1"/>
                <w:sz w:val="16"/>
                <w:szCs w:val="16"/>
              </w:rPr>
              <w:t>I-</w:t>
            </w:r>
            <w:r w:rsidR="00511FEC" w:rsidRPr="00640865">
              <w:rPr>
                <w:color w:val="000000" w:themeColor="text1"/>
                <w:sz w:val="16"/>
                <w:szCs w:val="16"/>
              </w:rPr>
              <w:t>V</w:t>
            </w:r>
            <w:r w:rsidR="00A01C36">
              <w:rPr>
                <w:color w:val="000000" w:themeColor="text1"/>
                <w:sz w:val="16"/>
                <w:szCs w:val="16"/>
              </w:rPr>
              <w:t>I</w:t>
            </w:r>
            <w:r w:rsidR="00BD745D" w:rsidRPr="00640865">
              <w:rPr>
                <w:color w:val="000000" w:themeColor="text1"/>
                <w:sz w:val="16"/>
                <w:szCs w:val="16"/>
              </w:rPr>
              <w:t>I</w:t>
            </w:r>
            <w:r w:rsidRPr="0064086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C377DB" w:rsidRPr="00640865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5248F0" w:rsidRPr="00C84A7C" w14:paraId="0814E6FE" w14:textId="77777777" w:rsidTr="00A5183E">
        <w:tc>
          <w:tcPr>
            <w:tcW w:w="2194" w:type="dxa"/>
            <w:tcBorders>
              <w:bottom w:val="single" w:sz="12" w:space="0" w:color="001D77"/>
            </w:tcBorders>
          </w:tcPr>
          <w:p w14:paraId="08D62051" w14:textId="77777777" w:rsidR="005248F0" w:rsidRDefault="005248F0" w:rsidP="00A5183E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19A27867" w14:textId="4901FF06" w:rsidR="005248F0" w:rsidRPr="00640865" w:rsidRDefault="00A01C36" w:rsidP="00A01C36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V 2</w:t>
            </w:r>
            <w:r w:rsidR="005248F0" w:rsidRPr="00640865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AD7925" w:rsidRPr="00640865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5248F0" w:rsidRPr="00640865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08F1CB02" w14:textId="24E9CEEF" w:rsidR="005248F0" w:rsidRPr="00640865" w:rsidRDefault="005248F0" w:rsidP="005248F0">
            <w:pPr>
              <w:jc w:val="center"/>
              <w:rPr>
                <w:shd w:val="clear" w:color="auto" w:fill="FFFFFF"/>
              </w:rPr>
            </w:pPr>
            <w:proofErr w:type="spellStart"/>
            <w:r w:rsidRPr="00640865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640865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F05B90F" w14:textId="05EAADCB" w:rsidR="005248F0" w:rsidRPr="00640865" w:rsidRDefault="00033FBC" w:rsidP="00BD745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640865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A01C36">
              <w:rPr>
                <w:color w:val="000000" w:themeColor="text1"/>
                <w:spacing w:val="-12"/>
                <w:sz w:val="16"/>
                <w:szCs w:val="16"/>
              </w:rPr>
              <w:t xml:space="preserve">I </w:t>
            </w:r>
            <w:r w:rsidR="005248F0" w:rsidRPr="00640865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C377DB" w:rsidRPr="00640865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5248F0" w:rsidRPr="00640865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9994A2A" w14:textId="76452978" w:rsidR="005248F0" w:rsidRPr="00640865" w:rsidRDefault="005248F0" w:rsidP="00C377DB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640865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C377DB" w:rsidRPr="00640865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640865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BF25AA" w14:textId="5C991A41" w:rsidR="005248F0" w:rsidRPr="00640865" w:rsidRDefault="005248F0" w:rsidP="007730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0865">
              <w:rPr>
                <w:color w:val="000000" w:themeColor="text1"/>
                <w:sz w:val="16"/>
                <w:szCs w:val="16"/>
              </w:rPr>
              <w:t>I-</w:t>
            </w:r>
            <w:r w:rsidR="00511FEC" w:rsidRPr="00640865">
              <w:rPr>
                <w:color w:val="000000" w:themeColor="text1"/>
                <w:sz w:val="16"/>
                <w:szCs w:val="16"/>
              </w:rPr>
              <w:t>V</w:t>
            </w:r>
            <w:r w:rsidR="00A01C36">
              <w:rPr>
                <w:color w:val="000000" w:themeColor="text1"/>
                <w:sz w:val="16"/>
                <w:szCs w:val="16"/>
              </w:rPr>
              <w:t>I</w:t>
            </w:r>
            <w:r w:rsidR="00BD745D" w:rsidRPr="00640865">
              <w:rPr>
                <w:color w:val="000000" w:themeColor="text1"/>
                <w:sz w:val="16"/>
                <w:szCs w:val="16"/>
              </w:rPr>
              <w:t>I</w:t>
            </w:r>
            <w:r w:rsidRPr="00640865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C377DB" w:rsidRPr="00640865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6753ED" w:rsidRPr="00AC133B" w14:paraId="46ADBE69" w14:textId="77777777" w:rsidTr="00A5183E">
        <w:tc>
          <w:tcPr>
            <w:tcW w:w="2194" w:type="dxa"/>
          </w:tcPr>
          <w:p w14:paraId="581B67A8" w14:textId="77777777" w:rsidR="006753ED" w:rsidRDefault="006753ED" w:rsidP="006753ED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2E6484FA" w14:textId="55810B9C" w:rsidR="006753ED" w:rsidRPr="00A01C36" w:rsidRDefault="006753ED" w:rsidP="00184AB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47DC9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184AB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47DC9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14E48B4" w14:textId="759539E7" w:rsidR="006753ED" w:rsidRPr="00A01C36" w:rsidRDefault="006753ED" w:rsidP="00184AB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47DC9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184AB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47DC9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3481216" w14:textId="116F79AB" w:rsidR="006753ED" w:rsidRPr="00A01C36" w:rsidRDefault="006753ED" w:rsidP="00184AB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A15FC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184AB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A15FC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EEA90A9" w14:textId="6ECC49C4" w:rsidR="006753ED" w:rsidRPr="00A01C36" w:rsidRDefault="006753ED" w:rsidP="00184AB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A15FC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184AB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A15FC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7BC85DA" w14:textId="08055CA4" w:rsidR="006753ED" w:rsidRPr="00A01C36" w:rsidRDefault="006753ED" w:rsidP="00184AB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8369A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184AB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8369A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3667C999" w14:textId="635F279D" w:rsidR="006753ED" w:rsidRPr="00A01C36" w:rsidRDefault="006753ED" w:rsidP="00184AB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8369A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184AB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8369A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6753ED" w:rsidRPr="00AC133B" w14:paraId="5F839827" w14:textId="77777777" w:rsidTr="00A5183E">
        <w:tc>
          <w:tcPr>
            <w:tcW w:w="2194" w:type="dxa"/>
          </w:tcPr>
          <w:p w14:paraId="126E9518" w14:textId="77777777" w:rsidR="006753ED" w:rsidRDefault="006753ED" w:rsidP="006753ED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953" w:type="dxa"/>
            <w:vAlign w:val="center"/>
          </w:tcPr>
          <w:p w14:paraId="375A701E" w14:textId="3CF7B89B" w:rsidR="006753ED" w:rsidRPr="00A01C36" w:rsidRDefault="006753ED" w:rsidP="00184A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38C03CB" w14:textId="5C54D5C7" w:rsidR="006753ED" w:rsidRPr="00A01C36" w:rsidRDefault="006753ED" w:rsidP="00184A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D7A54DE" w14:textId="5992078C" w:rsidR="006753ED" w:rsidRPr="00A01C36" w:rsidRDefault="006753ED" w:rsidP="00184A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916A57B" w14:textId="5C09162A" w:rsidR="006753ED" w:rsidRPr="00A01C36" w:rsidRDefault="006753ED" w:rsidP="00184A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4D761E9" w14:textId="2FBFEFC2" w:rsidR="006753ED" w:rsidRPr="00A01C36" w:rsidRDefault="006753ED" w:rsidP="00184A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5D3F5A4" w14:textId="317C1AE3" w:rsidR="006753ED" w:rsidRPr="00A01C36" w:rsidRDefault="006753ED" w:rsidP="00184A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050E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753ED" w:rsidRPr="00AC133B" w14:paraId="2D76E500" w14:textId="77777777" w:rsidTr="00A5183E">
        <w:tc>
          <w:tcPr>
            <w:tcW w:w="2194" w:type="dxa"/>
          </w:tcPr>
          <w:p w14:paraId="5670E882" w14:textId="77777777" w:rsidR="006753ED" w:rsidRDefault="006753ED" w:rsidP="006753ED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4494A2FC" w14:textId="4F0ED982" w:rsidR="006753ED" w:rsidRPr="00A01C36" w:rsidRDefault="006753ED" w:rsidP="00184A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413E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413E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53D7CA2" w14:textId="338B9CD4" w:rsidR="006753ED" w:rsidRPr="00A01C36" w:rsidRDefault="006753ED" w:rsidP="00184A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413E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413E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2E31995" w14:textId="072DB5EB" w:rsidR="006753ED" w:rsidRPr="00A01C36" w:rsidRDefault="006753ED" w:rsidP="00184A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413E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413E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D5954F4" w14:textId="03F25FBA" w:rsidR="006753ED" w:rsidRPr="00A01C36" w:rsidRDefault="006753ED" w:rsidP="00184A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938D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938D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371CD6CE" w14:textId="660B3EB0" w:rsidR="006753ED" w:rsidRPr="00A01C36" w:rsidRDefault="006753ED" w:rsidP="00184A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938D6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938D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68695F38" w14:textId="25C92F3A" w:rsidR="006753ED" w:rsidRPr="00A01C36" w:rsidRDefault="006753ED" w:rsidP="004A57E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938D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4A57E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6753ED" w:rsidRPr="000B506F" w14:paraId="1085FE59" w14:textId="77777777" w:rsidTr="00A5183E">
        <w:tc>
          <w:tcPr>
            <w:tcW w:w="2194" w:type="dxa"/>
          </w:tcPr>
          <w:p w14:paraId="453BFBEE" w14:textId="77777777" w:rsidR="006753ED" w:rsidRPr="00D97063" w:rsidRDefault="006753ED" w:rsidP="006753ED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953" w:type="dxa"/>
            <w:vAlign w:val="center"/>
          </w:tcPr>
          <w:p w14:paraId="293CA584" w14:textId="2BDE2344" w:rsidR="006753ED" w:rsidRPr="00A01C36" w:rsidRDefault="006753ED" w:rsidP="00184A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6A67A71" w14:textId="681AF2C2" w:rsidR="006753ED" w:rsidRPr="00A01C36" w:rsidRDefault="006753ED" w:rsidP="00184A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BB41174" w14:textId="652A50B2" w:rsidR="006753ED" w:rsidRPr="00A01C36" w:rsidRDefault="006753ED" w:rsidP="00184A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60E3ECC" w14:textId="340A091E" w:rsidR="006753ED" w:rsidRPr="00A01C36" w:rsidRDefault="006753ED" w:rsidP="00184A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B8BDFAB" w14:textId="00485F1C" w:rsidR="006753ED" w:rsidRPr="00A01C36" w:rsidRDefault="006753ED" w:rsidP="00184A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0106882" w14:textId="7B397C3F" w:rsidR="006753ED" w:rsidRPr="00A01C36" w:rsidRDefault="006753ED" w:rsidP="00184A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184AB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66B9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</w:tbl>
    <w:p w14:paraId="20CC50F9" w14:textId="227D205D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7C9A3B0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7D994C4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7D1089F2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33AD832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28D8E18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4B15A8" w14:textId="44B9BC23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7B056323" w14:textId="3B48BB2A" w:rsidR="001F7FE3" w:rsidRDefault="001F7FE3" w:rsidP="006F55B8">
      <w:pPr>
        <w:rPr>
          <w:b/>
          <w:spacing w:val="-2"/>
          <w:sz w:val="18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4223DF15">
                <wp:simplePos x="0" y="0"/>
                <wp:positionH relativeFrom="column">
                  <wp:posOffset>5270500</wp:posOffset>
                </wp:positionH>
                <wp:positionV relativeFrom="paragraph">
                  <wp:posOffset>261620</wp:posOffset>
                </wp:positionV>
                <wp:extent cx="1724025" cy="1889125"/>
                <wp:effectExtent l="0" t="0" r="0" b="0"/>
                <wp:wrapTight wrapText="bothSides">
                  <wp:wrapPolygon edited="0">
                    <wp:start x="716" y="0"/>
                    <wp:lineTo x="716" y="21346"/>
                    <wp:lineTo x="20765" y="21346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8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61DB3B3E" w:rsidR="00125748" w:rsidRPr="00FE2C94" w:rsidRDefault="001F7FE3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54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9E5898" w:rsidRPr="00054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</w:t>
                            </w:r>
                            <w:r w:rsidR="007010FE" w:rsidRPr="00054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ly</w:t>
                            </w:r>
                            <w:r w:rsidRPr="00054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</w:t>
                            </w:r>
                            <w:r w:rsidR="003940A8" w:rsidRPr="00054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087EED" w:rsidRPr="00054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54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</w:t>
                            </w:r>
                            <w:r w:rsidR="00AF16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growth        of </w:t>
                            </w:r>
                            <w:r w:rsidRPr="00054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</w:t>
                            </w:r>
                            <w:r w:rsidR="007C47A7" w:rsidRPr="00054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54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construction </w:t>
                            </w:r>
                            <w:r w:rsidR="002267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54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 assembly production</w:t>
                            </w:r>
                            <w:r w:rsidR="00087EED" w:rsidRPr="00054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F16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  <w:r w:rsidR="001A51D8" w:rsidRPr="00054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comparison  with the previous </w:t>
                            </w:r>
                            <w:r w:rsidR="00AF16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period </w:t>
                            </w:r>
                            <w:r w:rsidR="00AF16C9" w:rsidRPr="00AF16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remained at </w:t>
                            </w:r>
                            <w:r w:rsidR="002267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F16C9" w:rsidRPr="00AF16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level observed in the last four months and amounted to</w:t>
                            </w:r>
                            <w:r w:rsidR="00A21906" w:rsidRPr="00054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54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</w:t>
                            </w:r>
                            <w:r w:rsidR="00054E06" w:rsidRPr="00054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054E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84C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DD3E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5pt;margin-top:20.6pt;width:135.75pt;height:148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" filled="f" stroked="f">
                <v:textbox>
                  <w:txbxContent>
                    <w:p w14:paraId="598166F1" w14:textId="61DB3B3E" w:rsidR="00125748" w:rsidRPr="00FE2C94" w:rsidRDefault="001F7FE3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54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9E5898" w:rsidRPr="00054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</w:t>
                      </w:r>
                      <w:r w:rsidR="007010FE" w:rsidRPr="00054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ly</w:t>
                      </w:r>
                      <w:r w:rsidRPr="00054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</w:t>
                      </w:r>
                      <w:r w:rsidR="003940A8" w:rsidRPr="00054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087EED" w:rsidRPr="00054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54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</w:t>
                      </w:r>
                      <w:r w:rsidR="00AF16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growth        of </w:t>
                      </w:r>
                      <w:r w:rsidRPr="00054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</w:t>
                      </w:r>
                      <w:r w:rsidR="007C47A7" w:rsidRPr="00054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54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construction </w:t>
                      </w:r>
                      <w:r w:rsidR="002267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54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 assembly production</w:t>
                      </w:r>
                      <w:r w:rsidR="00087EED" w:rsidRPr="00054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F16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  <w:r w:rsidR="001A51D8" w:rsidRPr="00054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comparison  with the previous </w:t>
                      </w:r>
                      <w:r w:rsidR="00AF16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period </w:t>
                      </w:r>
                      <w:r w:rsidR="00AF16C9" w:rsidRPr="00AF16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remained at </w:t>
                      </w:r>
                      <w:r w:rsidR="002267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bookmarkStart w:id="1" w:name="_GoBack"/>
                      <w:bookmarkEnd w:id="1"/>
                      <w:r w:rsidR="00AF16C9" w:rsidRPr="00AF16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level observed in the last four months and amounted to</w:t>
                      </w:r>
                      <w:r w:rsidR="00A21906" w:rsidRPr="00054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54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</w:t>
                      </w:r>
                      <w:r w:rsidR="00054E06" w:rsidRPr="00054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054E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84C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4E8B5BDD" w:rsidR="00157480" w:rsidRPr="00E723B0" w:rsidRDefault="006F55B8" w:rsidP="008B493F">
      <w:pPr>
        <w:pStyle w:val="tytuwykresu"/>
        <w:spacing w:before="0" w:after="0"/>
        <w:rPr>
          <w:shd w:val="clear" w:color="auto" w:fill="FFFFFF"/>
          <w:lang w:val="en-US"/>
        </w:rPr>
      </w:pPr>
      <w:r w:rsidRPr="00E723B0">
        <w:rPr>
          <w:shd w:val="clear" w:color="auto" w:fill="FFFFFF"/>
          <w:lang w:val="en-US"/>
        </w:rPr>
        <w:t xml:space="preserve">Chart 1. Prices </w:t>
      </w:r>
      <w:r w:rsidR="00FD0789" w:rsidRPr="00E723B0">
        <w:rPr>
          <w:shd w:val="clear" w:color="auto" w:fill="FFFFFF"/>
          <w:lang w:val="en-US"/>
        </w:rPr>
        <w:t xml:space="preserve">changes </w:t>
      </w:r>
      <w:r w:rsidRPr="00E723B0">
        <w:rPr>
          <w:shd w:val="clear" w:color="auto" w:fill="FFFFFF"/>
          <w:lang w:val="en-US"/>
        </w:rPr>
        <w:t>of construction and assembly production</w:t>
      </w:r>
      <w:r w:rsidR="00152DEB" w:rsidRPr="00E723B0">
        <w:rPr>
          <w:shd w:val="clear" w:color="auto" w:fill="FFFFFF"/>
          <w:lang w:val="en-US"/>
        </w:rPr>
        <w:t xml:space="preserve"> in  201</w:t>
      </w:r>
      <w:r w:rsidR="001E1088">
        <w:rPr>
          <w:shd w:val="clear" w:color="auto" w:fill="FFFFFF"/>
          <w:lang w:val="en-US"/>
        </w:rPr>
        <w:t>9</w:t>
      </w:r>
      <w:r w:rsidR="00152DEB" w:rsidRPr="00E723B0">
        <w:rPr>
          <w:shd w:val="clear" w:color="auto" w:fill="FFFFFF"/>
          <w:lang w:val="en-US"/>
        </w:rPr>
        <w:t>-20</w:t>
      </w:r>
      <w:r w:rsidR="00CC3239" w:rsidRPr="00E723B0">
        <w:rPr>
          <w:shd w:val="clear" w:color="auto" w:fill="FFFFFF"/>
          <w:lang w:val="en-US"/>
        </w:rPr>
        <w:t>20</w:t>
      </w:r>
      <w:r w:rsidR="00FD0789" w:rsidRPr="00E723B0">
        <w:rPr>
          <w:shd w:val="clear" w:color="auto" w:fill="FFFFFF"/>
          <w:lang w:val="en-US"/>
        </w:rPr>
        <w:t xml:space="preserve"> </w:t>
      </w:r>
      <w:r w:rsidRPr="00E723B0">
        <w:rPr>
          <w:shd w:val="clear" w:color="auto" w:fill="FFFFFF"/>
          <w:lang w:val="en-US"/>
        </w:rPr>
        <w:t>in</w:t>
      </w:r>
      <w:r w:rsidR="00476766" w:rsidRPr="00E723B0">
        <w:rPr>
          <w:shd w:val="clear" w:color="auto" w:fill="FFFFFF"/>
          <w:lang w:val="en-US"/>
        </w:rPr>
        <w:t xml:space="preserve"> </w:t>
      </w:r>
      <w:r w:rsidR="00FD0789" w:rsidRPr="00E723B0">
        <w:rPr>
          <w:shd w:val="clear" w:color="auto" w:fill="FFFFFF"/>
          <w:lang w:val="en-US"/>
        </w:rPr>
        <w:t xml:space="preserve">relation </w:t>
      </w:r>
      <w:r w:rsidR="00157480" w:rsidRPr="00E723B0">
        <w:rPr>
          <w:shd w:val="clear" w:color="auto" w:fill="FFFFFF"/>
          <w:lang w:val="en-US"/>
        </w:rPr>
        <w:t xml:space="preserve">      </w:t>
      </w:r>
    </w:p>
    <w:p w14:paraId="3A313BF6" w14:textId="175CD1FF" w:rsidR="00CE1F47" w:rsidRDefault="004656FB" w:rsidP="008B493F">
      <w:pPr>
        <w:pStyle w:val="tytuwykresu"/>
        <w:spacing w:before="40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80448" behindDoc="0" locked="0" layoutInCell="1" allowOverlap="1" wp14:anchorId="7DBCA26B" wp14:editId="71C7816A">
            <wp:simplePos x="0" y="0"/>
            <wp:positionH relativeFrom="column">
              <wp:posOffset>0</wp:posOffset>
            </wp:positionH>
            <wp:positionV relativeFrom="paragraph">
              <wp:posOffset>228253</wp:posOffset>
            </wp:positionV>
            <wp:extent cx="5122545" cy="27051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157480" w:rsidRPr="00E723B0">
        <w:rPr>
          <w:shd w:val="clear" w:color="auto" w:fill="FFFFFF"/>
          <w:lang w:val="en-US"/>
        </w:rPr>
        <w:t xml:space="preserve">                </w:t>
      </w:r>
      <w:r w:rsidR="00FD0789" w:rsidRPr="00E723B0">
        <w:rPr>
          <w:shd w:val="clear" w:color="auto" w:fill="FFFFFF"/>
          <w:lang w:val="en-US"/>
        </w:rPr>
        <w:t>to the previous period</w:t>
      </w:r>
      <w:r w:rsidR="007B7104">
        <w:rPr>
          <w:shd w:val="clear" w:color="auto" w:fill="FFFFFF"/>
          <w:lang w:val="en-US"/>
        </w:rPr>
        <w:t xml:space="preserve"> ( in %)</w:t>
      </w:r>
    </w:p>
    <w:p w14:paraId="133F852E" w14:textId="36D152A8" w:rsidR="004656FB" w:rsidRDefault="004656FB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3242C0ED" w14:textId="77777777" w:rsidR="004656FB" w:rsidRDefault="004656FB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5385F12B" w14:textId="2CAB3E41" w:rsidR="008F7774" w:rsidRDefault="00CC756A" w:rsidP="00985AE0">
      <w:pPr>
        <w:pStyle w:val="tytuwykresu"/>
        <w:rPr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1AB0F3E" wp14:editId="0A1DEBD8">
                <wp:simplePos x="0" y="0"/>
                <wp:positionH relativeFrom="column">
                  <wp:posOffset>5381625</wp:posOffset>
                </wp:positionH>
                <wp:positionV relativeFrom="paragraph">
                  <wp:posOffset>187325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95BB" w14:textId="6D9924F5" w:rsidR="00CC756A" w:rsidRPr="00FE2C94" w:rsidRDefault="0027511B" w:rsidP="00CC75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6C2C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9E5898" w:rsidRPr="006C2C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</w:t>
                            </w:r>
                            <w:r w:rsidR="007010FE" w:rsidRPr="006C2C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ly</w:t>
                            </w:r>
                            <w:r w:rsidR="0019079F" w:rsidRPr="006C2C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</w:t>
                            </w:r>
                            <w:r w:rsidR="00CB4BDE" w:rsidRPr="006C2C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same in </w:t>
                            </w:r>
                            <w:r w:rsidR="006C2C0B" w:rsidRPr="006C2C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 w:rsidR="00CB4BDE" w:rsidRPr="006C2C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46670" w:rsidRPr="006C2C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this year</w:t>
                            </w:r>
                            <w:r w:rsidR="00CB4BDE" w:rsidRPr="006C2C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BC71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prices </w:t>
                            </w:r>
                            <w:r w:rsidR="002B22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construction and assembly production</w:t>
                            </w:r>
                            <w:r w:rsidR="00EE007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EE007E"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F831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311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annual term</w:t>
                            </w:r>
                            <w:r w:rsidR="002B22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6C2C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D052D1" w:rsidRPr="006C2C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6C2C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6C2C0B" w:rsidRPr="006C2C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Pr="006C2C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B0F3E" id="Pole tekstowe 19" o:spid="_x0000_s1030" type="#_x0000_t202" style="position:absolute;margin-left:423.75pt;margin-top:14.75pt;width:126.75pt;height:131.2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" filled="f" stroked="f">
                <v:textbox>
                  <w:txbxContent>
                    <w:p w14:paraId="6A6195BB" w14:textId="6D9924F5" w:rsidR="00CC756A" w:rsidRPr="00FE2C94" w:rsidRDefault="0027511B" w:rsidP="00CC75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6C2C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9E5898" w:rsidRPr="006C2C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</w:t>
                      </w:r>
                      <w:r w:rsidR="007010FE" w:rsidRPr="006C2C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ly</w:t>
                      </w:r>
                      <w:r w:rsidR="0019079F" w:rsidRPr="006C2C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</w:t>
                      </w:r>
                      <w:r w:rsidR="00CB4BDE" w:rsidRPr="006C2C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same in </w:t>
                      </w:r>
                      <w:r w:rsidR="006C2C0B" w:rsidRPr="006C2C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 w:rsidR="00CB4BDE" w:rsidRPr="006C2C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46670" w:rsidRPr="006C2C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this year</w:t>
                      </w:r>
                      <w:r w:rsidR="00CB4BDE" w:rsidRPr="006C2C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BC71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prices </w:t>
                      </w:r>
                      <w:r w:rsidR="002B22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construction and assembly production</w:t>
                      </w:r>
                      <w:r w:rsidR="00EE007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EE007E"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F831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311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annual term</w:t>
                      </w:r>
                      <w:r w:rsidR="002B22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6C2C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D052D1" w:rsidRPr="006C2C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6C2C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6C2C0B" w:rsidRPr="006C2C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Pr="006C2C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</w:t>
      </w:r>
      <w:r w:rsidR="00FD0789">
        <w:rPr>
          <w:lang w:val="en-US"/>
        </w:rPr>
        <w:t xml:space="preserve"> changes </w:t>
      </w:r>
      <w:r w:rsidR="006F55B8" w:rsidRPr="003D1300">
        <w:rPr>
          <w:lang w:val="en-US"/>
        </w:rPr>
        <w:t xml:space="preserve"> of construction and assembly </w:t>
      </w:r>
      <w:r w:rsidR="006F55B8" w:rsidRPr="00912C36">
        <w:rPr>
          <w:lang w:val="en-US"/>
        </w:rPr>
        <w:t>production</w:t>
      </w:r>
      <w:r w:rsidR="00FA47CA" w:rsidRPr="00912C36">
        <w:rPr>
          <w:lang w:val="en-US"/>
        </w:rPr>
        <w:t xml:space="preserve"> </w:t>
      </w:r>
      <w:r w:rsidR="00FA47CA" w:rsidRPr="005E4DE0">
        <w:rPr>
          <w:lang w:val="en-US"/>
        </w:rPr>
        <w:t>in 201</w:t>
      </w:r>
      <w:r w:rsidR="001E1088">
        <w:rPr>
          <w:lang w:val="en-US"/>
        </w:rPr>
        <w:t>9</w:t>
      </w:r>
      <w:r w:rsidR="00FA47CA" w:rsidRPr="005E4DE0">
        <w:rPr>
          <w:lang w:val="en-US"/>
        </w:rPr>
        <w:t>-20</w:t>
      </w:r>
      <w:r w:rsidR="00CC3239" w:rsidRPr="005E4DE0">
        <w:rPr>
          <w:lang w:val="en-US"/>
        </w:rPr>
        <w:t>20</w:t>
      </w:r>
      <w:r w:rsidR="00FD0789" w:rsidRPr="005E4DE0">
        <w:rPr>
          <w:lang w:val="en-US"/>
        </w:rPr>
        <w:t xml:space="preserve"> in</w:t>
      </w:r>
      <w:r w:rsidR="00FD0789">
        <w:rPr>
          <w:lang w:val="en-US"/>
        </w:rPr>
        <w:t xml:space="preserve"> relation </w:t>
      </w:r>
      <w:r w:rsidR="006F55B8" w:rsidRPr="003D1300">
        <w:rPr>
          <w:lang w:val="en-US"/>
        </w:rPr>
        <w:t xml:space="preserve"> </w:t>
      </w:r>
    </w:p>
    <w:p w14:paraId="562B7FB8" w14:textId="1A163D6A" w:rsidR="006F55B8" w:rsidRPr="000C341D" w:rsidRDefault="004B14DA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82496" behindDoc="0" locked="0" layoutInCell="1" allowOverlap="1" wp14:anchorId="19E17329" wp14:editId="02A1461D">
            <wp:simplePos x="0" y="0"/>
            <wp:positionH relativeFrom="column">
              <wp:posOffset>-43133</wp:posOffset>
            </wp:positionH>
            <wp:positionV relativeFrom="paragraph">
              <wp:posOffset>194873</wp:posOffset>
            </wp:positionV>
            <wp:extent cx="5122545" cy="2676525"/>
            <wp:effectExtent l="0" t="0" r="1905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F55B8" w:rsidRPr="000C341D">
        <w:rPr>
          <w:shd w:val="clear" w:color="auto" w:fill="FFFFFF"/>
          <w:lang w:val="en-US"/>
        </w:rPr>
        <w:t>to the same period of the previous year</w:t>
      </w:r>
      <w:r w:rsidR="00B84429" w:rsidRPr="000C341D">
        <w:rPr>
          <w:shd w:val="clear" w:color="auto" w:fill="FFFFFF"/>
          <w:lang w:val="en-US"/>
        </w:rPr>
        <w:t xml:space="preserve"> (in %)</w:t>
      </w:r>
    </w:p>
    <w:p w14:paraId="02ABABC7" w14:textId="00F03462" w:rsidR="004B14DA" w:rsidRPr="000C341D" w:rsidRDefault="004B14DA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7AD0C00" w14:textId="77777777" w:rsidR="004B14DA" w:rsidRPr="000C341D" w:rsidRDefault="004B14DA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74B257C7" w14:textId="77777777" w:rsidR="004B14DA" w:rsidRPr="000C341D" w:rsidRDefault="004B14DA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3C9A1139" w14:textId="226BCBD0" w:rsidR="002F6882" w:rsidRPr="000C341D" w:rsidRDefault="002F6882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5F92A12" w14:textId="77777777" w:rsidR="002F6882" w:rsidRPr="000C341D" w:rsidRDefault="002F6882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22CFD400" w14:textId="77777777" w:rsidR="002F6882" w:rsidRPr="000C341D" w:rsidRDefault="002F6882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1DFD41AC" w14:textId="4082D4E3" w:rsidR="00A51C14" w:rsidRDefault="00A51C14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F6444A9" w14:textId="21D9C64D" w:rsidR="0039738A" w:rsidRDefault="0039738A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A35ADB8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D8C7476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205CA79D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D96F639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370A76C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54AAEF78" w14:textId="4FB6D612" w:rsidR="0039738A" w:rsidRDefault="0039738A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98AB0A7" w14:textId="736BA374" w:rsidR="008E6601" w:rsidRDefault="008E6601" w:rsidP="006F55B8">
      <w:pPr>
        <w:pStyle w:val="tytuwykresu"/>
        <w:rPr>
          <w:bCs/>
          <w:shd w:val="clear" w:color="auto" w:fill="FFFFFF"/>
          <w:lang w:val="en-US"/>
        </w:rPr>
      </w:pPr>
    </w:p>
    <w:p w14:paraId="676A4AA8" w14:textId="77777777" w:rsidR="00AD4D1F" w:rsidRDefault="00AD4D1F" w:rsidP="008B493F">
      <w:pPr>
        <w:pStyle w:val="tytuwykresu"/>
        <w:spacing w:before="0" w:after="0"/>
        <w:rPr>
          <w:lang w:val="en-US"/>
        </w:rPr>
      </w:pPr>
    </w:p>
    <w:bookmarkStart w:id="0" w:name="_GoBack"/>
    <w:bookmarkEnd w:id="0"/>
    <w:p w14:paraId="626E5F60" w14:textId="0319D6D8" w:rsidR="00157480" w:rsidRDefault="00281DEA" w:rsidP="008B493F">
      <w:pPr>
        <w:pStyle w:val="tytuwykresu"/>
        <w:spacing w:before="0" w:after="0"/>
        <w:rPr>
          <w:bCs/>
          <w:shd w:val="clear" w:color="auto" w:fill="FFFFFF"/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4A369BE0" wp14:editId="5588BDAB">
                <wp:simplePos x="0" y="0"/>
                <wp:positionH relativeFrom="column">
                  <wp:posOffset>5343525</wp:posOffset>
                </wp:positionH>
                <wp:positionV relativeFrom="paragraph">
                  <wp:posOffset>111125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B073" w14:textId="3DB186F9" w:rsidR="00281DEA" w:rsidRPr="00FE2C94" w:rsidRDefault="00281DEA" w:rsidP="00281D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C2CC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9E5898" w:rsidRPr="000C2CC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</w:t>
                            </w:r>
                            <w:r w:rsidR="00182754" w:rsidRPr="000C2CC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ly</w:t>
                            </w:r>
                            <w:r w:rsidR="007E25BE" w:rsidRPr="000C2CC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C2CC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this</w:t>
                            </w:r>
                            <w:r w:rsidRPr="00E561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year </w:t>
                            </w:r>
                            <w:r w:rsidR="00A24924" w:rsidRPr="00E561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relation to </w:t>
                            </w:r>
                            <w:r w:rsidR="000F6FC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December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</w:t>
                            </w:r>
                            <w:r w:rsidR="001E108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704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highest  prices  growth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was </w:t>
                            </w:r>
                            <w:r w:rsidR="00B12F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recorded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370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division </w:t>
                            </w:r>
                            <w:r w:rsidR="002B22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construction of buildings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69BE0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1" type="#_x0000_t202" style="position:absolute;margin-left:420.75pt;margin-top:8.75pt;width:126.75pt;height:131.25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" filled="f" stroked="f">
                <v:textbox>
                  <w:txbxContent>
                    <w:p w14:paraId="5161B073" w14:textId="3DB186F9" w:rsidR="00281DEA" w:rsidRPr="00FE2C94" w:rsidRDefault="00281DEA" w:rsidP="00281D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C2CC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9E5898" w:rsidRPr="000C2CC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</w:t>
                      </w:r>
                      <w:r w:rsidR="00182754" w:rsidRPr="000C2CC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ly</w:t>
                      </w:r>
                      <w:r w:rsidR="007E25BE" w:rsidRPr="000C2CC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C2CC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this</w:t>
                      </w:r>
                      <w:r w:rsidRPr="00E561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year </w:t>
                      </w:r>
                      <w:r w:rsidR="00A24924" w:rsidRPr="00E561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relation to </w:t>
                      </w:r>
                      <w:r w:rsidR="000F6FC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December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</w:t>
                      </w:r>
                      <w:r w:rsidR="001E108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704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highest  prices  growth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was </w:t>
                      </w:r>
                      <w:r w:rsidR="00B12F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recorded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370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division </w:t>
                      </w:r>
                      <w:r w:rsidR="002B22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construction of buildings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6F6E" w:rsidRPr="00531555">
        <w:rPr>
          <w:lang w:val="en-US"/>
        </w:rPr>
        <w:t xml:space="preserve">Chart </w:t>
      </w:r>
      <w:r w:rsidR="00425E8F">
        <w:rPr>
          <w:lang w:val="en-US"/>
        </w:rPr>
        <w:t>3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 w:rsidR="00D96F6E">
        <w:rPr>
          <w:bCs/>
          <w:shd w:val="clear" w:color="auto" w:fill="FFFFFF"/>
          <w:lang w:val="en-US"/>
        </w:rPr>
        <w:t xml:space="preserve"> </w:t>
      </w:r>
      <w:r w:rsidR="00D96F6E" w:rsidRPr="00675EEA">
        <w:rPr>
          <w:bCs/>
          <w:shd w:val="clear" w:color="auto" w:fill="FFFFFF"/>
          <w:lang w:val="en-US"/>
        </w:rPr>
        <w:t>in 201</w:t>
      </w:r>
      <w:r w:rsidR="00141E0C">
        <w:rPr>
          <w:bCs/>
          <w:shd w:val="clear" w:color="auto" w:fill="FFFFFF"/>
          <w:lang w:val="en-US"/>
        </w:rPr>
        <w:t>9</w:t>
      </w:r>
      <w:r w:rsidR="00D96F6E" w:rsidRPr="00675EEA">
        <w:rPr>
          <w:bCs/>
          <w:shd w:val="clear" w:color="auto" w:fill="FFFFFF"/>
          <w:lang w:val="en-US"/>
        </w:rPr>
        <w:t>-20</w:t>
      </w:r>
      <w:r w:rsidR="00CC3239" w:rsidRPr="00675EEA">
        <w:rPr>
          <w:bCs/>
          <w:shd w:val="clear" w:color="auto" w:fill="FFFFFF"/>
          <w:lang w:val="en-US"/>
        </w:rPr>
        <w:t>20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5E93CF87" w:rsidR="00724572" w:rsidRDefault="007701B1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83520" behindDoc="0" locked="0" layoutInCell="1" allowOverlap="1" wp14:anchorId="3ACE5A2A" wp14:editId="3A7CA3D3">
            <wp:simplePos x="0" y="0"/>
            <wp:positionH relativeFrom="column">
              <wp:posOffset>-388189</wp:posOffset>
            </wp:positionH>
            <wp:positionV relativeFrom="paragraph">
              <wp:posOffset>210389</wp:posOffset>
            </wp:positionV>
            <wp:extent cx="5122545" cy="2991485"/>
            <wp:effectExtent l="0" t="0" r="1905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157480"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675EEA">
        <w:rPr>
          <w:bCs/>
          <w:shd w:val="clear" w:color="auto" w:fill="FFFFFF"/>
          <w:lang w:val="en-US"/>
        </w:rPr>
        <w:t xml:space="preserve">in </w:t>
      </w:r>
      <w:r w:rsidR="00F94D3C" w:rsidRPr="00675EEA">
        <w:rPr>
          <w:bCs/>
          <w:shd w:val="clear" w:color="auto" w:fill="FFFFFF"/>
          <w:lang w:val="en-US"/>
        </w:rPr>
        <w:t>relation</w:t>
      </w:r>
      <w:r w:rsidR="006E7093" w:rsidRPr="00675EEA">
        <w:rPr>
          <w:bCs/>
          <w:shd w:val="clear" w:color="auto" w:fill="FFFFFF"/>
          <w:lang w:val="en-US"/>
        </w:rPr>
        <w:t xml:space="preserve"> to </w:t>
      </w:r>
      <w:r w:rsidR="000F6FCD">
        <w:rPr>
          <w:bCs/>
          <w:shd w:val="clear" w:color="auto" w:fill="FFFFFF"/>
          <w:lang w:val="en-US"/>
        </w:rPr>
        <w:t xml:space="preserve">December </w:t>
      </w:r>
      <w:r w:rsidR="00D96F6E" w:rsidRPr="00675EEA">
        <w:rPr>
          <w:bCs/>
          <w:shd w:val="clear" w:color="auto" w:fill="FFFFFF"/>
          <w:lang w:val="en-US"/>
        </w:rPr>
        <w:t>201</w:t>
      </w:r>
      <w:r w:rsidR="001E1088">
        <w:rPr>
          <w:bCs/>
          <w:shd w:val="clear" w:color="auto" w:fill="FFFFFF"/>
          <w:lang w:val="en-US"/>
        </w:rPr>
        <w:t>8</w:t>
      </w:r>
      <w:r w:rsidR="002A6447">
        <w:rPr>
          <w:bCs/>
          <w:shd w:val="clear" w:color="auto" w:fill="FFFFFF"/>
          <w:lang w:val="en-US"/>
        </w:rPr>
        <w:t xml:space="preserve"> (in %)</w:t>
      </w:r>
    </w:p>
    <w:p w14:paraId="4995292F" w14:textId="37AE0802" w:rsidR="000C2CCF" w:rsidRDefault="000C2CC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02A46BF" w14:textId="54C536D8" w:rsidR="007701B1" w:rsidRDefault="007701B1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0D750511" w14:textId="77777777" w:rsidR="000C2CCF" w:rsidRDefault="000C2CC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5D5026C1" w14:textId="77777777" w:rsidR="000C2CCF" w:rsidRDefault="000C2CC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66EBA230" w14:textId="77777777" w:rsidR="000C2CCF" w:rsidRDefault="000C2CC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78B9F0BD" w14:textId="77777777" w:rsidR="000C2CCF" w:rsidRDefault="000C2CC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05572AE" w14:textId="77777777" w:rsidR="000C2CCF" w:rsidRDefault="000C2CC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91D45F8" w14:textId="77777777" w:rsidR="000C2CCF" w:rsidRDefault="000C2CC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311FCE2" w14:textId="77777777" w:rsidR="000C2CCF" w:rsidRDefault="000C2CC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541F3002" w14:textId="77777777" w:rsidR="000C2CCF" w:rsidRDefault="000C2CC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4B81A89F" w14:textId="77777777" w:rsidR="000C2CCF" w:rsidRDefault="000C2CC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D1573AC" w14:textId="2F13453A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6DC4262A" w14:textId="77777777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8F91DCF" w14:textId="77777777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7F94E1D" w14:textId="77777777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236860E" w14:textId="77777777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0C1808F" w14:textId="77777777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A6DADA4" w14:textId="77777777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C452BBF" w14:textId="77777777" w:rsidR="005C3B9C" w:rsidRDefault="005C3B9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0B8A09F0" w14:textId="77777777" w:rsidR="00A833BA" w:rsidRDefault="00A833BA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193B66B9" w14:textId="77777777" w:rsidR="005C3B9C" w:rsidRDefault="005C3B9C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49ABE71F" w14:textId="77777777" w:rsidR="00A833BA" w:rsidRDefault="00A833BA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7989AEFF" w14:textId="77777777" w:rsidR="000D324F" w:rsidRPr="00D24311" w:rsidRDefault="000D324F" w:rsidP="000D324F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D24311">
        <w:rPr>
          <w:b w:val="0"/>
          <w:bCs/>
          <w:sz w:val="19"/>
          <w:szCs w:val="19"/>
          <w:shd w:val="clear" w:color="auto" w:fill="FFFFFF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320B662C" w14:textId="77777777" w:rsidR="000D324F" w:rsidRPr="000C341D" w:rsidRDefault="000D324F" w:rsidP="000D324F">
      <w:pPr>
        <w:rPr>
          <w:color w:val="1F497D"/>
          <w:lang w:val="en-US"/>
        </w:rPr>
      </w:pPr>
    </w:p>
    <w:p w14:paraId="03A46527" w14:textId="444FFD92" w:rsidR="00872AAB" w:rsidRDefault="00872AAB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6884D94" w14:textId="2FF63C1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333EAF78" w14:textId="7DBDD218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6DE4BE4" w14:textId="7777777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1281EBF7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AD4D1F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7B1ABD9D" w:rsidR="000470AA" w:rsidRPr="00442A25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14:paraId="64708640" w14:textId="139EC536" w:rsidR="000470AA" w:rsidRPr="008F3638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B36BFF2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3F284382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0D2BA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42EB45C1" w:rsidR="000470AA" w:rsidRPr="008F3638" w:rsidRDefault="000D2BA0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 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4708646" w14:textId="56DFE55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AD4D1F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6C805DD" w:rsidR="000470AA" w:rsidRPr="00531555" w:rsidRDefault="00CE379B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8752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tel. (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0470AA" w:rsidRPr="00531555">
              <w:rPr>
                <w:sz w:val="20"/>
                <w:lang w:val="en-US"/>
              </w:rPr>
              <w:t xml:space="preserve">608 38 04 </w:t>
            </w:r>
          </w:p>
          <w:p w14:paraId="6470864C" w14:textId="3B1419D2" w:rsidR="000470AA" w:rsidRPr="00CE379B" w:rsidRDefault="008F7774" w:rsidP="000470AA">
            <w:pPr>
              <w:rPr>
                <w:b/>
                <w:sz w:val="20"/>
                <w:lang w:val="en-US"/>
              </w:rPr>
            </w:pPr>
            <w:r w:rsidRPr="00CE379B">
              <w:rPr>
                <w:b/>
                <w:sz w:val="20"/>
                <w:lang w:val="en-US"/>
              </w:rPr>
              <w:t xml:space="preserve">e-mail: </w:t>
            </w:r>
            <w:hyperlink r:id="rId19" w:history="1">
              <w:r w:rsidRPr="00CE379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2B0D3BC2">
                <wp:simplePos x="0" y="0"/>
                <wp:positionH relativeFrom="margin">
                  <wp:posOffset>17145</wp:posOffset>
                </wp:positionH>
                <wp:positionV relativeFrom="paragraph">
                  <wp:posOffset>425450</wp:posOffset>
                </wp:positionV>
                <wp:extent cx="6559550" cy="33381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338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44662E3C" w:rsidR="00AB6D25" w:rsidRPr="00CF2F7F" w:rsidRDefault="00365FDC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39679F" w:rsidRPr="007701B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365FDC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365FD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365FD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365FD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365FD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2" type="#_x0000_t202" style="position:absolute;margin-left:1.35pt;margin-top:33.5pt;width:516.5pt;height:262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44662E3C" w:rsidR="00AB6D25" w:rsidRPr="00CF2F7F" w:rsidRDefault="00B032C1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39679F" w:rsidRPr="007701B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6470868C" w14:textId="01E45727" w:rsidR="00673C26" w:rsidRPr="005D70AA" w:rsidRDefault="00B032C1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B032C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B032C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B032C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B032C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D87E3" w14:textId="77777777" w:rsidR="00365FDC" w:rsidRDefault="00365FDC" w:rsidP="000662E2">
      <w:pPr>
        <w:spacing w:after="0" w:line="240" w:lineRule="auto"/>
      </w:pPr>
      <w:r>
        <w:separator/>
      </w:r>
    </w:p>
  </w:endnote>
  <w:endnote w:type="continuationSeparator" w:id="0">
    <w:p w14:paraId="0198CBDA" w14:textId="77777777" w:rsidR="00365FDC" w:rsidRDefault="00365FD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D1F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D1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D1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43153" w14:textId="77777777" w:rsidR="00365FDC" w:rsidRDefault="00365FDC" w:rsidP="000662E2">
      <w:pPr>
        <w:spacing w:after="0" w:line="240" w:lineRule="auto"/>
      </w:pPr>
      <w:r>
        <w:separator/>
      </w:r>
    </w:p>
  </w:footnote>
  <w:footnote w:type="continuationSeparator" w:id="0">
    <w:p w14:paraId="0E741A00" w14:textId="77777777" w:rsidR="00365FDC" w:rsidRDefault="00365FD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22821E26" w:rsidR="00F37172" w:rsidRPr="00C97596" w:rsidRDefault="00BD745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D546C2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A01C36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033FB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300EB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22821E26" w:rsidR="00F37172" w:rsidRPr="00C97596" w:rsidRDefault="00BD745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D546C2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A01C36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033FB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300EB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7.7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7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1BCC"/>
    <w:rsid w:val="0001433D"/>
    <w:rsid w:val="000152F5"/>
    <w:rsid w:val="00022126"/>
    <w:rsid w:val="00027E17"/>
    <w:rsid w:val="00031177"/>
    <w:rsid w:val="00033C11"/>
    <w:rsid w:val="00033FBC"/>
    <w:rsid w:val="00037015"/>
    <w:rsid w:val="00037084"/>
    <w:rsid w:val="000403D9"/>
    <w:rsid w:val="0004176D"/>
    <w:rsid w:val="00042A68"/>
    <w:rsid w:val="0004500C"/>
    <w:rsid w:val="0004582E"/>
    <w:rsid w:val="000470AA"/>
    <w:rsid w:val="000511C6"/>
    <w:rsid w:val="000545C1"/>
    <w:rsid w:val="00054E06"/>
    <w:rsid w:val="00056FC7"/>
    <w:rsid w:val="00057CA1"/>
    <w:rsid w:val="00060319"/>
    <w:rsid w:val="00060CEB"/>
    <w:rsid w:val="00061F81"/>
    <w:rsid w:val="0006309F"/>
    <w:rsid w:val="00064023"/>
    <w:rsid w:val="000662E2"/>
    <w:rsid w:val="00066883"/>
    <w:rsid w:val="000740AC"/>
    <w:rsid w:val="00074DD8"/>
    <w:rsid w:val="00074E88"/>
    <w:rsid w:val="000805F6"/>
    <w:rsid w:val="000806F7"/>
    <w:rsid w:val="00080B22"/>
    <w:rsid w:val="00080B2A"/>
    <w:rsid w:val="00082F1E"/>
    <w:rsid w:val="000856AE"/>
    <w:rsid w:val="00086982"/>
    <w:rsid w:val="00087C0B"/>
    <w:rsid w:val="00087EED"/>
    <w:rsid w:val="00093640"/>
    <w:rsid w:val="00097C14"/>
    <w:rsid w:val="000A1421"/>
    <w:rsid w:val="000A669D"/>
    <w:rsid w:val="000A7282"/>
    <w:rsid w:val="000B0727"/>
    <w:rsid w:val="000B0DE2"/>
    <w:rsid w:val="000B506F"/>
    <w:rsid w:val="000B54A5"/>
    <w:rsid w:val="000C0DD6"/>
    <w:rsid w:val="000C135D"/>
    <w:rsid w:val="000C2CCF"/>
    <w:rsid w:val="000C341D"/>
    <w:rsid w:val="000C3EB1"/>
    <w:rsid w:val="000C608B"/>
    <w:rsid w:val="000D1D43"/>
    <w:rsid w:val="000D225C"/>
    <w:rsid w:val="000D2A5C"/>
    <w:rsid w:val="000D2BA0"/>
    <w:rsid w:val="000D324F"/>
    <w:rsid w:val="000E0918"/>
    <w:rsid w:val="000E3D10"/>
    <w:rsid w:val="000F6FCD"/>
    <w:rsid w:val="001011C3"/>
    <w:rsid w:val="00104468"/>
    <w:rsid w:val="00104D53"/>
    <w:rsid w:val="00110D87"/>
    <w:rsid w:val="00113493"/>
    <w:rsid w:val="00114DB9"/>
    <w:rsid w:val="00116087"/>
    <w:rsid w:val="0012245B"/>
    <w:rsid w:val="0012356D"/>
    <w:rsid w:val="00124C33"/>
    <w:rsid w:val="00125748"/>
    <w:rsid w:val="00126729"/>
    <w:rsid w:val="00130296"/>
    <w:rsid w:val="00131830"/>
    <w:rsid w:val="0013235F"/>
    <w:rsid w:val="00136E04"/>
    <w:rsid w:val="00141E0C"/>
    <w:rsid w:val="001423B6"/>
    <w:rsid w:val="001423BA"/>
    <w:rsid w:val="001448A7"/>
    <w:rsid w:val="00146621"/>
    <w:rsid w:val="00147D4A"/>
    <w:rsid w:val="00152DEB"/>
    <w:rsid w:val="00154096"/>
    <w:rsid w:val="00157480"/>
    <w:rsid w:val="00162325"/>
    <w:rsid w:val="00162479"/>
    <w:rsid w:val="00167C74"/>
    <w:rsid w:val="00167D4F"/>
    <w:rsid w:val="001714B4"/>
    <w:rsid w:val="00171567"/>
    <w:rsid w:val="00176E3D"/>
    <w:rsid w:val="0018032D"/>
    <w:rsid w:val="00182754"/>
    <w:rsid w:val="00183CB9"/>
    <w:rsid w:val="00184AB4"/>
    <w:rsid w:val="00185752"/>
    <w:rsid w:val="00186606"/>
    <w:rsid w:val="0018777B"/>
    <w:rsid w:val="0019079F"/>
    <w:rsid w:val="001951DA"/>
    <w:rsid w:val="00195933"/>
    <w:rsid w:val="00196D4F"/>
    <w:rsid w:val="00197AA7"/>
    <w:rsid w:val="001A3428"/>
    <w:rsid w:val="001A42BE"/>
    <w:rsid w:val="001A4AC0"/>
    <w:rsid w:val="001A51D8"/>
    <w:rsid w:val="001B2137"/>
    <w:rsid w:val="001C0E7B"/>
    <w:rsid w:val="001C3269"/>
    <w:rsid w:val="001C3A96"/>
    <w:rsid w:val="001C3CE7"/>
    <w:rsid w:val="001D1DB4"/>
    <w:rsid w:val="001D2736"/>
    <w:rsid w:val="001D4CAB"/>
    <w:rsid w:val="001D74E5"/>
    <w:rsid w:val="001E1088"/>
    <w:rsid w:val="001E4B0C"/>
    <w:rsid w:val="001F2184"/>
    <w:rsid w:val="001F3E98"/>
    <w:rsid w:val="001F4AAE"/>
    <w:rsid w:val="001F7FE3"/>
    <w:rsid w:val="00202FA0"/>
    <w:rsid w:val="002047B1"/>
    <w:rsid w:val="00205287"/>
    <w:rsid w:val="0020714F"/>
    <w:rsid w:val="00207219"/>
    <w:rsid w:val="00213241"/>
    <w:rsid w:val="00213829"/>
    <w:rsid w:val="0021506B"/>
    <w:rsid w:val="00217044"/>
    <w:rsid w:val="00220643"/>
    <w:rsid w:val="00220EA5"/>
    <w:rsid w:val="00223CE0"/>
    <w:rsid w:val="00226703"/>
    <w:rsid w:val="00230F07"/>
    <w:rsid w:val="00236CBD"/>
    <w:rsid w:val="002425B8"/>
    <w:rsid w:val="002435EE"/>
    <w:rsid w:val="00243B41"/>
    <w:rsid w:val="00246BA6"/>
    <w:rsid w:val="00247850"/>
    <w:rsid w:val="002500A9"/>
    <w:rsid w:val="00252B0B"/>
    <w:rsid w:val="0025534A"/>
    <w:rsid w:val="00256DA4"/>
    <w:rsid w:val="002574F9"/>
    <w:rsid w:val="00262B61"/>
    <w:rsid w:val="00270ECF"/>
    <w:rsid w:val="0027511B"/>
    <w:rsid w:val="00276811"/>
    <w:rsid w:val="00281DEA"/>
    <w:rsid w:val="00282699"/>
    <w:rsid w:val="002841DE"/>
    <w:rsid w:val="00287125"/>
    <w:rsid w:val="00287265"/>
    <w:rsid w:val="00290ACE"/>
    <w:rsid w:val="002926DF"/>
    <w:rsid w:val="002949EE"/>
    <w:rsid w:val="00296697"/>
    <w:rsid w:val="002A1382"/>
    <w:rsid w:val="002A2462"/>
    <w:rsid w:val="002A2D46"/>
    <w:rsid w:val="002A463C"/>
    <w:rsid w:val="002A5B7C"/>
    <w:rsid w:val="002A6447"/>
    <w:rsid w:val="002B0472"/>
    <w:rsid w:val="002B09BC"/>
    <w:rsid w:val="002B2085"/>
    <w:rsid w:val="002B2219"/>
    <w:rsid w:val="002B42D6"/>
    <w:rsid w:val="002B5DFD"/>
    <w:rsid w:val="002B6B12"/>
    <w:rsid w:val="002C362F"/>
    <w:rsid w:val="002C37B0"/>
    <w:rsid w:val="002C53D6"/>
    <w:rsid w:val="002D197B"/>
    <w:rsid w:val="002D3B6F"/>
    <w:rsid w:val="002D7386"/>
    <w:rsid w:val="002D7C06"/>
    <w:rsid w:val="002E1DE8"/>
    <w:rsid w:val="002E593D"/>
    <w:rsid w:val="002E6140"/>
    <w:rsid w:val="002E6985"/>
    <w:rsid w:val="002E71B6"/>
    <w:rsid w:val="002F3A3F"/>
    <w:rsid w:val="002F6882"/>
    <w:rsid w:val="002F72EF"/>
    <w:rsid w:val="002F77C8"/>
    <w:rsid w:val="00300522"/>
    <w:rsid w:val="00300C69"/>
    <w:rsid w:val="0030231C"/>
    <w:rsid w:val="00304674"/>
    <w:rsid w:val="00304F22"/>
    <w:rsid w:val="00306C7C"/>
    <w:rsid w:val="00307D67"/>
    <w:rsid w:val="00310383"/>
    <w:rsid w:val="003164DA"/>
    <w:rsid w:val="003226E5"/>
    <w:rsid w:val="00322EDD"/>
    <w:rsid w:val="00330287"/>
    <w:rsid w:val="00330F0C"/>
    <w:rsid w:val="00332320"/>
    <w:rsid w:val="00333B3F"/>
    <w:rsid w:val="00336AD7"/>
    <w:rsid w:val="00345216"/>
    <w:rsid w:val="00347D72"/>
    <w:rsid w:val="00351866"/>
    <w:rsid w:val="00351B5E"/>
    <w:rsid w:val="00353751"/>
    <w:rsid w:val="00357611"/>
    <w:rsid w:val="003657CB"/>
    <w:rsid w:val="00365FDC"/>
    <w:rsid w:val="00367237"/>
    <w:rsid w:val="0037077F"/>
    <w:rsid w:val="00372411"/>
    <w:rsid w:val="00373882"/>
    <w:rsid w:val="0037544A"/>
    <w:rsid w:val="003815E5"/>
    <w:rsid w:val="003818FF"/>
    <w:rsid w:val="003843DB"/>
    <w:rsid w:val="00384A2F"/>
    <w:rsid w:val="00385257"/>
    <w:rsid w:val="00387346"/>
    <w:rsid w:val="0039283A"/>
    <w:rsid w:val="00392C3E"/>
    <w:rsid w:val="00393761"/>
    <w:rsid w:val="003940A8"/>
    <w:rsid w:val="0039679F"/>
    <w:rsid w:val="0039738A"/>
    <w:rsid w:val="00397D18"/>
    <w:rsid w:val="003A1B26"/>
    <w:rsid w:val="003A1B36"/>
    <w:rsid w:val="003A244F"/>
    <w:rsid w:val="003B0074"/>
    <w:rsid w:val="003B1454"/>
    <w:rsid w:val="003B18B6"/>
    <w:rsid w:val="003B1E60"/>
    <w:rsid w:val="003B4C05"/>
    <w:rsid w:val="003B4F3E"/>
    <w:rsid w:val="003C1188"/>
    <w:rsid w:val="003C16FB"/>
    <w:rsid w:val="003C4469"/>
    <w:rsid w:val="003C49DF"/>
    <w:rsid w:val="003C532C"/>
    <w:rsid w:val="003C59E0"/>
    <w:rsid w:val="003C6632"/>
    <w:rsid w:val="003C6C8D"/>
    <w:rsid w:val="003D0DDB"/>
    <w:rsid w:val="003D0E8F"/>
    <w:rsid w:val="003D1725"/>
    <w:rsid w:val="003D42FC"/>
    <w:rsid w:val="003D4F95"/>
    <w:rsid w:val="003D5F42"/>
    <w:rsid w:val="003D60A9"/>
    <w:rsid w:val="003E3AB7"/>
    <w:rsid w:val="003E4E50"/>
    <w:rsid w:val="003F1328"/>
    <w:rsid w:val="003F2BCB"/>
    <w:rsid w:val="003F3271"/>
    <w:rsid w:val="003F4C97"/>
    <w:rsid w:val="003F7852"/>
    <w:rsid w:val="003F7FE6"/>
    <w:rsid w:val="00400193"/>
    <w:rsid w:val="004018BB"/>
    <w:rsid w:val="004115DE"/>
    <w:rsid w:val="00413966"/>
    <w:rsid w:val="0041767A"/>
    <w:rsid w:val="004212E7"/>
    <w:rsid w:val="0042446D"/>
    <w:rsid w:val="00425E8F"/>
    <w:rsid w:val="00427BF8"/>
    <w:rsid w:val="00431C02"/>
    <w:rsid w:val="0043422C"/>
    <w:rsid w:val="00435998"/>
    <w:rsid w:val="00437395"/>
    <w:rsid w:val="00442A25"/>
    <w:rsid w:val="00442C3C"/>
    <w:rsid w:val="00443A79"/>
    <w:rsid w:val="00444219"/>
    <w:rsid w:val="004445F9"/>
    <w:rsid w:val="00445047"/>
    <w:rsid w:val="00452E19"/>
    <w:rsid w:val="00455DD6"/>
    <w:rsid w:val="004625F2"/>
    <w:rsid w:val="00463050"/>
    <w:rsid w:val="0046362D"/>
    <w:rsid w:val="00463E39"/>
    <w:rsid w:val="004656FB"/>
    <w:rsid w:val="004657FC"/>
    <w:rsid w:val="00465837"/>
    <w:rsid w:val="00471E99"/>
    <w:rsid w:val="004733F6"/>
    <w:rsid w:val="00473616"/>
    <w:rsid w:val="0047392F"/>
    <w:rsid w:val="00474CFC"/>
    <w:rsid w:val="00474E69"/>
    <w:rsid w:val="004761DA"/>
    <w:rsid w:val="00476766"/>
    <w:rsid w:val="00481EFB"/>
    <w:rsid w:val="00484DC2"/>
    <w:rsid w:val="004861F3"/>
    <w:rsid w:val="0048679D"/>
    <w:rsid w:val="00487523"/>
    <w:rsid w:val="004903E0"/>
    <w:rsid w:val="0049199E"/>
    <w:rsid w:val="00493FB8"/>
    <w:rsid w:val="00494E6B"/>
    <w:rsid w:val="0049621B"/>
    <w:rsid w:val="004A0097"/>
    <w:rsid w:val="004A26F1"/>
    <w:rsid w:val="004A39CB"/>
    <w:rsid w:val="004A480E"/>
    <w:rsid w:val="004A57ED"/>
    <w:rsid w:val="004B14DA"/>
    <w:rsid w:val="004B26B9"/>
    <w:rsid w:val="004B410A"/>
    <w:rsid w:val="004B6E47"/>
    <w:rsid w:val="004C16A7"/>
    <w:rsid w:val="004C1895"/>
    <w:rsid w:val="004C1E6E"/>
    <w:rsid w:val="004C407C"/>
    <w:rsid w:val="004C5090"/>
    <w:rsid w:val="004C60A2"/>
    <w:rsid w:val="004C620B"/>
    <w:rsid w:val="004C6D40"/>
    <w:rsid w:val="004C7F1E"/>
    <w:rsid w:val="004D07FE"/>
    <w:rsid w:val="004D2808"/>
    <w:rsid w:val="004E290B"/>
    <w:rsid w:val="004E3A46"/>
    <w:rsid w:val="004E3A71"/>
    <w:rsid w:val="004F0C3C"/>
    <w:rsid w:val="004F1215"/>
    <w:rsid w:val="004F63FC"/>
    <w:rsid w:val="004F6D24"/>
    <w:rsid w:val="00500A9C"/>
    <w:rsid w:val="00501E5C"/>
    <w:rsid w:val="00505725"/>
    <w:rsid w:val="00505A92"/>
    <w:rsid w:val="00507E43"/>
    <w:rsid w:val="00511FEC"/>
    <w:rsid w:val="00514136"/>
    <w:rsid w:val="005203F1"/>
    <w:rsid w:val="00521BC3"/>
    <w:rsid w:val="005248F0"/>
    <w:rsid w:val="00531555"/>
    <w:rsid w:val="005325A1"/>
    <w:rsid w:val="005326F4"/>
    <w:rsid w:val="00533632"/>
    <w:rsid w:val="00534789"/>
    <w:rsid w:val="005358DD"/>
    <w:rsid w:val="00541E6E"/>
    <w:rsid w:val="0054251F"/>
    <w:rsid w:val="005430E6"/>
    <w:rsid w:val="0054451B"/>
    <w:rsid w:val="005447A3"/>
    <w:rsid w:val="00550D52"/>
    <w:rsid w:val="0055129F"/>
    <w:rsid w:val="005520D8"/>
    <w:rsid w:val="00552169"/>
    <w:rsid w:val="00554678"/>
    <w:rsid w:val="005558BF"/>
    <w:rsid w:val="00556103"/>
    <w:rsid w:val="00556CF1"/>
    <w:rsid w:val="0056071F"/>
    <w:rsid w:val="005660F8"/>
    <w:rsid w:val="005661F0"/>
    <w:rsid w:val="00567CD6"/>
    <w:rsid w:val="00574A5E"/>
    <w:rsid w:val="00574FB9"/>
    <w:rsid w:val="005762A7"/>
    <w:rsid w:val="0058260F"/>
    <w:rsid w:val="00584E2A"/>
    <w:rsid w:val="005916D7"/>
    <w:rsid w:val="00594DE2"/>
    <w:rsid w:val="00594EFC"/>
    <w:rsid w:val="005968A1"/>
    <w:rsid w:val="00597F33"/>
    <w:rsid w:val="005A0380"/>
    <w:rsid w:val="005A0CAC"/>
    <w:rsid w:val="005A698C"/>
    <w:rsid w:val="005B0866"/>
    <w:rsid w:val="005B190E"/>
    <w:rsid w:val="005C0AE4"/>
    <w:rsid w:val="005C0CF9"/>
    <w:rsid w:val="005C3B9C"/>
    <w:rsid w:val="005C7D9F"/>
    <w:rsid w:val="005D2EA4"/>
    <w:rsid w:val="005D4AA9"/>
    <w:rsid w:val="005D70AA"/>
    <w:rsid w:val="005E0644"/>
    <w:rsid w:val="005E0799"/>
    <w:rsid w:val="005E24D3"/>
    <w:rsid w:val="005E4829"/>
    <w:rsid w:val="005E4DE0"/>
    <w:rsid w:val="005E63CD"/>
    <w:rsid w:val="005F39E1"/>
    <w:rsid w:val="005F5A80"/>
    <w:rsid w:val="005F5AF2"/>
    <w:rsid w:val="00603974"/>
    <w:rsid w:val="00603AB4"/>
    <w:rsid w:val="006044FF"/>
    <w:rsid w:val="0060659E"/>
    <w:rsid w:val="0060693B"/>
    <w:rsid w:val="0060768D"/>
    <w:rsid w:val="00607CC5"/>
    <w:rsid w:val="0061119E"/>
    <w:rsid w:val="0061143C"/>
    <w:rsid w:val="00612980"/>
    <w:rsid w:val="00614204"/>
    <w:rsid w:val="00616522"/>
    <w:rsid w:val="006175E6"/>
    <w:rsid w:val="0062227E"/>
    <w:rsid w:val="00624EC2"/>
    <w:rsid w:val="006264AA"/>
    <w:rsid w:val="006314D9"/>
    <w:rsid w:val="006324F0"/>
    <w:rsid w:val="00633014"/>
    <w:rsid w:val="00633F13"/>
    <w:rsid w:val="0063437B"/>
    <w:rsid w:val="00636746"/>
    <w:rsid w:val="00640865"/>
    <w:rsid w:val="00640E27"/>
    <w:rsid w:val="00645D60"/>
    <w:rsid w:val="00647C56"/>
    <w:rsid w:val="006556AD"/>
    <w:rsid w:val="0066647B"/>
    <w:rsid w:val="006673CA"/>
    <w:rsid w:val="006714EA"/>
    <w:rsid w:val="00672F07"/>
    <w:rsid w:val="00673C26"/>
    <w:rsid w:val="006753ED"/>
    <w:rsid w:val="00675EEA"/>
    <w:rsid w:val="006811B5"/>
    <w:rsid w:val="00681254"/>
    <w:rsid w:val="006812AF"/>
    <w:rsid w:val="00681702"/>
    <w:rsid w:val="006819E7"/>
    <w:rsid w:val="0068327D"/>
    <w:rsid w:val="00687A52"/>
    <w:rsid w:val="00687CEC"/>
    <w:rsid w:val="0069292B"/>
    <w:rsid w:val="00694AF0"/>
    <w:rsid w:val="006973F5"/>
    <w:rsid w:val="00697C58"/>
    <w:rsid w:val="006A4686"/>
    <w:rsid w:val="006B0E9E"/>
    <w:rsid w:val="006B1494"/>
    <w:rsid w:val="006B48BB"/>
    <w:rsid w:val="006B5AE4"/>
    <w:rsid w:val="006B73D3"/>
    <w:rsid w:val="006C2C0B"/>
    <w:rsid w:val="006C47A8"/>
    <w:rsid w:val="006C51FA"/>
    <w:rsid w:val="006C6E81"/>
    <w:rsid w:val="006D140F"/>
    <w:rsid w:val="006D1507"/>
    <w:rsid w:val="006D4054"/>
    <w:rsid w:val="006D4D53"/>
    <w:rsid w:val="006D61DD"/>
    <w:rsid w:val="006E02EC"/>
    <w:rsid w:val="006E6FBE"/>
    <w:rsid w:val="006E7093"/>
    <w:rsid w:val="006F2A68"/>
    <w:rsid w:val="006F4F29"/>
    <w:rsid w:val="006F55B8"/>
    <w:rsid w:val="006F5ACF"/>
    <w:rsid w:val="006F63B9"/>
    <w:rsid w:val="007010FE"/>
    <w:rsid w:val="00706627"/>
    <w:rsid w:val="00706AB6"/>
    <w:rsid w:val="007077A2"/>
    <w:rsid w:val="0070790A"/>
    <w:rsid w:val="00712574"/>
    <w:rsid w:val="00713C7B"/>
    <w:rsid w:val="0071724F"/>
    <w:rsid w:val="007211B1"/>
    <w:rsid w:val="00722AF5"/>
    <w:rsid w:val="00724080"/>
    <w:rsid w:val="00724572"/>
    <w:rsid w:val="0073223E"/>
    <w:rsid w:val="00732B91"/>
    <w:rsid w:val="00746187"/>
    <w:rsid w:val="00747CFA"/>
    <w:rsid w:val="00751774"/>
    <w:rsid w:val="0076254F"/>
    <w:rsid w:val="0076343E"/>
    <w:rsid w:val="00763CE1"/>
    <w:rsid w:val="007701B1"/>
    <w:rsid w:val="007702C3"/>
    <w:rsid w:val="00771573"/>
    <w:rsid w:val="00772C52"/>
    <w:rsid w:val="00773062"/>
    <w:rsid w:val="007761CA"/>
    <w:rsid w:val="00777F63"/>
    <w:rsid w:val="00777FFB"/>
    <w:rsid w:val="007801F5"/>
    <w:rsid w:val="0078290F"/>
    <w:rsid w:val="00783931"/>
    <w:rsid w:val="00783CA4"/>
    <w:rsid w:val="0078428E"/>
    <w:rsid w:val="007842FB"/>
    <w:rsid w:val="00785CAE"/>
    <w:rsid w:val="007860BC"/>
    <w:rsid w:val="00786124"/>
    <w:rsid w:val="0078760F"/>
    <w:rsid w:val="00787D07"/>
    <w:rsid w:val="00787EFA"/>
    <w:rsid w:val="007902F5"/>
    <w:rsid w:val="007903EE"/>
    <w:rsid w:val="00793327"/>
    <w:rsid w:val="0079514B"/>
    <w:rsid w:val="007968FA"/>
    <w:rsid w:val="007969EB"/>
    <w:rsid w:val="00796E7F"/>
    <w:rsid w:val="007A0565"/>
    <w:rsid w:val="007A1A45"/>
    <w:rsid w:val="007A260D"/>
    <w:rsid w:val="007A2DC1"/>
    <w:rsid w:val="007B1AEB"/>
    <w:rsid w:val="007B1FBF"/>
    <w:rsid w:val="007B47EA"/>
    <w:rsid w:val="007B7104"/>
    <w:rsid w:val="007C47A7"/>
    <w:rsid w:val="007C5ACB"/>
    <w:rsid w:val="007C7FFB"/>
    <w:rsid w:val="007D215E"/>
    <w:rsid w:val="007D298F"/>
    <w:rsid w:val="007D3319"/>
    <w:rsid w:val="007D335D"/>
    <w:rsid w:val="007E0D03"/>
    <w:rsid w:val="007E25B6"/>
    <w:rsid w:val="007E25BE"/>
    <w:rsid w:val="007E3314"/>
    <w:rsid w:val="007E4B03"/>
    <w:rsid w:val="007F1BC0"/>
    <w:rsid w:val="007F324B"/>
    <w:rsid w:val="007F592B"/>
    <w:rsid w:val="0080553C"/>
    <w:rsid w:val="008059FB"/>
    <w:rsid w:val="00805B46"/>
    <w:rsid w:val="00807C6D"/>
    <w:rsid w:val="00813037"/>
    <w:rsid w:val="00815299"/>
    <w:rsid w:val="00820E62"/>
    <w:rsid w:val="00825064"/>
    <w:rsid w:val="00825DC2"/>
    <w:rsid w:val="00832F3A"/>
    <w:rsid w:val="0083355E"/>
    <w:rsid w:val="00834AD3"/>
    <w:rsid w:val="008357E0"/>
    <w:rsid w:val="00835F8C"/>
    <w:rsid w:val="00836AB5"/>
    <w:rsid w:val="008420C5"/>
    <w:rsid w:val="00843795"/>
    <w:rsid w:val="0084436C"/>
    <w:rsid w:val="0084773D"/>
    <w:rsid w:val="00847F0F"/>
    <w:rsid w:val="00850745"/>
    <w:rsid w:val="00850905"/>
    <w:rsid w:val="00852448"/>
    <w:rsid w:val="00857EDD"/>
    <w:rsid w:val="008615A4"/>
    <w:rsid w:val="00861650"/>
    <w:rsid w:val="008621DA"/>
    <w:rsid w:val="0086541C"/>
    <w:rsid w:val="00865F27"/>
    <w:rsid w:val="00870399"/>
    <w:rsid w:val="008710F6"/>
    <w:rsid w:val="00872AAB"/>
    <w:rsid w:val="008803D5"/>
    <w:rsid w:val="00881C2B"/>
    <w:rsid w:val="0088258A"/>
    <w:rsid w:val="00884C82"/>
    <w:rsid w:val="00886332"/>
    <w:rsid w:val="008867CB"/>
    <w:rsid w:val="00886BE8"/>
    <w:rsid w:val="0089062F"/>
    <w:rsid w:val="008926F4"/>
    <w:rsid w:val="008A0F7D"/>
    <w:rsid w:val="008A26D9"/>
    <w:rsid w:val="008A4101"/>
    <w:rsid w:val="008A5757"/>
    <w:rsid w:val="008A6953"/>
    <w:rsid w:val="008B385C"/>
    <w:rsid w:val="008B493F"/>
    <w:rsid w:val="008B744A"/>
    <w:rsid w:val="008C0C29"/>
    <w:rsid w:val="008C25A5"/>
    <w:rsid w:val="008C2E19"/>
    <w:rsid w:val="008C3579"/>
    <w:rsid w:val="008D0448"/>
    <w:rsid w:val="008D0864"/>
    <w:rsid w:val="008D30A8"/>
    <w:rsid w:val="008D6C4E"/>
    <w:rsid w:val="008E11CB"/>
    <w:rsid w:val="008E198E"/>
    <w:rsid w:val="008E1CCD"/>
    <w:rsid w:val="008E6601"/>
    <w:rsid w:val="008E6E2E"/>
    <w:rsid w:val="008E75C3"/>
    <w:rsid w:val="008E7A20"/>
    <w:rsid w:val="008F1FC8"/>
    <w:rsid w:val="008F2B24"/>
    <w:rsid w:val="008F3638"/>
    <w:rsid w:val="008F3B0B"/>
    <w:rsid w:val="008F4441"/>
    <w:rsid w:val="008F5EA5"/>
    <w:rsid w:val="008F6F31"/>
    <w:rsid w:val="008F74DF"/>
    <w:rsid w:val="008F7774"/>
    <w:rsid w:val="0090601B"/>
    <w:rsid w:val="00906E46"/>
    <w:rsid w:val="009127BA"/>
    <w:rsid w:val="00912C36"/>
    <w:rsid w:val="00913348"/>
    <w:rsid w:val="00915AA6"/>
    <w:rsid w:val="00920A18"/>
    <w:rsid w:val="00920BF8"/>
    <w:rsid w:val="009227A6"/>
    <w:rsid w:val="0092608E"/>
    <w:rsid w:val="00931C2B"/>
    <w:rsid w:val="0093232E"/>
    <w:rsid w:val="00932748"/>
    <w:rsid w:val="00933EC1"/>
    <w:rsid w:val="0094413F"/>
    <w:rsid w:val="009458C7"/>
    <w:rsid w:val="009462D4"/>
    <w:rsid w:val="00946F71"/>
    <w:rsid w:val="00950F3F"/>
    <w:rsid w:val="009525E4"/>
    <w:rsid w:val="009530DB"/>
    <w:rsid w:val="00953162"/>
    <w:rsid w:val="00953676"/>
    <w:rsid w:val="00955079"/>
    <w:rsid w:val="0095512A"/>
    <w:rsid w:val="00960E99"/>
    <w:rsid w:val="00961CBD"/>
    <w:rsid w:val="00963DE5"/>
    <w:rsid w:val="00967B47"/>
    <w:rsid w:val="009705EE"/>
    <w:rsid w:val="00972360"/>
    <w:rsid w:val="009729C1"/>
    <w:rsid w:val="00977927"/>
    <w:rsid w:val="0098135C"/>
    <w:rsid w:val="0098156A"/>
    <w:rsid w:val="00982727"/>
    <w:rsid w:val="00983CEA"/>
    <w:rsid w:val="00983F14"/>
    <w:rsid w:val="00984043"/>
    <w:rsid w:val="00985AE0"/>
    <w:rsid w:val="00991BAC"/>
    <w:rsid w:val="0099400C"/>
    <w:rsid w:val="009940F2"/>
    <w:rsid w:val="00994A36"/>
    <w:rsid w:val="00996123"/>
    <w:rsid w:val="009A004A"/>
    <w:rsid w:val="009A1DF4"/>
    <w:rsid w:val="009A4164"/>
    <w:rsid w:val="009A6DE6"/>
    <w:rsid w:val="009A6EA0"/>
    <w:rsid w:val="009A72C1"/>
    <w:rsid w:val="009B39A7"/>
    <w:rsid w:val="009C0463"/>
    <w:rsid w:val="009C1335"/>
    <w:rsid w:val="009C1AB2"/>
    <w:rsid w:val="009C41E1"/>
    <w:rsid w:val="009C4398"/>
    <w:rsid w:val="009C43F9"/>
    <w:rsid w:val="009C5FF8"/>
    <w:rsid w:val="009C7251"/>
    <w:rsid w:val="009C7B49"/>
    <w:rsid w:val="009D3E81"/>
    <w:rsid w:val="009D44AC"/>
    <w:rsid w:val="009D64FA"/>
    <w:rsid w:val="009E2E91"/>
    <w:rsid w:val="009E356D"/>
    <w:rsid w:val="009E5898"/>
    <w:rsid w:val="009E5F4E"/>
    <w:rsid w:val="009F1A35"/>
    <w:rsid w:val="009F47D9"/>
    <w:rsid w:val="009F4DEB"/>
    <w:rsid w:val="009F5750"/>
    <w:rsid w:val="009F7636"/>
    <w:rsid w:val="009F7D74"/>
    <w:rsid w:val="00A00F56"/>
    <w:rsid w:val="00A01C36"/>
    <w:rsid w:val="00A0276C"/>
    <w:rsid w:val="00A07544"/>
    <w:rsid w:val="00A076B9"/>
    <w:rsid w:val="00A11B12"/>
    <w:rsid w:val="00A12EFA"/>
    <w:rsid w:val="00A13733"/>
    <w:rsid w:val="00A139F5"/>
    <w:rsid w:val="00A15883"/>
    <w:rsid w:val="00A169F0"/>
    <w:rsid w:val="00A21906"/>
    <w:rsid w:val="00A24924"/>
    <w:rsid w:val="00A3283E"/>
    <w:rsid w:val="00A365F4"/>
    <w:rsid w:val="00A37DA6"/>
    <w:rsid w:val="00A420A1"/>
    <w:rsid w:val="00A430F9"/>
    <w:rsid w:val="00A45D6A"/>
    <w:rsid w:val="00A47D80"/>
    <w:rsid w:val="00A508A8"/>
    <w:rsid w:val="00A51C14"/>
    <w:rsid w:val="00A53132"/>
    <w:rsid w:val="00A545EA"/>
    <w:rsid w:val="00A54904"/>
    <w:rsid w:val="00A54CCB"/>
    <w:rsid w:val="00A563F2"/>
    <w:rsid w:val="00A566E8"/>
    <w:rsid w:val="00A56B7C"/>
    <w:rsid w:val="00A612C6"/>
    <w:rsid w:val="00A62B57"/>
    <w:rsid w:val="00A7024D"/>
    <w:rsid w:val="00A724C8"/>
    <w:rsid w:val="00A72C79"/>
    <w:rsid w:val="00A810F9"/>
    <w:rsid w:val="00A833BA"/>
    <w:rsid w:val="00A83EA9"/>
    <w:rsid w:val="00A86ECC"/>
    <w:rsid w:val="00A86FCC"/>
    <w:rsid w:val="00AA0AB7"/>
    <w:rsid w:val="00AA228F"/>
    <w:rsid w:val="00AA2CBD"/>
    <w:rsid w:val="00AA38E0"/>
    <w:rsid w:val="00AA3C64"/>
    <w:rsid w:val="00AA710D"/>
    <w:rsid w:val="00AA7E3B"/>
    <w:rsid w:val="00AB07ED"/>
    <w:rsid w:val="00AB5DB7"/>
    <w:rsid w:val="00AB5DFF"/>
    <w:rsid w:val="00AB6D25"/>
    <w:rsid w:val="00AB7A72"/>
    <w:rsid w:val="00AC0381"/>
    <w:rsid w:val="00AC133B"/>
    <w:rsid w:val="00AC3FCE"/>
    <w:rsid w:val="00AC550E"/>
    <w:rsid w:val="00AD042D"/>
    <w:rsid w:val="00AD3D3E"/>
    <w:rsid w:val="00AD4D1F"/>
    <w:rsid w:val="00AD54FB"/>
    <w:rsid w:val="00AD7925"/>
    <w:rsid w:val="00AE2D4B"/>
    <w:rsid w:val="00AE3D4B"/>
    <w:rsid w:val="00AE49E3"/>
    <w:rsid w:val="00AE4F99"/>
    <w:rsid w:val="00AE7FF0"/>
    <w:rsid w:val="00AF137C"/>
    <w:rsid w:val="00AF16C9"/>
    <w:rsid w:val="00AF1710"/>
    <w:rsid w:val="00AF6663"/>
    <w:rsid w:val="00AF6ADC"/>
    <w:rsid w:val="00AF6D46"/>
    <w:rsid w:val="00AF73E9"/>
    <w:rsid w:val="00B02C3C"/>
    <w:rsid w:val="00B032C1"/>
    <w:rsid w:val="00B061EC"/>
    <w:rsid w:val="00B06899"/>
    <w:rsid w:val="00B073E7"/>
    <w:rsid w:val="00B12FF6"/>
    <w:rsid w:val="00B1321E"/>
    <w:rsid w:val="00B13375"/>
    <w:rsid w:val="00B14952"/>
    <w:rsid w:val="00B15DD2"/>
    <w:rsid w:val="00B20433"/>
    <w:rsid w:val="00B22341"/>
    <w:rsid w:val="00B23BC1"/>
    <w:rsid w:val="00B245B7"/>
    <w:rsid w:val="00B2600C"/>
    <w:rsid w:val="00B31BD3"/>
    <w:rsid w:val="00B31E5A"/>
    <w:rsid w:val="00B33564"/>
    <w:rsid w:val="00B33A97"/>
    <w:rsid w:val="00B364D1"/>
    <w:rsid w:val="00B3663C"/>
    <w:rsid w:val="00B41561"/>
    <w:rsid w:val="00B41FEB"/>
    <w:rsid w:val="00B43673"/>
    <w:rsid w:val="00B5343D"/>
    <w:rsid w:val="00B5673B"/>
    <w:rsid w:val="00B575F3"/>
    <w:rsid w:val="00B61862"/>
    <w:rsid w:val="00B61CD9"/>
    <w:rsid w:val="00B653AB"/>
    <w:rsid w:val="00B65F9E"/>
    <w:rsid w:val="00B66882"/>
    <w:rsid w:val="00B66B19"/>
    <w:rsid w:val="00B66ED4"/>
    <w:rsid w:val="00B73953"/>
    <w:rsid w:val="00B73D3F"/>
    <w:rsid w:val="00B753D0"/>
    <w:rsid w:val="00B76107"/>
    <w:rsid w:val="00B84429"/>
    <w:rsid w:val="00B84EB2"/>
    <w:rsid w:val="00B853B4"/>
    <w:rsid w:val="00B86B1F"/>
    <w:rsid w:val="00B914E9"/>
    <w:rsid w:val="00B956EE"/>
    <w:rsid w:val="00BA2BA1"/>
    <w:rsid w:val="00BA7F82"/>
    <w:rsid w:val="00BB00DF"/>
    <w:rsid w:val="00BB2DEE"/>
    <w:rsid w:val="00BB4F09"/>
    <w:rsid w:val="00BB6B23"/>
    <w:rsid w:val="00BC139F"/>
    <w:rsid w:val="00BC6B8B"/>
    <w:rsid w:val="00BC719E"/>
    <w:rsid w:val="00BD4E33"/>
    <w:rsid w:val="00BD745D"/>
    <w:rsid w:val="00BE4406"/>
    <w:rsid w:val="00BF6604"/>
    <w:rsid w:val="00BF7531"/>
    <w:rsid w:val="00C00237"/>
    <w:rsid w:val="00C00700"/>
    <w:rsid w:val="00C030DE"/>
    <w:rsid w:val="00C0707C"/>
    <w:rsid w:val="00C07890"/>
    <w:rsid w:val="00C15197"/>
    <w:rsid w:val="00C16355"/>
    <w:rsid w:val="00C16CF3"/>
    <w:rsid w:val="00C16D1B"/>
    <w:rsid w:val="00C16D28"/>
    <w:rsid w:val="00C21DA9"/>
    <w:rsid w:val="00C22105"/>
    <w:rsid w:val="00C244B6"/>
    <w:rsid w:val="00C300EB"/>
    <w:rsid w:val="00C314E3"/>
    <w:rsid w:val="00C346CB"/>
    <w:rsid w:val="00C3663A"/>
    <w:rsid w:val="00C3702F"/>
    <w:rsid w:val="00C377DB"/>
    <w:rsid w:val="00C408E4"/>
    <w:rsid w:val="00C4607F"/>
    <w:rsid w:val="00C46670"/>
    <w:rsid w:val="00C536A1"/>
    <w:rsid w:val="00C60621"/>
    <w:rsid w:val="00C6269F"/>
    <w:rsid w:val="00C6270C"/>
    <w:rsid w:val="00C640AC"/>
    <w:rsid w:val="00C64A37"/>
    <w:rsid w:val="00C66135"/>
    <w:rsid w:val="00C66C4B"/>
    <w:rsid w:val="00C7043D"/>
    <w:rsid w:val="00C7158E"/>
    <w:rsid w:val="00C7250B"/>
    <w:rsid w:val="00C7346B"/>
    <w:rsid w:val="00C747FA"/>
    <w:rsid w:val="00C77C0E"/>
    <w:rsid w:val="00C8780D"/>
    <w:rsid w:val="00C87CEA"/>
    <w:rsid w:val="00C91687"/>
    <w:rsid w:val="00C924A8"/>
    <w:rsid w:val="00C9265E"/>
    <w:rsid w:val="00C945FE"/>
    <w:rsid w:val="00C955FF"/>
    <w:rsid w:val="00C96FAA"/>
    <w:rsid w:val="00C977B6"/>
    <w:rsid w:val="00C97A04"/>
    <w:rsid w:val="00CA09D7"/>
    <w:rsid w:val="00CA107B"/>
    <w:rsid w:val="00CA2590"/>
    <w:rsid w:val="00CA413A"/>
    <w:rsid w:val="00CA484D"/>
    <w:rsid w:val="00CA4FB6"/>
    <w:rsid w:val="00CA5963"/>
    <w:rsid w:val="00CA5CB3"/>
    <w:rsid w:val="00CA6542"/>
    <w:rsid w:val="00CA7AC6"/>
    <w:rsid w:val="00CB045B"/>
    <w:rsid w:val="00CB4153"/>
    <w:rsid w:val="00CB41A7"/>
    <w:rsid w:val="00CB4BDE"/>
    <w:rsid w:val="00CB5306"/>
    <w:rsid w:val="00CB65BE"/>
    <w:rsid w:val="00CC018F"/>
    <w:rsid w:val="00CC3239"/>
    <w:rsid w:val="00CC739E"/>
    <w:rsid w:val="00CC756A"/>
    <w:rsid w:val="00CD0972"/>
    <w:rsid w:val="00CD58B7"/>
    <w:rsid w:val="00CD5AAD"/>
    <w:rsid w:val="00CE1F47"/>
    <w:rsid w:val="00CE312B"/>
    <w:rsid w:val="00CE379B"/>
    <w:rsid w:val="00CE5148"/>
    <w:rsid w:val="00CE52A1"/>
    <w:rsid w:val="00CF0E00"/>
    <w:rsid w:val="00CF1623"/>
    <w:rsid w:val="00CF296C"/>
    <w:rsid w:val="00CF2F7F"/>
    <w:rsid w:val="00CF3E20"/>
    <w:rsid w:val="00CF4099"/>
    <w:rsid w:val="00CF5F31"/>
    <w:rsid w:val="00D00796"/>
    <w:rsid w:val="00D02DB2"/>
    <w:rsid w:val="00D052D1"/>
    <w:rsid w:val="00D05C8A"/>
    <w:rsid w:val="00D061FE"/>
    <w:rsid w:val="00D07AA4"/>
    <w:rsid w:val="00D07CF2"/>
    <w:rsid w:val="00D10C94"/>
    <w:rsid w:val="00D1221E"/>
    <w:rsid w:val="00D15082"/>
    <w:rsid w:val="00D17EAE"/>
    <w:rsid w:val="00D212EF"/>
    <w:rsid w:val="00D24311"/>
    <w:rsid w:val="00D261A2"/>
    <w:rsid w:val="00D35EA7"/>
    <w:rsid w:val="00D424A9"/>
    <w:rsid w:val="00D42E14"/>
    <w:rsid w:val="00D4368E"/>
    <w:rsid w:val="00D525AC"/>
    <w:rsid w:val="00D52EEA"/>
    <w:rsid w:val="00D546C2"/>
    <w:rsid w:val="00D6001F"/>
    <w:rsid w:val="00D616D2"/>
    <w:rsid w:val="00D63A33"/>
    <w:rsid w:val="00D63B5F"/>
    <w:rsid w:val="00D64203"/>
    <w:rsid w:val="00D642EB"/>
    <w:rsid w:val="00D655F8"/>
    <w:rsid w:val="00D70EF7"/>
    <w:rsid w:val="00D759BC"/>
    <w:rsid w:val="00D75AE2"/>
    <w:rsid w:val="00D7635B"/>
    <w:rsid w:val="00D76810"/>
    <w:rsid w:val="00D7685F"/>
    <w:rsid w:val="00D80ADD"/>
    <w:rsid w:val="00D81566"/>
    <w:rsid w:val="00D832ED"/>
    <w:rsid w:val="00D83409"/>
    <w:rsid w:val="00D8397C"/>
    <w:rsid w:val="00D86BB4"/>
    <w:rsid w:val="00D909E7"/>
    <w:rsid w:val="00D933FE"/>
    <w:rsid w:val="00D94053"/>
    <w:rsid w:val="00D94EED"/>
    <w:rsid w:val="00D96026"/>
    <w:rsid w:val="00D96586"/>
    <w:rsid w:val="00D966B7"/>
    <w:rsid w:val="00D96F6E"/>
    <w:rsid w:val="00DA0F83"/>
    <w:rsid w:val="00DA4290"/>
    <w:rsid w:val="00DA7052"/>
    <w:rsid w:val="00DA7C1C"/>
    <w:rsid w:val="00DB01D8"/>
    <w:rsid w:val="00DB0F04"/>
    <w:rsid w:val="00DB147A"/>
    <w:rsid w:val="00DB1B7A"/>
    <w:rsid w:val="00DB5987"/>
    <w:rsid w:val="00DB746C"/>
    <w:rsid w:val="00DC0595"/>
    <w:rsid w:val="00DC1702"/>
    <w:rsid w:val="00DC3450"/>
    <w:rsid w:val="00DC3C40"/>
    <w:rsid w:val="00DC3F9C"/>
    <w:rsid w:val="00DC6708"/>
    <w:rsid w:val="00DC6F81"/>
    <w:rsid w:val="00DC754D"/>
    <w:rsid w:val="00DD249C"/>
    <w:rsid w:val="00DE3CDB"/>
    <w:rsid w:val="00DE3E64"/>
    <w:rsid w:val="00DE65ED"/>
    <w:rsid w:val="00DE7291"/>
    <w:rsid w:val="00DF02C7"/>
    <w:rsid w:val="00E013BF"/>
    <w:rsid w:val="00E01436"/>
    <w:rsid w:val="00E0210F"/>
    <w:rsid w:val="00E02C07"/>
    <w:rsid w:val="00E03D1A"/>
    <w:rsid w:val="00E045BD"/>
    <w:rsid w:val="00E0764A"/>
    <w:rsid w:val="00E1053B"/>
    <w:rsid w:val="00E11F26"/>
    <w:rsid w:val="00E13A7D"/>
    <w:rsid w:val="00E146A4"/>
    <w:rsid w:val="00E171C1"/>
    <w:rsid w:val="00E17B77"/>
    <w:rsid w:val="00E17CC4"/>
    <w:rsid w:val="00E22717"/>
    <w:rsid w:val="00E23103"/>
    <w:rsid w:val="00E23337"/>
    <w:rsid w:val="00E256A0"/>
    <w:rsid w:val="00E259EA"/>
    <w:rsid w:val="00E32061"/>
    <w:rsid w:val="00E33462"/>
    <w:rsid w:val="00E37DC4"/>
    <w:rsid w:val="00E40608"/>
    <w:rsid w:val="00E42FF9"/>
    <w:rsid w:val="00E4714C"/>
    <w:rsid w:val="00E47AA5"/>
    <w:rsid w:val="00E51AEB"/>
    <w:rsid w:val="00E520BA"/>
    <w:rsid w:val="00E522A7"/>
    <w:rsid w:val="00E54452"/>
    <w:rsid w:val="00E56027"/>
    <w:rsid w:val="00E5613E"/>
    <w:rsid w:val="00E60022"/>
    <w:rsid w:val="00E64255"/>
    <w:rsid w:val="00E643BA"/>
    <w:rsid w:val="00E6583F"/>
    <w:rsid w:val="00E664C5"/>
    <w:rsid w:val="00E671A2"/>
    <w:rsid w:val="00E70DD6"/>
    <w:rsid w:val="00E7140D"/>
    <w:rsid w:val="00E723B0"/>
    <w:rsid w:val="00E72A8A"/>
    <w:rsid w:val="00E737B1"/>
    <w:rsid w:val="00E75250"/>
    <w:rsid w:val="00E76D26"/>
    <w:rsid w:val="00E86665"/>
    <w:rsid w:val="00E875FA"/>
    <w:rsid w:val="00E87810"/>
    <w:rsid w:val="00E91DA5"/>
    <w:rsid w:val="00E9229E"/>
    <w:rsid w:val="00EA41E7"/>
    <w:rsid w:val="00EB119C"/>
    <w:rsid w:val="00EB1390"/>
    <w:rsid w:val="00EB2325"/>
    <w:rsid w:val="00EB2C71"/>
    <w:rsid w:val="00EB2CEA"/>
    <w:rsid w:val="00EB2DC0"/>
    <w:rsid w:val="00EB4340"/>
    <w:rsid w:val="00EB556D"/>
    <w:rsid w:val="00EB5A7D"/>
    <w:rsid w:val="00EB5BF5"/>
    <w:rsid w:val="00EC42F2"/>
    <w:rsid w:val="00EC4E70"/>
    <w:rsid w:val="00EC7E5A"/>
    <w:rsid w:val="00ED02AA"/>
    <w:rsid w:val="00ED2D68"/>
    <w:rsid w:val="00ED34D7"/>
    <w:rsid w:val="00ED55C0"/>
    <w:rsid w:val="00ED682B"/>
    <w:rsid w:val="00ED6AAB"/>
    <w:rsid w:val="00EE007E"/>
    <w:rsid w:val="00EE03E4"/>
    <w:rsid w:val="00EE19A1"/>
    <w:rsid w:val="00EE41D5"/>
    <w:rsid w:val="00EE4448"/>
    <w:rsid w:val="00EF1725"/>
    <w:rsid w:val="00EF37FF"/>
    <w:rsid w:val="00EF4BFD"/>
    <w:rsid w:val="00EF52F9"/>
    <w:rsid w:val="00EF79D6"/>
    <w:rsid w:val="00F037A4"/>
    <w:rsid w:val="00F051A9"/>
    <w:rsid w:val="00F05E54"/>
    <w:rsid w:val="00F07E1F"/>
    <w:rsid w:val="00F1121C"/>
    <w:rsid w:val="00F12A18"/>
    <w:rsid w:val="00F14994"/>
    <w:rsid w:val="00F1564A"/>
    <w:rsid w:val="00F235B1"/>
    <w:rsid w:val="00F24712"/>
    <w:rsid w:val="00F25EFC"/>
    <w:rsid w:val="00F26430"/>
    <w:rsid w:val="00F27C8F"/>
    <w:rsid w:val="00F30A2E"/>
    <w:rsid w:val="00F31EE3"/>
    <w:rsid w:val="00F3261F"/>
    <w:rsid w:val="00F3267C"/>
    <w:rsid w:val="00F32749"/>
    <w:rsid w:val="00F340AC"/>
    <w:rsid w:val="00F347B2"/>
    <w:rsid w:val="00F37172"/>
    <w:rsid w:val="00F445E8"/>
    <w:rsid w:val="00F4477E"/>
    <w:rsid w:val="00F52A0C"/>
    <w:rsid w:val="00F53594"/>
    <w:rsid w:val="00F545AF"/>
    <w:rsid w:val="00F55AB5"/>
    <w:rsid w:val="00F56A06"/>
    <w:rsid w:val="00F6193A"/>
    <w:rsid w:val="00F63583"/>
    <w:rsid w:val="00F640A4"/>
    <w:rsid w:val="00F65554"/>
    <w:rsid w:val="00F66246"/>
    <w:rsid w:val="00F670E8"/>
    <w:rsid w:val="00F67D8F"/>
    <w:rsid w:val="00F71F2F"/>
    <w:rsid w:val="00F750DA"/>
    <w:rsid w:val="00F802BE"/>
    <w:rsid w:val="00F83137"/>
    <w:rsid w:val="00F843C5"/>
    <w:rsid w:val="00F86024"/>
    <w:rsid w:val="00F8611A"/>
    <w:rsid w:val="00F86255"/>
    <w:rsid w:val="00F91AC1"/>
    <w:rsid w:val="00F92D4C"/>
    <w:rsid w:val="00F93261"/>
    <w:rsid w:val="00F94D3C"/>
    <w:rsid w:val="00F9517A"/>
    <w:rsid w:val="00FA47CA"/>
    <w:rsid w:val="00FA480B"/>
    <w:rsid w:val="00FA48C1"/>
    <w:rsid w:val="00FA5128"/>
    <w:rsid w:val="00FA699B"/>
    <w:rsid w:val="00FB1F6C"/>
    <w:rsid w:val="00FB3EAE"/>
    <w:rsid w:val="00FB409F"/>
    <w:rsid w:val="00FB42D4"/>
    <w:rsid w:val="00FB4C98"/>
    <w:rsid w:val="00FB56BC"/>
    <w:rsid w:val="00FB5906"/>
    <w:rsid w:val="00FB762F"/>
    <w:rsid w:val="00FC258A"/>
    <w:rsid w:val="00FC2AED"/>
    <w:rsid w:val="00FC4EF3"/>
    <w:rsid w:val="00FC790D"/>
    <w:rsid w:val="00FD0789"/>
    <w:rsid w:val="00FD5EA7"/>
    <w:rsid w:val="00FD7F63"/>
    <w:rsid w:val="00FE125F"/>
    <w:rsid w:val="00FE2106"/>
    <w:rsid w:val="00FE2C94"/>
    <w:rsid w:val="00FE7A5A"/>
    <w:rsid w:val="00FF30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bdm.stat.gov.pl/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topics/prices-trade/price-indices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other-studies/informations-on-socio-economic-situation/statistical-bulletin-no-62020,4,114.html" TargetMode="External"/><Relationship Id="rId28" Type="http://schemas.openxmlformats.org/officeDocument/2006/relationships/hyperlink" Target="http://stat.gov.pl/en/metainformations/glossary/terms-used-in-official-statistics/709,term.html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latest-statistical-news/news-releas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s://stat.gov.pl/en/topics/other-studies/informations-on-socio-economic-situation/statistical-bulletin-no-62020,4,114.html" TargetMode="External"/><Relationship Id="rId35" Type="http://schemas.openxmlformats.org/officeDocument/2006/relationships/hyperlink" Target="http://stat.gov.pl/en/metainformations/glossary/terms-used-in-official-statistics/709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Lipiec2020\Wykresy_serie%20od%202019r\WST07'20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Lipiec2020\Wykresy_serie%20od%202019r\WST07'20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Internet\Lipiec2020\WYKRESY_ANG_serie%20od%202019\WSTANG07'20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286295004669792E-2"/>
                  <c:y val="-2.912729658792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8030705440362189E-2"/>
                  <c:y val="-7.31569997412295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424047031309633E-2"/>
                  <c:y val="-3.853979520165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825203050261827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9083239357503688E-2"/>
                  <c:y val="-4.452423698384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107354083474206E-2"/>
                  <c:y val="-4.4841269841269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3318088281718014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206409153734469E-2"/>
                  <c:y val="-3.9736778863144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1228725174693441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892644750439762E-2"/>
                  <c:y val="-4.0933572710951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0006569000369934E-2"/>
                  <c:y val="-5.7155373183985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53790547472006E-2"/>
                  <c:y val="-5.7155373183985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08706161364246E-2"/>
                  <c:y val="-4.087301587301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1438561447592316E-2"/>
                  <c:y val="-4.5013693940431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0178553824319838E-2"/>
                  <c:y val="-4.3661971830986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903136332195793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2886824072116856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9313554724265393E-2"/>
                  <c:y val="-4.0942028985507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1'!$B$33:$B$51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'Wykres 1'!$C$33:$C$51</c:f>
              <c:numCache>
                <c:formatCode>General</c:formatCode>
                <c:ptCount val="19"/>
                <c:pt idx="0">
                  <c:v>0.2</c:v>
                </c:pt>
                <c:pt idx="1">
                  <c:v>0.1</c:v>
                </c:pt>
                <c:pt idx="2">
                  <c:v>0.3</c:v>
                </c:pt>
                <c:pt idx="3">
                  <c:v>0.4</c:v>
                </c:pt>
                <c:pt idx="4">
                  <c:v>0.3</c:v>
                </c:pt>
                <c:pt idx="5">
                  <c:v>0.3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0.3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0.3</c:v>
                </c:pt>
                <c:pt idx="14">
                  <c:v>0.2</c:v>
                </c:pt>
                <c:pt idx="15">
                  <c:v>0.2</c:v>
                </c:pt>
                <c:pt idx="16">
                  <c:v>0.2</c:v>
                </c:pt>
                <c:pt idx="17">
                  <c:v>0.2</c:v>
                </c:pt>
                <c:pt idx="18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83597760"/>
        <c:axId val="-1383607552"/>
      </c:lineChart>
      <c:catAx>
        <c:axId val="-138359776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83607552"/>
        <c:crosses val="autoZero"/>
        <c:auto val="0"/>
        <c:lblAlgn val="ctr"/>
        <c:lblOffset val="12"/>
        <c:noMultiLvlLbl val="0"/>
      </c:catAx>
      <c:valAx>
        <c:axId val="-1383607552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83597760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41883139464964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33582502965921E-2"/>
                  <c:y val="-5.6909186355834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61535916229137E-2"/>
                      <c:h val="7.772540887905025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1173810582698715E-2"/>
                  <c:y val="-5.4355093651429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063604403222321E-2"/>
                  <c:y val="-5.0102939528394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8814625300735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42332807017611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908754991129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229403212532233E-2"/>
                  <c:y val="-4.4713230057784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4889102975181281E-2"/>
                  <c:y val="-3.938315539739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8105006003152945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2924630237508894E-2"/>
                  <c:y val="-3.9534471002512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2'!$B$34:$B$52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'Wykres 2'!$C$34:$C$52</c:f>
              <c:numCache>
                <c:formatCode>General</c:formatCode>
                <c:ptCount val="19"/>
                <c:pt idx="0">
                  <c:v>3.6</c:v>
                </c:pt>
                <c:pt idx="1">
                  <c:v>3.7</c:v>
                </c:pt>
                <c:pt idx="2">
                  <c:v>3.7</c:v>
                </c:pt>
                <c:pt idx="3">
                  <c:v>3.8</c:v>
                </c:pt>
                <c:pt idx="4">
                  <c:v>3.7</c:v>
                </c:pt>
                <c:pt idx="5">
                  <c:v>3.7</c:v>
                </c:pt>
                <c:pt idx="6">
                  <c:v>3.5</c:v>
                </c:pt>
                <c:pt idx="7">
                  <c:v>3.5</c:v>
                </c:pt>
                <c:pt idx="8">
                  <c:v>3.3</c:v>
                </c:pt>
                <c:pt idx="9">
                  <c:v>3.2</c:v>
                </c:pt>
                <c:pt idx="10" formatCode="0.0">
                  <c:v>3</c:v>
                </c:pt>
                <c:pt idx="11" formatCode="0.0">
                  <c:v>2.9</c:v>
                </c:pt>
                <c:pt idx="12" formatCode="0.0">
                  <c:v>3</c:v>
                </c:pt>
                <c:pt idx="13" formatCode="0.0">
                  <c:v>3.1</c:v>
                </c:pt>
                <c:pt idx="14" formatCode="0.0">
                  <c:v>3</c:v>
                </c:pt>
                <c:pt idx="15" formatCode="0.0">
                  <c:v>2.8</c:v>
                </c:pt>
                <c:pt idx="16" formatCode="0.0">
                  <c:v>2.6</c:v>
                </c:pt>
                <c:pt idx="17" formatCode="0.0">
                  <c:v>2.5</c:v>
                </c:pt>
                <c:pt idx="18" formatCode="0.0">
                  <c:v>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83602656"/>
        <c:axId val="-1383596672"/>
      </c:lineChart>
      <c:catAx>
        <c:axId val="-138360265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83596672"/>
        <c:crossesAt val="0"/>
        <c:auto val="0"/>
        <c:lblAlgn val="ctr"/>
        <c:lblOffset val="12"/>
        <c:tickLblSkip val="1"/>
        <c:noMultiLvlLbl val="0"/>
      </c:catAx>
      <c:valAx>
        <c:axId val="-1383596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8360265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8"/>
              <c:layout>
                <c:manualLayout>
                  <c:x val="8.4153091871325678E-2"/>
                  <c:y val="2.5422825118628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wyk4_bud!$A$8:$B$26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wyk4_bud!$C$8:$C$26</c:f>
              <c:numCache>
                <c:formatCode>0.0</c:formatCode>
                <c:ptCount val="19"/>
                <c:pt idx="0">
                  <c:v>0.2</c:v>
                </c:pt>
                <c:pt idx="1">
                  <c:v>0.3</c:v>
                </c:pt>
                <c:pt idx="2">
                  <c:v>0.6</c:v>
                </c:pt>
                <c:pt idx="3">
                  <c:v>1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</c:v>
                </c:pt>
                <c:pt idx="8">
                  <c:v>2.2000000000000002</c:v>
                </c:pt>
                <c:pt idx="9">
                  <c:v>2.5</c:v>
                </c:pt>
                <c:pt idx="10">
                  <c:v>2.7</c:v>
                </c:pt>
                <c:pt idx="11">
                  <c:v>2.9</c:v>
                </c:pt>
                <c:pt idx="12">
                  <c:v>3.2</c:v>
                </c:pt>
                <c:pt idx="13">
                  <c:v>3.5</c:v>
                </c:pt>
                <c:pt idx="14">
                  <c:v>3.7</c:v>
                </c:pt>
                <c:pt idx="15">
                  <c:v>3.9</c:v>
                </c:pt>
                <c:pt idx="16">
                  <c:v>4.0999999999999996</c:v>
                </c:pt>
                <c:pt idx="17" formatCode="General">
                  <c:v>4.3</c:v>
                </c:pt>
                <c:pt idx="18" formatCode="General">
                  <c:v>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83593952"/>
        <c:axId val="-1457461344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4.887687663065899E-2"/>
                  <c:y val="-2.0159218582075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wyk4_bud!$B$8:$B$26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wyk4_bud!$D$8:$D$26</c:f>
              <c:numCache>
                <c:formatCode>0.0</c:formatCode>
                <c:ptCount val="19"/>
                <c:pt idx="0">
                  <c:v>0.2</c:v>
                </c:pt>
                <c:pt idx="1">
                  <c:v>0.4</c:v>
                </c:pt>
                <c:pt idx="2">
                  <c:v>0.7</c:v>
                </c:pt>
                <c:pt idx="3">
                  <c:v>1.1000000000000001</c:v>
                </c:pt>
                <c:pt idx="4">
                  <c:v>1.5</c:v>
                </c:pt>
                <c:pt idx="5">
                  <c:v>1.8</c:v>
                </c:pt>
                <c:pt idx="6">
                  <c:v>2.1</c:v>
                </c:pt>
                <c:pt idx="7">
                  <c:v>2.4</c:v>
                </c:pt>
                <c:pt idx="8">
                  <c:v>2.7</c:v>
                </c:pt>
                <c:pt idx="9">
                  <c:v>3</c:v>
                </c:pt>
                <c:pt idx="10">
                  <c:v>3.2</c:v>
                </c:pt>
                <c:pt idx="11">
                  <c:v>3.4</c:v>
                </c:pt>
                <c:pt idx="12">
                  <c:v>3.7</c:v>
                </c:pt>
                <c:pt idx="13">
                  <c:v>4</c:v>
                </c:pt>
                <c:pt idx="14">
                  <c:v>4.2</c:v>
                </c:pt>
                <c:pt idx="15">
                  <c:v>4.4000000000000004</c:v>
                </c:pt>
                <c:pt idx="16">
                  <c:v>4.5999999999999996</c:v>
                </c:pt>
                <c:pt idx="17">
                  <c:v>4.8</c:v>
                </c:pt>
                <c:pt idx="18">
                  <c:v>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4.6397640235468891E-2"/>
                  <c:y val="-3.8915562614198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wyk4_bud!$B$8:$B$26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wyk4_bud!$E$8:$E$26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0.2</c:v>
                </c:pt>
                <c:pt idx="2">
                  <c:v>0.5</c:v>
                </c:pt>
                <c:pt idx="3">
                  <c:v>0.9</c:v>
                </c:pt>
                <c:pt idx="4">
                  <c:v>1.2</c:v>
                </c:pt>
                <c:pt idx="5">
                  <c:v>1.5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2.4</c:v>
                </c:pt>
                <c:pt idx="11">
                  <c:v>2.6</c:v>
                </c:pt>
                <c:pt idx="12">
                  <c:v>2.8</c:v>
                </c:pt>
                <c:pt idx="13">
                  <c:v>3.1</c:v>
                </c:pt>
                <c:pt idx="14">
                  <c:v>3.3</c:v>
                </c:pt>
                <c:pt idx="15">
                  <c:v>3.5</c:v>
                </c:pt>
                <c:pt idx="16">
                  <c:v>3.7</c:v>
                </c:pt>
                <c:pt idx="17">
                  <c:v>3.9</c:v>
                </c:pt>
                <c:pt idx="18">
                  <c:v>4.2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942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4.6397640235468891E-2"/>
                  <c:y val="-1.4846472571314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wyk4_bud!$B$8:$B$26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wyk4_bud!$F$8:$F$26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0.2</c:v>
                </c:pt>
                <c:pt idx="2">
                  <c:v>0.4</c:v>
                </c:pt>
                <c:pt idx="3">
                  <c:v>0.6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2</c:v>
                </c:pt>
                <c:pt idx="10">
                  <c:v>2.2000000000000002</c:v>
                </c:pt>
                <c:pt idx="11">
                  <c:v>2.4</c:v>
                </c:pt>
                <c:pt idx="12">
                  <c:v>2.7</c:v>
                </c:pt>
                <c:pt idx="13">
                  <c:v>2.9</c:v>
                </c:pt>
                <c:pt idx="14">
                  <c:v>3.1</c:v>
                </c:pt>
                <c:pt idx="15">
                  <c:v>3.2</c:v>
                </c:pt>
                <c:pt idx="16">
                  <c:v>3.3</c:v>
                </c:pt>
                <c:pt idx="17">
                  <c:v>3.4</c:v>
                </c:pt>
                <c:pt idx="18">
                  <c:v>3.5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83593952"/>
        <c:axId val="-1457461344"/>
      </c:lineChart>
      <c:catAx>
        <c:axId val="-138359395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45746134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-14574613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383593952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19432850613953"/>
          <c:y val="0.77588961235614784"/>
          <c:w val="0.88236330598535329"/>
          <c:h val="0.202967756816430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B041BA-7ADE-4A2D-B51A-03885E8B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4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388</cp:revision>
  <cp:lastPrinted>2019-08-20T07:52:00Z</cp:lastPrinted>
  <dcterms:created xsi:type="dcterms:W3CDTF">2019-11-21T11:04:00Z</dcterms:created>
  <dcterms:modified xsi:type="dcterms:W3CDTF">2020-08-20T06:08:00Z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