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61" w:rsidRDefault="00DD7A1F" w:rsidP="00074DD8">
      <w:pPr>
        <w:pStyle w:val="tytuinformacji"/>
        <w:rPr>
          <w:shd w:val="clear" w:color="auto" w:fill="FFFFFF"/>
          <w:lang w:val="en-US"/>
        </w:rPr>
      </w:pPr>
      <w:r w:rsidRPr="00A81A02">
        <w:rPr>
          <w:shd w:val="clear" w:color="auto" w:fill="FFFFFF"/>
          <w:lang w:val="en-US"/>
        </w:rPr>
        <w:t>Average paid employment and average gross w</w:t>
      </w:r>
      <w:r>
        <w:rPr>
          <w:shd w:val="clear" w:color="auto" w:fill="FFFFFF"/>
          <w:lang w:val="en-US"/>
        </w:rPr>
        <w:t>a</w:t>
      </w:r>
      <w:r w:rsidRPr="00A81A02">
        <w:rPr>
          <w:shd w:val="clear" w:color="auto" w:fill="FFFFFF"/>
          <w:lang w:val="en-US"/>
        </w:rPr>
        <w:t xml:space="preserve">ges and salaries </w:t>
      </w:r>
      <w:r>
        <w:rPr>
          <w:shd w:val="clear" w:color="auto" w:fill="FFFFFF"/>
          <w:lang w:val="en-US"/>
        </w:rPr>
        <w:t>i</w:t>
      </w:r>
      <w:r w:rsidRPr="00A81A02">
        <w:rPr>
          <w:shd w:val="clear" w:color="auto" w:fill="FFFFFF"/>
          <w:lang w:val="en-US"/>
        </w:rPr>
        <w:t xml:space="preserve">n </w:t>
      </w:r>
      <w:r>
        <w:rPr>
          <w:shd w:val="clear" w:color="auto" w:fill="FFFFFF"/>
          <w:lang w:val="en-US"/>
        </w:rPr>
        <w:t xml:space="preserve">enterprise sector in </w:t>
      </w:r>
      <w:r w:rsidR="00147742">
        <w:rPr>
          <w:shd w:val="clear" w:color="auto" w:fill="FFFFFF"/>
          <w:lang w:val="en-US"/>
        </w:rPr>
        <w:t>May</w:t>
      </w:r>
      <w:r w:rsidR="00446D71">
        <w:rPr>
          <w:shd w:val="clear" w:color="auto" w:fill="FFFFFF"/>
          <w:lang w:val="en-US"/>
        </w:rPr>
        <w:t xml:space="preserve"> 2020</w:t>
      </w:r>
    </w:p>
    <w:p w:rsidR="00DD7A1F" w:rsidRPr="00DF082B" w:rsidRDefault="00DD7A1F" w:rsidP="00074DD8">
      <w:pPr>
        <w:pStyle w:val="tytuinformacji"/>
        <w:rPr>
          <w:sz w:val="19"/>
          <w:szCs w:val="19"/>
          <w:lang w:val="en-US"/>
        </w:rPr>
      </w:pPr>
    </w:p>
    <w:p w:rsidR="00DD7A1F" w:rsidRPr="00B26297" w:rsidRDefault="00DD7A1F" w:rsidP="00DD7A1F">
      <w:pPr>
        <w:pStyle w:val="LID"/>
        <w:rPr>
          <w:b w:val="0"/>
          <w:color w:val="212492"/>
          <w:spacing w:val="-2"/>
          <w:lang w:val="en-US"/>
        </w:rPr>
      </w:pPr>
      <w:r w:rsidRPr="00DF082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.25pt;margin-top:7.05pt;width:180.25pt;height:92.1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39">
              <w:txbxContent>
                <w:p w:rsidR="00F3480F" w:rsidRPr="00446D71" w:rsidRDefault="00B265F4" w:rsidP="00DD7A1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2740" cy="342900"/>
                        <wp:effectExtent l="19050" t="0" r="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3274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A57D3"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t xml:space="preserve"> </w:t>
                  </w:r>
                  <w:r w:rsidR="00F3480F" w:rsidRPr="00446D71">
                    <w:rPr>
                      <w:noProof/>
                      <w:color w:val="001D77"/>
                      <w:lang w:val="en-US" w:eastAsia="pl-PL"/>
                    </w:rPr>
                    <w:t xml:space="preserve"> </w:t>
                  </w:r>
                  <w:r w:rsidR="00147742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3</w:t>
                  </w:r>
                  <w:r w:rsidR="00446D71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.</w:t>
                  </w:r>
                  <w:r w:rsidR="00147742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2</w:t>
                  </w:r>
                  <w:r w:rsidR="00F3480F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%</w:t>
                  </w:r>
                </w:p>
                <w:p w:rsidR="00F3480F" w:rsidRPr="00B170FF" w:rsidRDefault="008A57D3" w:rsidP="00DD7A1F">
                  <w:pPr>
                    <w:spacing w:after="0" w:line="240" w:lineRule="auto"/>
                    <w:rPr>
                      <w:color w:val="FFFFFF"/>
                      <w:szCs w:val="19"/>
                      <w:lang w:val="en-US"/>
                    </w:rPr>
                  </w:pPr>
                  <w:r>
                    <w:rPr>
                      <w:szCs w:val="19"/>
                      <w:lang w:val="en-US"/>
                    </w:rPr>
                    <w:t xml:space="preserve">Decrease 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y/y average </w:t>
                  </w:r>
                  <w:r w:rsidR="004B7DAD">
                    <w:rPr>
                      <w:szCs w:val="19"/>
                      <w:lang w:val="en-US"/>
                    </w:rPr>
                    <w:t xml:space="preserve">paid </w:t>
                  </w:r>
                  <w:r w:rsidR="004B7DAD">
                    <w:rPr>
                      <w:szCs w:val="19"/>
                      <w:lang w:val="en-US"/>
                    </w:rPr>
                    <w:br/>
                  </w:r>
                  <w:r w:rsidR="00F3480F" w:rsidRPr="00B170FF">
                    <w:rPr>
                      <w:szCs w:val="19"/>
                      <w:lang w:val="en-US"/>
                    </w:rPr>
                    <w:t>em</w:t>
                  </w:r>
                  <w:r w:rsidR="00FA0B09">
                    <w:rPr>
                      <w:szCs w:val="19"/>
                      <w:lang w:val="en-US"/>
                    </w:rPr>
                    <w:t>plo</w:t>
                  </w:r>
                  <w:r w:rsidR="00FA0B09">
                    <w:rPr>
                      <w:szCs w:val="19"/>
                      <w:lang w:val="en-US"/>
                    </w:rPr>
                    <w:t>y</w:t>
                  </w:r>
                  <w:r w:rsidR="00FA0B09">
                    <w:rPr>
                      <w:szCs w:val="19"/>
                      <w:lang w:val="en-US"/>
                    </w:rPr>
                    <w:t>ment in enterprise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sector</w:t>
                  </w:r>
                </w:p>
              </w:txbxContent>
            </v:textbox>
            <w10:wrap type="square" anchorx="margin"/>
          </v:shape>
        </w:pict>
      </w:r>
      <w:r w:rsidRPr="00DF082B">
        <w:rPr>
          <w:lang w:val="en-US"/>
        </w:rPr>
        <w:t>I</w:t>
      </w:r>
      <w:r w:rsidRPr="00B26297">
        <w:rPr>
          <w:lang w:val="en-US"/>
        </w:rPr>
        <w:t xml:space="preserve">n </w:t>
      </w:r>
      <w:r w:rsidR="00147742">
        <w:rPr>
          <w:lang w:val="en-US"/>
        </w:rPr>
        <w:t>May</w:t>
      </w:r>
      <w:r w:rsidRPr="00B26297">
        <w:rPr>
          <w:lang w:val="en-US"/>
        </w:rPr>
        <w:t xml:space="preserve"> 20</w:t>
      </w:r>
      <w:r w:rsidR="00446D71">
        <w:rPr>
          <w:lang w:val="en-US"/>
        </w:rPr>
        <w:t>20</w:t>
      </w:r>
      <w:r w:rsidR="00F3480F">
        <w:rPr>
          <w:lang w:val="en-US"/>
        </w:rPr>
        <w:t>,</w:t>
      </w:r>
      <w:r w:rsidRPr="00B26297">
        <w:rPr>
          <w:lang w:val="en-US"/>
        </w:rPr>
        <w:t xml:space="preserve"> average </w:t>
      </w:r>
      <w:r w:rsidR="009714FF">
        <w:rPr>
          <w:lang w:val="en-US"/>
        </w:rPr>
        <w:t xml:space="preserve">paid </w:t>
      </w:r>
      <w:r w:rsidRPr="00B26297">
        <w:rPr>
          <w:lang w:val="en-US"/>
        </w:rPr>
        <w:t xml:space="preserve">employment in enterprise sector was </w:t>
      </w:r>
      <w:r w:rsidR="008A57D3">
        <w:rPr>
          <w:lang w:val="en-US"/>
        </w:rPr>
        <w:t>lower</w:t>
      </w:r>
      <w:r w:rsidRPr="00B26297">
        <w:rPr>
          <w:lang w:val="en-US"/>
        </w:rPr>
        <w:t xml:space="preserve"> by </w:t>
      </w:r>
      <w:r w:rsidR="00147742">
        <w:rPr>
          <w:lang w:val="en-US"/>
        </w:rPr>
        <w:t>3</w:t>
      </w:r>
      <w:r w:rsidR="00446D71">
        <w:rPr>
          <w:lang w:val="en-US"/>
        </w:rPr>
        <w:t>.</w:t>
      </w:r>
      <w:r w:rsidR="00147742">
        <w:rPr>
          <w:lang w:val="en-US"/>
        </w:rPr>
        <w:t>2</w:t>
      </w:r>
      <w:r w:rsidRPr="00B26297">
        <w:rPr>
          <w:lang w:val="en-US"/>
        </w:rPr>
        <w:t xml:space="preserve">% y/y and </w:t>
      </w:r>
      <w:r>
        <w:rPr>
          <w:lang w:val="en-US"/>
        </w:rPr>
        <w:t>amounted to</w:t>
      </w:r>
      <w:r w:rsidRPr="00B26297">
        <w:rPr>
          <w:lang w:val="en-US"/>
        </w:rPr>
        <w:t xml:space="preserve"> </w:t>
      </w:r>
      <w:r w:rsidR="008A57D3">
        <w:rPr>
          <w:lang w:val="en-US"/>
        </w:rPr>
        <w:t>6</w:t>
      </w:r>
      <w:r w:rsidR="00147742">
        <w:rPr>
          <w:lang w:val="en-US"/>
        </w:rPr>
        <w:t>173</w:t>
      </w:r>
      <w:r w:rsidR="008A57D3">
        <w:rPr>
          <w:lang w:val="en-US"/>
        </w:rPr>
        <w:t>.</w:t>
      </w:r>
      <w:r w:rsidR="00147742">
        <w:rPr>
          <w:lang w:val="en-US"/>
        </w:rPr>
        <w:t>9</w:t>
      </w:r>
      <w:r w:rsidRPr="00B26297">
        <w:rPr>
          <w:lang w:val="en-US"/>
        </w:rPr>
        <w:t xml:space="preserve"> </w:t>
      </w:r>
      <w:r>
        <w:rPr>
          <w:lang w:val="en-US"/>
        </w:rPr>
        <w:t>t</w:t>
      </w:r>
      <w:r w:rsidR="00DB0F1C">
        <w:rPr>
          <w:lang w:val="en-US"/>
        </w:rPr>
        <w:t>h</w:t>
      </w:r>
      <w:r>
        <w:rPr>
          <w:lang w:val="en-US"/>
        </w:rPr>
        <w:t>ousand</w:t>
      </w:r>
      <w:r w:rsidRPr="00B26297">
        <w:rPr>
          <w:lang w:val="en-US"/>
        </w:rPr>
        <w:t xml:space="preserve">, </w:t>
      </w:r>
      <w:r w:rsidR="008A57D3">
        <w:rPr>
          <w:lang w:val="en-US"/>
        </w:rPr>
        <w:t>while</w:t>
      </w:r>
      <w:r w:rsidRPr="00B26297">
        <w:rPr>
          <w:lang w:val="en-US"/>
        </w:rPr>
        <w:t xml:space="preserve"> </w:t>
      </w:r>
      <w:r>
        <w:rPr>
          <w:lang w:val="en-US"/>
        </w:rPr>
        <w:t>a</w:t>
      </w:r>
      <w:r w:rsidRPr="000E4AB5">
        <w:rPr>
          <w:lang w:val="en-US"/>
        </w:rPr>
        <w:t>verage gross wages and salaries</w:t>
      </w:r>
      <w:r w:rsidRPr="00B26297">
        <w:rPr>
          <w:lang w:val="en-US"/>
        </w:rPr>
        <w:t xml:space="preserve"> </w:t>
      </w:r>
      <w:r w:rsidR="00F3480F">
        <w:rPr>
          <w:lang w:val="en-US"/>
        </w:rPr>
        <w:t>were</w:t>
      </w:r>
      <w:r w:rsidRPr="00B26297">
        <w:rPr>
          <w:lang w:val="en-US"/>
        </w:rPr>
        <w:t xml:space="preserve"> hi</w:t>
      </w:r>
      <w:r w:rsidR="00B0731B">
        <w:rPr>
          <w:lang w:val="en-US"/>
        </w:rPr>
        <w:t>g</w:t>
      </w:r>
      <w:r w:rsidRPr="00B26297">
        <w:rPr>
          <w:lang w:val="en-US"/>
        </w:rPr>
        <w:t xml:space="preserve">her by </w:t>
      </w:r>
      <w:r w:rsidR="008A57D3">
        <w:rPr>
          <w:lang w:val="en-US"/>
        </w:rPr>
        <w:t>1</w:t>
      </w:r>
      <w:r w:rsidR="00342D16">
        <w:rPr>
          <w:lang w:val="en-US"/>
        </w:rPr>
        <w:t>.</w:t>
      </w:r>
      <w:r w:rsidR="00147742">
        <w:rPr>
          <w:lang w:val="en-US"/>
        </w:rPr>
        <w:t>2%</w:t>
      </w:r>
      <w:r>
        <w:rPr>
          <w:lang w:val="en-US"/>
        </w:rPr>
        <w:t xml:space="preserve"> y/y and</w:t>
      </w:r>
      <w:r w:rsidRPr="00B26297">
        <w:rPr>
          <w:lang w:val="en-US"/>
        </w:rPr>
        <w:t xml:space="preserve"> </w:t>
      </w:r>
      <w:r>
        <w:rPr>
          <w:lang w:val="en-US"/>
        </w:rPr>
        <w:t>amounted to</w:t>
      </w:r>
      <w:r w:rsidR="00F3480F">
        <w:rPr>
          <w:lang w:val="en-US"/>
        </w:rPr>
        <w:t xml:space="preserve"> </w:t>
      </w:r>
      <w:r w:rsidR="004C70AC">
        <w:rPr>
          <w:lang w:val="en-US"/>
        </w:rPr>
        <w:t>5</w:t>
      </w:r>
      <w:r w:rsidR="00147742">
        <w:rPr>
          <w:lang w:val="en-US"/>
        </w:rPr>
        <w:t>119</w:t>
      </w:r>
      <w:r w:rsidR="00446D71">
        <w:rPr>
          <w:lang w:val="en-US"/>
        </w:rPr>
        <w:t>.</w:t>
      </w:r>
      <w:r w:rsidR="00147742">
        <w:rPr>
          <w:lang w:val="en-US"/>
        </w:rPr>
        <w:t>94</w:t>
      </w:r>
      <w:r w:rsidRPr="00B26297">
        <w:rPr>
          <w:lang w:val="en-US"/>
        </w:rPr>
        <w:t xml:space="preserve"> </w:t>
      </w:r>
      <w:r w:rsidR="00DB3EBD">
        <w:rPr>
          <w:lang w:val="en-US"/>
        </w:rPr>
        <w:t>PLN</w:t>
      </w:r>
      <w:r w:rsidRPr="00B26297">
        <w:rPr>
          <w:lang w:val="en-US"/>
        </w:rPr>
        <w:t>.</w:t>
      </w:r>
    </w:p>
    <w:p w:rsidR="00003437" w:rsidRPr="00DD7A1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C22105" w:rsidRDefault="00074DD8" w:rsidP="00074DD8">
      <w:pPr>
        <w:pStyle w:val="Nagwek1"/>
        <w:rPr>
          <w:shd w:val="clear" w:color="auto" w:fill="FFFFFF"/>
          <w:lang w:val="en-US"/>
        </w:rPr>
      </w:pPr>
      <w:r w:rsidRPr="00DD7A1F">
        <w:rPr>
          <w:shd w:val="clear" w:color="auto" w:fill="FFFFFF"/>
          <w:lang w:val="en-US"/>
        </w:rPr>
        <w:t xml:space="preserve"> </w:t>
      </w:r>
    </w:p>
    <w:p w:rsidR="0076649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  <w:r w:rsidRPr="001639A6">
        <w:rPr>
          <w:rFonts w:eastAsia="Calibri"/>
          <w:shd w:val="clear" w:color="auto" w:fill="FFFFFF"/>
          <w:lang w:val="en-US"/>
        </w:rPr>
        <w:t>Data r</w:t>
      </w:r>
      <w:r w:rsidR="005C6032">
        <w:rPr>
          <w:rFonts w:eastAsia="Calibri"/>
          <w:shd w:val="clear" w:color="auto" w:fill="FFFFFF"/>
          <w:lang w:val="en-US"/>
        </w:rPr>
        <w:t xml:space="preserve">egarding the enterprise sector </w:t>
      </w:r>
      <w:r w:rsidRPr="001639A6">
        <w:rPr>
          <w:rFonts w:eastAsia="Calibri"/>
          <w:shd w:val="clear" w:color="auto" w:fill="FFFFFF"/>
          <w:lang w:val="en-US"/>
        </w:rPr>
        <w:t>concerns units</w:t>
      </w:r>
      <w:r w:rsidR="005C6032">
        <w:rPr>
          <w:rFonts w:eastAsia="Calibri"/>
          <w:shd w:val="clear" w:color="auto" w:fill="FFFFFF"/>
          <w:lang w:val="en-US"/>
        </w:rPr>
        <w:t xml:space="preserve"> conducting economic activity classified into selected</w:t>
      </w:r>
      <w:r w:rsidR="005C6032">
        <w:rPr>
          <w:rStyle w:val="Odwoanieprzypisudolnego"/>
          <w:rFonts w:eastAsia="Calibri"/>
          <w:shd w:val="clear" w:color="auto" w:fill="FFFFFF"/>
          <w:lang w:val="en-US"/>
        </w:rPr>
        <w:footnoteReference w:id="1"/>
      </w:r>
      <w:r w:rsidR="005C6032">
        <w:rPr>
          <w:rFonts w:eastAsia="Calibri"/>
          <w:shd w:val="clear" w:color="auto" w:fill="FFFFFF"/>
          <w:lang w:val="en-US"/>
        </w:rPr>
        <w:t xml:space="preserve"> kinds of activity by NACE Rev.2 and</w:t>
      </w:r>
      <w:r w:rsidRPr="001639A6">
        <w:rPr>
          <w:rFonts w:eastAsia="Calibri"/>
          <w:shd w:val="clear" w:color="auto" w:fill="FFFFFF"/>
          <w:lang w:val="en-US"/>
        </w:rPr>
        <w:t xml:space="preserve"> employing more than 9 persons. </w:t>
      </w:r>
      <w:r w:rsidR="005C6032">
        <w:rPr>
          <w:rFonts w:eastAsia="Calibri"/>
          <w:shd w:val="clear" w:color="auto" w:fill="FFFFFF"/>
          <w:lang w:val="en-US"/>
        </w:rPr>
        <w:t xml:space="preserve">Data source is “Report on economic activity” (DG-1). </w:t>
      </w:r>
      <w:r w:rsidRPr="001639A6">
        <w:rPr>
          <w:rFonts w:eastAsia="Calibri"/>
          <w:shd w:val="clear" w:color="auto" w:fill="FFFFFF"/>
          <w:lang w:val="en-US"/>
        </w:rPr>
        <w:t xml:space="preserve">Within the scope of this survey, </w:t>
      </w:r>
      <w:r w:rsidR="005C6032">
        <w:rPr>
          <w:rFonts w:eastAsia="Calibri"/>
          <w:shd w:val="clear" w:color="auto" w:fill="FFFFFF"/>
          <w:lang w:val="en-US"/>
        </w:rPr>
        <w:t xml:space="preserve">for </w:t>
      </w:r>
      <w:r w:rsidRPr="001639A6">
        <w:rPr>
          <w:rFonts w:eastAsia="Calibri"/>
          <w:shd w:val="clear" w:color="auto" w:fill="FFFFFF"/>
          <w:lang w:val="en-US"/>
        </w:rPr>
        <w:t>the ent</w:t>
      </w:r>
      <w:r w:rsidRPr="001639A6">
        <w:rPr>
          <w:rFonts w:eastAsia="Calibri"/>
          <w:shd w:val="clear" w:color="auto" w:fill="FFFFFF"/>
          <w:lang w:val="en-US"/>
        </w:rPr>
        <w:t>i</w:t>
      </w:r>
      <w:r w:rsidRPr="001639A6">
        <w:rPr>
          <w:rFonts w:eastAsia="Calibri"/>
          <w:shd w:val="clear" w:color="auto" w:fill="FFFFFF"/>
          <w:lang w:val="en-US"/>
        </w:rPr>
        <w:t xml:space="preserve">ties with 50 and more persons employed </w:t>
      </w:r>
      <w:r w:rsidR="00874511">
        <w:rPr>
          <w:rFonts w:eastAsia="Calibri"/>
          <w:shd w:val="clear" w:color="auto" w:fill="FFFFFF"/>
          <w:lang w:val="en-US"/>
        </w:rPr>
        <w:t>it</w:t>
      </w:r>
      <w:r w:rsidRPr="001639A6">
        <w:rPr>
          <w:rFonts w:eastAsia="Calibri"/>
          <w:shd w:val="clear" w:color="auto" w:fill="FFFFFF"/>
          <w:lang w:val="en-US"/>
        </w:rPr>
        <w:t xml:space="preserve"> is a census survey, </w:t>
      </w:r>
      <w:r>
        <w:rPr>
          <w:rFonts w:eastAsia="Calibri"/>
          <w:shd w:val="clear" w:color="auto" w:fill="FFFFFF"/>
          <w:lang w:val="en-US"/>
        </w:rPr>
        <w:t>while</w:t>
      </w:r>
      <w:r w:rsidRPr="001639A6">
        <w:rPr>
          <w:rFonts w:eastAsia="Calibri"/>
          <w:shd w:val="clear" w:color="auto" w:fill="FFFFFF"/>
          <w:lang w:val="en-US"/>
        </w:rPr>
        <w:t xml:space="preserve"> for the entities emplo</w:t>
      </w:r>
      <w:r w:rsidRPr="001639A6">
        <w:rPr>
          <w:rFonts w:eastAsia="Calibri"/>
          <w:shd w:val="clear" w:color="auto" w:fill="FFFFFF"/>
          <w:lang w:val="en-US"/>
        </w:rPr>
        <w:t>y</w:t>
      </w:r>
      <w:r w:rsidRPr="001639A6">
        <w:rPr>
          <w:rFonts w:eastAsia="Calibri"/>
          <w:shd w:val="clear" w:color="auto" w:fill="FFFFFF"/>
          <w:lang w:val="en-US"/>
        </w:rPr>
        <w:t>ing from 10 to 49 persons</w:t>
      </w:r>
      <w:r w:rsidR="00874511">
        <w:rPr>
          <w:rFonts w:eastAsia="Calibri"/>
          <w:shd w:val="clear" w:color="auto" w:fill="FFFFFF"/>
          <w:lang w:val="en-US"/>
        </w:rPr>
        <w:t xml:space="preserve"> it is a sample one</w:t>
      </w:r>
      <w:r w:rsidR="005C6032">
        <w:rPr>
          <w:rStyle w:val="Odwoanieprzypisudolnego"/>
          <w:rFonts w:ascii="FiraSans-Regular" w:hAnsi="FiraSans-Regular" w:cs="FiraSans-Regular"/>
          <w:szCs w:val="19"/>
          <w:lang w:val="en-US" w:eastAsia="pl-PL"/>
        </w:rPr>
        <w:footnoteReference w:id="2"/>
      </w:r>
      <w:r>
        <w:rPr>
          <w:rFonts w:ascii="FiraSans-Regular" w:hAnsi="FiraSans-Regular" w:cs="FiraSans-Regular"/>
          <w:szCs w:val="19"/>
          <w:lang w:val="en-US" w:eastAsia="pl-PL"/>
        </w:rPr>
        <w:t>.</w:t>
      </w:r>
    </w:p>
    <w:p w:rsidR="001639A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</w:p>
    <w:p w:rsidR="00766496" w:rsidRPr="00766496" w:rsidRDefault="00382F44" w:rsidP="00165CD9">
      <w:pPr>
        <w:tabs>
          <w:tab w:val="left" w:pos="567"/>
        </w:tabs>
        <w:rPr>
          <w:b/>
          <w:spacing w:val="-2"/>
          <w:sz w:val="18"/>
          <w:shd w:val="clear" w:color="auto" w:fill="FFFFFF"/>
          <w:lang w:val="en-US"/>
        </w:rPr>
      </w:pPr>
      <w:r w:rsidRPr="00D31C1A">
        <w:rPr>
          <w:b/>
          <w:noProof/>
          <w:color w:val="212492"/>
          <w:spacing w:val="-2"/>
          <w:szCs w:val="19"/>
        </w:rPr>
        <w:pict>
          <v:shape id="Pole tekstowe 2" o:spid="_x0000_s1026" type="#_x0000_t202" style="position:absolute;margin-left:415.35pt;margin-top:32.75pt;width:135.85pt;height:94.85pt;z-index:-251661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<v:textbox style="mso-next-textbox:#Pole tekstowe 2">
              <w:txbxContent>
                <w:p w:rsidR="00F3480F" w:rsidRPr="00475D61" w:rsidRDefault="00147742" w:rsidP="00276EBC">
                  <w:pPr>
                    <w:pStyle w:val="NormalnyWeb"/>
                    <w:spacing w:before="120" w:beforeAutospacing="0" w:after="0" w:afterAutospacing="0" w:line="240" w:lineRule="exact"/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In May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2020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A068D2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compared 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to the previous month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,</w:t>
                  </w:r>
                  <w:r w:rsidR="00A068D2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both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ave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r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age paid employment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and ave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r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age gross wages and salaries</w:t>
                  </w:r>
                  <w:r w:rsidR="00475D61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in enterprise sector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d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e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creased</w:t>
                  </w:r>
                  <w:r w:rsidR="008F7E17" w:rsidRPr="00632FF5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  <w:r w:rsidR="00766496" w:rsidRPr="00766496">
        <w:rPr>
          <w:b/>
          <w:spacing w:val="-2"/>
          <w:sz w:val="18"/>
          <w:shd w:val="clear" w:color="auto" w:fill="FFFFFF"/>
          <w:lang w:val="en-US"/>
        </w:rPr>
        <w:t xml:space="preserve">Table 1. </w:t>
      </w:r>
      <w:r w:rsidR="001639A6">
        <w:rPr>
          <w:b/>
          <w:spacing w:val="-2"/>
          <w:sz w:val="18"/>
          <w:shd w:val="clear" w:color="auto" w:fill="FFFFFF"/>
          <w:lang w:val="en-US"/>
        </w:rPr>
        <w:t>Average pai</w:t>
      </w:r>
      <w:r w:rsidR="008740C8">
        <w:rPr>
          <w:b/>
          <w:spacing w:val="-2"/>
          <w:sz w:val="18"/>
          <w:shd w:val="clear" w:color="auto" w:fill="FFFFFF"/>
          <w:lang w:val="en-US"/>
        </w:rPr>
        <w:t>d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employment and average gross wages and salaries in enterprise sector</w:t>
      </w:r>
      <w:r w:rsidR="00165CD9">
        <w:rPr>
          <w:b/>
          <w:spacing w:val="-2"/>
          <w:sz w:val="18"/>
          <w:shd w:val="clear" w:color="auto" w:fill="FFFFFF"/>
          <w:lang w:val="en-US"/>
        </w:rPr>
        <w:br/>
        <w:t xml:space="preserve">               in </w:t>
      </w:r>
      <w:r w:rsidR="00147742">
        <w:rPr>
          <w:b/>
          <w:spacing w:val="-2"/>
          <w:sz w:val="18"/>
          <w:shd w:val="clear" w:color="auto" w:fill="FFFFFF"/>
          <w:lang w:val="en-US"/>
        </w:rPr>
        <w:t>May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2020 </w:t>
      </w:r>
    </w:p>
    <w:tbl>
      <w:tblPr>
        <w:tblW w:w="793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4"/>
        <w:gridCol w:w="1314"/>
        <w:gridCol w:w="1314"/>
        <w:gridCol w:w="1314"/>
        <w:gridCol w:w="1316"/>
      </w:tblGrid>
      <w:tr w:rsidR="00DD7A1F" w:rsidRPr="00165CD9" w:rsidTr="00766496">
        <w:trPr>
          <w:trHeight w:val="558"/>
        </w:trPr>
        <w:tc>
          <w:tcPr>
            <w:tcW w:w="2674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3E5411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Specification</w:t>
            </w:r>
          </w:p>
        </w:tc>
        <w:tc>
          <w:tcPr>
            <w:tcW w:w="3942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8A57D3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9C4DDA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 w:rsidR="009C4DDA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DD7A1F" w:rsidRPr="00165CD9" w:rsidTr="00766496">
        <w:trPr>
          <w:trHeight w:val="791"/>
        </w:trPr>
        <w:tc>
          <w:tcPr>
            <w:tcW w:w="2674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in absolute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number</w:t>
            </w:r>
            <w:r w:rsidR="00F26A4E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s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8A57D3" w:rsidP="00E0370A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147742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2020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8A57D3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D7A1F" w:rsidRPr="00165CD9" w:rsidRDefault="00516EE0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</w:tr>
      <w:tr w:rsidR="003D68A9" w:rsidRPr="00EA7620" w:rsidTr="00766496">
        <w:trPr>
          <w:trHeight w:val="574"/>
        </w:trPr>
        <w:tc>
          <w:tcPr>
            <w:tcW w:w="2674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A81A02" w:rsidRDefault="003D68A9" w:rsidP="00DB3EBD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Average paid employment 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i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n thousand</w:t>
            </w:r>
            <w:r w:rsidR="00FE548D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DC1FEA" w:rsidP="00147742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6</w:t>
            </w:r>
            <w:r w:rsidR="00147742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173.9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147742" w:rsidP="00147742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98.6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053F2E" w:rsidP="00053F2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96.8</w:t>
            </w:r>
          </w:p>
        </w:tc>
        <w:tc>
          <w:tcPr>
            <w:tcW w:w="131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D68A9" w:rsidRPr="00CC690C" w:rsidRDefault="00053F2E" w:rsidP="00053F2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99</w:t>
            </w:r>
            <w:r w:rsidR="006744D8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.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9</w:t>
            </w:r>
          </w:p>
        </w:tc>
      </w:tr>
      <w:tr w:rsidR="00251345" w:rsidRPr="000E4AB5" w:rsidTr="00766496">
        <w:trPr>
          <w:trHeight w:val="760"/>
        </w:trPr>
        <w:tc>
          <w:tcPr>
            <w:tcW w:w="26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D427D8" w:rsidRDefault="00251345" w:rsidP="00DB3EB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Average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gross wages and salaries 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t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otal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n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PLN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CC690C" w:rsidRDefault="00251345" w:rsidP="00053F2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5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119</w:t>
            </w:r>
            <w:r w:rsidR="00530317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.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94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CC690C" w:rsidRDefault="008A57D3" w:rsidP="00053F2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96</w:t>
            </w:r>
            <w:r w:rsidR="00A55A23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.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9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CC690C" w:rsidRDefault="00251345" w:rsidP="00053F2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10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1.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pl-PL"/>
              </w:rPr>
              <w:t>2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251345" w:rsidRPr="00530317" w:rsidRDefault="00251345" w:rsidP="00053F2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530317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4.7</w:t>
            </w:r>
          </w:p>
        </w:tc>
      </w:tr>
      <w:tr w:rsidR="00251345" w:rsidRPr="000E4AB5" w:rsidTr="00766496">
        <w:trPr>
          <w:trHeight w:val="760"/>
        </w:trPr>
        <w:tc>
          <w:tcPr>
            <w:tcW w:w="267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D427D8" w:rsidRDefault="00251345" w:rsidP="00B31FA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of which excluding payments from profit 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150BDC" w:rsidP="00053F2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118.18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8A57D3" w:rsidP="00053F2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96.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8A57D3" w:rsidP="00053F2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101.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251345" w:rsidP="00053F2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530317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.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7</w:t>
            </w:r>
          </w:p>
        </w:tc>
      </w:tr>
    </w:tbl>
    <w:p w:rsidR="00165CD9" w:rsidRDefault="00165CD9" w:rsidP="00150BDC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150BDC" w:rsidRDefault="00150BDC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/>
        </w:rPr>
      </w:pPr>
      <w:r w:rsidRPr="001639A6">
        <w:rPr>
          <w:rFonts w:eastAsia="Calibri"/>
          <w:shd w:val="clear" w:color="auto" w:fill="FFFFFF"/>
          <w:lang w:val="en-US"/>
        </w:rPr>
        <w:t>I</w:t>
      </w:r>
      <w:r>
        <w:rPr>
          <w:rFonts w:eastAsia="Calibri"/>
          <w:shd w:val="clear" w:color="auto" w:fill="FFFFFF"/>
          <w:lang w:val="en-US"/>
        </w:rPr>
        <w:t xml:space="preserve">n </w:t>
      </w:r>
      <w:r w:rsidR="00DF082B">
        <w:rPr>
          <w:rFonts w:eastAsia="Calibri"/>
          <w:shd w:val="clear" w:color="auto" w:fill="FFFFFF"/>
          <w:lang w:val="en-US"/>
        </w:rPr>
        <w:t>May</w:t>
      </w:r>
      <w:r>
        <w:rPr>
          <w:rFonts w:eastAsia="Calibri"/>
          <w:shd w:val="clear" w:color="auto" w:fill="FFFFFF"/>
          <w:lang w:val="en-US"/>
        </w:rPr>
        <w:t xml:space="preserve"> 2020, </w:t>
      </w:r>
      <w:r w:rsidR="00DF082B" w:rsidRPr="00DF082B">
        <w:rPr>
          <w:rFonts w:eastAsia="Calibri"/>
          <w:shd w:val="clear" w:color="auto" w:fill="FFFFFF"/>
          <w:lang w:val="en-US"/>
        </w:rPr>
        <w:t>as in the previous month</w:t>
      </w:r>
      <w:r w:rsidR="00DF082B">
        <w:rPr>
          <w:rFonts w:eastAsia="Calibri"/>
          <w:shd w:val="clear" w:color="auto" w:fill="FFFFFF"/>
          <w:lang w:val="en-US"/>
        </w:rPr>
        <w:t xml:space="preserve">, </w:t>
      </w:r>
      <w:r w:rsidR="00DF082B">
        <w:rPr>
          <w:rStyle w:val="tlid-translation"/>
          <w:lang/>
        </w:rPr>
        <w:t>further reduction of employment was observed in some entities</w:t>
      </w:r>
      <w:r w:rsidR="00475D61">
        <w:rPr>
          <w:rStyle w:val="tlid-translation"/>
          <w:lang/>
        </w:rPr>
        <w:t xml:space="preserve">, which </w:t>
      </w:r>
      <w:r w:rsidR="0043502D">
        <w:rPr>
          <w:rStyle w:val="tlid-translation"/>
          <w:lang/>
        </w:rPr>
        <w:t>translated into</w:t>
      </w:r>
      <w:r w:rsidR="00C36792">
        <w:rPr>
          <w:rStyle w:val="tlid-translation"/>
          <w:lang/>
        </w:rPr>
        <w:t xml:space="preserve"> a </w:t>
      </w:r>
      <w:r w:rsidR="00475D61">
        <w:rPr>
          <w:rStyle w:val="tlid-translation"/>
          <w:lang/>
        </w:rPr>
        <w:t>decrease</w:t>
      </w:r>
      <w:r>
        <w:rPr>
          <w:rStyle w:val="tlid-translation"/>
          <w:lang/>
        </w:rPr>
        <w:t xml:space="preserve"> in average paid employment</w:t>
      </w:r>
      <w:r w:rsidR="00DF082B">
        <w:rPr>
          <w:rStyle w:val="tlid-translation"/>
          <w:lang/>
        </w:rPr>
        <w:t xml:space="preserve"> in enterprise sector by 1</w:t>
      </w:r>
      <w:r w:rsidR="00475D61">
        <w:rPr>
          <w:rStyle w:val="tlid-translation"/>
          <w:lang/>
        </w:rPr>
        <w:t xml:space="preserve">.4% </w:t>
      </w:r>
      <w:r>
        <w:rPr>
          <w:rStyle w:val="tlid-translation"/>
          <w:lang/>
        </w:rPr>
        <w:t xml:space="preserve">compared to the </w:t>
      </w:r>
      <w:r w:rsidR="000A465D">
        <w:rPr>
          <w:rStyle w:val="tlid-translation"/>
          <w:lang/>
        </w:rPr>
        <w:t>April this year</w:t>
      </w:r>
      <w:r w:rsidR="00DF082B">
        <w:rPr>
          <w:rStyle w:val="tlid-translation"/>
          <w:lang/>
        </w:rPr>
        <w:t>, when a decrease of 2.4% was observed,</w:t>
      </w:r>
      <w:r w:rsidR="00475D61">
        <w:rPr>
          <w:rStyle w:val="tlid-translation"/>
          <w:lang/>
        </w:rPr>
        <w:t xml:space="preserve"> and by </w:t>
      </w:r>
      <w:r w:rsidR="00DF082B">
        <w:rPr>
          <w:rStyle w:val="tlid-translation"/>
          <w:lang/>
        </w:rPr>
        <w:t>3</w:t>
      </w:r>
      <w:r w:rsidR="00475D61">
        <w:rPr>
          <w:rStyle w:val="tlid-translation"/>
          <w:lang/>
        </w:rPr>
        <w:t>.</w:t>
      </w:r>
      <w:r w:rsidR="003952AC">
        <w:rPr>
          <w:rStyle w:val="tlid-translation"/>
          <w:lang/>
        </w:rPr>
        <w:t>2</w:t>
      </w:r>
      <w:r w:rsidR="00475D61">
        <w:rPr>
          <w:rStyle w:val="tlid-translation"/>
          <w:lang/>
        </w:rPr>
        <w:t>% compared to the same period last year</w:t>
      </w:r>
      <w:r>
        <w:rPr>
          <w:rStyle w:val="tlid-translation"/>
          <w:lang/>
        </w:rPr>
        <w:t>.</w:t>
      </w:r>
      <w:r>
        <w:rPr>
          <w:rFonts w:eastAsia="Calibri"/>
          <w:shd w:val="clear" w:color="auto" w:fill="FFFFFF"/>
          <w:lang w:val="en-US"/>
        </w:rPr>
        <w:t xml:space="preserve"> It was the result of, i.a. </w:t>
      </w:r>
      <w:r>
        <w:rPr>
          <w:rStyle w:val="tlid-translation"/>
          <w:lang/>
        </w:rPr>
        <w:t>end of fixed-term co</w:t>
      </w:r>
      <w:r w:rsidR="00475D61">
        <w:rPr>
          <w:rStyle w:val="tlid-translation"/>
          <w:lang/>
        </w:rPr>
        <w:t xml:space="preserve">ntracts and not extending them (sometimes because of the </w:t>
      </w:r>
      <w:r w:rsidR="002930BA">
        <w:rPr>
          <w:rStyle w:val="tlid-translation"/>
          <w:lang/>
        </w:rPr>
        <w:t>epidemic</w:t>
      </w:r>
      <w:r w:rsidR="00475D61">
        <w:rPr>
          <w:rStyle w:val="tlid-translation"/>
          <w:lang/>
        </w:rPr>
        <w:t xml:space="preserve"> situat</w:t>
      </w:r>
      <w:r w:rsidR="00F11A15">
        <w:rPr>
          <w:rStyle w:val="tlid-translation"/>
          <w:lang/>
        </w:rPr>
        <w:t>ion)</w:t>
      </w:r>
      <w:r w:rsidR="00DF082B">
        <w:rPr>
          <w:rStyle w:val="tlid-translation"/>
          <w:lang/>
        </w:rPr>
        <w:t xml:space="preserve">, </w:t>
      </w:r>
      <w:r w:rsidR="00DF082B" w:rsidRPr="00475D61">
        <w:rPr>
          <w:rFonts w:eastAsia="Calibri"/>
          <w:shd w:val="clear" w:color="auto" w:fill="FFFFFF"/>
          <w:lang w:val="en-US"/>
        </w:rPr>
        <w:t>reduction of the part of the full-time employment</w:t>
      </w:r>
      <w:r w:rsidR="00F11A15">
        <w:rPr>
          <w:rStyle w:val="tlid-translation"/>
          <w:lang/>
        </w:rPr>
        <w:t xml:space="preserve"> </w:t>
      </w:r>
      <w:r w:rsidR="00475D61">
        <w:rPr>
          <w:rStyle w:val="tlid-translation"/>
          <w:lang/>
        </w:rPr>
        <w:t xml:space="preserve">and also </w:t>
      </w:r>
      <w:r>
        <w:rPr>
          <w:rStyle w:val="tlid-translation"/>
          <w:lang/>
        </w:rPr>
        <w:t>termination of employment contracts</w:t>
      </w:r>
      <w:r w:rsidR="00475D61">
        <w:rPr>
          <w:rStyle w:val="tlid-translation"/>
          <w:lang/>
        </w:rPr>
        <w:t>.</w:t>
      </w:r>
      <w:r w:rsidR="000628BD">
        <w:rPr>
          <w:rStyle w:val="tlid-translation"/>
          <w:lang/>
        </w:rPr>
        <w:t xml:space="preserve"> The decline in average paid employment was also affected by </w:t>
      </w:r>
      <w:r w:rsidR="00382F44">
        <w:rPr>
          <w:rStyle w:val="tlid-translation"/>
          <w:lang/>
        </w:rPr>
        <w:t xml:space="preserve">receiving by employees care or sickly leave </w:t>
      </w:r>
      <w:r w:rsidR="00382F44" w:rsidRPr="00475D61">
        <w:rPr>
          <w:rFonts w:eastAsia="Calibri"/>
          <w:shd w:val="clear" w:color="auto" w:fill="FFFFFF"/>
          <w:lang w:val="en-US"/>
        </w:rPr>
        <w:t>benefits</w:t>
      </w:r>
      <w:r w:rsidR="00475D61" w:rsidRPr="00475D61">
        <w:rPr>
          <w:rFonts w:eastAsia="Calibri"/>
          <w:shd w:val="clear" w:color="auto" w:fill="FFFFFF"/>
          <w:lang w:val="en-US"/>
        </w:rPr>
        <w:t xml:space="preserve"> or staying on unpaid leaves</w:t>
      </w:r>
      <w:r w:rsidR="000628BD">
        <w:rPr>
          <w:rFonts w:eastAsia="Calibri"/>
          <w:shd w:val="clear" w:color="auto" w:fill="FFFFFF"/>
          <w:lang w:val="en-US"/>
        </w:rPr>
        <w:t xml:space="preserve"> </w:t>
      </w:r>
      <w:r w:rsidR="00382F44" w:rsidRPr="00475D61">
        <w:rPr>
          <w:rFonts w:eastAsia="Calibri"/>
          <w:shd w:val="clear" w:color="auto" w:fill="FFFFFF"/>
          <w:lang w:val="en-US"/>
        </w:rPr>
        <w:t>– which, depending on the overall length of their dur</w:t>
      </w:r>
      <w:r w:rsidR="00382F44" w:rsidRPr="00475D61">
        <w:rPr>
          <w:rFonts w:eastAsia="Calibri"/>
          <w:shd w:val="clear" w:color="auto" w:fill="FFFFFF"/>
          <w:lang w:val="en-US"/>
        </w:rPr>
        <w:t>a</w:t>
      </w:r>
      <w:r w:rsidR="00382F44" w:rsidRPr="00475D61">
        <w:rPr>
          <w:rFonts w:eastAsia="Calibri"/>
          <w:shd w:val="clear" w:color="auto" w:fill="FFFFFF"/>
          <w:lang w:val="en-US"/>
        </w:rPr>
        <w:t>tion, could also have an impact on the way of including these</w:t>
      </w:r>
      <w:r w:rsidR="00DF082B">
        <w:rPr>
          <w:rFonts w:eastAsia="Calibri"/>
          <w:shd w:val="clear" w:color="auto" w:fill="FFFFFF"/>
          <w:lang w:val="en-US"/>
        </w:rPr>
        <w:t xml:space="preserve"> </w:t>
      </w:r>
      <w:r w:rsidR="00382F44" w:rsidRPr="00475D61">
        <w:rPr>
          <w:rFonts w:eastAsia="Calibri"/>
          <w:shd w:val="clear" w:color="auto" w:fill="FFFFFF"/>
          <w:lang w:val="en-US"/>
        </w:rPr>
        <w:t>persons in average paid e</w:t>
      </w:r>
      <w:r w:rsidR="00382F44" w:rsidRPr="00475D61">
        <w:rPr>
          <w:rFonts w:eastAsia="Calibri"/>
          <w:shd w:val="clear" w:color="auto" w:fill="FFFFFF"/>
          <w:lang w:val="en-US"/>
        </w:rPr>
        <w:t>m</w:t>
      </w:r>
      <w:r w:rsidR="00382F44" w:rsidRPr="00475D61">
        <w:rPr>
          <w:rFonts w:eastAsia="Calibri"/>
          <w:shd w:val="clear" w:color="auto" w:fill="FFFFFF"/>
          <w:lang w:val="en-US"/>
        </w:rPr>
        <w:t>ployment and</w:t>
      </w:r>
      <w:r w:rsidR="00382F44">
        <w:rPr>
          <w:rStyle w:val="tlid-translation"/>
          <w:lang/>
        </w:rPr>
        <w:t xml:space="preserve"> at the same time in wages and salaries (methods of calculating these variables are described in DG-1 report</w:t>
      </w:r>
      <w:r w:rsidR="00382F44">
        <w:rPr>
          <w:rStyle w:val="Odwoanieprzypisudolnego"/>
          <w:lang/>
        </w:rPr>
        <w:footnoteReference w:id="3"/>
      </w:r>
      <w:r w:rsidR="00382F44">
        <w:rPr>
          <w:rStyle w:val="tlid-translation"/>
          <w:lang/>
        </w:rPr>
        <w:t xml:space="preserve">). </w:t>
      </w:r>
    </w:p>
    <w:p w:rsidR="00C47165" w:rsidRDefault="00163FAA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/>
        </w:rPr>
      </w:pPr>
      <w:r>
        <w:rPr>
          <w:rStyle w:val="tlid-translation"/>
          <w:lang/>
        </w:rPr>
        <w:lastRenderedPageBreak/>
        <w:t xml:space="preserve">In </w:t>
      </w:r>
      <w:r w:rsidR="00DF082B">
        <w:rPr>
          <w:rStyle w:val="tlid-translation"/>
          <w:lang/>
        </w:rPr>
        <w:t>May</w:t>
      </w:r>
      <w:r w:rsidR="00335589">
        <w:rPr>
          <w:rStyle w:val="tlid-translation"/>
          <w:lang/>
        </w:rPr>
        <w:t xml:space="preserve"> this year, </w:t>
      </w:r>
      <w:r>
        <w:rPr>
          <w:rStyle w:val="tlid-translation"/>
          <w:lang/>
        </w:rPr>
        <w:t>compared to</w:t>
      </w:r>
      <w:r w:rsidR="007D29E9">
        <w:rPr>
          <w:rStyle w:val="tlid-translation"/>
          <w:lang/>
        </w:rPr>
        <w:t xml:space="preserve"> </w:t>
      </w:r>
      <w:r w:rsidR="00335589">
        <w:rPr>
          <w:rStyle w:val="tlid-translation"/>
          <w:lang/>
        </w:rPr>
        <w:t>April this year,</w:t>
      </w:r>
      <w:r>
        <w:rPr>
          <w:rStyle w:val="tlid-translation"/>
          <w:lang/>
        </w:rPr>
        <w:t xml:space="preserve"> a </w:t>
      </w:r>
      <w:r w:rsidR="00335589">
        <w:rPr>
          <w:rStyle w:val="tlid-translation"/>
          <w:lang/>
        </w:rPr>
        <w:t xml:space="preserve">further </w:t>
      </w:r>
      <w:r>
        <w:rPr>
          <w:rStyle w:val="tlid-translation"/>
          <w:lang/>
        </w:rPr>
        <w:t xml:space="preserve">drop in </w:t>
      </w:r>
      <w:r w:rsidR="00382F44">
        <w:rPr>
          <w:rStyle w:val="tlid-translation"/>
          <w:lang/>
        </w:rPr>
        <w:t>av</w:t>
      </w:r>
      <w:r w:rsidR="007D29E9">
        <w:rPr>
          <w:rStyle w:val="tlid-translation"/>
          <w:lang/>
        </w:rPr>
        <w:t>erage gross wages and salaries</w:t>
      </w:r>
      <w:r w:rsidR="00335589">
        <w:rPr>
          <w:rStyle w:val="tlid-translation"/>
          <w:lang/>
        </w:rPr>
        <w:t xml:space="preserve"> in enterprise sector </w:t>
      </w:r>
      <w:r>
        <w:rPr>
          <w:rStyle w:val="tlid-translation"/>
          <w:lang/>
        </w:rPr>
        <w:t>was noted</w:t>
      </w:r>
      <w:r w:rsidR="00335589">
        <w:rPr>
          <w:rStyle w:val="tlid-translation"/>
          <w:lang/>
        </w:rPr>
        <w:t xml:space="preserve">. It </w:t>
      </w:r>
      <w:r w:rsidR="00CC6E74">
        <w:rPr>
          <w:rStyle w:val="tlid-translation"/>
          <w:lang/>
        </w:rPr>
        <w:t>was caused by among others</w:t>
      </w:r>
      <w:r w:rsidR="00382F44">
        <w:rPr>
          <w:rStyle w:val="tlid-translation"/>
          <w:lang/>
        </w:rPr>
        <w:t xml:space="preserve"> </w:t>
      </w:r>
      <w:r w:rsidR="00335589">
        <w:rPr>
          <w:rStyle w:val="tlid-translation"/>
          <w:lang/>
        </w:rPr>
        <w:t>by the fact that in April the payment of</w:t>
      </w:r>
      <w:r w:rsidR="00382F44">
        <w:rPr>
          <w:rStyle w:val="tlid-translation"/>
          <w:lang/>
        </w:rPr>
        <w:t xml:space="preserve"> quarterly and annual prizes, and arbitrary premiums</w:t>
      </w:r>
      <w:r w:rsidR="00C47165">
        <w:rPr>
          <w:rStyle w:val="tlid-translation"/>
          <w:lang/>
        </w:rPr>
        <w:t xml:space="preserve"> was continued (</w:t>
      </w:r>
      <w:r w:rsidR="00382F44">
        <w:rPr>
          <w:rStyle w:val="tlid-translation"/>
          <w:lang/>
        </w:rPr>
        <w:t xml:space="preserve">which beside the base remuneration </w:t>
      </w:r>
      <w:r w:rsidR="00F85372">
        <w:rPr>
          <w:rStyle w:val="tlid-translation"/>
          <w:lang/>
        </w:rPr>
        <w:t xml:space="preserve">are also included as </w:t>
      </w:r>
      <w:r w:rsidR="00382F44">
        <w:rPr>
          <w:rStyle w:val="tlid-translation"/>
          <w:lang/>
        </w:rPr>
        <w:t>components of wages and salaries</w:t>
      </w:r>
      <w:r w:rsidR="00C47165">
        <w:rPr>
          <w:rStyle w:val="tlid-translation"/>
          <w:lang/>
        </w:rPr>
        <w:t>), and in May such payments were not carried out in most entities</w:t>
      </w:r>
      <w:r w:rsidR="00382F44">
        <w:rPr>
          <w:rStyle w:val="tlid-translation"/>
          <w:lang/>
        </w:rPr>
        <w:t>.</w:t>
      </w:r>
      <w:r w:rsidR="00C47165">
        <w:rPr>
          <w:rStyle w:val="tlid-translation"/>
          <w:lang/>
        </w:rPr>
        <w:t xml:space="preserve"> </w:t>
      </w:r>
      <w:r w:rsidR="00C47165">
        <w:rPr>
          <w:rStyle w:val="alt-edited"/>
          <w:lang/>
        </w:rPr>
        <w:t xml:space="preserve">Apart from this, in May 2020, the phenomenon </w:t>
      </w:r>
      <w:r w:rsidR="00F85372">
        <w:rPr>
          <w:rStyle w:val="tlid-translation"/>
          <w:lang/>
        </w:rPr>
        <w:t>of reducing</w:t>
      </w:r>
      <w:r w:rsidR="003640CA">
        <w:rPr>
          <w:rStyle w:val="tlid-translation"/>
          <w:lang/>
        </w:rPr>
        <w:t xml:space="preserve"> </w:t>
      </w:r>
      <w:r w:rsidR="00F85372">
        <w:rPr>
          <w:rStyle w:val="tlid-translation"/>
          <w:lang/>
        </w:rPr>
        <w:t xml:space="preserve"> wages and salaries and</w:t>
      </w:r>
      <w:r w:rsidR="00DE6880">
        <w:rPr>
          <w:rStyle w:val="tlid-translation"/>
          <w:lang/>
        </w:rPr>
        <w:t xml:space="preserve"> paying </w:t>
      </w:r>
      <w:r w:rsidR="00342D5F">
        <w:rPr>
          <w:rStyle w:val="tlid-translation"/>
          <w:lang/>
        </w:rPr>
        <w:t>downtime</w:t>
      </w:r>
      <w:r w:rsidR="00DE6880">
        <w:rPr>
          <w:rStyle w:val="tlid-translation"/>
          <w:lang/>
        </w:rPr>
        <w:t xml:space="preserve"> benefit</w:t>
      </w:r>
      <w:r w:rsidR="00C47165">
        <w:rPr>
          <w:rStyle w:val="tlid-translation"/>
          <w:lang/>
        </w:rPr>
        <w:t xml:space="preserve"> </w:t>
      </w:r>
      <w:r w:rsidR="00C47165">
        <w:rPr>
          <w:rStyle w:val="alt-edited"/>
          <w:lang/>
        </w:rPr>
        <w:t>occurred again</w:t>
      </w:r>
      <w:r w:rsidR="00DE6880">
        <w:rPr>
          <w:rStyle w:val="tlid-translation"/>
          <w:lang/>
        </w:rPr>
        <w:t xml:space="preserve">. </w:t>
      </w:r>
    </w:p>
    <w:p w:rsidR="00382F44" w:rsidRDefault="00C47165" w:rsidP="00C47165">
      <w:pPr>
        <w:autoSpaceDE w:val="0"/>
        <w:autoSpaceDN w:val="0"/>
        <w:adjustRightInd w:val="0"/>
        <w:spacing w:after="0" w:line="240" w:lineRule="auto"/>
        <w:rPr>
          <w:rStyle w:val="tlid-translation"/>
          <w:lang/>
        </w:rPr>
      </w:pPr>
      <w:r>
        <w:rPr>
          <w:rStyle w:val="tlid-translation"/>
          <w:lang/>
        </w:rPr>
        <w:t>Annually (May 2020 to May 2019), a</w:t>
      </w:r>
      <w:r w:rsidR="00DE6880">
        <w:rPr>
          <w:rStyle w:val="tlid-translation"/>
          <w:lang/>
        </w:rPr>
        <w:t>ver</w:t>
      </w:r>
      <w:r>
        <w:rPr>
          <w:rStyle w:val="tlid-translation"/>
          <w:lang/>
        </w:rPr>
        <w:t xml:space="preserve">age gross wages and salaries </w:t>
      </w:r>
      <w:r w:rsidR="00DE6880">
        <w:rPr>
          <w:rStyle w:val="tlid-translation"/>
          <w:lang/>
        </w:rPr>
        <w:t>incr</w:t>
      </w:r>
      <w:r w:rsidR="00E301FA">
        <w:rPr>
          <w:rStyle w:val="tlid-translation"/>
          <w:lang/>
        </w:rPr>
        <w:t xml:space="preserve">eased </w:t>
      </w:r>
      <w:r>
        <w:rPr>
          <w:rStyle w:val="tlid-translation"/>
          <w:lang/>
        </w:rPr>
        <w:t>by 1.2</w:t>
      </w:r>
      <w:r w:rsidR="00E301FA">
        <w:rPr>
          <w:rStyle w:val="tlid-translation"/>
          <w:lang/>
        </w:rPr>
        <w:t>%, however</w:t>
      </w:r>
      <w:r w:rsidR="00895B11">
        <w:rPr>
          <w:rStyle w:val="tlid-translation"/>
          <w:lang/>
        </w:rPr>
        <w:t>,</w:t>
      </w:r>
      <w:r w:rsidR="00DE6880">
        <w:rPr>
          <w:rStyle w:val="tlid-translation"/>
          <w:lang/>
        </w:rPr>
        <w:t xml:space="preserve"> the growth rate was lower than in previous months.</w:t>
      </w:r>
    </w:p>
    <w:p w:rsidR="008F7E17" w:rsidRPr="008F7E17" w:rsidRDefault="00AA16CB" w:rsidP="008F7E17">
      <w:pPr>
        <w:pStyle w:val="NormalnyWeb"/>
        <w:spacing w:before="120" w:beforeAutospacing="0" w:after="0" w:afterAutospacing="0" w:line="240" w:lineRule="exact"/>
        <w:rPr>
          <w:rStyle w:val="tlid-translation"/>
          <w:rFonts w:ascii="Fira Sans" w:eastAsia="Fira Sans Light" w:hAnsi="Fira Sans"/>
          <w:sz w:val="19"/>
          <w:szCs w:val="22"/>
          <w:lang w:eastAsia="en-US"/>
        </w:rPr>
      </w:pPr>
      <w:r w:rsidRPr="00AA16CB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In the c</w:t>
      </w:r>
      <w:r w:rsidR="00BF1D88" w:rsidRPr="00AA16CB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umulative </w:t>
      </w:r>
      <w:r w:rsidR="001F4B88" w:rsidRPr="00AA16CB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period</w:t>
      </w:r>
      <w:r w:rsidR="001F4B88" w:rsidRPr="001F4B88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of </w:t>
      </w:r>
      <w:r w:rsidR="00C47165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five</w:t>
      </w:r>
      <w:r w:rsidR="001F4B88" w:rsidRPr="001F4B88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months </w:t>
      </w:r>
      <w:r w:rsidR="008F7E17" w:rsidRPr="008F7E1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of 2020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 average gross wages and salaries</w:t>
      </w:r>
      <w:r w:rsidR="008F7E17" w:rsidRPr="008F7E1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, compared to the same period of the previous year, increased in 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most</w:t>
      </w:r>
      <w:r w:rsidR="008F7E17" w:rsidRPr="008F7E1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 NACE sections by between </w:t>
      </w:r>
      <w:r w:rsidR="00C47165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1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.</w:t>
      </w:r>
      <w:r w:rsidR="00C47165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3</w:t>
      </w:r>
      <w:r w:rsidR="008F7E17" w:rsidRPr="008F7E1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% in section 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“</w:t>
      </w:r>
      <w:r w:rsidR="005C7D5A" w:rsidRPr="005C7D5A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Accommodation and catering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” and </w:t>
      </w:r>
      <w:r w:rsidR="005C7D5A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9.7</w:t>
      </w:r>
      <w:r w:rsidR="008F7E17" w:rsidRPr="008F7E1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% in section “Administrative and support service activities”, which resulted in total average monthly wages and salaries increase of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 </w:t>
      </w:r>
      <w:r w:rsidR="005C7D5A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4.7</w:t>
      </w:r>
      <w:r w:rsidR="008F7E17" w:rsidRPr="008F7E1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%</w:t>
      </w:r>
      <w:r w:rsidR="006A1D4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.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 Decrease by </w:t>
      </w:r>
      <w:r w:rsidR="005C7D5A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5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.</w:t>
      </w:r>
      <w:r w:rsidR="005C7D5A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4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 xml:space="preserve">% was noted in section </w:t>
      </w:r>
      <w:r w:rsidRPr="008F7E17"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“Agriculture, forestry and fishing”</w:t>
      </w:r>
      <w:r>
        <w:rPr>
          <w:rStyle w:val="tlid-translation"/>
          <w:rFonts w:ascii="Fira Sans" w:eastAsia="Fira Sans Light" w:hAnsi="Fira Sans"/>
          <w:sz w:val="19"/>
          <w:szCs w:val="22"/>
          <w:lang w:eastAsia="en-US"/>
        </w:rPr>
        <w:t>.</w:t>
      </w:r>
    </w:p>
    <w:p w:rsidR="00165CD9" w:rsidRPr="00AA16CB" w:rsidRDefault="00165CD9" w:rsidP="00E76D26">
      <w:pPr>
        <w:rPr>
          <w:sz w:val="18"/>
          <w:lang/>
        </w:rPr>
      </w:pPr>
    </w:p>
    <w:p w:rsidR="00694AF0" w:rsidRPr="00165CD9" w:rsidRDefault="00165CD9" w:rsidP="00E76D26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6A1D47"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t>Methodological</w:t>
      </w:r>
      <w:r w:rsidRPr="00165CD9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 xml:space="preserve"> notes</w:t>
      </w:r>
    </w:p>
    <w:p w:rsidR="00165CD9" w:rsidRPr="00C83480" w:rsidRDefault="00165CD9" w:rsidP="00E76D26">
      <w:pPr>
        <w:rPr>
          <w:rStyle w:val="tlid-translation"/>
          <w:lang/>
        </w:rPr>
      </w:pPr>
      <w:r w:rsidRPr="00165CD9">
        <w:rPr>
          <w:rStyle w:val="tlid-translation"/>
          <w:b/>
          <w:lang/>
        </w:rPr>
        <w:t>Enterprise sector concerns units employing more than 9 persons and conducting economic activity within the scope of the following areas</w:t>
      </w:r>
      <w:r w:rsidRPr="00165CD9">
        <w:rPr>
          <w:rStyle w:val="tlid-translation"/>
          <w:lang/>
        </w:rPr>
        <w:t>: forestry and logging; marine fishing; mining and quarrying; manufacturing; electricity, gas, steam and air conditioning supply; water supply; sewerage, waste management and remediation activities; construction; wholesale and retail trade; repair of motor vehicles and motorcycles; transportation and storage; accommodation and food service activities; information and communication; real estate activities; legal and accounting activities; activities of head offices; management consultancy activities; architectural and engineering activities; technical testing and analysis; advertising and market research; other professional, scientific and technical activities; administrative and support service activities; arts, entertainment and recreation; repair of computers and personal and household goods; other personal service activities</w:t>
      </w:r>
      <w:r w:rsidRPr="00C83480">
        <w:rPr>
          <w:rStyle w:val="tlid-translation"/>
          <w:lang/>
        </w:rPr>
        <w:t>.</w:t>
      </w:r>
    </w:p>
    <w:p w:rsidR="00150BDC" w:rsidRPr="00C83480" w:rsidRDefault="00C83480" w:rsidP="00C83480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/>
        </w:rPr>
      </w:pPr>
      <w:r w:rsidRPr="00C83480">
        <w:rPr>
          <w:rStyle w:val="tlid-translation"/>
          <w:lang/>
        </w:rPr>
        <w:t xml:space="preserve">Labour market data on survey report DG-1 do not include persons employed </w:t>
      </w:r>
      <w:r w:rsidR="006A1D47">
        <w:rPr>
          <w:rStyle w:val="tlid-translation"/>
          <w:lang/>
        </w:rPr>
        <w:t xml:space="preserve">under </w:t>
      </w:r>
      <w:r w:rsidRPr="00C83480">
        <w:rPr>
          <w:rStyle w:val="tlid-translation"/>
          <w:lang/>
        </w:rPr>
        <w:t xml:space="preserve">a </w:t>
      </w:r>
      <w:r w:rsidR="005B4BC9">
        <w:rPr>
          <w:rStyle w:val="tlid-translation"/>
          <w:lang/>
        </w:rPr>
        <w:t xml:space="preserve">mandate </w:t>
      </w:r>
      <w:r>
        <w:rPr>
          <w:rStyle w:val="tlid-translation"/>
          <w:lang/>
        </w:rPr>
        <w:t xml:space="preserve">contract and </w:t>
      </w:r>
      <w:r w:rsidR="005B4BC9">
        <w:rPr>
          <w:rStyle w:val="tlid-translation"/>
          <w:lang/>
        </w:rPr>
        <w:t>contract for</w:t>
      </w:r>
      <w:r w:rsidRPr="00C83480">
        <w:rPr>
          <w:rStyle w:val="tlid-translation"/>
          <w:lang/>
        </w:rPr>
        <w:t xml:space="preserve"> specified work</w:t>
      </w:r>
      <w:r>
        <w:rPr>
          <w:rStyle w:val="tlid-translation"/>
          <w:lang/>
        </w:rPr>
        <w:t xml:space="preserve"> (the detailed scope of exclusions can be found in the explanations of the DG-1 report</w:t>
      </w:r>
      <w:r w:rsidR="00113B14">
        <w:rPr>
          <w:rStyle w:val="Odwoanieprzypisudolnego"/>
          <w:lang/>
        </w:rPr>
        <w:footnoteReference w:id="4"/>
      </w:r>
      <w:r w:rsidR="00113B14">
        <w:rPr>
          <w:rStyle w:val="tlid-translation"/>
          <w:lang/>
        </w:rPr>
        <w:t>).</w:t>
      </w:r>
    </w:p>
    <w:p w:rsidR="008A3D9F" w:rsidRDefault="008A3D9F" w:rsidP="00E76D26">
      <w:pPr>
        <w:rPr>
          <w:rStyle w:val="tlid-translation"/>
          <w:lang/>
        </w:rPr>
      </w:pPr>
    </w:p>
    <w:p w:rsidR="008A3D9F" w:rsidRDefault="008A3D9F" w:rsidP="00E76D26">
      <w:pPr>
        <w:rPr>
          <w:rStyle w:val="tlid-translation"/>
          <w:lang/>
        </w:rPr>
      </w:pPr>
    </w:p>
    <w:p w:rsidR="008A3D9F" w:rsidRDefault="008A3D9F" w:rsidP="00E76D26">
      <w:pPr>
        <w:rPr>
          <w:rStyle w:val="tlid-translation"/>
          <w:lang/>
        </w:rPr>
      </w:pPr>
    </w:p>
    <w:p w:rsidR="008A3D9F" w:rsidRDefault="008A3D9F" w:rsidP="00E76D26">
      <w:pPr>
        <w:rPr>
          <w:rStyle w:val="tlid-translation"/>
          <w:lang/>
        </w:rPr>
      </w:pPr>
    </w:p>
    <w:p w:rsidR="008A3D9F" w:rsidRDefault="008A3D9F" w:rsidP="00E76D26">
      <w:pPr>
        <w:rPr>
          <w:rStyle w:val="tlid-translation"/>
          <w:lang/>
        </w:rPr>
      </w:pPr>
    </w:p>
    <w:p w:rsidR="008A3D9F" w:rsidRDefault="008A3D9F" w:rsidP="00E76D26">
      <w:pPr>
        <w:rPr>
          <w:rStyle w:val="tlid-translation"/>
          <w:lang/>
        </w:rPr>
      </w:pPr>
    </w:p>
    <w:p w:rsidR="008A3D9F" w:rsidRDefault="008A3D9F" w:rsidP="00E76D26">
      <w:pPr>
        <w:rPr>
          <w:rStyle w:val="tlid-translation"/>
          <w:lang/>
        </w:rPr>
      </w:pPr>
    </w:p>
    <w:p w:rsidR="008A3D9F" w:rsidRDefault="008A3D9F" w:rsidP="00E76D26">
      <w:pPr>
        <w:rPr>
          <w:rStyle w:val="tlid-translation"/>
          <w:lang/>
        </w:rPr>
      </w:pPr>
    </w:p>
    <w:p w:rsidR="008A3D9F" w:rsidRDefault="008A3D9F" w:rsidP="00E76D26">
      <w:pPr>
        <w:rPr>
          <w:rStyle w:val="tlid-translation"/>
          <w:lang/>
        </w:rPr>
      </w:pPr>
    </w:p>
    <w:p w:rsidR="008A3D9F" w:rsidRDefault="008A3D9F" w:rsidP="00E76D26">
      <w:pPr>
        <w:rPr>
          <w:rStyle w:val="tlid-translation"/>
          <w:lang/>
        </w:rPr>
      </w:pPr>
    </w:p>
    <w:p w:rsidR="008A3D9F" w:rsidRDefault="008A3D9F" w:rsidP="00E76D26">
      <w:pPr>
        <w:rPr>
          <w:rStyle w:val="tlid-translation"/>
          <w:lang/>
        </w:rPr>
      </w:pPr>
    </w:p>
    <w:p w:rsidR="008A3D9F" w:rsidRDefault="008A3D9F" w:rsidP="00E76D26">
      <w:pPr>
        <w:rPr>
          <w:rStyle w:val="tlid-translation"/>
          <w:lang/>
        </w:rPr>
      </w:pPr>
    </w:p>
    <w:p w:rsidR="008A3D9F" w:rsidRDefault="008A3D9F" w:rsidP="00E76D26">
      <w:pPr>
        <w:rPr>
          <w:rStyle w:val="tlid-translation"/>
          <w:lang/>
        </w:rPr>
      </w:pPr>
    </w:p>
    <w:p w:rsidR="00150BDC" w:rsidRDefault="008A3D9F" w:rsidP="00E76D26">
      <w:pPr>
        <w:rPr>
          <w:rStyle w:val="tlid-translation"/>
          <w:lang/>
        </w:rPr>
      </w:pPr>
      <w:r>
        <w:rPr>
          <w:rStyle w:val="tlid-translation"/>
          <w:lang/>
        </w:rPr>
        <w:t>In the case of quoting data from the Statistics Poland, please provide information: "Source of Statistics Poland data", and in the case of publishing calculations made using data published by the Statistics Poland, please provide information: "Own study based on Statistics Poland data".</w:t>
      </w:r>
    </w:p>
    <w:p w:rsidR="00382F44" w:rsidRDefault="00382F44" w:rsidP="00E76D26">
      <w:pPr>
        <w:rPr>
          <w:rStyle w:val="tlid-translation"/>
          <w:lang/>
        </w:rPr>
      </w:pPr>
    </w:p>
    <w:p w:rsidR="00150BDC" w:rsidRPr="00E0370A" w:rsidRDefault="00150BDC" w:rsidP="00E76D26">
      <w:pPr>
        <w:rPr>
          <w:sz w:val="18"/>
          <w:lang w:val="en-US"/>
        </w:rPr>
        <w:sectPr w:rsidR="00150BDC" w:rsidRPr="00E0370A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E0370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165"/>
        <w:gridCol w:w="3728"/>
      </w:tblGrid>
      <w:tr w:rsidR="000470AA" w:rsidRPr="00DD7A1F" w:rsidTr="00AC3FCE">
        <w:trPr>
          <w:trHeight w:val="1506"/>
        </w:trPr>
        <w:tc>
          <w:tcPr>
            <w:tcW w:w="4165" w:type="dxa"/>
          </w:tcPr>
          <w:p w:rsidR="000470AA" w:rsidRPr="00E05C32" w:rsidRDefault="001D2736" w:rsidP="00E23337">
            <w:pPr>
              <w:spacing w:before="0" w:after="0" w:line="276" w:lineRule="auto"/>
              <w:rPr>
                <w:rFonts w:cs="Arial"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color w:val="000000"/>
                <w:sz w:val="20"/>
                <w:lang w:val="en-US"/>
              </w:rPr>
              <w:t>Prepared by</w:t>
            </w:r>
            <w:r w:rsidR="000470AA" w:rsidRPr="00E05C32">
              <w:rPr>
                <w:rFonts w:cs="Arial"/>
                <w:color w:val="000000"/>
                <w:sz w:val="20"/>
                <w:lang w:val="en-US"/>
              </w:rPr>
              <w:t>:</w:t>
            </w:r>
          </w:p>
          <w:p w:rsidR="000470AA" w:rsidRPr="00E05C32" w:rsidRDefault="00E05C32" w:rsidP="00D00796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b/>
                <w:color w:val="000000"/>
                <w:sz w:val="20"/>
                <w:lang w:val="en-US"/>
              </w:rPr>
              <w:t>Labour Market Department</w:t>
            </w:r>
          </w:p>
          <w:p w:rsidR="00E05C32" w:rsidRPr="00B97220" w:rsidRDefault="00B97220" w:rsidP="00E05C32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B97220">
              <w:rPr>
                <w:rFonts w:cs="Arial"/>
                <w:b/>
                <w:color w:val="000000"/>
                <w:sz w:val="20"/>
                <w:lang w:val="en-US"/>
              </w:rPr>
              <w:t xml:space="preserve">Director </w:t>
            </w:r>
            <w:r w:rsidR="00653A1A" w:rsidRPr="00B97220">
              <w:rPr>
                <w:rFonts w:cs="Arial"/>
                <w:b/>
                <w:color w:val="000000"/>
                <w:sz w:val="20"/>
                <w:lang w:val="en-US"/>
              </w:rPr>
              <w:t>Agnieszka Zgierska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Office: tel. (+48 22)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608 32 21</w:t>
            </w:r>
          </w:p>
          <w:p w:rsidR="000470AA" w:rsidRPr="00B97220" w:rsidRDefault="000470AA" w:rsidP="00653A1A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  <w:u w:val="single"/>
                <w:lang w:val="en-US" w:eastAsia="en-US"/>
              </w:rPr>
            </w:pPr>
          </w:p>
        </w:tc>
        <w:tc>
          <w:tcPr>
            <w:tcW w:w="3728" w:type="dxa"/>
          </w:tcPr>
          <w:p w:rsidR="00AC3FCE" w:rsidRPr="00DD7A1F" w:rsidRDefault="001D2736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color w:val="000000"/>
                <w:sz w:val="20"/>
                <w:lang w:val="en-US"/>
              </w:rPr>
              <w:t>Issued by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t>: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br/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The Spoke</w:t>
            </w:r>
            <w:r w:rsidR="00B97220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person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for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the President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</w:p>
          <w:p w:rsidR="000470AA" w:rsidRPr="00DD7A1F" w:rsidRDefault="002D5D08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o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Statistic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Poland</w:t>
            </w:r>
          </w:p>
          <w:p w:rsidR="000470AA" w:rsidRPr="00DD7A1F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 w:eastAsia="en-US"/>
              </w:rPr>
            </w:pPr>
            <w:r w:rsidRPr="00DD7A1F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 w:eastAsia="en-US"/>
              </w:rPr>
              <w:t xml:space="preserve">Karolina </w:t>
            </w:r>
            <w:r w:rsidR="00004F50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 w:eastAsia="en-US"/>
              </w:rPr>
              <w:t>Banaszek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011</w:t>
            </w:r>
          </w:p>
          <w:p w:rsidR="000470AA" w:rsidRPr="00EA20D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:rsidR="000470AA" w:rsidRPr="00DD7A1F" w:rsidRDefault="000470AA" w:rsidP="000470AA">
      <w:pPr>
        <w:rPr>
          <w:sz w:val="20"/>
          <w:lang w:val="en-US"/>
        </w:rPr>
      </w:pPr>
    </w:p>
    <w:p w:rsidR="000470AA" w:rsidRPr="00DD7A1F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0470AA" w:rsidRPr="00DD7A1F" w:rsidTr="00EA20D2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D7A1F" w:rsidRDefault="001D2736" w:rsidP="000470AA">
            <w:pPr>
              <w:rPr>
                <w:b/>
                <w:sz w:val="20"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Press Office</w:t>
            </w:r>
          </w:p>
          <w:p w:rsidR="003A6B14" w:rsidRPr="00FE548D" w:rsidRDefault="003A6B14" w:rsidP="003A6B14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/>
                <w:sz w:val="20"/>
                <w:szCs w:val="24"/>
                <w:lang w:val="fi-FI"/>
              </w:rPr>
              <w:t xml:space="preserve">Office: tel. (+48 22) </w:t>
            </w:r>
            <w:r w:rsidRPr="00FE548D">
              <w:rPr>
                <w:sz w:val="20"/>
                <w:lang w:val="en-US"/>
              </w:rPr>
              <w:t xml:space="preserve">608 34 91, 608 38 04 </w:t>
            </w:r>
          </w:p>
          <w:p w:rsidR="008812C5" w:rsidRPr="00653A1A" w:rsidRDefault="008812C5" w:rsidP="000470AA">
            <w:pPr>
              <w:rPr>
                <w:b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e-mail:</w:t>
            </w:r>
            <w:r w:rsidRPr="00DD7A1F">
              <w:rPr>
                <w:sz w:val="20"/>
                <w:lang w:val="en-US"/>
              </w:rPr>
              <w:t xml:space="preserve"> </w:t>
            </w:r>
            <w:hyperlink r:id="rId16" w:history="1">
              <w:r w:rsidR="00653A1A" w:rsidRPr="00DE59E1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653A1A" w:rsidRPr="00DE59E1">
              <w:rPr>
                <w:b/>
                <w:sz w:val="20"/>
                <w:lang w:val="en-US"/>
              </w:rPr>
              <w:t xml:space="preserve"> </w:t>
            </w:r>
          </w:p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B265F4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3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  <w:r w:rsidRPr="00DD7A1F">
              <w:rPr>
                <w:sz w:val="20"/>
                <w:lang w:val="en-US"/>
              </w:rPr>
              <w:t>www.stat.gov.pl</w:t>
            </w:r>
            <w:r w:rsidR="001D2736" w:rsidRPr="00DD7A1F">
              <w:rPr>
                <w:sz w:val="20"/>
                <w:lang w:val="en-US"/>
              </w:rPr>
              <w:t>/en/</w:t>
            </w:r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B265F4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1D2736" w:rsidP="000470AA">
            <w:pPr>
              <w:rPr>
                <w:sz w:val="18"/>
              </w:rPr>
            </w:pPr>
            <w:r w:rsidRPr="00EA20D2">
              <w:rPr>
                <w:sz w:val="20"/>
              </w:rPr>
              <w:t>@StatPoland</w:t>
            </w:r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EA20D2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EA20D2" w:rsidRDefault="00B265F4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1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0470AA" w:rsidP="000470AA">
            <w:pPr>
              <w:rPr>
                <w:sz w:val="20"/>
              </w:rPr>
            </w:pPr>
            <w:r w:rsidRPr="00EA20D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D31C1A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0" type="#_x0000_t202" style="position:absolute;margin-left:1.5pt;margin-top:33.5pt;width:516.5pt;height:349.85pt;z-index:25165619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" strokecolor="white">
            <v:textbox>
              <w:txbxContent>
                <w:p w:rsidR="00F3480F" w:rsidRDefault="00F3480F" w:rsidP="00AB6D25">
                  <w:pPr>
                    <w:rPr>
                      <w:b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lang w:val="en-US"/>
                    </w:rPr>
                  </w:pPr>
                  <w:r w:rsidRPr="00DD7A1F">
                    <w:rPr>
                      <w:b/>
                      <w:lang w:val="en-US"/>
                    </w:rPr>
                    <w:t>Related information</w:t>
                  </w:r>
                </w:p>
                <w:p w:rsidR="00F3480F" w:rsidRPr="00415A0C" w:rsidRDefault="00F3480F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0" w:history="1">
                    <w:r w:rsidRPr="00415A0C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Labour-market: Working employed. Wages and salaries. Cost of labour</w:t>
                    </w:r>
                  </w:hyperlink>
                </w:p>
                <w:p w:rsidR="00D17516" w:rsidRPr="009A55E2" w:rsidRDefault="009A55E2" w:rsidP="00D17516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2060"/>
                      <w:sz w:val="18"/>
                      <w:szCs w:val="18"/>
                      <w:shd w:val="clear" w:color="auto" w:fill="F0F0F0"/>
                      <w:lang w:val="en-US" w:eastAsia="en-US"/>
                    </w:rPr>
                  </w:pPr>
                  <w:hyperlink r:id="rId21" w:history="1">
                    <w:r w:rsidR="00D17516" w:rsidRPr="009A55E2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18"/>
                        <w:shd w:val="clear" w:color="auto" w:fill="F0F0F0"/>
                        <w:lang w:val="en-US" w:eastAsia="en-US"/>
                      </w:rPr>
                      <w:t>Employment, wages and salaries i</w:t>
                    </w:r>
                    <w:r w:rsidR="00D17516" w:rsidRPr="009A55E2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18"/>
                        <w:shd w:val="clear" w:color="auto" w:fill="F0F0F0"/>
                        <w:lang w:val="en-US" w:eastAsia="en-US"/>
                      </w:rPr>
                      <w:t>n</w:t>
                    </w:r>
                    <w:r w:rsidR="00D17516" w:rsidRPr="009A55E2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18"/>
                        <w:shd w:val="clear" w:color="auto" w:fill="F0F0F0"/>
                        <w:lang w:val="en-US" w:eastAsia="en-US"/>
                      </w:rPr>
                      <w:t xml:space="preserve"> national economy in 2019</w:t>
                    </w:r>
                  </w:hyperlink>
                </w:p>
                <w:p w:rsidR="00F3480F" w:rsidRDefault="00446D71" w:rsidP="00AB6D25">
                  <w:pPr>
                    <w:rPr>
                      <w:rStyle w:val="Hipercze"/>
                      <w:rFonts w:cs="Arial"/>
                      <w:color w:val="002060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2" w:history="1"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Stru</w:t>
                    </w:r>
                    <w:r w:rsidR="004C70AC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c</w:t>
                    </w:r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ture of</w:t>
                    </w:r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 </w:t>
                    </w:r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wages and salaries by occupa</w:t>
                    </w:r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t</w:t>
                    </w:r>
                    <w:r w:rsidR="00F3480F"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ions in October 201</w:t>
                    </w:r>
                    <w:r w:rsidRPr="00446D71">
                      <w:rPr>
                        <w:rStyle w:val="Hipercze"/>
                        <w:rFonts w:cs="Arial"/>
                        <w:color w:val="002060"/>
                        <w:sz w:val="18"/>
                        <w:szCs w:val="18"/>
                        <w:shd w:val="clear" w:color="auto" w:fill="F0F0F0"/>
                        <w:lang w:val="en-US"/>
                      </w:rPr>
                      <w:t>8</w:t>
                    </w:r>
                  </w:hyperlink>
                </w:p>
                <w:p w:rsidR="00766496" w:rsidRPr="00766496" w:rsidRDefault="00766496" w:rsidP="00766496">
                  <w:pPr>
                    <w:rPr>
                      <w:rStyle w:val="Hipercze"/>
                      <w:rFonts w:cs="Arial"/>
                      <w:color w:val="002060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3" w:history="1"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Method</w:t>
                    </w:r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o</w:t>
                    </w:r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logical report </w:t>
                    </w:r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W</w:t>
                    </w:r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ages and salaries in the national economy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Data available in databases</w:t>
                  </w:r>
                </w:p>
                <w:p w:rsidR="00F3480F" w:rsidRPr="00DD7A1F" w:rsidRDefault="00F3480F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4" w:history="1">
                    <w:r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Local Data Bank – Labour</w:t>
                    </w:r>
                    <w:r w:rsidR="00101A2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Default="00F3480F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5" w:history="1">
                    <w:r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Macroec</w:t>
                    </w:r>
                    <w:r w:rsidR="0086670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o</w:t>
                    </w:r>
                    <w:r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nomic Data Bank – Labour</w:t>
                    </w:r>
                    <w:r w:rsidR="00101A2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Pr="004C70AC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Terms used in official statistics</w:t>
                  </w:r>
                  <w:bookmarkStart w:id="0" w:name="_GoBack"/>
                  <w:bookmarkEnd w:id="0"/>
                </w:p>
                <w:p w:rsidR="00F3480F" w:rsidRPr="001B0C2D" w:rsidRDefault="00F3480F" w:rsidP="001B0C2D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6" w:tooltip="Average paid employment" w:history="1">
                    <w:r w:rsidRPr="001B0C2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Average paid employment</w:t>
                    </w:r>
                  </w:hyperlink>
                </w:p>
                <w:p w:rsidR="00766496" w:rsidRPr="00766496" w:rsidRDefault="00766496" w:rsidP="001B0C2D">
                  <w:pPr>
                    <w:rPr>
                      <w:rStyle w:val="Hipercze"/>
                      <w:rFonts w:cs="Arial"/>
                      <w:color w:val="002060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7" w:history="1"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Wages and salaries to calculate averag</w:t>
                    </w:r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>e</w:t>
                    </w:r>
                    <w:r w:rsidRPr="00766496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monthly wages and salaries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D6E" w:rsidRDefault="00DD7D6E" w:rsidP="000662E2">
      <w:pPr>
        <w:spacing w:after="0" w:line="240" w:lineRule="auto"/>
      </w:pPr>
      <w:r>
        <w:separator/>
      </w:r>
    </w:p>
  </w:endnote>
  <w:endnote w:type="continuationSeparator" w:id="0">
    <w:p w:rsidR="00DD7D6E" w:rsidRDefault="00DD7D6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 w:rsidP="003B18B6">
    <w:pPr>
      <w:pStyle w:val="Stopka"/>
      <w:jc w:val="center"/>
    </w:pPr>
    <w:fldSimple w:instr="PAGE   \* MERGEFORMAT">
      <w:r w:rsidR="00B265F4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 w:rsidP="003B18B6">
    <w:pPr>
      <w:pStyle w:val="Stopka"/>
      <w:jc w:val="center"/>
    </w:pPr>
    <w:fldSimple w:instr="PAGE   \* MERGEFORMAT">
      <w:r w:rsidR="00B265F4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 w:rsidP="003B18B6">
    <w:pPr>
      <w:pStyle w:val="Stopka"/>
      <w:jc w:val="center"/>
    </w:pPr>
    <w:fldSimple w:instr="PAGE   \* MERGEFORMAT">
      <w:r w:rsidR="00B265F4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D6E" w:rsidRDefault="00DD7D6E" w:rsidP="000662E2">
      <w:pPr>
        <w:spacing w:after="0" w:line="240" w:lineRule="auto"/>
      </w:pPr>
      <w:r>
        <w:separator/>
      </w:r>
    </w:p>
  </w:footnote>
  <w:footnote w:type="continuationSeparator" w:id="0">
    <w:p w:rsidR="00DD7D6E" w:rsidRDefault="00DD7D6E" w:rsidP="000662E2">
      <w:pPr>
        <w:spacing w:after="0" w:line="240" w:lineRule="auto"/>
      </w:pPr>
      <w:r>
        <w:continuationSeparator/>
      </w:r>
    </w:p>
  </w:footnote>
  <w:footnote w:id="1">
    <w:p w:rsidR="005C6032" w:rsidRPr="00165CD9" w:rsidRDefault="005C6032" w:rsidP="005C6032">
      <w:pPr>
        <w:tabs>
          <w:tab w:val="left" w:pos="170"/>
        </w:tabs>
        <w:rPr>
          <w:rFonts w:eastAsia="Calibri"/>
          <w:sz w:val="16"/>
          <w:szCs w:val="20"/>
          <w:shd w:val="clear" w:color="auto" w:fill="FFFFFF"/>
          <w:lang w:val="en-US"/>
        </w:rPr>
      </w:pPr>
      <w:r>
        <w:rPr>
          <w:rStyle w:val="Odwoanieprzypisudolnego"/>
        </w:rPr>
        <w:footnoteRef/>
      </w:r>
      <w:r w:rsidRPr="005C6032">
        <w:rPr>
          <w:lang w:val="en-US"/>
        </w:rPr>
        <w:t xml:space="preserve"> </w:t>
      </w:r>
      <w:r w:rsidR="00165CD9" w:rsidRPr="00165CD9">
        <w:rPr>
          <w:rStyle w:val="tlid-translation"/>
          <w:sz w:val="16"/>
          <w:szCs w:val="16"/>
          <w:lang/>
        </w:rPr>
        <w:t>Activities included in the enterprise sector are listed on page 2.</w:t>
      </w:r>
    </w:p>
  </w:footnote>
  <w:footnote w:id="2">
    <w:p w:rsidR="005C6032" w:rsidRPr="005C6032" w:rsidRDefault="005C6032">
      <w:pPr>
        <w:pStyle w:val="Tekstprzypisudolnego"/>
        <w:rPr>
          <w:lang w:val="en-US"/>
        </w:rPr>
      </w:pP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  <w:lang w:val="pl-PL" w:eastAsia="en-US"/>
        </w:rPr>
        <w:footnoteRef/>
      </w: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  <w:lang w:val="en-US" w:eastAsia="en-US"/>
        </w:rPr>
        <w:t xml:space="preserve"> </w:t>
      </w:r>
      <w:r w:rsidRPr="00660524">
        <w:rPr>
          <w:rFonts w:ascii="Fira Sans" w:eastAsia="Calibri" w:hAnsi="Fira Sans"/>
          <w:sz w:val="16"/>
          <w:szCs w:val="16"/>
          <w:shd w:val="clear" w:color="auto" w:fill="FFFFFF"/>
          <w:lang w:val="en-US" w:eastAsia="en-US"/>
        </w:rPr>
        <w:t xml:space="preserve">Methodological report Monthly activity report of enterprises: </w:t>
      </w:r>
      <w:hyperlink r:id="rId1" w:history="1">
        <w:r w:rsidR="007D29E9" w:rsidRPr="007D29E9">
          <w:rPr>
            <w:rStyle w:val="Hipercze"/>
            <w:rFonts w:ascii="Fira Sans" w:eastAsia="Calibri" w:hAnsi="Fira Sans"/>
            <w:color w:val="002060"/>
            <w:sz w:val="16"/>
            <w:szCs w:val="16"/>
            <w:shd w:val="clear" w:color="auto" w:fill="FFFFFF"/>
            <w:lang w:val="en-US" w:eastAsia="en-US"/>
          </w:rPr>
          <w:t>https://stat.gov.pl/en/topics/economic-activities-finances/activity-of-enterprises-activity-of-companies/methodological-report-monthly-activity-report-of-enterprises,17,1.html</w:t>
        </w:r>
      </w:hyperlink>
      <w:r w:rsidR="007D29E9" w:rsidRPr="007D29E9">
        <w:rPr>
          <w:rFonts w:ascii="Fira Sans" w:eastAsia="Calibri" w:hAnsi="Fira Sans"/>
          <w:color w:val="002060"/>
          <w:sz w:val="16"/>
          <w:shd w:val="clear" w:color="auto" w:fill="FFFFFF"/>
          <w:lang w:val="en-US" w:eastAsia="en-US"/>
        </w:rPr>
        <w:t xml:space="preserve">  </w:t>
      </w:r>
      <w:r w:rsidRPr="007D29E9">
        <w:rPr>
          <w:rFonts w:ascii="Fira Sans" w:hAnsi="Fira Sans"/>
          <w:color w:val="002060"/>
          <w:sz w:val="16"/>
          <w:szCs w:val="16"/>
          <w:lang w:val="en-US"/>
        </w:rPr>
        <w:t>.</w:t>
      </w:r>
      <w:r w:rsidRPr="007D29E9">
        <w:rPr>
          <w:color w:val="002060"/>
          <w:lang w:val="en-US"/>
        </w:rPr>
        <w:t xml:space="preserve"> </w:t>
      </w:r>
    </w:p>
  </w:footnote>
  <w:footnote w:id="3">
    <w:p w:rsidR="00382F44" w:rsidRPr="00382F44" w:rsidRDefault="00382F44">
      <w:pPr>
        <w:pStyle w:val="Tekstprzypisudolnego"/>
        <w:rPr>
          <w:rFonts w:ascii="Fira Sans" w:hAnsi="Fira Sans"/>
          <w:sz w:val="16"/>
          <w:szCs w:val="16"/>
          <w:lang w:val="en-US"/>
        </w:rPr>
      </w:pPr>
      <w:r>
        <w:rPr>
          <w:rStyle w:val="Odwoanieprzypisudolnego"/>
        </w:rPr>
        <w:footnoteRef/>
      </w:r>
      <w:r>
        <w:t xml:space="preserve"> </w:t>
      </w:r>
      <w:r w:rsidRPr="00382F44">
        <w:rPr>
          <w:rFonts w:ascii="Fira Sans" w:hAnsi="Fira Sans"/>
          <w:sz w:val="16"/>
          <w:szCs w:val="16"/>
          <w:lang w:val="en-US"/>
        </w:rPr>
        <w:t xml:space="preserve">DG-1 report in English is available in </w:t>
      </w:r>
      <w:r w:rsidRPr="001C6A91">
        <w:rPr>
          <w:rFonts w:ascii="Fira Sans" w:hAnsi="Fira Sans"/>
          <w:sz w:val="16"/>
          <w:szCs w:val="16"/>
        </w:rPr>
        <w:t>Methodological report Monthly activity report of enterprises</w:t>
      </w:r>
      <w:r w:rsidRPr="001C6A91">
        <w:rPr>
          <w:rFonts w:ascii="Fira Sans" w:hAnsi="Fira Sans"/>
          <w:sz w:val="16"/>
          <w:szCs w:val="16"/>
          <w:lang w:val="en-US"/>
        </w:rPr>
        <w:t>:</w:t>
      </w:r>
      <w:r w:rsidRPr="00382F44">
        <w:rPr>
          <w:rFonts w:ascii="Fira Sans" w:hAnsi="Fira Sans"/>
          <w:sz w:val="16"/>
          <w:szCs w:val="16"/>
          <w:lang w:val="en-US"/>
        </w:rPr>
        <w:t xml:space="preserve"> </w:t>
      </w:r>
      <w:hyperlink r:id="rId2" w:history="1">
        <w:r w:rsidRPr="00382F44">
          <w:rPr>
            <w:rStyle w:val="Hipercze"/>
            <w:rFonts w:ascii="Fira Sans" w:hAnsi="Fira Sans"/>
            <w:color w:val="002060"/>
            <w:sz w:val="16"/>
            <w:szCs w:val="16"/>
            <w:lang w:val="en-US"/>
          </w:rPr>
          <w:t>https://stat.gov.pl/en/topics/economic-activities-finances/activity-of-enterprises-activity-of-companies/methodological-report-monthly-activity-report-of-enterprises,17,1.html</w:t>
        </w:r>
      </w:hyperlink>
      <w:r w:rsidRPr="00382F44">
        <w:rPr>
          <w:rFonts w:ascii="Fira Sans" w:hAnsi="Fira Sans"/>
          <w:color w:val="002060"/>
          <w:sz w:val="16"/>
          <w:szCs w:val="16"/>
          <w:lang w:val="en-US"/>
        </w:rPr>
        <w:t>.</w:t>
      </w:r>
    </w:p>
  </w:footnote>
  <w:footnote w:id="4">
    <w:p w:rsidR="00113B14" w:rsidRPr="00113B14" w:rsidRDefault="00113B1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>
        <w:t xml:space="preserve"> </w:t>
      </w:r>
      <w:r w:rsidRPr="00382F44">
        <w:rPr>
          <w:rFonts w:ascii="Fira Sans" w:hAnsi="Fira Sans"/>
          <w:sz w:val="16"/>
          <w:szCs w:val="16"/>
          <w:lang w:val="en-US"/>
        </w:rPr>
        <w:t xml:space="preserve">DG-1 report in English is available in </w:t>
      </w:r>
      <w:r w:rsidRPr="001C6A91">
        <w:rPr>
          <w:rFonts w:ascii="Fira Sans" w:hAnsi="Fira Sans"/>
          <w:sz w:val="16"/>
          <w:szCs w:val="16"/>
        </w:rPr>
        <w:t>Methodological report Monthly activity report of enterprises</w:t>
      </w:r>
      <w:r w:rsidRPr="001C6A91">
        <w:rPr>
          <w:rFonts w:ascii="Fira Sans" w:hAnsi="Fira Sans"/>
          <w:sz w:val="16"/>
          <w:szCs w:val="16"/>
          <w:lang w:val="en-US"/>
        </w:rPr>
        <w:t>:</w:t>
      </w:r>
      <w:r w:rsidRPr="00382F44">
        <w:rPr>
          <w:rFonts w:ascii="Fira Sans" w:hAnsi="Fira Sans"/>
          <w:sz w:val="16"/>
          <w:szCs w:val="16"/>
          <w:lang w:val="en-US"/>
        </w:rPr>
        <w:t xml:space="preserve"> </w:t>
      </w:r>
      <w:hyperlink r:id="rId3" w:history="1">
        <w:r w:rsidRPr="00382F44">
          <w:rPr>
            <w:rStyle w:val="Hipercze"/>
            <w:rFonts w:ascii="Fira Sans" w:hAnsi="Fira Sans"/>
            <w:color w:val="002060"/>
            <w:sz w:val="16"/>
            <w:szCs w:val="16"/>
            <w:lang w:val="en-US"/>
          </w:rPr>
          <w:t>https://stat.gov.pl/en/topics/economic-activities-finances/activity-of-enterprises-activity-of-companies/methodological-report-monthly-activity-report-of-enterprises,17,1.html</w:t>
        </w:r>
      </w:hyperlink>
      <w:r w:rsidRPr="00382F44">
        <w:rPr>
          <w:rFonts w:ascii="Fira Sans" w:hAnsi="Fira Sans"/>
          <w:color w:val="002060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>
    <w:pPr>
      <w:pStyle w:val="Nagwek"/>
    </w:pPr>
    <w:r>
      <w:rPr>
        <w:noProof/>
        <w:lang w:eastAsia="pl-PL"/>
      </w:rPr>
      <w:pict>
        <v:rect id="Prostokąt 24" o:spid="_x0000_s2053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:rsidR="00F3480F" w:rsidRDefault="00F3480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2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480F" w:rsidRPr="003C6C8D" w:rsidRDefault="00F3480F" w:rsidP="00940201">
                <w:pPr>
                  <w:spacing w:before="6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1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B265F4">
      <w:rPr>
        <w:noProof/>
        <w:lang w:eastAsia="pl-PL"/>
      </w:rPr>
      <w:drawing>
        <wp:inline distT="0" distB="0" distL="0" distR="0">
          <wp:extent cx="1870075" cy="706755"/>
          <wp:effectExtent l="19050" t="0" r="0" b="0"/>
          <wp:docPr id="2" name="Obraz 2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480F" w:rsidRDefault="00F3480F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480F" w:rsidRDefault="00147742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18</w:t>
                </w:r>
                <w:r w:rsidR="00276EBC">
                  <w:rPr>
                    <w:rFonts w:ascii="Fira Sans SemiBold" w:hAnsi="Fira Sans SemiBold"/>
                    <w:color w:val="001D77"/>
                  </w:rPr>
                  <w:t>.</w:t>
                </w:r>
                <w:r w:rsidR="00446D71">
                  <w:rPr>
                    <w:rFonts w:ascii="Fira Sans SemiBold" w:hAnsi="Fira Sans SemiBold"/>
                    <w:color w:val="001D77"/>
                  </w:rPr>
                  <w:t>0</w:t>
                </w:r>
                <w:r>
                  <w:rPr>
                    <w:rFonts w:ascii="Fira Sans SemiBold" w:hAnsi="Fira Sans SemiBold"/>
                    <w:color w:val="001D77"/>
                  </w:rPr>
                  <w:t>6</w:t>
                </w:r>
                <w:r w:rsidR="00DE59E1">
                  <w:rPr>
                    <w:rFonts w:ascii="Fira Sans SemiBold" w:hAnsi="Fira Sans SemiBold"/>
                    <w:color w:val="001D77"/>
                  </w:rPr>
                  <w:t>.2020</w:t>
                </w:r>
              </w:p>
              <w:p w:rsidR="00F3480F" w:rsidRPr="00C97596" w:rsidRDefault="00F3480F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>
    <w:pPr>
      <w:pStyle w:val="Nagwek"/>
    </w:pPr>
  </w:p>
  <w:p w:rsidR="00F3480F" w:rsidRDefault="00F348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55pt;height:125.2pt;visibility:visible" o:bullet="t">
        <v:imagedata r:id="rId1" o:title=""/>
      </v:shape>
    </w:pict>
  </w:numPicBullet>
  <w:numPicBullet w:numPicBulletId="1">
    <w:pict>
      <v:shape id="_x0000_i1035" type="#_x0000_t75" style="width:124.3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1C5B"/>
    <w:rsid w:val="000027D2"/>
    <w:rsid w:val="00003437"/>
    <w:rsid w:val="00004F50"/>
    <w:rsid w:val="0000709F"/>
    <w:rsid w:val="000108B8"/>
    <w:rsid w:val="000152F5"/>
    <w:rsid w:val="000279CF"/>
    <w:rsid w:val="00041AF3"/>
    <w:rsid w:val="00042F4E"/>
    <w:rsid w:val="0004582E"/>
    <w:rsid w:val="000470AA"/>
    <w:rsid w:val="00053F2E"/>
    <w:rsid w:val="00057CA1"/>
    <w:rsid w:val="000628BD"/>
    <w:rsid w:val="000662E2"/>
    <w:rsid w:val="00066883"/>
    <w:rsid w:val="00074DD8"/>
    <w:rsid w:val="000806F7"/>
    <w:rsid w:val="00093C74"/>
    <w:rsid w:val="00095252"/>
    <w:rsid w:val="000A465D"/>
    <w:rsid w:val="000B0727"/>
    <w:rsid w:val="000C0DD6"/>
    <w:rsid w:val="000C135D"/>
    <w:rsid w:val="000C44F0"/>
    <w:rsid w:val="000C4946"/>
    <w:rsid w:val="000D1D43"/>
    <w:rsid w:val="000D225C"/>
    <w:rsid w:val="000D2A5C"/>
    <w:rsid w:val="000E0918"/>
    <w:rsid w:val="000F03A2"/>
    <w:rsid w:val="000F44A1"/>
    <w:rsid w:val="000F73CC"/>
    <w:rsid w:val="001011C3"/>
    <w:rsid w:val="00101A27"/>
    <w:rsid w:val="00110D87"/>
    <w:rsid w:val="00110DD5"/>
    <w:rsid w:val="00113B14"/>
    <w:rsid w:val="00114DB9"/>
    <w:rsid w:val="00116087"/>
    <w:rsid w:val="00130296"/>
    <w:rsid w:val="00135B5E"/>
    <w:rsid w:val="001423B6"/>
    <w:rsid w:val="001448A7"/>
    <w:rsid w:val="00144B29"/>
    <w:rsid w:val="00146621"/>
    <w:rsid w:val="00147742"/>
    <w:rsid w:val="00150BDC"/>
    <w:rsid w:val="00155F06"/>
    <w:rsid w:val="00162325"/>
    <w:rsid w:val="001639A6"/>
    <w:rsid w:val="00163FAA"/>
    <w:rsid w:val="00165CD9"/>
    <w:rsid w:val="00166B2E"/>
    <w:rsid w:val="001748A2"/>
    <w:rsid w:val="00174A90"/>
    <w:rsid w:val="00186DA1"/>
    <w:rsid w:val="001951DA"/>
    <w:rsid w:val="00195EB2"/>
    <w:rsid w:val="001B0C2D"/>
    <w:rsid w:val="001B213A"/>
    <w:rsid w:val="001B2881"/>
    <w:rsid w:val="001C2ACC"/>
    <w:rsid w:val="001C3269"/>
    <w:rsid w:val="001C51EE"/>
    <w:rsid w:val="001C6A91"/>
    <w:rsid w:val="001D16BF"/>
    <w:rsid w:val="001D1DB4"/>
    <w:rsid w:val="001D2736"/>
    <w:rsid w:val="001F4B88"/>
    <w:rsid w:val="001F5212"/>
    <w:rsid w:val="00221A81"/>
    <w:rsid w:val="00221B28"/>
    <w:rsid w:val="002221FE"/>
    <w:rsid w:val="00223CE0"/>
    <w:rsid w:val="00226295"/>
    <w:rsid w:val="0023248A"/>
    <w:rsid w:val="00235764"/>
    <w:rsid w:val="00251345"/>
    <w:rsid w:val="002574F9"/>
    <w:rsid w:val="00262B61"/>
    <w:rsid w:val="00276811"/>
    <w:rsid w:val="00276EBC"/>
    <w:rsid w:val="00282699"/>
    <w:rsid w:val="00282E7B"/>
    <w:rsid w:val="00286256"/>
    <w:rsid w:val="002926DF"/>
    <w:rsid w:val="002930BA"/>
    <w:rsid w:val="00296697"/>
    <w:rsid w:val="002B0472"/>
    <w:rsid w:val="002B6B12"/>
    <w:rsid w:val="002C49F6"/>
    <w:rsid w:val="002D12A1"/>
    <w:rsid w:val="002D3583"/>
    <w:rsid w:val="002D5D08"/>
    <w:rsid w:val="002E6140"/>
    <w:rsid w:val="002E6985"/>
    <w:rsid w:val="002E71B6"/>
    <w:rsid w:val="002F6420"/>
    <w:rsid w:val="002F77C8"/>
    <w:rsid w:val="00300E6B"/>
    <w:rsid w:val="00304F22"/>
    <w:rsid w:val="00306C7C"/>
    <w:rsid w:val="003114C7"/>
    <w:rsid w:val="003153FD"/>
    <w:rsid w:val="00322EDD"/>
    <w:rsid w:val="00332320"/>
    <w:rsid w:val="00335589"/>
    <w:rsid w:val="00342D16"/>
    <w:rsid w:val="00342D5F"/>
    <w:rsid w:val="00347D72"/>
    <w:rsid w:val="00357611"/>
    <w:rsid w:val="003640CA"/>
    <w:rsid w:val="00367237"/>
    <w:rsid w:val="0037077F"/>
    <w:rsid w:val="00372411"/>
    <w:rsid w:val="00373882"/>
    <w:rsid w:val="00376299"/>
    <w:rsid w:val="00382F44"/>
    <w:rsid w:val="003843DB"/>
    <w:rsid w:val="00391D1D"/>
    <w:rsid w:val="00393761"/>
    <w:rsid w:val="003952AC"/>
    <w:rsid w:val="003956C1"/>
    <w:rsid w:val="00397D18"/>
    <w:rsid w:val="003A1B36"/>
    <w:rsid w:val="003A6B14"/>
    <w:rsid w:val="003B1454"/>
    <w:rsid w:val="003B18B6"/>
    <w:rsid w:val="003B2E6B"/>
    <w:rsid w:val="003C59E0"/>
    <w:rsid w:val="003C6849"/>
    <w:rsid w:val="003C6C8D"/>
    <w:rsid w:val="003D4F95"/>
    <w:rsid w:val="003D5F42"/>
    <w:rsid w:val="003D60A9"/>
    <w:rsid w:val="003D68A9"/>
    <w:rsid w:val="003E5411"/>
    <w:rsid w:val="003E5B60"/>
    <w:rsid w:val="003E7D33"/>
    <w:rsid w:val="003F42A9"/>
    <w:rsid w:val="003F4C97"/>
    <w:rsid w:val="003F7FE6"/>
    <w:rsid w:val="00400193"/>
    <w:rsid w:val="00415A0C"/>
    <w:rsid w:val="004212E7"/>
    <w:rsid w:val="0042304E"/>
    <w:rsid w:val="0042446D"/>
    <w:rsid w:val="00425741"/>
    <w:rsid w:val="0042663A"/>
    <w:rsid w:val="00427BF8"/>
    <w:rsid w:val="00431B76"/>
    <w:rsid w:val="00431C02"/>
    <w:rsid w:val="00433E3A"/>
    <w:rsid w:val="0043502D"/>
    <w:rsid w:val="00437395"/>
    <w:rsid w:val="004444AF"/>
    <w:rsid w:val="00445047"/>
    <w:rsid w:val="00446D71"/>
    <w:rsid w:val="00463E39"/>
    <w:rsid w:val="004657FC"/>
    <w:rsid w:val="00471F7F"/>
    <w:rsid w:val="004733F6"/>
    <w:rsid w:val="00474E69"/>
    <w:rsid w:val="00475D61"/>
    <w:rsid w:val="00486853"/>
    <w:rsid w:val="00490D06"/>
    <w:rsid w:val="0049621B"/>
    <w:rsid w:val="004B12C1"/>
    <w:rsid w:val="004B7DAD"/>
    <w:rsid w:val="004C1895"/>
    <w:rsid w:val="004C197C"/>
    <w:rsid w:val="004C6D40"/>
    <w:rsid w:val="004C70AC"/>
    <w:rsid w:val="004E60D2"/>
    <w:rsid w:val="004F0C3C"/>
    <w:rsid w:val="004F63FC"/>
    <w:rsid w:val="005025B2"/>
    <w:rsid w:val="00505A92"/>
    <w:rsid w:val="00510B3F"/>
    <w:rsid w:val="00516EE0"/>
    <w:rsid w:val="005203F1"/>
    <w:rsid w:val="00521BC3"/>
    <w:rsid w:val="00530317"/>
    <w:rsid w:val="00531151"/>
    <w:rsid w:val="00533632"/>
    <w:rsid w:val="00533BDE"/>
    <w:rsid w:val="00541E6E"/>
    <w:rsid w:val="0054251F"/>
    <w:rsid w:val="005520D8"/>
    <w:rsid w:val="00556CF1"/>
    <w:rsid w:val="00574DA8"/>
    <w:rsid w:val="005762A7"/>
    <w:rsid w:val="00581CBC"/>
    <w:rsid w:val="005916D7"/>
    <w:rsid w:val="005919BB"/>
    <w:rsid w:val="00593031"/>
    <w:rsid w:val="005A4B6C"/>
    <w:rsid w:val="005A698C"/>
    <w:rsid w:val="005B4BC9"/>
    <w:rsid w:val="005C6032"/>
    <w:rsid w:val="005C7D5A"/>
    <w:rsid w:val="005D0892"/>
    <w:rsid w:val="005E0799"/>
    <w:rsid w:val="005E4158"/>
    <w:rsid w:val="005F5A80"/>
    <w:rsid w:val="006044FF"/>
    <w:rsid w:val="00607CC5"/>
    <w:rsid w:val="00611ACB"/>
    <w:rsid w:val="00632FF5"/>
    <w:rsid w:val="00633014"/>
    <w:rsid w:val="00633F14"/>
    <w:rsid w:val="0063437B"/>
    <w:rsid w:val="00653A1A"/>
    <w:rsid w:val="00660524"/>
    <w:rsid w:val="006673CA"/>
    <w:rsid w:val="00673C26"/>
    <w:rsid w:val="006744D8"/>
    <w:rsid w:val="006812AF"/>
    <w:rsid w:val="00682869"/>
    <w:rsid w:val="0068327D"/>
    <w:rsid w:val="00694AF0"/>
    <w:rsid w:val="006A1D47"/>
    <w:rsid w:val="006A4686"/>
    <w:rsid w:val="006B0E9E"/>
    <w:rsid w:val="006B3073"/>
    <w:rsid w:val="006B5AE4"/>
    <w:rsid w:val="006D1507"/>
    <w:rsid w:val="006D1C56"/>
    <w:rsid w:val="006D4054"/>
    <w:rsid w:val="006D5611"/>
    <w:rsid w:val="006E02EC"/>
    <w:rsid w:val="007211B1"/>
    <w:rsid w:val="00723D15"/>
    <w:rsid w:val="0073223E"/>
    <w:rsid w:val="007453C1"/>
    <w:rsid w:val="00746187"/>
    <w:rsid w:val="0076254F"/>
    <w:rsid w:val="00766496"/>
    <w:rsid w:val="007801F5"/>
    <w:rsid w:val="00783CA4"/>
    <w:rsid w:val="007842FB"/>
    <w:rsid w:val="00786124"/>
    <w:rsid w:val="00786F18"/>
    <w:rsid w:val="0079514B"/>
    <w:rsid w:val="007A2DC1"/>
    <w:rsid w:val="007A59D9"/>
    <w:rsid w:val="007D29E9"/>
    <w:rsid w:val="007D3319"/>
    <w:rsid w:val="007D335D"/>
    <w:rsid w:val="007D601A"/>
    <w:rsid w:val="007E0B04"/>
    <w:rsid w:val="007E3314"/>
    <w:rsid w:val="007E4B03"/>
    <w:rsid w:val="007F324B"/>
    <w:rsid w:val="0080553C"/>
    <w:rsid w:val="00805B46"/>
    <w:rsid w:val="008132CE"/>
    <w:rsid w:val="00821FF0"/>
    <w:rsid w:val="00825DC2"/>
    <w:rsid w:val="00834AD3"/>
    <w:rsid w:val="00843795"/>
    <w:rsid w:val="00844171"/>
    <w:rsid w:val="00847390"/>
    <w:rsid w:val="00847F0F"/>
    <w:rsid w:val="00852448"/>
    <w:rsid w:val="0086670C"/>
    <w:rsid w:val="008740C8"/>
    <w:rsid w:val="00874511"/>
    <w:rsid w:val="008762CD"/>
    <w:rsid w:val="008812C5"/>
    <w:rsid w:val="00882405"/>
    <w:rsid w:val="0088258A"/>
    <w:rsid w:val="00886332"/>
    <w:rsid w:val="008932FF"/>
    <w:rsid w:val="00895B11"/>
    <w:rsid w:val="008A112C"/>
    <w:rsid w:val="008A26D9"/>
    <w:rsid w:val="008A3D9F"/>
    <w:rsid w:val="008A57D3"/>
    <w:rsid w:val="008A5BFC"/>
    <w:rsid w:val="008B4299"/>
    <w:rsid w:val="008C0C29"/>
    <w:rsid w:val="008C2077"/>
    <w:rsid w:val="008F08F9"/>
    <w:rsid w:val="008F3638"/>
    <w:rsid w:val="008F3CB0"/>
    <w:rsid w:val="008F4441"/>
    <w:rsid w:val="008F6F31"/>
    <w:rsid w:val="008F74DF"/>
    <w:rsid w:val="008F7E17"/>
    <w:rsid w:val="009127BA"/>
    <w:rsid w:val="009153AE"/>
    <w:rsid w:val="00915AA6"/>
    <w:rsid w:val="009227A6"/>
    <w:rsid w:val="00933EC1"/>
    <w:rsid w:val="00940201"/>
    <w:rsid w:val="009530DB"/>
    <w:rsid w:val="00953676"/>
    <w:rsid w:val="0095512A"/>
    <w:rsid w:val="00966687"/>
    <w:rsid w:val="009705EE"/>
    <w:rsid w:val="009714FF"/>
    <w:rsid w:val="00977927"/>
    <w:rsid w:val="00981326"/>
    <w:rsid w:val="0098135C"/>
    <w:rsid w:val="0098156A"/>
    <w:rsid w:val="0098264D"/>
    <w:rsid w:val="009852A8"/>
    <w:rsid w:val="00991BAC"/>
    <w:rsid w:val="009A3006"/>
    <w:rsid w:val="009A55E2"/>
    <w:rsid w:val="009A6EA0"/>
    <w:rsid w:val="009B225F"/>
    <w:rsid w:val="009C1335"/>
    <w:rsid w:val="009C1AB2"/>
    <w:rsid w:val="009C21F3"/>
    <w:rsid w:val="009C4DDA"/>
    <w:rsid w:val="009C7251"/>
    <w:rsid w:val="009E2E91"/>
    <w:rsid w:val="00A068D2"/>
    <w:rsid w:val="00A06E57"/>
    <w:rsid w:val="00A11897"/>
    <w:rsid w:val="00A12180"/>
    <w:rsid w:val="00A139F5"/>
    <w:rsid w:val="00A15EEE"/>
    <w:rsid w:val="00A25697"/>
    <w:rsid w:val="00A3228B"/>
    <w:rsid w:val="00A365F4"/>
    <w:rsid w:val="00A42AC5"/>
    <w:rsid w:val="00A47D80"/>
    <w:rsid w:val="00A53132"/>
    <w:rsid w:val="00A54ADB"/>
    <w:rsid w:val="00A55A23"/>
    <w:rsid w:val="00A563F2"/>
    <w:rsid w:val="00A566E8"/>
    <w:rsid w:val="00A810F9"/>
    <w:rsid w:val="00A86618"/>
    <w:rsid w:val="00A86ECC"/>
    <w:rsid w:val="00A86F0C"/>
    <w:rsid w:val="00A86FCC"/>
    <w:rsid w:val="00AA16CB"/>
    <w:rsid w:val="00AA27F5"/>
    <w:rsid w:val="00AA710D"/>
    <w:rsid w:val="00AB0E57"/>
    <w:rsid w:val="00AB5DFF"/>
    <w:rsid w:val="00AB6D25"/>
    <w:rsid w:val="00AC2A84"/>
    <w:rsid w:val="00AC3FCE"/>
    <w:rsid w:val="00AE2D4B"/>
    <w:rsid w:val="00AE4F99"/>
    <w:rsid w:val="00AE61BB"/>
    <w:rsid w:val="00B0731B"/>
    <w:rsid w:val="00B07672"/>
    <w:rsid w:val="00B1321E"/>
    <w:rsid w:val="00B14952"/>
    <w:rsid w:val="00B170FF"/>
    <w:rsid w:val="00B265F4"/>
    <w:rsid w:val="00B31E5A"/>
    <w:rsid w:val="00B31FA9"/>
    <w:rsid w:val="00B4722F"/>
    <w:rsid w:val="00B601CF"/>
    <w:rsid w:val="00B653AB"/>
    <w:rsid w:val="00B65F9E"/>
    <w:rsid w:val="00B66962"/>
    <w:rsid w:val="00B66B19"/>
    <w:rsid w:val="00B914E9"/>
    <w:rsid w:val="00B956EE"/>
    <w:rsid w:val="00B97220"/>
    <w:rsid w:val="00BA2B5E"/>
    <w:rsid w:val="00BA2BA1"/>
    <w:rsid w:val="00BB4F09"/>
    <w:rsid w:val="00BC09C9"/>
    <w:rsid w:val="00BD4E33"/>
    <w:rsid w:val="00BE7282"/>
    <w:rsid w:val="00BF1D88"/>
    <w:rsid w:val="00BF6327"/>
    <w:rsid w:val="00C030DE"/>
    <w:rsid w:val="00C03C71"/>
    <w:rsid w:val="00C22105"/>
    <w:rsid w:val="00C244B6"/>
    <w:rsid w:val="00C36792"/>
    <w:rsid w:val="00C3702F"/>
    <w:rsid w:val="00C40066"/>
    <w:rsid w:val="00C47165"/>
    <w:rsid w:val="00C64A37"/>
    <w:rsid w:val="00C70D2B"/>
    <w:rsid w:val="00C7158E"/>
    <w:rsid w:val="00C7250B"/>
    <w:rsid w:val="00C7346B"/>
    <w:rsid w:val="00C77C0E"/>
    <w:rsid w:val="00C83480"/>
    <w:rsid w:val="00C866E6"/>
    <w:rsid w:val="00C91687"/>
    <w:rsid w:val="00C924A8"/>
    <w:rsid w:val="00C9450A"/>
    <w:rsid w:val="00C945FE"/>
    <w:rsid w:val="00C96FAA"/>
    <w:rsid w:val="00C97A04"/>
    <w:rsid w:val="00CA107B"/>
    <w:rsid w:val="00CA484D"/>
    <w:rsid w:val="00CA4FB6"/>
    <w:rsid w:val="00CA73FD"/>
    <w:rsid w:val="00CB41A7"/>
    <w:rsid w:val="00CC45F2"/>
    <w:rsid w:val="00CC6E74"/>
    <w:rsid w:val="00CC739E"/>
    <w:rsid w:val="00CD58B7"/>
    <w:rsid w:val="00CD6042"/>
    <w:rsid w:val="00CE2ABB"/>
    <w:rsid w:val="00CF4099"/>
    <w:rsid w:val="00D00796"/>
    <w:rsid w:val="00D17516"/>
    <w:rsid w:val="00D261A2"/>
    <w:rsid w:val="00D31C1A"/>
    <w:rsid w:val="00D616D2"/>
    <w:rsid w:val="00D63B5F"/>
    <w:rsid w:val="00D64203"/>
    <w:rsid w:val="00D70EF7"/>
    <w:rsid w:val="00D73568"/>
    <w:rsid w:val="00D8397C"/>
    <w:rsid w:val="00D8477E"/>
    <w:rsid w:val="00D908FD"/>
    <w:rsid w:val="00D94EED"/>
    <w:rsid w:val="00D96026"/>
    <w:rsid w:val="00DA5525"/>
    <w:rsid w:val="00DA7C1C"/>
    <w:rsid w:val="00DB0F1C"/>
    <w:rsid w:val="00DB147A"/>
    <w:rsid w:val="00DB1B7A"/>
    <w:rsid w:val="00DB3EBD"/>
    <w:rsid w:val="00DC106B"/>
    <w:rsid w:val="00DC1A0A"/>
    <w:rsid w:val="00DC1FEA"/>
    <w:rsid w:val="00DC6708"/>
    <w:rsid w:val="00DD7A1F"/>
    <w:rsid w:val="00DD7D6E"/>
    <w:rsid w:val="00DE0EEF"/>
    <w:rsid w:val="00DE59E1"/>
    <w:rsid w:val="00DE6880"/>
    <w:rsid w:val="00DF082B"/>
    <w:rsid w:val="00E01436"/>
    <w:rsid w:val="00E0370A"/>
    <w:rsid w:val="00E045BD"/>
    <w:rsid w:val="00E05C32"/>
    <w:rsid w:val="00E12B15"/>
    <w:rsid w:val="00E157FD"/>
    <w:rsid w:val="00E17B77"/>
    <w:rsid w:val="00E20125"/>
    <w:rsid w:val="00E23337"/>
    <w:rsid w:val="00E259EA"/>
    <w:rsid w:val="00E301FA"/>
    <w:rsid w:val="00E32061"/>
    <w:rsid w:val="00E42F20"/>
    <w:rsid w:val="00E42FF9"/>
    <w:rsid w:val="00E46AE9"/>
    <w:rsid w:val="00E4714C"/>
    <w:rsid w:val="00E51AEB"/>
    <w:rsid w:val="00E522A7"/>
    <w:rsid w:val="00E54452"/>
    <w:rsid w:val="00E56C25"/>
    <w:rsid w:val="00E664C5"/>
    <w:rsid w:val="00E671A2"/>
    <w:rsid w:val="00E76D26"/>
    <w:rsid w:val="00E82388"/>
    <w:rsid w:val="00EA20D2"/>
    <w:rsid w:val="00EB1390"/>
    <w:rsid w:val="00EB2C71"/>
    <w:rsid w:val="00EB4340"/>
    <w:rsid w:val="00EB556D"/>
    <w:rsid w:val="00EB5A7D"/>
    <w:rsid w:val="00ED55C0"/>
    <w:rsid w:val="00ED682B"/>
    <w:rsid w:val="00ED774C"/>
    <w:rsid w:val="00EE41D5"/>
    <w:rsid w:val="00EF618E"/>
    <w:rsid w:val="00F037A4"/>
    <w:rsid w:val="00F11A15"/>
    <w:rsid w:val="00F26A4E"/>
    <w:rsid w:val="00F27C8F"/>
    <w:rsid w:val="00F30DA2"/>
    <w:rsid w:val="00F32749"/>
    <w:rsid w:val="00F3318E"/>
    <w:rsid w:val="00F3480F"/>
    <w:rsid w:val="00F37172"/>
    <w:rsid w:val="00F4477E"/>
    <w:rsid w:val="00F622F5"/>
    <w:rsid w:val="00F670E8"/>
    <w:rsid w:val="00F67D8F"/>
    <w:rsid w:val="00F70ADF"/>
    <w:rsid w:val="00F720AD"/>
    <w:rsid w:val="00F802BE"/>
    <w:rsid w:val="00F85372"/>
    <w:rsid w:val="00F86024"/>
    <w:rsid w:val="00F8611A"/>
    <w:rsid w:val="00F87158"/>
    <w:rsid w:val="00F94859"/>
    <w:rsid w:val="00FA0B09"/>
    <w:rsid w:val="00FA5128"/>
    <w:rsid w:val="00FB42D4"/>
    <w:rsid w:val="00FB5906"/>
    <w:rsid w:val="00FB762F"/>
    <w:rsid w:val="00FC2AED"/>
    <w:rsid w:val="00FD08F0"/>
    <w:rsid w:val="00FD5EA7"/>
    <w:rsid w:val="00FE3BA3"/>
    <w:rsid w:val="00FE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  <w:lang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  <w:lang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  <w:lang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  <w:lang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  <w:lang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uiPriority w:val="99"/>
    <w:semiHidden/>
    <w:unhideWhenUsed/>
    <w:rsid w:val="00A86F0C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632FF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lid-translation">
    <w:name w:val="tlid-translation"/>
    <w:basedOn w:val="Domylnaczcionkaakapitu"/>
    <w:rsid w:val="00847390"/>
  </w:style>
  <w:style w:type="character" w:customStyle="1" w:styleId="alt-edited">
    <w:name w:val="alt-edited"/>
    <w:basedOn w:val="Domylnaczcionkaakapitu"/>
    <w:rsid w:val="001F4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tat.gov.pl/en/metainformations/glossary/terms-used-in-official-statistics/376,term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topics/labour-market/working-employed-wages-and-salaries-cost-of-labour/employment-wages-and-salaries-in-national-economy-in-2019,1,44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://stat.gov.pl/en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l.stat.gov.pl/BDL/star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stat.gov.pl/en/topics/labour-market/working-employed-wages-and-salaries-cost-of-labour/structure-of-wages-and-salaries-by-occupations-in-october-2018,4,6.html" TargetMode="External"/><Relationship Id="rId27" Type="http://schemas.openxmlformats.org/officeDocument/2006/relationships/hyperlink" Target="https://stat.gov.pl/en/metainformations/glossary/terms-used-in-official-statistics/742,term.html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at.gov.pl/en/topics/economic-activities-finances/activity-of-enterprises-activity-of-companies/methodological-report-monthly-activity-report-of-enterprises,17,1.html" TargetMode="External"/><Relationship Id="rId2" Type="http://schemas.openxmlformats.org/officeDocument/2006/relationships/hyperlink" Target="https://stat.gov.pl/en/topics/economic-activities-finances/activity-of-enterprises-activity-of-companies/methodological-report-monthly-activity-report-of-enterprises,17,1.html" TargetMode="External"/><Relationship Id="rId1" Type="http://schemas.openxmlformats.org/officeDocument/2006/relationships/hyperlink" Target="https://stat.gov.pl/en/topics/economic-activities-finances/activity-of-enterprises-activity-of-companies/methodological-report-monthly-activity-report-of-enterprises,17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8C029B3F-2CC4-4A59-AF0D-A90575FA3373">EN_przecietne_zatrudnienie_i_wynagrodzenie_w_sektorze_przedsiebiorstw_w_marcu_2020_r.doc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STAT\ZgierskaA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35B4-0F1A-4655-AF33-DFB1DB2C97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7B9DD4-9720-43CE-A695-2749894D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5B974-1DF7-4958-8995-9AD449A01E3F}">
  <ds:schemaRefs>
    <ds:schemaRef ds:uri="http://schemas.microsoft.com/office/2006/metadata/properties"/>
    <ds:schemaRef ds:uri="http://schemas.microsoft.com/sharepoint/v3"/>
    <ds:schemaRef ds:uri="8C029B3F-2CC4-4A59-AF0D-A90575FA3373"/>
  </ds:schemaRefs>
</ds:datastoreItem>
</file>

<file path=customXml/itemProps4.xml><?xml version="1.0" encoding="utf-8"?>
<ds:datastoreItem xmlns:ds="http://schemas.openxmlformats.org/officeDocument/2006/customXml" ds:itemID="{16754EE4-E148-4E53-A270-7AE6AF21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Links>
    <vt:vector size="72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3670118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0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4653079</vt:i4>
      </vt:variant>
      <vt:variant>
        <vt:i4>21</vt:i4>
      </vt:variant>
      <vt:variant>
        <vt:i4>0</vt:i4>
      </vt:variant>
      <vt:variant>
        <vt:i4>5</vt:i4>
      </vt:variant>
      <vt:variant>
        <vt:lpwstr>https://stat.gov.pl/en/metainformations/glossary/terms-used-in-official-statistics/742,term.html</vt:lpwstr>
      </vt:variant>
      <vt:variant>
        <vt:lpwstr/>
      </vt:variant>
      <vt:variant>
        <vt:i4>8323123</vt:i4>
      </vt:variant>
      <vt:variant>
        <vt:i4>18</vt:i4>
      </vt:variant>
      <vt:variant>
        <vt:i4>0</vt:i4>
      </vt:variant>
      <vt:variant>
        <vt:i4>5</vt:i4>
      </vt:variant>
      <vt:variant>
        <vt:lpwstr>http://stat.gov.pl/en/metainformations/glossary/terms-used-in-official-statistics/376,term.html</vt:lpwstr>
      </vt:variant>
      <vt:variant>
        <vt:lpwstr/>
      </vt:variant>
      <vt:variant>
        <vt:i4>1376350</vt:i4>
      </vt:variant>
      <vt:variant>
        <vt:i4>15</vt:i4>
      </vt:variant>
      <vt:variant>
        <vt:i4>0</vt:i4>
      </vt:variant>
      <vt:variant>
        <vt:i4>5</vt:i4>
      </vt:variant>
      <vt:variant>
        <vt:lpwstr>https://bdm.stat.gov.pl/</vt:lpwstr>
      </vt:variant>
      <vt:variant>
        <vt:lpwstr/>
      </vt:variant>
      <vt:variant>
        <vt:i4>5767235</vt:i4>
      </vt:variant>
      <vt:variant>
        <vt:i4>12</vt:i4>
      </vt:variant>
      <vt:variant>
        <vt:i4>0</vt:i4>
      </vt:variant>
      <vt:variant>
        <vt:i4>5</vt:i4>
      </vt:variant>
      <vt:variant>
        <vt:lpwstr>https://bdl.stat.gov.pl/BDL/start</vt:lpwstr>
      </vt:variant>
      <vt:variant>
        <vt:lpwstr/>
      </vt:variant>
      <vt:variant>
        <vt:i4>8192106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7274605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https://stat.gov.pl/en/topics/labour-market/working-employed-wages-and-salaries-cost-of-labour/structure-of-wages-and-salaries-by-occupations-in-october-2018,4,6.html</vt:lpwstr>
      </vt:variant>
      <vt:variant>
        <vt:lpwstr/>
      </vt:variant>
      <vt:variant>
        <vt:i4>6619244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https://stat.gov.pl/en/topics/labour-market/working-employed-wages-and-salaries-cost-of-labour/employment-wages-and-salaries-in-national-economy-in-2019,1,44.html</vt:lpwstr>
      </vt:variant>
      <vt:variant>
        <vt:lpwstr/>
      </vt:variant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http://stat.gov.pl/en/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2019-11-20T09:25:00Z</cp:lastPrinted>
  <dcterms:created xsi:type="dcterms:W3CDTF">2020-06-29T10:58:00Z</dcterms:created>
  <dcterms:modified xsi:type="dcterms:W3CDTF">2020-06-29T10:58:00Z</dcterms:modified>
</cp:coreProperties>
</file>