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6415B3" w:rsidRDefault="00EC24AD" w:rsidP="00074DD8">
      <w:pPr>
        <w:pStyle w:val="tytuinformacji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1F6F9E">
        <w:rPr>
          <w:shd w:val="clear" w:color="auto" w:fill="FFFFFF"/>
          <w:lang w:val="en-US"/>
        </w:rPr>
        <w:t>March</w:t>
      </w:r>
      <w:r w:rsidR="001B3C2C">
        <w:rPr>
          <w:shd w:val="clear" w:color="auto" w:fill="FFFFFF"/>
          <w:lang w:val="en-US"/>
        </w:rPr>
        <w:t xml:space="preserve"> 2020</w:t>
      </w:r>
    </w:p>
    <w:p w:rsidR="00393761" w:rsidRPr="006415B3" w:rsidRDefault="00402AE0" w:rsidP="00074DD8">
      <w:pPr>
        <w:pStyle w:val="tytuinformacji"/>
        <w:rPr>
          <w:sz w:val="32"/>
          <w:lang w:val="en-US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2.5pt;margin-top:19.4pt;width:135.85pt;height:115.5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<v:textbox>
              <w:txbxContent>
                <w:p w:rsidR="00C31E5E" w:rsidRPr="00074DD8" w:rsidRDefault="00C31E5E" w:rsidP="00074DD8">
                  <w:pPr>
                    <w:pStyle w:val="tekstzboku"/>
                  </w:pPr>
                </w:p>
              </w:txbxContent>
            </v:textbox>
            <w10:wrap type="tight"/>
          </v:shape>
        </w:pict>
      </w:r>
    </w:p>
    <w:p w:rsidR="00CF2E4C" w:rsidRPr="00296B99" w:rsidRDefault="00402AE0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w:pict>
          <v:shape id="_x0000_s1027" type="#_x0000_t202" style="position:absolute;margin-left:.55pt;margin-top:9.25pt;width:2in;height:82.35pt;z-index:25175756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tZ5h+NsAAAAIAQAADwAAAGRycy9kb3ducmV2&#10;LnhtbExPy07DMBC8I/EP1iJxo07CQyHEqRAoB0BF0HLhto2XJCJeR7Hbhr9ne4LTah6anSmXsxvU&#10;nqbQezaQLhJQxI23PbcGPjb1RQ4qRGSLg2cy8EMBltXpSYmF9Qd+p/06tkpCOBRooItxLLQOTUcO&#10;w8KPxKJ9+clhFDi12k54kHA36CxJbrTDnuVDhyM9dNR8r3fOwFX62uRv4XPDflVn9csjuqfwbMz5&#10;2Xx/ByrSHP/McKwv1aGSTlu/YxvUIDgVo5z8GpTIWX4rxPZIXGagq1L/H1D9Ag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LWeYfjbAAAACAEAAA8AAAAAAAAAAAAAAAAAhAQAAGRycy9k&#10;b3ducmV2LnhtbFBLBQYAAAAABAAEAPMAAACMBQAAAAA=&#10;" fillcolor="#001d77" stroked="f">
            <v:textbox>
              <w:txbxContent>
                <w:p w:rsidR="00C31E5E" w:rsidRPr="00765FC9" w:rsidRDefault="00C31E5E" w:rsidP="005B3A86">
                  <w:pPr>
                    <w:pStyle w:val="Akapitzlist"/>
                    <w:spacing w:after="0" w:line="240" w:lineRule="auto"/>
                    <w:ind w:left="0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="Fira Sans SemiBold" w:hAnsi="Fira Sans SemiBold"/>
                      <w:color w:val="FFFFFF" w:themeColor="background1"/>
                      <w:sz w:val="40"/>
                      <w:lang w:val="en-US"/>
                    </w:rPr>
                    <w:t>0.0</w:t>
                  </w:r>
                  <w:r w:rsidRPr="00765FC9">
                    <w:rPr>
                      <w:rFonts w:ascii="Fira Sans SemiBold" w:hAnsi="Fira Sans SemiBold"/>
                      <w:color w:val="FFFFFF" w:themeColor="background1"/>
                      <w:sz w:val="40"/>
                      <w:lang w:val="en-US"/>
                    </w:rPr>
                    <w:t xml:space="preserve"> p. p.</w:t>
                  </w:r>
                </w:p>
                <w:p w:rsidR="00C31E5E" w:rsidRPr="006415B3" w:rsidRDefault="00C31E5E" w:rsidP="005B3A86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6415B3">
                    <w:rPr>
                      <w:lang w:val="en-US"/>
                    </w:rPr>
                    <w:t>Change in current consumer confidence indicator</w:t>
                  </w:r>
                </w:p>
              </w:txbxContent>
            </v:textbox>
            <w10:wrap type="square" anchorx="margin"/>
          </v:shape>
        </w:pict>
      </w:r>
      <w:r w:rsidR="007E442A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0743E5">
        <w:rPr>
          <w:b/>
          <w:color w:val="auto"/>
          <w:sz w:val="19"/>
          <w:szCs w:val="19"/>
          <w:lang w:val="en-US"/>
        </w:rPr>
        <w:t xml:space="preserve">March 2020, </w:t>
      </w:r>
      <w:r w:rsidR="007E442A" w:rsidRPr="007E442A">
        <w:rPr>
          <w:b/>
          <w:color w:val="auto"/>
          <w:sz w:val="19"/>
          <w:szCs w:val="19"/>
          <w:lang w:val="en-US"/>
        </w:rPr>
        <w:t xml:space="preserve">both current and future consumer sentiment </w:t>
      </w:r>
      <w:r w:rsidR="000743E5">
        <w:rPr>
          <w:b/>
          <w:color w:val="auto"/>
          <w:sz w:val="19"/>
          <w:szCs w:val="19"/>
          <w:lang w:val="en-US"/>
        </w:rPr>
        <w:t>remained at a similar level as</w:t>
      </w:r>
      <w:r w:rsidR="007E442A" w:rsidRPr="007E442A">
        <w:rPr>
          <w:b/>
          <w:color w:val="auto"/>
          <w:sz w:val="19"/>
          <w:szCs w:val="19"/>
          <w:lang w:val="en-US"/>
        </w:rPr>
        <w:t xml:space="preserve"> compared to the previous month. The current consumer confidence indicator, synthetically describing the current trends in individual consumption, </w:t>
      </w:r>
      <w:r w:rsidR="000743E5">
        <w:rPr>
          <w:b/>
          <w:color w:val="auto"/>
          <w:sz w:val="19"/>
          <w:szCs w:val="19"/>
          <w:lang w:val="en-US"/>
        </w:rPr>
        <w:t>h</w:t>
      </w:r>
      <w:r w:rsidR="007E442A" w:rsidRPr="007E442A">
        <w:rPr>
          <w:b/>
          <w:color w:val="auto"/>
          <w:sz w:val="19"/>
          <w:szCs w:val="19"/>
          <w:lang w:val="en-US"/>
        </w:rPr>
        <w:t>as</w:t>
      </w:r>
      <w:r w:rsidR="000743E5">
        <w:rPr>
          <w:b/>
          <w:color w:val="auto"/>
          <w:sz w:val="19"/>
          <w:szCs w:val="19"/>
          <w:lang w:val="en-US"/>
        </w:rPr>
        <w:t xml:space="preserve"> not changed </w:t>
      </w:r>
      <w:r w:rsidR="007E442A" w:rsidRPr="007E442A">
        <w:rPr>
          <w:b/>
          <w:color w:val="auto"/>
          <w:sz w:val="19"/>
          <w:szCs w:val="19"/>
          <w:lang w:val="en-US"/>
        </w:rPr>
        <w:t xml:space="preserve"> </w:t>
      </w:r>
      <w:r w:rsidR="000743E5" w:rsidRPr="007E442A">
        <w:rPr>
          <w:b/>
          <w:color w:val="auto"/>
          <w:sz w:val="19"/>
          <w:szCs w:val="19"/>
          <w:lang w:val="en-US"/>
        </w:rPr>
        <w:t>in relation to last month</w:t>
      </w:r>
      <w:r w:rsidR="000743E5">
        <w:rPr>
          <w:b/>
          <w:color w:val="auto"/>
          <w:sz w:val="19"/>
          <w:szCs w:val="19"/>
          <w:lang w:val="en-US"/>
        </w:rPr>
        <w:t>, and was</w:t>
      </w:r>
      <w:r w:rsidR="000743E5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E442A" w:rsidRPr="007E442A">
        <w:rPr>
          <w:b/>
          <w:color w:val="auto"/>
          <w:sz w:val="19"/>
          <w:szCs w:val="19"/>
          <w:lang w:val="en-US"/>
        </w:rPr>
        <w:t>1.3</w:t>
      </w:r>
      <w:r w:rsidR="00FB331C">
        <w:rPr>
          <w:b/>
          <w:color w:val="auto"/>
          <w:sz w:val="19"/>
          <w:szCs w:val="19"/>
          <w:lang w:val="en-US"/>
        </w:rPr>
        <w:t xml:space="preserve"> </w:t>
      </w:r>
      <w:r w:rsidR="006A47A2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E442A" w:rsidRPr="007E442A">
        <w:rPr>
          <w:b/>
          <w:color w:val="auto"/>
          <w:sz w:val="19"/>
          <w:szCs w:val="19"/>
          <w:lang w:val="en-US"/>
        </w:rPr>
        <w:t>.</w:t>
      </w:r>
    </w:p>
    <w:p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:rsidR="00C22105" w:rsidRPr="001D2EBF" w:rsidRDefault="00402AE0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w:pict>
          <v:shape id="_x0000_s1028" type="#_x0000_t202" style="position:absolute;margin-left:411.75pt;margin-top:12.2pt;width:135.85pt;height:1in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HPB0EUO&#10;AgAA/gMAAA4AAAAAAAAAAAAAAAAALgIAAGRycy9lMm9Eb2MueG1sUEsBAi0AFAAGAAgAAAAhAGFd&#10;/I/fAAAACwEAAA8AAAAAAAAAAAAAAAAAaAQAAGRycy9kb3ducmV2LnhtbFBLBQYAAAAABAAEAPMA&#10;AAB0BQAAAAA=&#10;" filled="f" stroked="f">
            <v:textbox>
              <w:txbxContent>
                <w:p w:rsidR="00C31E5E" w:rsidRPr="0070713F" w:rsidRDefault="00C31E5E" w:rsidP="00273134">
                  <w:pPr>
                    <w:pStyle w:val="tekstzboku"/>
                    <w:rPr>
                      <w:lang w:val="en-US"/>
                    </w:rPr>
                  </w:pPr>
                  <w:r w:rsidRPr="0070713F">
                    <w:rPr>
                      <w:lang w:val="en-US"/>
                    </w:rPr>
                    <w:t>Current consumer co</w:t>
                  </w:r>
                  <w:r>
                    <w:rPr>
                      <w:lang w:val="en-US"/>
                    </w:rPr>
                    <w:t>nfidence indicator has not changed compared to the previous month</w:t>
                  </w:r>
                </w:p>
                <w:p w:rsidR="00C31E5E" w:rsidRPr="0070713F" w:rsidRDefault="00C31E5E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1D2EBF" w:rsidRPr="001D2EBF">
        <w:rPr>
          <w:lang w:val="en-US"/>
        </w:rPr>
        <w:t xml:space="preserve">Current consumer confidence indicator in </w:t>
      </w:r>
      <w:r w:rsidR="00E96C00">
        <w:rPr>
          <w:lang w:val="en-US"/>
        </w:rPr>
        <w:t>March</w:t>
      </w:r>
      <w:r w:rsidR="00F547C7">
        <w:rPr>
          <w:lang w:val="en-US"/>
        </w:rPr>
        <w:t xml:space="preserve"> 2020</w:t>
      </w:r>
    </w:p>
    <w:p w:rsidR="007E442A" w:rsidRDefault="007E442A" w:rsidP="00765FC9">
      <w:pPr>
        <w:spacing w:before="0"/>
        <w:rPr>
          <w:lang w:val="en-US"/>
        </w:rPr>
      </w:pPr>
      <w:r w:rsidRPr="00757001">
        <w:rPr>
          <w:lang w:val="en-US"/>
        </w:rPr>
        <w:t xml:space="preserve">Among the components of the indicator, the lower value was recorded primarily in evaluations of the </w:t>
      </w:r>
      <w:r w:rsidR="00C31E5E">
        <w:rPr>
          <w:lang w:val="en-US"/>
        </w:rPr>
        <w:t xml:space="preserve">future </w:t>
      </w:r>
      <w:r w:rsidR="00C31E5E" w:rsidRPr="00C31E5E">
        <w:rPr>
          <w:lang w:val="en-US"/>
        </w:rPr>
        <w:t>economic situation of the country</w:t>
      </w:r>
      <w:r w:rsidRPr="00757001">
        <w:rPr>
          <w:lang w:val="en-US"/>
        </w:rPr>
        <w:t xml:space="preserve"> </w:t>
      </w:r>
      <w:r w:rsidR="00C31E5E">
        <w:rPr>
          <w:lang w:val="en-US"/>
        </w:rPr>
        <w:t xml:space="preserve">and future </w:t>
      </w:r>
      <w:r>
        <w:rPr>
          <w:lang w:val="en-US"/>
        </w:rPr>
        <w:t>financial</w:t>
      </w:r>
      <w:r w:rsidRPr="00757001">
        <w:rPr>
          <w:lang w:val="en-US"/>
        </w:rPr>
        <w:t xml:space="preserve"> situation of the </w:t>
      </w:r>
      <w:r>
        <w:rPr>
          <w:lang w:val="en-US"/>
        </w:rPr>
        <w:t>household</w:t>
      </w:r>
      <w:r w:rsidRPr="00757001">
        <w:rPr>
          <w:lang w:val="en-US"/>
        </w:rPr>
        <w:t xml:space="preserve"> (decreases by </w:t>
      </w:r>
      <w:r w:rsidR="00C31E5E">
        <w:rPr>
          <w:lang w:val="en-US"/>
        </w:rPr>
        <w:t>1.7</w:t>
      </w:r>
      <w:r w:rsidRPr="00757001">
        <w:rPr>
          <w:lang w:val="en-US"/>
        </w:rPr>
        <w:t xml:space="preserve"> and </w:t>
      </w:r>
      <w:r w:rsidR="00C31E5E">
        <w:rPr>
          <w:lang w:val="en-US"/>
        </w:rPr>
        <w:t>0.7</w:t>
      </w:r>
      <w:r w:rsidRPr="00757001">
        <w:rPr>
          <w:lang w:val="en-US"/>
        </w:rPr>
        <w:t xml:space="preserve"> percentage po</w:t>
      </w:r>
      <w:r>
        <w:rPr>
          <w:lang w:val="en-US"/>
        </w:rPr>
        <w:t>ints, respectively). I</w:t>
      </w:r>
      <w:r w:rsidR="00C31E5E">
        <w:rPr>
          <w:lang w:val="en-US"/>
        </w:rPr>
        <w:t>ncrease (by 2</w:t>
      </w:r>
      <w:r w:rsidRPr="00757001">
        <w:rPr>
          <w:lang w:val="en-US"/>
        </w:rPr>
        <w:t>.</w:t>
      </w:r>
      <w:r w:rsidR="00C31E5E">
        <w:rPr>
          <w:lang w:val="en-US"/>
        </w:rPr>
        <w:t>7</w:t>
      </w:r>
      <w:r w:rsidRPr="00757001">
        <w:rPr>
          <w:lang w:val="en-US"/>
        </w:rPr>
        <w:t xml:space="preserve"> percentage points) was recorded in the case of the evaluation of the </w:t>
      </w:r>
      <w:r w:rsidR="00C31E5E">
        <w:rPr>
          <w:lang w:val="en-US"/>
        </w:rPr>
        <w:t>current</w:t>
      </w:r>
      <w:r w:rsidRPr="00757001">
        <w:rPr>
          <w:lang w:val="en-US"/>
        </w:rPr>
        <w:t xml:space="preserve"> financial situation of the household.</w:t>
      </w:r>
      <w:r w:rsidR="00C31E5E">
        <w:rPr>
          <w:lang w:val="en-US"/>
        </w:rPr>
        <w:t xml:space="preserve"> </w:t>
      </w:r>
      <w:r w:rsidR="00674018">
        <w:rPr>
          <w:lang w:val="en-US"/>
        </w:rPr>
        <w:t>The</w:t>
      </w:r>
      <w:r w:rsidR="00160F87">
        <w:rPr>
          <w:lang w:val="en-US"/>
        </w:rPr>
        <w:t xml:space="preserve"> evaluation of the current possibility of making important purchases has not changed.</w:t>
      </w:r>
      <w:r w:rsidR="00674018">
        <w:rPr>
          <w:lang w:val="en-US"/>
        </w:rPr>
        <w:t xml:space="preserve"> </w:t>
      </w:r>
      <w:bookmarkStart w:id="0" w:name="_GoBack"/>
      <w:bookmarkEnd w:id="0"/>
    </w:p>
    <w:p w:rsidR="007E442A" w:rsidRPr="00757001" w:rsidRDefault="007E442A" w:rsidP="007E442A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E96C00">
        <w:rPr>
          <w:lang w:val="en-US"/>
        </w:rPr>
        <w:t>March</w:t>
      </w:r>
      <w:r w:rsidRPr="00757001">
        <w:rPr>
          <w:lang w:val="en-US"/>
        </w:rPr>
        <w:t xml:space="preserve"> 2019,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E96C00">
        <w:rPr>
          <w:lang w:val="en-US"/>
        </w:rPr>
        <w:t>6.9</w:t>
      </w:r>
      <w:r w:rsidRPr="00757001">
        <w:rPr>
          <w:lang w:val="en-US"/>
        </w:rPr>
        <w:t xml:space="preserve"> percentage points.</w:t>
      </w:r>
    </w:p>
    <w:p w:rsidR="00C074FD" w:rsidRPr="001D2EBF" w:rsidRDefault="00402AE0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w:pict>
          <v:shape id="Pole tekstowe 16" o:spid="_x0000_s1029" type="#_x0000_t202" style="position:absolute;margin-left:410.95pt;margin-top:12.8pt;width:135.85pt;height:77.6pt;z-index:-25157939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<v:textbox>
              <w:txbxContent>
                <w:p w:rsidR="00C31E5E" w:rsidRPr="0070713F" w:rsidRDefault="00C31E5E" w:rsidP="00273134">
                  <w:pPr>
                    <w:pStyle w:val="tekstzboku"/>
                    <w:rPr>
                      <w:lang w:val="en-US"/>
                    </w:rPr>
                  </w:pPr>
                  <w:r w:rsidRPr="0070713F">
                    <w:rPr>
                      <w:lang w:val="en-US"/>
                    </w:rPr>
                    <w:t xml:space="preserve">Leading consumer confidence indicator </w:t>
                  </w:r>
                  <w:r>
                    <w:rPr>
                      <w:lang w:val="en-US"/>
                    </w:rPr>
                    <w:t>decreased by 0.1 percentage points</w:t>
                  </w:r>
                  <w:r w:rsidRPr="0070713F">
                    <w:rPr>
                      <w:lang w:val="en-US"/>
                    </w:rPr>
                    <w:t xml:space="preserve"> compared to the previous month</w:t>
                  </w:r>
                </w:p>
                <w:p w:rsidR="00C31E5E" w:rsidRPr="0070713F" w:rsidRDefault="00C31E5E" w:rsidP="00C074FD">
                  <w:pPr>
                    <w:pStyle w:val="tekstzboku"/>
                    <w:rPr>
                      <w:lang w:val="en-US"/>
                    </w:rPr>
                  </w:pPr>
                </w:p>
                <w:p w:rsidR="00C31E5E" w:rsidRPr="0070713F" w:rsidRDefault="00C31E5E" w:rsidP="00C074FD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E96C00">
        <w:rPr>
          <w:lang w:val="en-US"/>
        </w:rPr>
        <w:t>March</w:t>
      </w:r>
      <w:r w:rsidR="00F547C7">
        <w:rPr>
          <w:lang w:val="en-US"/>
        </w:rPr>
        <w:t xml:space="preserve"> 2020</w:t>
      </w:r>
    </w:p>
    <w:p w:rsidR="007E442A" w:rsidRPr="0077570E" w:rsidRDefault="007E442A" w:rsidP="007E442A">
      <w:pPr>
        <w:jc w:val="both"/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FE43A0">
        <w:rPr>
          <w:shd w:val="clear" w:color="auto" w:fill="FFFFFF"/>
          <w:lang w:val="en-US"/>
        </w:rPr>
        <w:t xml:space="preserve">he coming months, </w:t>
      </w:r>
      <w:r w:rsidR="0077570E">
        <w:rPr>
          <w:shd w:val="clear" w:color="auto" w:fill="FFFFFF"/>
          <w:lang w:val="en-US"/>
        </w:rPr>
        <w:t>remained at a level similar to the previous month (only 0,1 percentage points decrease) and was at the level at -2.3</w:t>
      </w:r>
      <w:r w:rsidR="0077570E" w:rsidRPr="0077570E">
        <w:rPr>
          <w:i/>
          <w:sz w:val="20"/>
          <w:szCs w:val="20"/>
          <w:shd w:val="clear" w:color="auto" w:fill="FFFFFF"/>
          <w:vertAlign w:val="superscript"/>
          <w:lang w:val="en-US"/>
        </w:rPr>
        <w:t xml:space="preserve"> </w:t>
      </w:r>
      <w:r w:rsidR="0077570E" w:rsidRPr="0077570E">
        <w:rPr>
          <w:i/>
          <w:sz w:val="20"/>
          <w:szCs w:val="20"/>
          <w:shd w:val="clear" w:color="auto" w:fill="FFFFFF"/>
          <w:vertAlign w:val="superscript"/>
          <w:lang w:val="en-US"/>
        </w:rPr>
        <w:t>a</w:t>
      </w:r>
      <w:r w:rsidR="0077570E">
        <w:rPr>
          <w:sz w:val="20"/>
          <w:szCs w:val="20"/>
          <w:shd w:val="clear" w:color="auto" w:fill="FFFFFF"/>
          <w:lang w:val="en-US"/>
        </w:rPr>
        <w:t>.</w:t>
      </w:r>
    </w:p>
    <w:p w:rsidR="007E442A" w:rsidRPr="007E442A" w:rsidRDefault="007E442A" w:rsidP="007E442A">
      <w:pPr>
        <w:jc w:val="both"/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The increase in the value of the indicator was most influenced by the evaluations </w:t>
      </w:r>
      <w:r w:rsidR="00655370" w:rsidRPr="00757001">
        <w:rPr>
          <w:lang w:val="en-US"/>
        </w:rPr>
        <w:t xml:space="preserve">of the </w:t>
      </w:r>
      <w:r w:rsidR="00655370">
        <w:rPr>
          <w:lang w:val="en-US"/>
        </w:rPr>
        <w:t xml:space="preserve">future </w:t>
      </w:r>
      <w:r w:rsidR="00655370" w:rsidRPr="00C31E5E">
        <w:rPr>
          <w:lang w:val="en-US"/>
        </w:rPr>
        <w:t>economic situation of the country</w:t>
      </w:r>
      <w:r w:rsidR="00655370" w:rsidRPr="00757001">
        <w:rPr>
          <w:lang w:val="en-US"/>
        </w:rPr>
        <w:t xml:space="preserve"> </w:t>
      </w:r>
      <w:r w:rsidR="00655370">
        <w:rPr>
          <w:lang w:val="en-US"/>
        </w:rPr>
        <w:t>and future financial</w:t>
      </w:r>
      <w:r w:rsidR="00655370" w:rsidRPr="00757001">
        <w:rPr>
          <w:lang w:val="en-US"/>
        </w:rPr>
        <w:t xml:space="preserve"> situation of the </w:t>
      </w:r>
      <w:r w:rsidR="00655370">
        <w:rPr>
          <w:lang w:val="en-US"/>
        </w:rPr>
        <w:t>household</w:t>
      </w:r>
      <w:r w:rsidR="00655370" w:rsidRPr="00757001">
        <w:rPr>
          <w:lang w:val="en-US"/>
        </w:rPr>
        <w:t xml:space="preserve"> (decreases by </w:t>
      </w:r>
      <w:r w:rsidR="00655370">
        <w:rPr>
          <w:lang w:val="en-US"/>
        </w:rPr>
        <w:t>1.7</w:t>
      </w:r>
      <w:r w:rsidR="00655370" w:rsidRPr="00757001">
        <w:rPr>
          <w:lang w:val="en-US"/>
        </w:rPr>
        <w:t xml:space="preserve"> and </w:t>
      </w:r>
      <w:r w:rsidR="00655370">
        <w:rPr>
          <w:lang w:val="en-US"/>
        </w:rPr>
        <w:t>0.7</w:t>
      </w:r>
      <w:r w:rsidR="00655370" w:rsidRPr="00757001">
        <w:rPr>
          <w:lang w:val="en-US"/>
        </w:rPr>
        <w:t xml:space="preserve"> percentage po</w:t>
      </w:r>
      <w:r w:rsidR="00655370">
        <w:rPr>
          <w:lang w:val="en-US"/>
        </w:rPr>
        <w:t>ints, respectively).</w:t>
      </w:r>
      <w:r w:rsidRPr="007E442A">
        <w:rPr>
          <w:shd w:val="clear" w:color="auto" w:fill="FFFFFF"/>
          <w:lang w:val="en-US"/>
        </w:rPr>
        <w:t xml:space="preserve"> The improvement only occurred in the evaluation of the </w:t>
      </w:r>
      <w:r w:rsidR="00655370" w:rsidRPr="00655370">
        <w:rPr>
          <w:shd w:val="clear" w:color="auto" w:fill="FFFFFF"/>
          <w:lang w:val="en-US"/>
        </w:rPr>
        <w:t>possibility of future money saving</w:t>
      </w:r>
      <w:r w:rsidR="00655370" w:rsidRPr="007E442A">
        <w:rPr>
          <w:shd w:val="clear" w:color="auto" w:fill="FFFFFF"/>
          <w:lang w:val="en-US"/>
        </w:rPr>
        <w:t xml:space="preserve"> </w:t>
      </w:r>
      <w:r w:rsidRPr="007E442A">
        <w:rPr>
          <w:shd w:val="clear" w:color="auto" w:fill="FFFFFF"/>
          <w:lang w:val="en-US"/>
        </w:rPr>
        <w:t xml:space="preserve">(an increase by </w:t>
      </w:r>
      <w:r w:rsidR="00655370">
        <w:rPr>
          <w:shd w:val="clear" w:color="auto" w:fill="FFFFFF"/>
          <w:lang w:val="en-US"/>
        </w:rPr>
        <w:t>1.8</w:t>
      </w:r>
      <w:r w:rsidRPr="007E442A">
        <w:rPr>
          <w:shd w:val="clear" w:color="auto" w:fill="FFFFFF"/>
          <w:lang w:val="en-US"/>
        </w:rPr>
        <w:t xml:space="preserve"> percentage points). </w:t>
      </w:r>
      <w:r w:rsidR="00E66F95">
        <w:rPr>
          <w:shd w:val="clear" w:color="auto" w:fill="FFFFFF"/>
          <w:lang w:val="en-US"/>
        </w:rPr>
        <w:t xml:space="preserve">The evaluation of the future level of employment </w:t>
      </w:r>
      <w:r w:rsidR="00E66F95">
        <w:rPr>
          <w:lang w:val="en-US"/>
        </w:rPr>
        <w:t>remained at the same level.</w:t>
      </w:r>
    </w:p>
    <w:p w:rsidR="00D03270" w:rsidRPr="00D03270" w:rsidRDefault="007E442A" w:rsidP="007E442A">
      <w:pPr>
        <w:jc w:val="both"/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E96C00">
        <w:rPr>
          <w:shd w:val="clear" w:color="auto" w:fill="FFFFFF"/>
          <w:lang w:val="en-US"/>
        </w:rPr>
        <w:t>March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>cator reached a value lower by 7.0</w:t>
      </w:r>
      <w:r w:rsidRPr="007E442A">
        <w:rPr>
          <w:shd w:val="clear" w:color="auto" w:fill="FFFFFF"/>
          <w:lang w:val="en-US"/>
        </w:rPr>
        <w:t xml:space="preserve"> percentage points than in the corresponding month of 2019.</w:t>
      </w:r>
    </w:p>
    <w:p w:rsidR="00784860" w:rsidRPr="00765FC9" w:rsidRDefault="00784860" w:rsidP="00D06B81">
      <w:pPr>
        <w:jc w:val="both"/>
        <w:rPr>
          <w:rFonts w:cs="Arial"/>
          <w:i/>
          <w:spacing w:val="-2"/>
          <w:sz w:val="18"/>
          <w:szCs w:val="18"/>
          <w:lang w:val="en-US"/>
        </w:rPr>
      </w:pPr>
    </w:p>
    <w:p w:rsidR="00784860" w:rsidRPr="00765FC9" w:rsidRDefault="00784860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:rsidR="00EC24AD" w:rsidRDefault="00EC24AD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:rsidR="00765FC9" w:rsidRDefault="00765FC9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:rsidR="009C4907" w:rsidRDefault="009C4907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:rsidR="007E442A" w:rsidRDefault="007E44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:rsidR="007E442A" w:rsidRDefault="007E44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:rsidR="007E442A" w:rsidRDefault="007E44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:rsidR="007E442A" w:rsidRDefault="007E44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:rsidR="009C4907" w:rsidRPr="00765FC9" w:rsidRDefault="009C4907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YearQuarter</w:t>
            </w:r>
            <w:proofErr w:type="spellEnd"/>
          </w:p>
          <w:p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77570E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3245A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B51B6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</w:tr>
      <w:tr w:rsidR="00481A96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B3C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81A96" w:rsidRPr="007443DC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81A96" w:rsidRPr="007443DC" w:rsidRDefault="00481A96" w:rsidP="00481A9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81A96" w:rsidRPr="007443DC" w:rsidRDefault="00481A96" w:rsidP="00481A9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81A96" w:rsidRPr="007443DC" w:rsidRDefault="00481A96" w:rsidP="00481A9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81A96" w:rsidRPr="007443DC" w:rsidRDefault="00481A96" w:rsidP="00481A9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81A96" w:rsidRPr="007443DC" w:rsidRDefault="00481A96" w:rsidP="00481A9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81A96" w:rsidRPr="007443DC" w:rsidRDefault="00481A96" w:rsidP="00481A9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8F7A73" w:rsidRDefault="00402AE0" w:rsidP="00C074FD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Pole tekstowe 12" o:spid="_x0000_s1030" type="#_x0000_t202" style="position:absolute;margin-left:412.5pt;margin-top:14pt;width:135.85pt;height:123.75pt;z-index:-251572224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<v:textbox>
              <w:txbxContent>
                <w:p w:rsidR="00C31E5E" w:rsidRPr="00757A63" w:rsidRDefault="00C31E5E" w:rsidP="00757A6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 w:rsidRPr="00757A63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Current consumer confidence indicator is the average of balances of evaluations changes in the household's financial condition, changes in general economic situation of the country and currently made major purchases</w:t>
                  </w:r>
                </w:p>
                <w:p w:rsidR="00C31E5E" w:rsidRPr="00757A63" w:rsidRDefault="00C31E5E" w:rsidP="00273134">
                  <w:pPr>
                    <w:pStyle w:val="tytuwykresu"/>
                    <w:rPr>
                      <w:rFonts w:eastAsia="Times New Roman" w:cs="Times New Roman"/>
                      <w:b w:val="0"/>
                      <w:bCs/>
                      <w:color w:val="001D77"/>
                      <w:spacing w:val="0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</w:p>
    <w:p w:rsidR="00712785" w:rsidRPr="008F7A73" w:rsidRDefault="00712785">
      <w:pPr>
        <w:spacing w:before="0" w:after="160" w:line="259" w:lineRule="auto"/>
        <w:rPr>
          <w:b/>
          <w:spacing w:val="-2"/>
          <w:sz w:val="18"/>
          <w:lang w:val="en-US"/>
        </w:rPr>
      </w:pPr>
      <w:r w:rsidRPr="008F7A73">
        <w:rPr>
          <w:lang w:val="en-US"/>
        </w:rPr>
        <w:br w:type="page"/>
      </w:r>
    </w:p>
    <w:p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862F0C">
        <w:rPr>
          <w:shd w:val="clear" w:color="auto" w:fill="FFFFFF"/>
          <w:lang w:val="en-US"/>
        </w:rPr>
        <w:t xml:space="preserve"> 2017–2020</w:t>
      </w:r>
    </w:p>
    <w:p w:rsidR="00197162" w:rsidRPr="008A1107" w:rsidRDefault="00197162" w:rsidP="00197162">
      <w:pPr>
        <w:pStyle w:val="tytuwykresu"/>
        <w:spacing w:before="100" w:beforeAutospacing="1" w:after="0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63712" behindDoc="0" locked="0" layoutInCell="1" allowOverlap="1" wp14:anchorId="5530C707" wp14:editId="4B5036B4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lang w:val="en-US"/>
        </w:rPr>
        <w:t>Chart</w:t>
      </w:r>
      <w:r w:rsidRPr="00FF0494">
        <w:rPr>
          <w:lang w:val="en-US"/>
        </w:rPr>
        <w:t xml:space="preserve"> 2.</w:t>
      </w:r>
      <w:r w:rsidRPr="00D456AB">
        <w:rPr>
          <w:shd w:val="clear" w:color="auto" w:fill="FFFFFF"/>
          <w:lang w:val="en-US"/>
        </w:rPr>
        <w:t>Current consumer confidence indicator and its component values</w:t>
      </w:r>
      <w:r>
        <w:rPr>
          <w:shd w:val="clear" w:color="auto" w:fill="FFFFFF"/>
          <w:lang w:val="en-US"/>
        </w:rPr>
        <w:t xml:space="preserve"> by years</w:t>
      </w:r>
    </w:p>
    <w:p w:rsidR="00FD7BD2" w:rsidRPr="00D456AB" w:rsidRDefault="00FD7BD2" w:rsidP="00FD7BD2">
      <w:pPr>
        <w:rPr>
          <w:lang w:val="en-US"/>
        </w:rPr>
      </w:pPr>
    </w:p>
    <w:p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1020"/>
            </w:tblGrid>
            <w:tr w:rsidR="00F37F18" w:rsidRPr="0077570E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:rsidR="00F37F18" w:rsidRPr="00F37F18" w:rsidRDefault="00F37F18" w:rsidP="0077570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77570E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:rsidR="00F37F18" w:rsidRPr="00F37F18" w:rsidRDefault="00F37F18" w:rsidP="0077570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:rsidR="00F37F18" w:rsidRPr="00F37F18" w:rsidRDefault="00F37F18" w:rsidP="0077570E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77570E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3245A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3C6EFB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73070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A14B1D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Pr="004E61E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3.2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4.7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4.9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3.6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D96A8F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D96A8F" w:rsidRPr="007443DC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96A8F" w:rsidRPr="007443DC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96A8F" w:rsidRPr="007443DC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96A8F" w:rsidRPr="007443DC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96A8F" w:rsidRPr="007443DC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D96A8F" w:rsidRPr="007443DC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proofErr w:type="spellStart"/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</w:t>
      </w:r>
      <w:proofErr w:type="spellEnd"/>
      <w:r w:rsidRPr="008F7A73">
        <w:rPr>
          <w:b/>
          <w:spacing w:val="-2"/>
          <w:sz w:val="18"/>
          <w:shd w:val="clear" w:color="auto" w:fill="FFFFFF"/>
          <w:lang w:val="en-US"/>
        </w:rPr>
        <w:t xml:space="preserve"> confidence indicator</w:t>
      </w:r>
    </w:p>
    <w:p w:rsidR="00712785" w:rsidRPr="0066130E" w:rsidRDefault="00402AE0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Pole tekstowe 13" o:spid="_x0000_s1031" type="#_x0000_t202" style="position:absolute;margin-left:412.5pt;margin-top:6.5pt;width:135.85pt;height:133.5pt;z-index:-25157017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<v:textbox>
              <w:txbxContent>
                <w:p w:rsidR="00C31E5E" w:rsidRPr="00333ABC" w:rsidRDefault="00C31E5E" w:rsidP="0066130E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Leading</w:t>
                  </w:r>
                  <w:r w:rsidRPr="00333AB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 consumer confidence indicator is the average of balances of evaluations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 changes </w:t>
                  </w:r>
                  <w:r w:rsidRPr="00333AB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in the household's financial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condition, </w:t>
                  </w:r>
                  <w:r w:rsidRPr="00333AB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general economic situation of the country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, trends in the level of unemployment (with inverted sign) and saving money in the next 12 months</w:t>
                  </w:r>
                </w:p>
                <w:p w:rsidR="00C31E5E" w:rsidRPr="0066130E" w:rsidRDefault="00C31E5E" w:rsidP="0093660E">
                  <w:pPr>
                    <w:pStyle w:val="tytuwykresu"/>
                    <w:jc w:val="both"/>
                    <w:rPr>
                      <w:rFonts w:eastAsia="Times New Roman" w:cs="Times New Roman"/>
                      <w:b w:val="0"/>
                      <w:bCs/>
                      <w:color w:val="001D77"/>
                      <w:spacing w:val="0"/>
                      <w:szCs w:val="18"/>
                      <w:lang w:val="en-US" w:eastAsia="pl-PL"/>
                    </w:rPr>
                  </w:pPr>
                </w:p>
              </w:txbxContent>
            </v:textbox>
            <w10:wrap type="tight"/>
          </v:shape>
        </w:pict>
      </w:r>
      <w:r w:rsidR="00712785" w:rsidRPr="0066130E">
        <w:rPr>
          <w:lang w:val="en-US"/>
        </w:rPr>
        <w:br w:type="page"/>
      </w:r>
    </w:p>
    <w:p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CF5DC2">
        <w:rPr>
          <w:shd w:val="clear" w:color="auto" w:fill="FFFFFF"/>
          <w:lang w:val="en-US"/>
        </w:rPr>
        <w:t xml:space="preserve"> 2017–2020</w:t>
      </w:r>
    </w:p>
    <w:p w:rsidR="00C562B2" w:rsidRPr="008A1107" w:rsidRDefault="00C562B2" w:rsidP="00C562B2">
      <w:pPr>
        <w:rPr>
          <w:lang w:val="en-US"/>
        </w:rPr>
      </w:pPr>
    </w:p>
    <w:p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:rsidR="00CF6348" w:rsidRPr="008A1107" w:rsidRDefault="00402AE0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w:pict>
          <v:shape id="_x0000_s1032" type="#_x0000_t202" style="position:absolute;left:0;text-align:left;margin-left:27.75pt;margin-top:248.6pt;width:118.3pt;height:17.25pt;z-index:-251565056;visibility:visible;mso-wrap-distance-top:3.6pt;mso-wrap-distance-bottom:3.6pt;mso-width-relative:margin;mso-height-relative:margin" wrapcoords="-137 0 -137 20661 21600 20661 21600 0 -13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<v:textbox>
              <w:txbxContent>
                <w:p w:rsidR="00C31E5E" w:rsidRPr="003B3271" w:rsidRDefault="00C31E5E" w:rsidP="00A34A43">
                  <w:pPr>
                    <w:spacing w:before="0" w:after="0" w:line="240" w:lineRule="auto"/>
                    <w:rPr>
                      <w:sz w:val="14"/>
                    </w:rPr>
                  </w:pPr>
                  <w:r w:rsidRPr="003B3271">
                    <w:rPr>
                      <w:sz w:val="14"/>
                    </w:rPr>
                    <w:t xml:space="preserve">** </w:t>
                  </w:r>
                  <w:proofErr w:type="spellStart"/>
                  <w:r>
                    <w:rPr>
                      <w:sz w:val="14"/>
                    </w:rPr>
                    <w:t>April</w:t>
                  </w:r>
                  <w:proofErr w:type="spellEnd"/>
                  <w:r>
                    <w:rPr>
                      <w:sz w:val="14"/>
                    </w:rPr>
                    <w:t xml:space="preserve">, </w:t>
                  </w:r>
                  <w:proofErr w:type="spellStart"/>
                  <w:r>
                    <w:rPr>
                      <w:sz w:val="14"/>
                    </w:rPr>
                    <w:t>July</w:t>
                  </w:r>
                  <w:proofErr w:type="spellEnd"/>
                  <w:r>
                    <w:rPr>
                      <w:sz w:val="14"/>
                    </w:rPr>
                    <w:t xml:space="preserve">, </w:t>
                  </w:r>
                  <w:proofErr w:type="spellStart"/>
                  <w:r>
                    <w:rPr>
                      <w:sz w:val="14"/>
                    </w:rPr>
                    <w:t>October</w:t>
                  </w:r>
                  <w:proofErr w:type="spellEnd"/>
                </w:p>
              </w:txbxContent>
            </v:textbox>
            <w10:wrap type="tight"/>
          </v:shape>
        </w:pict>
      </w:r>
    </w:p>
    <w:p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:rsidR="00CF6348" w:rsidRPr="008A1107" w:rsidRDefault="00CF6348" w:rsidP="00CF6348">
      <w:pPr>
        <w:rPr>
          <w:lang w:val="en-US" w:eastAsia="pl-PL"/>
        </w:rPr>
      </w:pPr>
    </w:p>
    <w:p w:rsidR="00694AF0" w:rsidRPr="008A1107" w:rsidRDefault="00694AF0" w:rsidP="00E76D26">
      <w:pPr>
        <w:rPr>
          <w:sz w:val="18"/>
          <w:lang w:val="en-US"/>
        </w:rPr>
        <w:sectPr w:rsidR="00694AF0" w:rsidRPr="008A1107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77570E" w:rsidTr="00F87A89">
        <w:trPr>
          <w:trHeight w:val="1912"/>
        </w:trPr>
        <w:tc>
          <w:tcPr>
            <w:tcW w:w="4239" w:type="dxa"/>
          </w:tcPr>
          <w:p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="000470AA" w:rsidRPr="00C17194" w:rsidRDefault="00402AE0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19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6616FA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:rsidR="00C17194" w:rsidRPr="000A6AE1" w:rsidRDefault="006616FA" w:rsidP="00C17194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 </w:t>
            </w:r>
            <w:r w:rsidR="00C17194"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6616F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  <w:proofErr w:type="spellEnd"/>
          </w:p>
          <w:p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17194" w:rsidRPr="0077570E" w:rsidTr="0070713F">
        <w:trPr>
          <w:trHeight w:val="610"/>
        </w:trPr>
        <w:tc>
          <w:tcPr>
            <w:tcW w:w="2721" w:type="pct"/>
            <w:vMerge w:val="restart"/>
          </w:tcPr>
          <w:p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hyperlink r:id="rId20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:rsidTr="0070713F">
        <w:trPr>
          <w:trHeight w:val="436"/>
        </w:trPr>
        <w:tc>
          <w:tcPr>
            <w:tcW w:w="2721" w:type="pct"/>
            <w:vMerge/>
          </w:tcPr>
          <w:p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:rsidTr="0070713F">
        <w:trPr>
          <w:trHeight w:val="436"/>
        </w:trPr>
        <w:tc>
          <w:tcPr>
            <w:tcW w:w="2721" w:type="pct"/>
            <w:vMerge/>
          </w:tcPr>
          <w:p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3308DB" w:rsidRDefault="00402AE0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33" type="#_x0000_t202" style="position:absolute;margin-left:1.5pt;margin-top:33.5pt;width:516.5pt;height:349.8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C31E5E" w:rsidRDefault="00C31E5E" w:rsidP="00AB6D25">
                  <w:pPr>
                    <w:rPr>
                      <w:b/>
                    </w:rPr>
                  </w:pPr>
                </w:p>
                <w:p w:rsidR="00C31E5E" w:rsidRPr="00FF0494" w:rsidRDefault="00C31E5E" w:rsidP="00C17194">
                  <w:pPr>
                    <w:rPr>
                      <w:b/>
                      <w:lang w:val="en-US"/>
                    </w:rPr>
                  </w:pPr>
                  <w:r w:rsidRPr="00FF0494">
                    <w:rPr>
                      <w:b/>
                      <w:lang w:val="en-US"/>
                    </w:rPr>
                    <w:t>Related information</w:t>
                  </w:r>
                </w:p>
                <w:p w:rsidR="00C31E5E" w:rsidRPr="00FF0494" w:rsidRDefault="00402AE0" w:rsidP="009942D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4" w:history="1">
                    <w:r w:rsidR="00C31E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Business tendency in manufacturing, construction, trade and services in - February 2020</w:t>
                    </w:r>
                  </w:hyperlink>
                </w:p>
                <w:p w:rsidR="00C31E5E" w:rsidRPr="00FF0494" w:rsidRDefault="00402AE0" w:rsidP="009942D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5" w:history="1">
                    <w:r w:rsidR="00C31E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Statistical Bulletin No 1/2020</w:t>
                    </w:r>
                  </w:hyperlink>
                </w:p>
                <w:p w:rsidR="00C31E5E" w:rsidRPr="00FF0494" w:rsidRDefault="00C31E5E" w:rsidP="00AB6D2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  <w:p w:rsidR="00C31E5E" w:rsidRPr="00FF0494" w:rsidRDefault="00C31E5E" w:rsidP="00C17194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FF0494">
                    <w:rPr>
                      <w:b/>
                      <w:color w:val="000000" w:themeColor="text1"/>
                      <w:szCs w:val="24"/>
                      <w:lang w:val="en-US"/>
                    </w:rPr>
                    <w:t>Data available in databases</w:t>
                  </w:r>
                </w:p>
                <w:p w:rsidR="00C31E5E" w:rsidRPr="00AD0C67" w:rsidRDefault="00402AE0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C31E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Knowledge Database </w:t>
                    </w:r>
                    <w:proofErr w:type="spellStart"/>
                    <w:r w:rsidR="00C31E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LivingConditions</w:t>
                    </w:r>
                    <w:proofErr w:type="spellEnd"/>
                  </w:hyperlink>
                </w:p>
                <w:p w:rsidR="00C31E5E" w:rsidRPr="00C267CA" w:rsidRDefault="00C31E5E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3308DB" w:rsidSect="003B18B6">
      <w:headerReference w:type="default" r:id="rId27"/>
      <w:footerReference w:type="default" r:id="rId28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AE0" w:rsidRDefault="00402AE0" w:rsidP="000662E2">
      <w:pPr>
        <w:spacing w:after="0" w:line="240" w:lineRule="auto"/>
      </w:pPr>
      <w:r>
        <w:separator/>
      </w:r>
    </w:p>
  </w:endnote>
  <w:endnote w:type="continuationSeparator" w:id="0">
    <w:p w:rsidR="00402AE0" w:rsidRDefault="00402A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54E82C4-B6E5-48D5-BA28-B5DECA96BD5B}"/>
    <w:embedBold r:id="rId2" w:fontKey="{9ECA6F66-1951-4AE8-BEFD-D338BE39F384}"/>
    <w:embedItalic r:id="rId3" w:fontKey="{99C93B4D-1EC1-4E76-B0A2-C8674BE29FC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9036C68-B9A5-4E48-8C1E-2F118B1B2285}"/>
    <w:embedBold r:id="rId5" w:fontKey="{D5998E68-09AD-4D32-AC96-57DE497B72D1}"/>
    <w:embedItalic r:id="rId6" w:fontKey="{6B55E3CA-6934-4588-92DB-8F636391C182}"/>
    <w:embedBoldItalic r:id="rId7" w:fontKey="{00CE0372-82AB-4FDC-8AA2-C434E30BE03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A84C2F3-0499-4FC8-AADE-AC179B498FDB}"/>
    <w:embedBold r:id="rId9" w:fontKey="{7E7F980D-E714-4126-A53A-099E074726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0B89C6C5-2008-4DA6-B430-CA7428149EF4}"/>
    <w:embedItalic r:id="rId11" w:fontKey="{5ED96D2E-9D5F-4607-BB8D-92D679DEA92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1132975-05D1-4F28-BE89-9E2DC9989ACD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3" w:fontKey="{F28D8C93-22C2-4B28-AA76-B54372D8E6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:rsidR="00C31E5E" w:rsidRDefault="00F46EB1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60F8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C31E5E" w:rsidRPr="00A518FC" w:rsidRDefault="00C31E5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:rsidR="00C31E5E" w:rsidRPr="00A518FC" w:rsidRDefault="003C4D0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="00C31E5E"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160F87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E5E" w:rsidRDefault="00F46EB1" w:rsidP="003B18B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60F87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AE0" w:rsidRDefault="00402AE0" w:rsidP="000662E2">
      <w:pPr>
        <w:spacing w:after="0" w:line="240" w:lineRule="auto"/>
      </w:pPr>
      <w:r>
        <w:separator/>
      </w:r>
    </w:p>
  </w:footnote>
  <w:footnote w:type="continuationSeparator" w:id="0">
    <w:p w:rsidR="00402AE0" w:rsidRDefault="00402AE0" w:rsidP="000662E2">
      <w:pPr>
        <w:spacing w:after="0" w:line="240" w:lineRule="auto"/>
      </w:pPr>
      <w:r>
        <w:continuationSeparator/>
      </w:r>
    </w:p>
  </w:footnote>
  <w:footnote w:id="1">
    <w:p w:rsidR="00C31E5E" w:rsidRPr="00514D25" w:rsidRDefault="00EF3356" w:rsidP="006A47A2">
      <w:pPr>
        <w:pStyle w:val="Tekstprzypisudolnego"/>
        <w:rPr>
          <w:lang w:val="en-US"/>
        </w:rPr>
      </w:pPr>
      <w:r>
        <w:rPr>
          <w:i/>
          <w:shd w:val="clear" w:color="auto" w:fill="FFFFFF"/>
          <w:vertAlign w:val="superscript"/>
          <w:lang w:val="en-US"/>
        </w:rPr>
        <w:t>a</w:t>
      </w:r>
      <w:r>
        <w:rPr>
          <w:noProof/>
          <w:sz w:val="16"/>
          <w:szCs w:val="16"/>
          <w:lang w:val="en-US"/>
        </w:rPr>
        <w:t xml:space="preserve"> </w:t>
      </w:r>
      <w:r w:rsidR="00C31E5E">
        <w:rPr>
          <w:noProof/>
          <w:sz w:val="16"/>
          <w:szCs w:val="16"/>
          <w:lang w:val="en-US"/>
        </w:rPr>
        <w:t>Both c</w:t>
      </w:r>
      <w:r w:rsidR="00C31E5E" w:rsidRPr="00FF0494">
        <w:rPr>
          <w:noProof/>
          <w:sz w:val="16"/>
          <w:szCs w:val="16"/>
          <w:lang w:val="en-US"/>
        </w:rPr>
        <w:t>onsumer confidence indicator</w:t>
      </w:r>
      <w:r w:rsidR="00C31E5E">
        <w:rPr>
          <w:noProof/>
          <w:sz w:val="16"/>
          <w:szCs w:val="16"/>
          <w:lang w:val="en-US"/>
        </w:rPr>
        <w:t>s</w:t>
      </w:r>
      <w:r w:rsidR="00C31E5E"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="00C31E5E"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attitude.I</w:t>
      </w:r>
      <w:r w:rsidR="00C31E5E">
        <w:rPr>
          <w:noProof/>
          <w:sz w:val="16"/>
          <w:szCs w:val="16"/>
          <w:lang w:val="en-US"/>
        </w:rPr>
        <w:t>n March 2020, 1137</w:t>
      </w:r>
      <w:r w:rsidR="00C31E5E" w:rsidRPr="00514D25">
        <w:rPr>
          <w:noProof/>
          <w:sz w:val="16"/>
          <w:szCs w:val="16"/>
          <w:lang w:val="en-US"/>
        </w:rPr>
        <w:t xml:space="preserve"> interviews were conducted </w:t>
      </w:r>
      <w:r w:rsidR="00C31E5E">
        <w:rPr>
          <w:noProof/>
          <w:sz w:val="16"/>
          <w:szCs w:val="16"/>
          <w:lang w:val="en-US"/>
        </w:rPr>
        <w:t>in the period  02-11.03.2020</w:t>
      </w:r>
      <w:r w:rsidR="00C31E5E" w:rsidRPr="00514D25">
        <w:rPr>
          <w:noProof/>
          <w:sz w:val="16"/>
          <w:szCs w:val="16"/>
          <w:lang w:val="en-US"/>
        </w:rPr>
        <w:t xml:space="preserve"> r. (including 6</w:t>
      </w:r>
      <w:r w:rsidR="00C31E5E">
        <w:rPr>
          <w:noProof/>
          <w:sz w:val="16"/>
          <w:szCs w:val="16"/>
          <w:lang w:val="en-US"/>
        </w:rPr>
        <w:t>6</w:t>
      </w:r>
      <w:r w:rsidR="002168D3">
        <w:rPr>
          <w:noProof/>
          <w:sz w:val="16"/>
          <w:szCs w:val="16"/>
          <w:lang w:val="en-US"/>
        </w:rPr>
        <w:t xml:space="preserve"> </w:t>
      </w:r>
      <w:r w:rsidR="00C31E5E">
        <w:rPr>
          <w:noProof/>
          <w:sz w:val="16"/>
          <w:szCs w:val="16"/>
          <w:lang w:val="en-US"/>
        </w:rPr>
        <w:t>using the</w:t>
      </w:r>
      <w:r w:rsidR="00C31E5E" w:rsidRPr="00514D25">
        <w:rPr>
          <w:noProof/>
          <w:sz w:val="16"/>
          <w:szCs w:val="16"/>
          <w:lang w:val="en-US"/>
        </w:rPr>
        <w:t xml:space="preserve"> CATI</w:t>
      </w:r>
      <w:r w:rsidR="00C31E5E">
        <w:rPr>
          <w:noProof/>
          <w:sz w:val="16"/>
          <w:szCs w:val="16"/>
          <w:lang w:val="en-US"/>
        </w:rPr>
        <w:t xml:space="preserve"> method</w:t>
      </w:r>
      <w:r w:rsidR="00C31E5E" w:rsidRPr="00514D25">
        <w:rPr>
          <w:noProof/>
          <w:sz w:val="16"/>
          <w:szCs w:val="16"/>
          <w:lang w:val="en-US"/>
        </w:rPr>
        <w:t xml:space="preserve"> – </w:t>
      </w:r>
      <w:r w:rsidR="00C31E5E">
        <w:rPr>
          <w:noProof/>
          <w:sz w:val="16"/>
          <w:szCs w:val="16"/>
          <w:lang w:val="en-US"/>
        </w:rPr>
        <w:t>computer-assisted telephone interview</w:t>
      </w:r>
      <w:r w:rsidR="00C31E5E" w:rsidRPr="00514D25">
        <w:rPr>
          <w:noProof/>
          <w:sz w:val="16"/>
          <w:szCs w:val="16"/>
          <w:lang w:val="en-US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E5E" w:rsidRDefault="00C31E5E">
    <w:pPr>
      <w:pStyle w:val="Nagwek"/>
    </w:pPr>
  </w:p>
  <w:p w:rsidR="00C31E5E" w:rsidRDefault="00402AE0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E5E" w:rsidRDefault="00C31E5E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80645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2AE0"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C31E5E" w:rsidRPr="003C6C8D" w:rsidRDefault="00C31E5E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 w:rsidR="00402AE0"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  <w:p w:rsidR="00C31E5E" w:rsidRDefault="00C31E5E">
    <w:pPr>
      <w:pStyle w:val="Nagwek"/>
      <w:rPr>
        <w:noProof/>
        <w:lang w:eastAsia="pl-PL"/>
      </w:rPr>
    </w:pPr>
  </w:p>
  <w:p w:rsidR="00C31E5E" w:rsidRDefault="00C31E5E">
    <w:pPr>
      <w:pStyle w:val="Nagwek"/>
      <w:rPr>
        <w:noProof/>
        <w:lang w:eastAsia="pl-PL"/>
      </w:rPr>
    </w:pPr>
  </w:p>
  <w:p w:rsidR="00C31E5E" w:rsidRDefault="00402AE0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C31E5E" w:rsidRPr="00C97596" w:rsidRDefault="00C31E5E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18.03.2020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E5E" w:rsidRDefault="00C31E5E">
    <w:pPr>
      <w:pStyle w:val="Nagwek"/>
    </w:pPr>
  </w:p>
  <w:p w:rsidR="00C31E5E" w:rsidRDefault="00C31E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450B"/>
    <w:rsid w:val="00014DB7"/>
    <w:rsid w:val="000152F5"/>
    <w:rsid w:val="00031A1A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4570"/>
    <w:rsid w:val="00057CA1"/>
    <w:rsid w:val="000662E2"/>
    <w:rsid w:val="00066883"/>
    <w:rsid w:val="00072F74"/>
    <w:rsid w:val="000743E5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5F1F"/>
    <w:rsid w:val="000C7931"/>
    <w:rsid w:val="000D0352"/>
    <w:rsid w:val="000D1D43"/>
    <w:rsid w:val="000D225C"/>
    <w:rsid w:val="000D29F7"/>
    <w:rsid w:val="000D2A5C"/>
    <w:rsid w:val="000E0918"/>
    <w:rsid w:val="000E0BB2"/>
    <w:rsid w:val="000E2680"/>
    <w:rsid w:val="000E3CBF"/>
    <w:rsid w:val="000E60B4"/>
    <w:rsid w:val="000E615F"/>
    <w:rsid w:val="000F55BC"/>
    <w:rsid w:val="001011C3"/>
    <w:rsid w:val="00105112"/>
    <w:rsid w:val="001070E2"/>
    <w:rsid w:val="00107A73"/>
    <w:rsid w:val="00110D87"/>
    <w:rsid w:val="00113C04"/>
    <w:rsid w:val="00114DB9"/>
    <w:rsid w:val="0011502A"/>
    <w:rsid w:val="00116087"/>
    <w:rsid w:val="001174F6"/>
    <w:rsid w:val="0012106E"/>
    <w:rsid w:val="00124C75"/>
    <w:rsid w:val="001258BC"/>
    <w:rsid w:val="00130296"/>
    <w:rsid w:val="00131F96"/>
    <w:rsid w:val="0013245A"/>
    <w:rsid w:val="00133BFC"/>
    <w:rsid w:val="00137DAE"/>
    <w:rsid w:val="001423B6"/>
    <w:rsid w:val="00142BFC"/>
    <w:rsid w:val="001448A7"/>
    <w:rsid w:val="00146621"/>
    <w:rsid w:val="0015506A"/>
    <w:rsid w:val="00160F87"/>
    <w:rsid w:val="00162325"/>
    <w:rsid w:val="00162C4B"/>
    <w:rsid w:val="00163353"/>
    <w:rsid w:val="0016456B"/>
    <w:rsid w:val="001646FD"/>
    <w:rsid w:val="0016658D"/>
    <w:rsid w:val="00171469"/>
    <w:rsid w:val="00173149"/>
    <w:rsid w:val="00181035"/>
    <w:rsid w:val="00181CBC"/>
    <w:rsid w:val="001825B1"/>
    <w:rsid w:val="00183CE4"/>
    <w:rsid w:val="00192832"/>
    <w:rsid w:val="001951DA"/>
    <w:rsid w:val="00197162"/>
    <w:rsid w:val="00197987"/>
    <w:rsid w:val="00197B94"/>
    <w:rsid w:val="001A0AD3"/>
    <w:rsid w:val="001A671B"/>
    <w:rsid w:val="001A6ED5"/>
    <w:rsid w:val="001A7D81"/>
    <w:rsid w:val="001B3C2C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2EBF"/>
    <w:rsid w:val="001D3533"/>
    <w:rsid w:val="001D4E28"/>
    <w:rsid w:val="001D5FC6"/>
    <w:rsid w:val="001D7E17"/>
    <w:rsid w:val="001E61F7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53F4"/>
    <w:rsid w:val="00227C24"/>
    <w:rsid w:val="002331F6"/>
    <w:rsid w:val="00236A7C"/>
    <w:rsid w:val="00240B8D"/>
    <w:rsid w:val="00255158"/>
    <w:rsid w:val="002570E8"/>
    <w:rsid w:val="002574F9"/>
    <w:rsid w:val="00262B61"/>
    <w:rsid w:val="00262E7F"/>
    <w:rsid w:val="002701A2"/>
    <w:rsid w:val="00273134"/>
    <w:rsid w:val="00274ADF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64C3"/>
    <w:rsid w:val="00296697"/>
    <w:rsid w:val="00296B99"/>
    <w:rsid w:val="002971E7"/>
    <w:rsid w:val="002A2C24"/>
    <w:rsid w:val="002A3665"/>
    <w:rsid w:val="002B0472"/>
    <w:rsid w:val="002B2112"/>
    <w:rsid w:val="002B21C8"/>
    <w:rsid w:val="002B6B12"/>
    <w:rsid w:val="002B7763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476F"/>
    <w:rsid w:val="00304F22"/>
    <w:rsid w:val="00306C7C"/>
    <w:rsid w:val="00310165"/>
    <w:rsid w:val="003204FA"/>
    <w:rsid w:val="00320B84"/>
    <w:rsid w:val="003222A9"/>
    <w:rsid w:val="00322EDD"/>
    <w:rsid w:val="00323A9D"/>
    <w:rsid w:val="00326E56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B33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4D7F"/>
    <w:rsid w:val="003D4F95"/>
    <w:rsid w:val="003D57EF"/>
    <w:rsid w:val="003D5F42"/>
    <w:rsid w:val="003D60A9"/>
    <w:rsid w:val="003E5F73"/>
    <w:rsid w:val="003E6677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AE0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14F9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1A96"/>
    <w:rsid w:val="00483BB4"/>
    <w:rsid w:val="00485A69"/>
    <w:rsid w:val="00486E1D"/>
    <w:rsid w:val="00494D6C"/>
    <w:rsid w:val="0049621B"/>
    <w:rsid w:val="00496F49"/>
    <w:rsid w:val="0049754B"/>
    <w:rsid w:val="004A0FFF"/>
    <w:rsid w:val="004A104D"/>
    <w:rsid w:val="004A2D43"/>
    <w:rsid w:val="004B0AE4"/>
    <w:rsid w:val="004B138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81651"/>
    <w:rsid w:val="00581CD2"/>
    <w:rsid w:val="005856AC"/>
    <w:rsid w:val="00586EB0"/>
    <w:rsid w:val="005877D2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2AAE"/>
    <w:rsid w:val="005B3A86"/>
    <w:rsid w:val="005B5D8A"/>
    <w:rsid w:val="005C433F"/>
    <w:rsid w:val="005C5FBD"/>
    <w:rsid w:val="005D6D73"/>
    <w:rsid w:val="005E071C"/>
    <w:rsid w:val="005E0799"/>
    <w:rsid w:val="005E0B91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329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404CD"/>
    <w:rsid w:val="0064135C"/>
    <w:rsid w:val="006415B3"/>
    <w:rsid w:val="006456D4"/>
    <w:rsid w:val="006508EE"/>
    <w:rsid w:val="00651FDC"/>
    <w:rsid w:val="006537BC"/>
    <w:rsid w:val="00654B4D"/>
    <w:rsid w:val="00655370"/>
    <w:rsid w:val="00655E7E"/>
    <w:rsid w:val="006565E3"/>
    <w:rsid w:val="00656AE2"/>
    <w:rsid w:val="00657E03"/>
    <w:rsid w:val="00661090"/>
    <w:rsid w:val="0066130E"/>
    <w:rsid w:val="006616FA"/>
    <w:rsid w:val="00661ECB"/>
    <w:rsid w:val="006623F1"/>
    <w:rsid w:val="00663D48"/>
    <w:rsid w:val="00664D0E"/>
    <w:rsid w:val="00665EB3"/>
    <w:rsid w:val="00666F48"/>
    <w:rsid w:val="006673CA"/>
    <w:rsid w:val="00671CD5"/>
    <w:rsid w:val="00672418"/>
    <w:rsid w:val="00673C26"/>
    <w:rsid w:val="00674018"/>
    <w:rsid w:val="00676474"/>
    <w:rsid w:val="006765B6"/>
    <w:rsid w:val="006812AF"/>
    <w:rsid w:val="00682F24"/>
    <w:rsid w:val="0068327D"/>
    <w:rsid w:val="00691D5B"/>
    <w:rsid w:val="00694AF0"/>
    <w:rsid w:val="00695B50"/>
    <w:rsid w:val="006962BC"/>
    <w:rsid w:val="00696B93"/>
    <w:rsid w:val="006A4686"/>
    <w:rsid w:val="006A47A2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6C7D"/>
    <w:rsid w:val="006F7B7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553E"/>
    <w:rsid w:val="00715683"/>
    <w:rsid w:val="007211B1"/>
    <w:rsid w:val="007220B9"/>
    <w:rsid w:val="00724A5A"/>
    <w:rsid w:val="00724C09"/>
    <w:rsid w:val="00730701"/>
    <w:rsid w:val="007316C5"/>
    <w:rsid w:val="00733E2E"/>
    <w:rsid w:val="0074121C"/>
    <w:rsid w:val="00743028"/>
    <w:rsid w:val="007443DC"/>
    <w:rsid w:val="00744F8A"/>
    <w:rsid w:val="00745D08"/>
    <w:rsid w:val="00745D81"/>
    <w:rsid w:val="00746187"/>
    <w:rsid w:val="00757A63"/>
    <w:rsid w:val="0076254F"/>
    <w:rsid w:val="00764E2D"/>
    <w:rsid w:val="00765FC9"/>
    <w:rsid w:val="00771080"/>
    <w:rsid w:val="00775052"/>
    <w:rsid w:val="0077570E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34B7"/>
    <w:rsid w:val="007B710C"/>
    <w:rsid w:val="007B7753"/>
    <w:rsid w:val="007C070C"/>
    <w:rsid w:val="007C3F8C"/>
    <w:rsid w:val="007C4853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800949"/>
    <w:rsid w:val="00801B02"/>
    <w:rsid w:val="0080234D"/>
    <w:rsid w:val="008024D9"/>
    <w:rsid w:val="0080553C"/>
    <w:rsid w:val="00805B46"/>
    <w:rsid w:val="008063C9"/>
    <w:rsid w:val="008068D3"/>
    <w:rsid w:val="008118C7"/>
    <w:rsid w:val="00812A08"/>
    <w:rsid w:val="00813134"/>
    <w:rsid w:val="00817BBB"/>
    <w:rsid w:val="0082137A"/>
    <w:rsid w:val="0082262A"/>
    <w:rsid w:val="0082320B"/>
    <w:rsid w:val="0082543E"/>
    <w:rsid w:val="00825DC2"/>
    <w:rsid w:val="00826E3B"/>
    <w:rsid w:val="00834AD3"/>
    <w:rsid w:val="00836863"/>
    <w:rsid w:val="00843795"/>
    <w:rsid w:val="00847F0F"/>
    <w:rsid w:val="00852330"/>
    <w:rsid w:val="0085237B"/>
    <w:rsid w:val="00852448"/>
    <w:rsid w:val="0085474D"/>
    <w:rsid w:val="00854E1D"/>
    <w:rsid w:val="00862F0C"/>
    <w:rsid w:val="008636BC"/>
    <w:rsid w:val="00866947"/>
    <w:rsid w:val="008822CB"/>
    <w:rsid w:val="0088258A"/>
    <w:rsid w:val="008837AF"/>
    <w:rsid w:val="00884CA7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107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5A4B"/>
    <w:rsid w:val="008D61B1"/>
    <w:rsid w:val="008E39CE"/>
    <w:rsid w:val="008E3D66"/>
    <w:rsid w:val="008E75B8"/>
    <w:rsid w:val="008F3638"/>
    <w:rsid w:val="008F4441"/>
    <w:rsid w:val="008F6F31"/>
    <w:rsid w:val="008F74DF"/>
    <w:rsid w:val="008F7A73"/>
    <w:rsid w:val="0090176A"/>
    <w:rsid w:val="00903394"/>
    <w:rsid w:val="0090561C"/>
    <w:rsid w:val="00906B4E"/>
    <w:rsid w:val="00907522"/>
    <w:rsid w:val="009127BA"/>
    <w:rsid w:val="0091301E"/>
    <w:rsid w:val="00914E6D"/>
    <w:rsid w:val="009227A6"/>
    <w:rsid w:val="00923642"/>
    <w:rsid w:val="00924F4C"/>
    <w:rsid w:val="00931755"/>
    <w:rsid w:val="00933EC1"/>
    <w:rsid w:val="0093629F"/>
    <w:rsid w:val="0093660E"/>
    <w:rsid w:val="00942142"/>
    <w:rsid w:val="0094514C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91BAC"/>
    <w:rsid w:val="009942D1"/>
    <w:rsid w:val="009950DE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2E5B"/>
    <w:rsid w:val="009C4907"/>
    <w:rsid w:val="009C7251"/>
    <w:rsid w:val="009D0AC9"/>
    <w:rsid w:val="009D10D8"/>
    <w:rsid w:val="009D207F"/>
    <w:rsid w:val="009D3DE0"/>
    <w:rsid w:val="009D799F"/>
    <w:rsid w:val="009E2D0F"/>
    <w:rsid w:val="009E2E91"/>
    <w:rsid w:val="009E34DD"/>
    <w:rsid w:val="009F096D"/>
    <w:rsid w:val="009F1339"/>
    <w:rsid w:val="009F1EF8"/>
    <w:rsid w:val="009F5774"/>
    <w:rsid w:val="009F5AAF"/>
    <w:rsid w:val="009F7114"/>
    <w:rsid w:val="009F71F6"/>
    <w:rsid w:val="00A01C97"/>
    <w:rsid w:val="00A05095"/>
    <w:rsid w:val="00A0582E"/>
    <w:rsid w:val="00A05D76"/>
    <w:rsid w:val="00A06A63"/>
    <w:rsid w:val="00A10177"/>
    <w:rsid w:val="00A139F5"/>
    <w:rsid w:val="00A14B1D"/>
    <w:rsid w:val="00A201E6"/>
    <w:rsid w:val="00A217E6"/>
    <w:rsid w:val="00A21E81"/>
    <w:rsid w:val="00A2214D"/>
    <w:rsid w:val="00A2414C"/>
    <w:rsid w:val="00A26F16"/>
    <w:rsid w:val="00A33D0D"/>
    <w:rsid w:val="00A34A43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2353"/>
    <w:rsid w:val="00A62DBC"/>
    <w:rsid w:val="00A638B0"/>
    <w:rsid w:val="00A64D42"/>
    <w:rsid w:val="00A6713B"/>
    <w:rsid w:val="00A77879"/>
    <w:rsid w:val="00A810F9"/>
    <w:rsid w:val="00A81127"/>
    <w:rsid w:val="00A821F3"/>
    <w:rsid w:val="00A84C04"/>
    <w:rsid w:val="00A866F2"/>
    <w:rsid w:val="00A86ECC"/>
    <w:rsid w:val="00A86FCC"/>
    <w:rsid w:val="00A907FE"/>
    <w:rsid w:val="00A953B9"/>
    <w:rsid w:val="00AA3BAC"/>
    <w:rsid w:val="00AA5262"/>
    <w:rsid w:val="00AA57A3"/>
    <w:rsid w:val="00AA676A"/>
    <w:rsid w:val="00AA710D"/>
    <w:rsid w:val="00AA724B"/>
    <w:rsid w:val="00AB0281"/>
    <w:rsid w:val="00AB1B71"/>
    <w:rsid w:val="00AB2C3E"/>
    <w:rsid w:val="00AB3236"/>
    <w:rsid w:val="00AB458F"/>
    <w:rsid w:val="00AB6D25"/>
    <w:rsid w:val="00AC149C"/>
    <w:rsid w:val="00AC1A44"/>
    <w:rsid w:val="00AC2AC4"/>
    <w:rsid w:val="00AC3B8D"/>
    <w:rsid w:val="00AC5371"/>
    <w:rsid w:val="00AC6F33"/>
    <w:rsid w:val="00AC77DC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2F1E"/>
    <w:rsid w:val="00AF3780"/>
    <w:rsid w:val="00AF4C9F"/>
    <w:rsid w:val="00B00C09"/>
    <w:rsid w:val="00B012FB"/>
    <w:rsid w:val="00B03649"/>
    <w:rsid w:val="00B11B69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12A3"/>
    <w:rsid w:val="00B413B9"/>
    <w:rsid w:val="00B4483E"/>
    <w:rsid w:val="00B46A9F"/>
    <w:rsid w:val="00B51B63"/>
    <w:rsid w:val="00B521B0"/>
    <w:rsid w:val="00B5609E"/>
    <w:rsid w:val="00B57890"/>
    <w:rsid w:val="00B6033B"/>
    <w:rsid w:val="00B61820"/>
    <w:rsid w:val="00B61924"/>
    <w:rsid w:val="00B63591"/>
    <w:rsid w:val="00B653AB"/>
    <w:rsid w:val="00B656BE"/>
    <w:rsid w:val="00B65F9E"/>
    <w:rsid w:val="00B66B19"/>
    <w:rsid w:val="00B7120E"/>
    <w:rsid w:val="00B722C7"/>
    <w:rsid w:val="00B72F68"/>
    <w:rsid w:val="00B733EE"/>
    <w:rsid w:val="00B73F74"/>
    <w:rsid w:val="00B749B9"/>
    <w:rsid w:val="00B77A19"/>
    <w:rsid w:val="00B81262"/>
    <w:rsid w:val="00B81EBE"/>
    <w:rsid w:val="00B82545"/>
    <w:rsid w:val="00B8591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DF0"/>
    <w:rsid w:val="00BB4EA0"/>
    <w:rsid w:val="00BB4F09"/>
    <w:rsid w:val="00BB5631"/>
    <w:rsid w:val="00BC2DDB"/>
    <w:rsid w:val="00BC44E4"/>
    <w:rsid w:val="00BD0145"/>
    <w:rsid w:val="00BD1E7E"/>
    <w:rsid w:val="00BD2828"/>
    <w:rsid w:val="00BD4E33"/>
    <w:rsid w:val="00BD5CAF"/>
    <w:rsid w:val="00BE3159"/>
    <w:rsid w:val="00BE4883"/>
    <w:rsid w:val="00BE54BD"/>
    <w:rsid w:val="00BF050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702F"/>
    <w:rsid w:val="00C42F6A"/>
    <w:rsid w:val="00C4500A"/>
    <w:rsid w:val="00C517C0"/>
    <w:rsid w:val="00C51D06"/>
    <w:rsid w:val="00C54FCB"/>
    <w:rsid w:val="00C558C4"/>
    <w:rsid w:val="00C562B2"/>
    <w:rsid w:val="00C563F1"/>
    <w:rsid w:val="00C566A9"/>
    <w:rsid w:val="00C56813"/>
    <w:rsid w:val="00C5701B"/>
    <w:rsid w:val="00C60D38"/>
    <w:rsid w:val="00C6272A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24A8"/>
    <w:rsid w:val="00C940E7"/>
    <w:rsid w:val="00C945FE"/>
    <w:rsid w:val="00C96FAA"/>
    <w:rsid w:val="00C97A04"/>
    <w:rsid w:val="00CA0641"/>
    <w:rsid w:val="00CA107B"/>
    <w:rsid w:val="00CA3B28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0BD6"/>
    <w:rsid w:val="00CD178A"/>
    <w:rsid w:val="00CD1CFB"/>
    <w:rsid w:val="00CD217B"/>
    <w:rsid w:val="00CD2907"/>
    <w:rsid w:val="00CD49BB"/>
    <w:rsid w:val="00CD58B7"/>
    <w:rsid w:val="00CE0345"/>
    <w:rsid w:val="00CE5EF2"/>
    <w:rsid w:val="00CF2E4C"/>
    <w:rsid w:val="00CF4099"/>
    <w:rsid w:val="00CF50AE"/>
    <w:rsid w:val="00CF538E"/>
    <w:rsid w:val="00CF5DC2"/>
    <w:rsid w:val="00CF6348"/>
    <w:rsid w:val="00CF648E"/>
    <w:rsid w:val="00D00796"/>
    <w:rsid w:val="00D01C12"/>
    <w:rsid w:val="00D029DF"/>
    <w:rsid w:val="00D03270"/>
    <w:rsid w:val="00D05126"/>
    <w:rsid w:val="00D06B81"/>
    <w:rsid w:val="00D078D8"/>
    <w:rsid w:val="00D12F08"/>
    <w:rsid w:val="00D14E00"/>
    <w:rsid w:val="00D16D48"/>
    <w:rsid w:val="00D21BB8"/>
    <w:rsid w:val="00D23581"/>
    <w:rsid w:val="00D24390"/>
    <w:rsid w:val="00D24C05"/>
    <w:rsid w:val="00D26089"/>
    <w:rsid w:val="00D261A2"/>
    <w:rsid w:val="00D36D38"/>
    <w:rsid w:val="00D456AB"/>
    <w:rsid w:val="00D46986"/>
    <w:rsid w:val="00D54347"/>
    <w:rsid w:val="00D60211"/>
    <w:rsid w:val="00D60A84"/>
    <w:rsid w:val="00D616D2"/>
    <w:rsid w:val="00D62602"/>
    <w:rsid w:val="00D63B5F"/>
    <w:rsid w:val="00D70EF7"/>
    <w:rsid w:val="00D734C2"/>
    <w:rsid w:val="00D77FEA"/>
    <w:rsid w:val="00D8019B"/>
    <w:rsid w:val="00D8397C"/>
    <w:rsid w:val="00D86250"/>
    <w:rsid w:val="00D90CB4"/>
    <w:rsid w:val="00D94BFD"/>
    <w:rsid w:val="00D94EED"/>
    <w:rsid w:val="00D95F99"/>
    <w:rsid w:val="00D96026"/>
    <w:rsid w:val="00D96A34"/>
    <w:rsid w:val="00D96A8F"/>
    <w:rsid w:val="00D97CB4"/>
    <w:rsid w:val="00DA0438"/>
    <w:rsid w:val="00DA15B6"/>
    <w:rsid w:val="00DA3414"/>
    <w:rsid w:val="00DA6528"/>
    <w:rsid w:val="00DA70BC"/>
    <w:rsid w:val="00DA7C1C"/>
    <w:rsid w:val="00DB147A"/>
    <w:rsid w:val="00DB1B7A"/>
    <w:rsid w:val="00DB299B"/>
    <w:rsid w:val="00DC0BD7"/>
    <w:rsid w:val="00DC22C3"/>
    <w:rsid w:val="00DC2F51"/>
    <w:rsid w:val="00DC6708"/>
    <w:rsid w:val="00DC7F3C"/>
    <w:rsid w:val="00DD01DA"/>
    <w:rsid w:val="00DD1F1F"/>
    <w:rsid w:val="00DD3036"/>
    <w:rsid w:val="00DD627D"/>
    <w:rsid w:val="00DD7916"/>
    <w:rsid w:val="00DE0D84"/>
    <w:rsid w:val="00DE6E77"/>
    <w:rsid w:val="00DF5320"/>
    <w:rsid w:val="00DF5C75"/>
    <w:rsid w:val="00E01436"/>
    <w:rsid w:val="00E03B38"/>
    <w:rsid w:val="00E045BD"/>
    <w:rsid w:val="00E0762C"/>
    <w:rsid w:val="00E1149B"/>
    <w:rsid w:val="00E135B1"/>
    <w:rsid w:val="00E165BE"/>
    <w:rsid w:val="00E1667E"/>
    <w:rsid w:val="00E17B77"/>
    <w:rsid w:val="00E20041"/>
    <w:rsid w:val="00E20CBE"/>
    <w:rsid w:val="00E212A3"/>
    <w:rsid w:val="00E23337"/>
    <w:rsid w:val="00E2483C"/>
    <w:rsid w:val="00E259EA"/>
    <w:rsid w:val="00E32061"/>
    <w:rsid w:val="00E37334"/>
    <w:rsid w:val="00E41497"/>
    <w:rsid w:val="00E42FF9"/>
    <w:rsid w:val="00E460DB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64BE7"/>
    <w:rsid w:val="00E664C5"/>
    <w:rsid w:val="00E66983"/>
    <w:rsid w:val="00E66F95"/>
    <w:rsid w:val="00E671A2"/>
    <w:rsid w:val="00E67AEE"/>
    <w:rsid w:val="00E73B0C"/>
    <w:rsid w:val="00E76D26"/>
    <w:rsid w:val="00E77E1D"/>
    <w:rsid w:val="00E806E2"/>
    <w:rsid w:val="00E827EF"/>
    <w:rsid w:val="00E832ED"/>
    <w:rsid w:val="00E87266"/>
    <w:rsid w:val="00E9568F"/>
    <w:rsid w:val="00E96C00"/>
    <w:rsid w:val="00EA1BCD"/>
    <w:rsid w:val="00EA69E1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6435"/>
    <w:rsid w:val="00EC73CA"/>
    <w:rsid w:val="00EC76B9"/>
    <w:rsid w:val="00ED1949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3356"/>
    <w:rsid w:val="00EF6C6B"/>
    <w:rsid w:val="00F0121F"/>
    <w:rsid w:val="00F0170D"/>
    <w:rsid w:val="00F037A4"/>
    <w:rsid w:val="00F06326"/>
    <w:rsid w:val="00F071AC"/>
    <w:rsid w:val="00F108B4"/>
    <w:rsid w:val="00F12224"/>
    <w:rsid w:val="00F13C31"/>
    <w:rsid w:val="00F1433B"/>
    <w:rsid w:val="00F154DB"/>
    <w:rsid w:val="00F15F6E"/>
    <w:rsid w:val="00F27C8F"/>
    <w:rsid w:val="00F32323"/>
    <w:rsid w:val="00F32749"/>
    <w:rsid w:val="00F327B3"/>
    <w:rsid w:val="00F344CD"/>
    <w:rsid w:val="00F35243"/>
    <w:rsid w:val="00F3589E"/>
    <w:rsid w:val="00F359FA"/>
    <w:rsid w:val="00F37172"/>
    <w:rsid w:val="00F37F18"/>
    <w:rsid w:val="00F40194"/>
    <w:rsid w:val="00F4096A"/>
    <w:rsid w:val="00F43964"/>
    <w:rsid w:val="00F4477E"/>
    <w:rsid w:val="00F45AD8"/>
    <w:rsid w:val="00F46013"/>
    <w:rsid w:val="00F46EB1"/>
    <w:rsid w:val="00F47274"/>
    <w:rsid w:val="00F478EF"/>
    <w:rsid w:val="00F47E33"/>
    <w:rsid w:val="00F54466"/>
    <w:rsid w:val="00F547C7"/>
    <w:rsid w:val="00F54C16"/>
    <w:rsid w:val="00F65B91"/>
    <w:rsid w:val="00F6684A"/>
    <w:rsid w:val="00F6773E"/>
    <w:rsid w:val="00F67D8F"/>
    <w:rsid w:val="00F70850"/>
    <w:rsid w:val="00F726A7"/>
    <w:rsid w:val="00F729F3"/>
    <w:rsid w:val="00F73110"/>
    <w:rsid w:val="00F76B91"/>
    <w:rsid w:val="00F802BE"/>
    <w:rsid w:val="00F80E93"/>
    <w:rsid w:val="00F82CF5"/>
    <w:rsid w:val="00F86024"/>
    <w:rsid w:val="00F8611A"/>
    <w:rsid w:val="00F87A89"/>
    <w:rsid w:val="00FA0634"/>
    <w:rsid w:val="00FA06CE"/>
    <w:rsid w:val="00FA1F77"/>
    <w:rsid w:val="00FA4875"/>
    <w:rsid w:val="00FA5128"/>
    <w:rsid w:val="00FA5F55"/>
    <w:rsid w:val="00FA5F62"/>
    <w:rsid w:val="00FA623A"/>
    <w:rsid w:val="00FB331C"/>
    <w:rsid w:val="00FB42D4"/>
    <w:rsid w:val="00FB451B"/>
    <w:rsid w:val="00FB5906"/>
    <w:rsid w:val="00FB5C58"/>
    <w:rsid w:val="00FB762F"/>
    <w:rsid w:val="00FC0314"/>
    <w:rsid w:val="00FC0725"/>
    <w:rsid w:val="00FC0EC4"/>
    <w:rsid w:val="00FC2AED"/>
    <w:rsid w:val="00FC64E0"/>
    <w:rsid w:val="00FD0641"/>
    <w:rsid w:val="00FD30CF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D73CA158-DC18-4789-92DC-797F4678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://swaid.stat.gov.pl/EN/SitePagesDBW/WarunkiZyciaLudnosci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other-studies/informations-on-socio-economic-situation/statistical-bulletin-no-12020,4,109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business-tendency/business-tendency/business-tendency-in-manufacturing-construction-trade-and-services-in-february-2020,2,2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://warszawa.stat.gov.pl/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image" Target="media/image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39"/>
                <c:pt idx="0">
                  <c:v>-12</c:v>
                </c:pt>
                <c:pt idx="1">
                  <c:v>-19</c:v>
                </c:pt>
                <c:pt idx="2">
                  <c:v>-20</c:v>
                </c:pt>
                <c:pt idx="3">
                  <c:v>-8</c:v>
                </c:pt>
                <c:pt idx="4">
                  <c:v>31</c:v>
                </c:pt>
                <c:pt idx="5">
                  <c:v>48</c:v>
                </c:pt>
                <c:pt idx="6">
                  <c:v>40</c:v>
                </c:pt>
                <c:pt idx="7">
                  <c:v>57</c:v>
                </c:pt>
                <c:pt idx="8">
                  <c:v>50</c:v>
                </c:pt>
                <c:pt idx="9">
                  <c:v>46</c:v>
                </c:pt>
                <c:pt idx="10">
                  <c:v>54</c:v>
                </c:pt>
                <c:pt idx="11">
                  <c:v>21</c:v>
                </c:pt>
                <c:pt idx="12">
                  <c:v>62</c:v>
                </c:pt>
                <c:pt idx="13">
                  <c:v>62</c:v>
                </c:pt>
                <c:pt idx="14">
                  <c:v>54</c:v>
                </c:pt>
                <c:pt idx="15">
                  <c:v>78</c:v>
                </c:pt>
                <c:pt idx="16">
                  <c:v>59</c:v>
                </c:pt>
                <c:pt idx="17">
                  <c:v>61</c:v>
                </c:pt>
                <c:pt idx="18">
                  <c:v>52</c:v>
                </c:pt>
                <c:pt idx="19">
                  <c:v>62</c:v>
                </c:pt>
                <c:pt idx="20">
                  <c:v>69</c:v>
                </c:pt>
                <c:pt idx="21">
                  <c:v>61</c:v>
                </c:pt>
                <c:pt idx="22">
                  <c:v>52</c:v>
                </c:pt>
                <c:pt idx="23">
                  <c:v>11</c:v>
                </c:pt>
                <c:pt idx="24">
                  <c:v>54</c:v>
                </c:pt>
                <c:pt idx="25">
                  <c:v>55</c:v>
                </c:pt>
                <c:pt idx="26">
                  <c:v>82</c:v>
                </c:pt>
                <c:pt idx="27">
                  <c:v>72</c:v>
                </c:pt>
                <c:pt idx="28">
                  <c:v>83</c:v>
                </c:pt>
                <c:pt idx="29">
                  <c:v>96</c:v>
                </c:pt>
                <c:pt idx="30">
                  <c:v>90</c:v>
                </c:pt>
                <c:pt idx="31">
                  <c:v>82</c:v>
                </c:pt>
                <c:pt idx="32">
                  <c:v>102</c:v>
                </c:pt>
                <c:pt idx="33">
                  <c:v>93</c:v>
                </c:pt>
                <c:pt idx="34">
                  <c:v>67</c:v>
                </c:pt>
                <c:pt idx="35">
                  <c:v>43</c:v>
                </c:pt>
                <c:pt idx="36">
                  <c:v>37</c:v>
                </c:pt>
                <c:pt idx="37">
                  <c:v>13</c:v>
                </c:pt>
                <c:pt idx="38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24052624"/>
        <c:axId val="-102405425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39"/>
                <c:pt idx="0">
                  <c:v>-12</c:v>
                </c:pt>
                <c:pt idx="1">
                  <c:v>-9</c:v>
                </c:pt>
                <c:pt idx="2">
                  <c:v>-2</c:v>
                </c:pt>
                <c:pt idx="3">
                  <c:v>5</c:v>
                </c:pt>
                <c:pt idx="4">
                  <c:v>8</c:v>
                </c:pt>
                <c:pt idx="5">
                  <c:v>23</c:v>
                </c:pt>
                <c:pt idx="6">
                  <c:v>-3</c:v>
                </c:pt>
                <c:pt idx="7">
                  <c:v>20</c:v>
                </c:pt>
                <c:pt idx="8">
                  <c:v>6</c:v>
                </c:pt>
                <c:pt idx="9">
                  <c:v>-3</c:v>
                </c:pt>
                <c:pt idx="10">
                  <c:v>2</c:v>
                </c:pt>
                <c:pt idx="11">
                  <c:v>-24</c:v>
                </c:pt>
                <c:pt idx="12">
                  <c:v>15</c:v>
                </c:pt>
                <c:pt idx="13">
                  <c:v>1</c:v>
                </c:pt>
                <c:pt idx="14">
                  <c:v>-29</c:v>
                </c:pt>
                <c:pt idx="15">
                  <c:v>24</c:v>
                </c:pt>
                <c:pt idx="16">
                  <c:v>7</c:v>
                </c:pt>
                <c:pt idx="17">
                  <c:v>-6</c:v>
                </c:pt>
                <c:pt idx="18">
                  <c:v>10</c:v>
                </c:pt>
                <c:pt idx="19">
                  <c:v>29</c:v>
                </c:pt>
                <c:pt idx="20">
                  <c:v>12</c:v>
                </c:pt>
                <c:pt idx="21">
                  <c:v>-2</c:v>
                </c:pt>
                <c:pt idx="22">
                  <c:v>19</c:v>
                </c:pt>
                <c:pt idx="23">
                  <c:v>-13</c:v>
                </c:pt>
                <c:pt idx="24">
                  <c:v>16</c:v>
                </c:pt>
                <c:pt idx="25">
                  <c:v>15</c:v>
                </c:pt>
                <c:pt idx="26">
                  <c:v>32</c:v>
                </c:pt>
                <c:pt idx="27">
                  <c:v>60</c:v>
                </c:pt>
                <c:pt idx="28">
                  <c:v>44</c:v>
                </c:pt>
                <c:pt idx="29">
                  <c:v>75</c:v>
                </c:pt>
                <c:pt idx="30">
                  <c:v>54</c:v>
                </c:pt>
                <c:pt idx="31">
                  <c:v>54</c:v>
                </c:pt>
                <c:pt idx="32">
                  <c:v>69</c:v>
                </c:pt>
                <c:pt idx="33">
                  <c:v>66</c:v>
                </c:pt>
                <c:pt idx="34">
                  <c:v>55</c:v>
                </c:pt>
                <c:pt idx="35">
                  <c:v>33</c:v>
                </c:pt>
                <c:pt idx="36">
                  <c:v>42</c:v>
                </c:pt>
                <c:pt idx="37">
                  <c:v>-8</c:v>
                </c:pt>
                <c:pt idx="38">
                  <c:v>19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39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39"/>
                <c:pt idx="0">
                  <c:v>-42</c:v>
                </c:pt>
                <c:pt idx="1">
                  <c:v>-48</c:v>
                </c:pt>
                <c:pt idx="2">
                  <c:v>-64</c:v>
                </c:pt>
                <c:pt idx="3">
                  <c:v>-38</c:v>
                </c:pt>
                <c:pt idx="4">
                  <c:v>2</c:v>
                </c:pt>
                <c:pt idx="5">
                  <c:v>38</c:v>
                </c:pt>
                <c:pt idx="6">
                  <c:v>46</c:v>
                </c:pt>
                <c:pt idx="7">
                  <c:v>63</c:v>
                </c:pt>
                <c:pt idx="8">
                  <c:v>62</c:v>
                </c:pt>
                <c:pt idx="9">
                  <c:v>85</c:v>
                </c:pt>
                <c:pt idx="10">
                  <c:v>69</c:v>
                </c:pt>
                <c:pt idx="11">
                  <c:v>40</c:v>
                </c:pt>
                <c:pt idx="12">
                  <c:v>89</c:v>
                </c:pt>
                <c:pt idx="13">
                  <c:v>90</c:v>
                </c:pt>
                <c:pt idx="14">
                  <c:v>95</c:v>
                </c:pt>
                <c:pt idx="15">
                  <c:v>132</c:v>
                </c:pt>
                <c:pt idx="16">
                  <c:v>67</c:v>
                </c:pt>
                <c:pt idx="17">
                  <c:v>95</c:v>
                </c:pt>
                <c:pt idx="18">
                  <c:v>98</c:v>
                </c:pt>
                <c:pt idx="19">
                  <c:v>80</c:v>
                </c:pt>
                <c:pt idx="20">
                  <c:v>108</c:v>
                </c:pt>
                <c:pt idx="21">
                  <c:v>70</c:v>
                </c:pt>
                <c:pt idx="22">
                  <c:v>67</c:v>
                </c:pt>
                <c:pt idx="23">
                  <c:v>49</c:v>
                </c:pt>
                <c:pt idx="24">
                  <c:v>69</c:v>
                </c:pt>
                <c:pt idx="25">
                  <c:v>53</c:v>
                </c:pt>
                <c:pt idx="26">
                  <c:v>111</c:v>
                </c:pt>
                <c:pt idx="27">
                  <c:v>71</c:v>
                </c:pt>
                <c:pt idx="28">
                  <c:v>99</c:v>
                </c:pt>
                <c:pt idx="29">
                  <c:v>120</c:v>
                </c:pt>
                <c:pt idx="30">
                  <c:v>119</c:v>
                </c:pt>
                <c:pt idx="31">
                  <c:v>107</c:v>
                </c:pt>
                <c:pt idx="32">
                  <c:v>137</c:v>
                </c:pt>
                <c:pt idx="33">
                  <c:v>121</c:v>
                </c:pt>
                <c:pt idx="34">
                  <c:v>100</c:v>
                </c:pt>
                <c:pt idx="35">
                  <c:v>56</c:v>
                </c:pt>
                <c:pt idx="36">
                  <c:v>37</c:v>
                </c:pt>
                <c:pt idx="37">
                  <c:v>19</c:v>
                </c:pt>
                <c:pt idx="38">
                  <c:v>15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39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0\.0</c:formatCode>
                <c:ptCount val="39"/>
                <c:pt idx="0">
                  <c:v>66</c:v>
                </c:pt>
                <c:pt idx="1">
                  <c:v>34</c:v>
                </c:pt>
                <c:pt idx="2">
                  <c:v>33</c:v>
                </c:pt>
                <c:pt idx="3">
                  <c:v>47</c:v>
                </c:pt>
                <c:pt idx="4">
                  <c:v>129</c:v>
                </c:pt>
                <c:pt idx="5">
                  <c:v>132</c:v>
                </c:pt>
                <c:pt idx="6">
                  <c:v>103</c:v>
                </c:pt>
                <c:pt idx="7">
                  <c:v>130</c:v>
                </c:pt>
                <c:pt idx="8">
                  <c:v>132</c:v>
                </c:pt>
                <c:pt idx="9">
                  <c:v>100</c:v>
                </c:pt>
                <c:pt idx="10">
                  <c:v>110</c:v>
                </c:pt>
                <c:pt idx="11">
                  <c:v>84</c:v>
                </c:pt>
                <c:pt idx="12">
                  <c:v>114</c:v>
                </c:pt>
                <c:pt idx="13">
                  <c:v>130</c:v>
                </c:pt>
                <c:pt idx="14">
                  <c:v>127</c:v>
                </c:pt>
                <c:pt idx="15">
                  <c:v>119</c:v>
                </c:pt>
                <c:pt idx="16">
                  <c:v>149</c:v>
                </c:pt>
                <c:pt idx="17">
                  <c:v>142</c:v>
                </c:pt>
                <c:pt idx="18">
                  <c:v>103</c:v>
                </c:pt>
                <c:pt idx="19">
                  <c:v>142</c:v>
                </c:pt>
                <c:pt idx="20">
                  <c:v>152</c:v>
                </c:pt>
                <c:pt idx="21">
                  <c:v>175</c:v>
                </c:pt>
                <c:pt idx="22">
                  <c:v>106</c:v>
                </c:pt>
                <c:pt idx="23">
                  <c:v>75</c:v>
                </c:pt>
                <c:pt idx="24">
                  <c:v>149</c:v>
                </c:pt>
                <c:pt idx="25">
                  <c:v>119</c:v>
                </c:pt>
                <c:pt idx="26">
                  <c:v>145</c:v>
                </c:pt>
                <c:pt idx="27">
                  <c:v>154</c:v>
                </c:pt>
                <c:pt idx="28">
                  <c:v>167</c:v>
                </c:pt>
                <c:pt idx="29">
                  <c:v>171</c:v>
                </c:pt>
                <c:pt idx="30">
                  <c:v>162</c:v>
                </c:pt>
                <c:pt idx="31">
                  <c:v>185</c:v>
                </c:pt>
                <c:pt idx="32">
                  <c:v>194</c:v>
                </c:pt>
                <c:pt idx="33">
                  <c:v>182</c:v>
                </c:pt>
                <c:pt idx="34">
                  <c:v>161</c:v>
                </c:pt>
                <c:pt idx="35">
                  <c:v>179</c:v>
                </c:pt>
                <c:pt idx="36">
                  <c:v>161</c:v>
                </c:pt>
                <c:pt idx="37">
                  <c:v>115</c:v>
                </c:pt>
                <c:pt idx="38">
                  <c:v>115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24052624"/>
        <c:axId val="-1024054256"/>
      </c:lineChart>
      <c:catAx>
        <c:axId val="-10240526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4054256"/>
        <c:crossesAt val="0"/>
        <c:auto val="1"/>
        <c:lblAlgn val="ctr"/>
        <c:lblOffset val="100"/>
        <c:tickLblSkip val="1"/>
        <c:noMultiLvlLbl val="0"/>
      </c:catAx>
      <c:valAx>
        <c:axId val="-102405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405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24060784"/>
        <c:axId val="-102405371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3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24060784"/>
        <c:axId val="-1024053712"/>
      </c:lineChart>
      <c:catAx>
        <c:axId val="-10240607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4053712"/>
        <c:crossesAt val="0"/>
        <c:auto val="0"/>
        <c:lblAlgn val="ctr"/>
        <c:lblOffset val="100"/>
        <c:tickLblSkip val="1"/>
        <c:noMultiLvlLbl val="0"/>
      </c:catAx>
      <c:valAx>
        <c:axId val="-1024053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406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39"/>
                <c:pt idx="0">
                  <c:v>-44</c:v>
                </c:pt>
                <c:pt idx="1">
                  <c:v>-36</c:v>
                </c:pt>
                <c:pt idx="2">
                  <c:v>-42</c:v>
                </c:pt>
                <c:pt idx="3">
                  <c:v>-31</c:v>
                </c:pt>
                <c:pt idx="4">
                  <c:v>6</c:v>
                </c:pt>
                <c:pt idx="5">
                  <c:v>18</c:v>
                </c:pt>
                <c:pt idx="6">
                  <c:v>13</c:v>
                </c:pt>
                <c:pt idx="7">
                  <c:v>27</c:v>
                </c:pt>
                <c:pt idx="8">
                  <c:v>8</c:v>
                </c:pt>
                <c:pt idx="9">
                  <c:v>16</c:v>
                </c:pt>
                <c:pt idx="10">
                  <c:v>34</c:v>
                </c:pt>
                <c:pt idx="11">
                  <c:v>-2</c:v>
                </c:pt>
                <c:pt idx="12">
                  <c:v>43</c:v>
                </c:pt>
                <c:pt idx="13">
                  <c:v>42</c:v>
                </c:pt>
                <c:pt idx="14">
                  <c:v>29</c:v>
                </c:pt>
                <c:pt idx="15">
                  <c:v>57</c:v>
                </c:pt>
                <c:pt idx="16">
                  <c:v>28</c:v>
                </c:pt>
                <c:pt idx="17">
                  <c:v>40</c:v>
                </c:pt>
                <c:pt idx="18">
                  <c:v>24</c:v>
                </c:pt>
                <c:pt idx="19">
                  <c:v>24</c:v>
                </c:pt>
                <c:pt idx="20">
                  <c:v>31</c:v>
                </c:pt>
                <c:pt idx="21">
                  <c:v>13</c:v>
                </c:pt>
                <c:pt idx="22">
                  <c:v>34</c:v>
                </c:pt>
                <c:pt idx="23">
                  <c:v>-18</c:v>
                </c:pt>
                <c:pt idx="24">
                  <c:v>22</c:v>
                </c:pt>
                <c:pt idx="25">
                  <c:v>32</c:v>
                </c:pt>
                <c:pt idx="26">
                  <c:v>47</c:v>
                </c:pt>
                <c:pt idx="27">
                  <c:v>35</c:v>
                </c:pt>
                <c:pt idx="28">
                  <c:v>49</c:v>
                </c:pt>
                <c:pt idx="29">
                  <c:v>75</c:v>
                </c:pt>
                <c:pt idx="30">
                  <c:v>59</c:v>
                </c:pt>
                <c:pt idx="31">
                  <c:v>39</c:v>
                </c:pt>
                <c:pt idx="32">
                  <c:v>70</c:v>
                </c:pt>
                <c:pt idx="33">
                  <c:v>36</c:v>
                </c:pt>
                <c:pt idx="34">
                  <c:v>22</c:v>
                </c:pt>
                <c:pt idx="35">
                  <c:v>-8</c:v>
                </c:pt>
                <c:pt idx="36">
                  <c:v>-6</c:v>
                </c:pt>
                <c:pt idx="37">
                  <c:v>-22</c:v>
                </c:pt>
                <c:pt idx="38">
                  <c:v>-23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24062960"/>
        <c:axId val="-10240515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39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39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39"/>
                <c:pt idx="0">
                  <c:v>-1</c:v>
                </c:pt>
                <c:pt idx="1">
                  <c:v>44</c:v>
                </c:pt>
                <c:pt idx="2">
                  <c:v>49</c:v>
                </c:pt>
                <c:pt idx="3">
                  <c:v>59</c:v>
                </c:pt>
                <c:pt idx="4">
                  <c:v>110</c:v>
                </c:pt>
                <c:pt idx="5">
                  <c:v>117</c:v>
                </c:pt>
                <c:pt idx="6">
                  <c:v>101</c:v>
                </c:pt>
                <c:pt idx="7">
                  <c:v>110</c:v>
                </c:pt>
                <c:pt idx="8">
                  <c:v>102</c:v>
                </c:pt>
                <c:pt idx="9">
                  <c:v>92</c:v>
                </c:pt>
                <c:pt idx="10">
                  <c:v>135</c:v>
                </c:pt>
                <c:pt idx="11">
                  <c:v>108</c:v>
                </c:pt>
                <c:pt idx="12">
                  <c:v>136</c:v>
                </c:pt>
                <c:pt idx="13">
                  <c:v>141</c:v>
                </c:pt>
                <c:pt idx="14">
                  <c:v>134</c:v>
                </c:pt>
                <c:pt idx="15">
                  <c:v>180</c:v>
                </c:pt>
                <c:pt idx="16">
                  <c:v>142</c:v>
                </c:pt>
                <c:pt idx="17">
                  <c:v>137</c:v>
                </c:pt>
                <c:pt idx="18">
                  <c:v>141</c:v>
                </c:pt>
                <c:pt idx="19">
                  <c:v>123</c:v>
                </c:pt>
                <c:pt idx="20">
                  <c:v>119</c:v>
                </c:pt>
                <c:pt idx="21">
                  <c:v>83</c:v>
                </c:pt>
                <c:pt idx="22">
                  <c:v>94</c:v>
                </c:pt>
                <c:pt idx="23">
                  <c:v>76</c:v>
                </c:pt>
                <c:pt idx="24">
                  <c:v>72</c:v>
                </c:pt>
                <c:pt idx="25">
                  <c:v>76</c:v>
                </c:pt>
                <c:pt idx="26">
                  <c:v>98</c:v>
                </c:pt>
                <c:pt idx="27">
                  <c:v>81</c:v>
                </c:pt>
                <c:pt idx="28">
                  <c:v>100</c:v>
                </c:pt>
                <c:pt idx="29">
                  <c:v>153</c:v>
                </c:pt>
                <c:pt idx="30">
                  <c:v>103</c:v>
                </c:pt>
                <c:pt idx="31">
                  <c:v>87</c:v>
                </c:pt>
                <c:pt idx="32">
                  <c:v>98</c:v>
                </c:pt>
                <c:pt idx="33">
                  <c:v>25</c:v>
                </c:pt>
                <c:pt idx="34">
                  <c:v>29</c:v>
                </c:pt>
                <c:pt idx="35">
                  <c:v>5</c:v>
                </c:pt>
                <c:pt idx="36">
                  <c:v>24</c:v>
                </c:pt>
                <c:pt idx="37">
                  <c:v>-7</c:v>
                </c:pt>
                <c:pt idx="38">
                  <c:v>-7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39"/>
                <c:pt idx="0">
                  <c:v>-101</c:v>
                </c:pt>
                <c:pt idx="1">
                  <c:v>-118</c:v>
                </c:pt>
                <c:pt idx="2">
                  <c:v>-150</c:v>
                </c:pt>
                <c:pt idx="3">
                  <c:v>-129</c:v>
                </c:pt>
                <c:pt idx="4">
                  <c:v>-100</c:v>
                </c:pt>
                <c:pt idx="5">
                  <c:v>-94</c:v>
                </c:pt>
                <c:pt idx="6">
                  <c:v>-105</c:v>
                </c:pt>
                <c:pt idx="7">
                  <c:v>-73</c:v>
                </c:pt>
                <c:pt idx="8">
                  <c:v>-117</c:v>
                </c:pt>
                <c:pt idx="9">
                  <c:v>-80</c:v>
                </c:pt>
                <c:pt idx="10">
                  <c:v>-88</c:v>
                </c:pt>
                <c:pt idx="11">
                  <c:v>-120</c:v>
                </c:pt>
                <c:pt idx="12">
                  <c:v>-58</c:v>
                </c:pt>
                <c:pt idx="13">
                  <c:v>-64</c:v>
                </c:pt>
                <c:pt idx="14">
                  <c:v>-92</c:v>
                </c:pt>
                <c:pt idx="15">
                  <c:v>-69</c:v>
                </c:pt>
                <c:pt idx="16">
                  <c:v>-102</c:v>
                </c:pt>
                <c:pt idx="17">
                  <c:v>-52</c:v>
                </c:pt>
                <c:pt idx="18">
                  <c:v>-94</c:v>
                </c:pt>
                <c:pt idx="19">
                  <c:v>-87</c:v>
                </c:pt>
                <c:pt idx="20">
                  <c:v>-72</c:v>
                </c:pt>
                <c:pt idx="21">
                  <c:v>-93</c:v>
                </c:pt>
                <c:pt idx="22">
                  <c:v>-26</c:v>
                </c:pt>
                <c:pt idx="23">
                  <c:v>-90</c:v>
                </c:pt>
                <c:pt idx="24">
                  <c:v>-16</c:v>
                </c:pt>
                <c:pt idx="25">
                  <c:v>-34</c:v>
                </c:pt>
                <c:pt idx="26">
                  <c:v>-31</c:v>
                </c:pt>
                <c:pt idx="27">
                  <c:v>-14</c:v>
                </c:pt>
                <c:pt idx="28">
                  <c:v>-8</c:v>
                </c:pt>
                <c:pt idx="29">
                  <c:v>31</c:v>
                </c:pt>
                <c:pt idx="30">
                  <c:v>17</c:v>
                </c:pt>
                <c:pt idx="31">
                  <c:v>4</c:v>
                </c:pt>
                <c:pt idx="32">
                  <c:v>75</c:v>
                </c:pt>
                <c:pt idx="33">
                  <c:v>26</c:v>
                </c:pt>
                <c:pt idx="34">
                  <c:v>39</c:v>
                </c:pt>
                <c:pt idx="35">
                  <c:v>12</c:v>
                </c:pt>
                <c:pt idx="36">
                  <c:v>11</c:v>
                </c:pt>
                <c:pt idx="37">
                  <c:v>-20</c:v>
                </c:pt>
                <c:pt idx="38">
                  <c:v>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24062960"/>
        <c:axId val="-1024051536"/>
      </c:lineChart>
      <c:catAx>
        <c:axId val="-10240629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4051536"/>
        <c:crossesAt val="0"/>
        <c:auto val="1"/>
        <c:lblAlgn val="ctr"/>
        <c:lblOffset val="100"/>
        <c:tickLblSkip val="1"/>
        <c:noMultiLvlLbl val="0"/>
      </c:catAx>
      <c:valAx>
        <c:axId val="-1024051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406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24050992"/>
        <c:axId val="-10240662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24050992"/>
        <c:axId val="-1024066224"/>
      </c:lineChart>
      <c:catAx>
        <c:axId val="-10240509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4066224"/>
        <c:crossesAt val="0"/>
        <c:auto val="0"/>
        <c:lblAlgn val="ctr"/>
        <c:lblOffset val="100"/>
        <c:tickLblSkip val="1"/>
        <c:noMultiLvlLbl val="0"/>
      </c:catAx>
      <c:valAx>
        <c:axId val="-1024066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24050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0352AA-0C38-4114-84CD-42206175A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823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35</cp:revision>
  <cp:lastPrinted>2020-01-20T13:40:00Z</cp:lastPrinted>
  <dcterms:created xsi:type="dcterms:W3CDTF">2020-02-14T11:05:00Z</dcterms:created>
  <dcterms:modified xsi:type="dcterms:W3CDTF">2020-03-16T10:54:00Z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