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17492C56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5490E">
        <w:rPr>
          <w:szCs w:val="32"/>
          <w:lang w:val="en-GB"/>
        </w:rPr>
        <w:t>X</w:t>
      </w:r>
      <w:r w:rsidR="00696CCE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A8C07AF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63597AFC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05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106</w:t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696C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0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63597AFC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05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106</w:t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696C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0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</w:t>
      </w:r>
      <w:r w:rsidR="00970194">
        <w:rPr>
          <w:lang w:val="en-GB"/>
        </w:rPr>
        <w:t xml:space="preserve">period of </w:t>
      </w:r>
      <w:r w:rsidR="00696CCE">
        <w:rPr>
          <w:lang w:val="en-GB"/>
        </w:rPr>
        <w:t>eleven</w:t>
      </w:r>
      <w:r w:rsidR="00970194">
        <w:rPr>
          <w:lang w:val="en-GB"/>
        </w:rPr>
        <w:t xml:space="preserve"> months</w:t>
      </w:r>
      <w:r w:rsidR="00734C04">
        <w:rPr>
          <w:lang w:val="en-GB"/>
        </w:rPr>
        <w:t xml:space="preserve">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8E4D7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1838571" w:rsidR="003A7E95" w:rsidRPr="00AD1492" w:rsidRDefault="00696CCE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64.8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E19F6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filled="f" stroked="f">
                <v:textbox>
                  <w:txbxContent>
                    <w:p w14:paraId="55217834" w14:textId="51838571" w:rsidR="003A7E95" w:rsidRPr="00AD1492" w:rsidRDefault="00696CCE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64.8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 w:rsidR="009E19F6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>6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685ED95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696CCE">
        <w:rPr>
          <w:spacing w:val="-4"/>
          <w:shd w:val="clear" w:color="auto" w:fill="FFFFFF"/>
          <w:lang w:val="en-GB"/>
        </w:rPr>
        <w:t>19</w:t>
      </w:r>
      <w:r w:rsidR="00FD050C" w:rsidRPr="00FD050C">
        <w:rPr>
          <w:spacing w:val="-4"/>
          <w:shd w:val="clear" w:color="auto" w:fill="FFFFFF"/>
          <w:lang w:val="en-GB"/>
        </w:rPr>
        <w:t>6.4 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696CCE">
        <w:rPr>
          <w:spacing w:val="-4"/>
          <w:shd w:val="clear" w:color="auto" w:fill="FFFFFF"/>
          <w:lang w:val="en-GB"/>
        </w:rPr>
        <w:t>November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696CCE">
        <w:rPr>
          <w:spacing w:val="-4"/>
          <w:shd w:val="clear" w:color="auto" w:fill="FFFFFF"/>
          <w:lang w:val="en-GB"/>
        </w:rPr>
        <w:t>6.0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696CCE">
        <w:rPr>
          <w:spacing w:val="-4"/>
          <w:shd w:val="clear" w:color="auto" w:fill="FFFFFF"/>
          <w:lang w:val="en-GB"/>
        </w:rPr>
        <w:t>127.3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5490E">
        <w:rPr>
          <w:spacing w:val="-4"/>
          <w:shd w:val="clear" w:color="auto" w:fill="FFFFFF"/>
          <w:lang w:val="en-GB"/>
        </w:rPr>
        <w:t>(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B052B2">
        <w:rPr>
          <w:color w:val="00B0F0"/>
          <w:spacing w:val="-4"/>
          <w:shd w:val="clear" w:color="auto" w:fill="FFFFFF"/>
          <w:lang w:val="en-GB"/>
        </w:rPr>
        <w:t xml:space="preserve"> </w:t>
      </w:r>
      <w:r w:rsidR="00696CCE">
        <w:rPr>
          <w:spacing w:val="-4"/>
          <w:shd w:val="clear" w:color="auto" w:fill="FFFFFF"/>
          <w:lang w:val="en-GB"/>
        </w:rPr>
        <w:t>8.6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696CCE">
        <w:rPr>
          <w:spacing w:val="-4"/>
          <w:shd w:val="clear" w:color="auto" w:fill="FFFFFF"/>
          <w:lang w:val="en-GB"/>
        </w:rPr>
        <w:t>65.8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696CCE">
        <w:rPr>
          <w:spacing w:val="-4"/>
          <w:shd w:val="clear" w:color="auto" w:fill="FFFFFF"/>
          <w:lang w:val="en-GB"/>
        </w:rPr>
        <w:t>6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696CCE">
        <w:rPr>
          <w:spacing w:val="-4"/>
          <w:shd w:val="clear" w:color="auto" w:fill="FFFFFF"/>
          <w:lang w:val="en-GB"/>
        </w:rPr>
        <w:t>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25490E">
        <w:rPr>
          <w:spacing w:val="-4"/>
          <w:shd w:val="clear" w:color="auto" w:fill="FFFFFF"/>
          <w:lang w:val="en-GB"/>
        </w:rPr>
        <w:t>3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696CCE">
        <w:rPr>
          <w:spacing w:val="-4"/>
          <w:shd w:val="clear" w:color="auto" w:fill="FFFFFF"/>
          <w:lang w:val="en-GB"/>
        </w:rPr>
        <w:t xml:space="preserve"> (respectively 64.8% and 33.5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0834A5">
        <w:rPr>
          <w:spacing w:val="-4"/>
          <w:shd w:val="clear" w:color="auto" w:fill="FFFFFF"/>
          <w:lang w:val="en-GB"/>
        </w:rPr>
        <w:t xml:space="preserve">1 </w:t>
      </w:r>
      <w:r w:rsidR="00696CCE">
        <w:rPr>
          <w:spacing w:val="-4"/>
          <w:shd w:val="clear" w:color="auto" w:fill="FFFFFF"/>
          <w:lang w:val="en-GB"/>
        </w:rPr>
        <w:t>253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compared to</w:t>
      </w:r>
      <w:r w:rsidR="00314007">
        <w:rPr>
          <w:spacing w:val="-4"/>
          <w:shd w:val="clear" w:color="auto" w:fill="FFFFFF"/>
          <w:lang w:val="en-GB"/>
        </w:rPr>
        <w:t xml:space="preserve"> </w:t>
      </w:r>
      <w:r w:rsidR="00696CCE">
        <w:rPr>
          <w:spacing w:val="-4"/>
          <w:shd w:val="clear" w:color="auto" w:fill="FFFFFF"/>
          <w:lang w:val="en-GB"/>
        </w:rPr>
        <w:t>2</w:t>
      </w:r>
      <w:r w:rsidR="00467905">
        <w:rPr>
          <w:spacing w:val="-4"/>
          <w:shd w:val="clear" w:color="auto" w:fill="FFFFFF"/>
          <w:lang w:val="en-GB"/>
        </w:rPr>
        <w:t> </w:t>
      </w:r>
      <w:r w:rsidR="00696CCE">
        <w:rPr>
          <w:spacing w:val="-4"/>
          <w:shd w:val="clear" w:color="auto" w:fill="FFFFFF"/>
          <w:lang w:val="en-GB"/>
        </w:rPr>
        <w:t>037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3557A1">
        <w:rPr>
          <w:spacing w:val="-4"/>
          <w:shd w:val="clear" w:color="auto" w:fill="FFFFFF"/>
          <w:lang w:val="en-GB"/>
        </w:rPr>
        <w:t xml:space="preserve">ellings) </w:t>
      </w:r>
      <w:r w:rsidR="00A65560">
        <w:rPr>
          <w:spacing w:val="-4"/>
          <w:shd w:val="clear" w:color="auto" w:fill="FFFFFF"/>
          <w:lang w:val="en-GB"/>
        </w:rPr>
        <w:t>and</w:t>
      </w:r>
      <w:r w:rsidR="003557A1">
        <w:rPr>
          <w:spacing w:val="-4"/>
          <w:shd w:val="clear" w:color="auto" w:fill="FFFFFF"/>
          <w:lang w:val="en-GB"/>
        </w:rPr>
        <w:t xml:space="preserve"> altogether in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3557A1">
        <w:rPr>
          <w:spacing w:val="-4"/>
          <w:shd w:val="clear" w:color="auto" w:fill="FFFFFF"/>
          <w:lang w:val="en-GB"/>
        </w:rPr>
        <w:t xml:space="preserve">construction, i.e. </w:t>
      </w:r>
      <w:r w:rsidR="00C733A3" w:rsidRPr="004829B9">
        <w:rPr>
          <w:spacing w:val="-4"/>
          <w:shd w:val="clear" w:color="auto" w:fill="FFFFFF"/>
          <w:lang w:val="en-GB"/>
        </w:rPr>
        <w:t>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3557A1">
        <w:rPr>
          <w:spacing w:val="-4"/>
          <w:shd w:val="clear" w:color="auto" w:fill="FFFFFF"/>
          <w:lang w:val="en-GB"/>
        </w:rPr>
        <w:t>and company construction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3557A1">
        <w:rPr>
          <w:spacing w:val="-4"/>
          <w:shd w:val="clear" w:color="auto" w:fill="FFFFFF"/>
          <w:lang w:val="en-GB"/>
        </w:rPr>
        <w:t>(</w:t>
      </w:r>
      <w:r w:rsidR="00696CCE">
        <w:rPr>
          <w:spacing w:val="-4"/>
          <w:shd w:val="clear" w:color="auto" w:fill="FFFFFF"/>
          <w:lang w:val="en-GB"/>
        </w:rPr>
        <w:t>2</w:t>
      </w:r>
      <w:r w:rsidR="00467905">
        <w:rPr>
          <w:spacing w:val="-4"/>
          <w:shd w:val="clear" w:color="auto" w:fill="FFFFFF"/>
          <w:lang w:val="en-GB"/>
        </w:rPr>
        <w:t xml:space="preserve"> </w:t>
      </w:r>
      <w:r w:rsidR="00696CCE">
        <w:rPr>
          <w:spacing w:val="-4"/>
          <w:shd w:val="clear" w:color="auto" w:fill="FFFFFF"/>
          <w:lang w:val="en-GB"/>
        </w:rPr>
        <w:t>104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94AC8" w:rsidRPr="004829B9">
        <w:rPr>
          <w:spacing w:val="-4"/>
          <w:shd w:val="clear" w:color="auto" w:fill="FFFFFF"/>
          <w:lang w:val="en-GB"/>
        </w:rPr>
        <w:t xml:space="preserve">compared to </w:t>
      </w:r>
      <w:r w:rsidR="00696CCE">
        <w:rPr>
          <w:spacing w:val="-4"/>
          <w:shd w:val="clear" w:color="auto" w:fill="FFFFFF"/>
          <w:lang w:val="en-GB"/>
        </w:rPr>
        <w:t>4</w:t>
      </w:r>
      <w:r w:rsidR="00C625B8">
        <w:rPr>
          <w:spacing w:val="-4"/>
          <w:shd w:val="clear" w:color="auto" w:fill="FFFFFF"/>
          <w:lang w:val="en-GB"/>
        </w:rPr>
        <w:t xml:space="preserve"> </w:t>
      </w:r>
      <w:r w:rsidR="00696CCE">
        <w:rPr>
          <w:spacing w:val="-4"/>
          <w:shd w:val="clear" w:color="auto" w:fill="FFFFFF"/>
          <w:lang w:val="en-GB"/>
        </w:rPr>
        <w:t>088</w:t>
      </w:r>
      <w:r w:rsidR="00C94AC8" w:rsidRPr="004829B9">
        <w:rPr>
          <w:spacing w:val="-4"/>
          <w:shd w:val="clear" w:color="auto" w:fill="FFFFFF"/>
          <w:lang w:val="en-GB"/>
        </w:rPr>
        <w:t>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7331C39D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696CCE">
        <w:rPr>
          <w:shd w:val="clear" w:color="auto" w:fill="FFFFFF"/>
          <w:lang w:val="en-GB"/>
        </w:rPr>
        <w:t>November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696CCE">
        <w:rPr>
          <w:shd w:val="clear" w:color="auto" w:fill="FFFFFF"/>
          <w:lang w:val="en-GB"/>
        </w:rPr>
        <w:t>17</w:t>
      </w:r>
      <w:r w:rsidR="00837231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4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696CCE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0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3D3374" w:rsidRPr="00223849">
        <w:rPr>
          <w:shd w:val="clear" w:color="auto" w:fill="FFFFFF"/>
          <w:lang w:val="en-GB"/>
        </w:rPr>
        <w:t>2019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67905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9E19F6">
        <w:rPr>
          <w:shd w:val="clear" w:color="auto" w:fill="FFFFFF"/>
          <w:lang w:val="en-GB"/>
        </w:rPr>
        <w:t>7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65D75C52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11FD9660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487E9985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3BD46972" w:rsidR="0058073C" w:rsidRPr="004829B9" w:rsidRDefault="00FD05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5EDE03FE" w:rsidR="0058073C" w:rsidRPr="004829B9" w:rsidRDefault="00A11B23" w:rsidP="004B68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96CC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696CCE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696CCE" w:rsidRPr="004829B9" w:rsidRDefault="00696CCE" w:rsidP="00696CC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1ED9EFB4" w:rsidR="00696CCE" w:rsidRPr="004829B9" w:rsidRDefault="00696CCE" w:rsidP="00696CC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19 586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2EF5AEA3" w:rsidR="00696CCE" w:rsidRPr="004829B9" w:rsidRDefault="00696CCE" w:rsidP="00696CC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1FA01A51" w:rsidR="00696CCE" w:rsidRPr="004829B9" w:rsidRDefault="00696CCE" w:rsidP="00696CC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98.4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39A5CE3D" w:rsidR="00696CCE" w:rsidRPr="004829B9" w:rsidRDefault="00696CCE" w:rsidP="00696CC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196 441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4AA96FE6" w:rsidR="00696CCE" w:rsidRPr="004829B9" w:rsidRDefault="00696CCE" w:rsidP="00696CC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106.0</w:t>
            </w:r>
          </w:p>
        </w:tc>
      </w:tr>
      <w:tr w:rsidR="00696CCE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4DFB55DE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6 404</w:t>
            </w:r>
          </w:p>
        </w:tc>
        <w:tc>
          <w:tcPr>
            <w:tcW w:w="1206" w:type="dxa"/>
            <w:vAlign w:val="center"/>
          </w:tcPr>
          <w:p w14:paraId="1EF9A641" w14:textId="2E53BA7C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111.4</w:t>
            </w:r>
          </w:p>
        </w:tc>
        <w:tc>
          <w:tcPr>
            <w:tcW w:w="1206" w:type="dxa"/>
            <w:vAlign w:val="center"/>
          </w:tcPr>
          <w:p w14:paraId="6A6BDE68" w14:textId="1166B184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95.1</w:t>
            </w:r>
          </w:p>
        </w:tc>
        <w:tc>
          <w:tcPr>
            <w:tcW w:w="1206" w:type="dxa"/>
            <w:vAlign w:val="center"/>
          </w:tcPr>
          <w:p w14:paraId="474030F8" w14:textId="7F0081DA" w:rsidR="00696CCE" w:rsidRPr="0026083F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65 782</w:t>
            </w:r>
          </w:p>
        </w:tc>
        <w:tc>
          <w:tcPr>
            <w:tcW w:w="1207" w:type="dxa"/>
            <w:vAlign w:val="center"/>
          </w:tcPr>
          <w:p w14:paraId="04A3773C" w14:textId="07D7ADAB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</w:tr>
      <w:tr w:rsidR="00696CCE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1913B01D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12 814</w:t>
            </w:r>
          </w:p>
        </w:tc>
        <w:tc>
          <w:tcPr>
            <w:tcW w:w="1206" w:type="dxa"/>
            <w:vAlign w:val="center"/>
          </w:tcPr>
          <w:p w14:paraId="2E70220E" w14:textId="139E516D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1206" w:type="dxa"/>
            <w:vAlign w:val="center"/>
          </w:tcPr>
          <w:p w14:paraId="1ED74D3A" w14:textId="5120D9A4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1206" w:type="dxa"/>
            <w:vAlign w:val="center"/>
          </w:tcPr>
          <w:p w14:paraId="44BA7141" w14:textId="72EFFF8B" w:rsidR="00696CCE" w:rsidRPr="0026083F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127 302</w:t>
            </w:r>
          </w:p>
        </w:tc>
        <w:tc>
          <w:tcPr>
            <w:tcW w:w="1207" w:type="dxa"/>
            <w:vAlign w:val="center"/>
          </w:tcPr>
          <w:p w14:paraId="3F979385" w14:textId="20B38143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108.6</w:t>
            </w:r>
          </w:p>
        </w:tc>
      </w:tr>
      <w:tr w:rsidR="00696CCE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6821B71A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206" w:type="dxa"/>
            <w:vAlign w:val="center"/>
          </w:tcPr>
          <w:p w14:paraId="5CCE1C02" w14:textId="7FCF7D3F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77.6</w:t>
            </w:r>
          </w:p>
        </w:tc>
        <w:tc>
          <w:tcPr>
            <w:tcW w:w="1206" w:type="dxa"/>
            <w:vAlign w:val="center"/>
          </w:tcPr>
          <w:p w14:paraId="6A15538A" w14:textId="61B75F76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80.8</w:t>
            </w:r>
          </w:p>
        </w:tc>
        <w:tc>
          <w:tcPr>
            <w:tcW w:w="1206" w:type="dxa"/>
            <w:vAlign w:val="center"/>
          </w:tcPr>
          <w:p w14:paraId="4F32B4AA" w14:textId="058A293A" w:rsidR="00696CCE" w:rsidRPr="0026083F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1 258</w:t>
            </w:r>
          </w:p>
        </w:tc>
        <w:tc>
          <w:tcPr>
            <w:tcW w:w="1207" w:type="dxa"/>
            <w:vAlign w:val="center"/>
          </w:tcPr>
          <w:p w14:paraId="6749CE4C" w14:textId="46F47B37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62.9</w:t>
            </w:r>
          </w:p>
        </w:tc>
      </w:tr>
      <w:tr w:rsidR="00696CCE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696CCE" w:rsidRPr="004829B9" w:rsidRDefault="00696CCE" w:rsidP="00696CC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7FE9A7AA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206" w:type="dxa"/>
            <w:vAlign w:val="center"/>
          </w:tcPr>
          <w:p w14:paraId="0C60AA6B" w14:textId="133255E7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111.8</w:t>
            </w:r>
          </w:p>
        </w:tc>
        <w:tc>
          <w:tcPr>
            <w:tcW w:w="1206" w:type="dxa"/>
            <w:vAlign w:val="center"/>
          </w:tcPr>
          <w:p w14:paraId="73767A4C" w14:textId="7B4F109C" w:rsidR="00696CCE" w:rsidRPr="004829B9" w:rsidRDefault="00696CCE" w:rsidP="00696CC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166.0</w:t>
            </w:r>
          </w:p>
        </w:tc>
        <w:tc>
          <w:tcPr>
            <w:tcW w:w="1206" w:type="dxa"/>
            <w:vAlign w:val="center"/>
          </w:tcPr>
          <w:p w14:paraId="233EB4FD" w14:textId="3BD97288" w:rsidR="00696CCE" w:rsidRPr="0026083F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1 253</w:t>
            </w:r>
          </w:p>
        </w:tc>
        <w:tc>
          <w:tcPr>
            <w:tcW w:w="1207" w:type="dxa"/>
            <w:vAlign w:val="center"/>
          </w:tcPr>
          <w:p w14:paraId="37B21FA8" w14:textId="0D70730D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61.5</w:t>
            </w:r>
          </w:p>
        </w:tc>
      </w:tr>
      <w:tr w:rsidR="00696CCE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736232B2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52EA2698" w14:textId="26E8C641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206" w:type="dxa"/>
            <w:vAlign w:val="center"/>
          </w:tcPr>
          <w:p w14:paraId="7BD787EE" w14:textId="7B04F016" w:rsidR="00696CCE" w:rsidRPr="004829B9" w:rsidRDefault="00696CCE" w:rsidP="00696CC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1206" w:type="dxa"/>
            <w:vAlign w:val="center"/>
          </w:tcPr>
          <w:p w14:paraId="1686B930" w14:textId="6242D1A4" w:rsidR="00696CCE" w:rsidRPr="004829B9" w:rsidRDefault="00696CCE" w:rsidP="00696CC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761</w:t>
            </w:r>
          </w:p>
        </w:tc>
        <w:tc>
          <w:tcPr>
            <w:tcW w:w="1207" w:type="dxa"/>
            <w:vAlign w:val="center"/>
          </w:tcPr>
          <w:p w14:paraId="497B2680" w14:textId="7AB21567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47.9</w:t>
            </w:r>
          </w:p>
        </w:tc>
      </w:tr>
      <w:tr w:rsidR="00696CCE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31E1915A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1206" w:type="dxa"/>
            <w:vAlign w:val="center"/>
          </w:tcPr>
          <w:p w14:paraId="210EF2BB" w14:textId="6B0B0334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127.1</w:t>
            </w:r>
          </w:p>
        </w:tc>
        <w:tc>
          <w:tcPr>
            <w:tcW w:w="1206" w:type="dxa"/>
            <w:vAlign w:val="center"/>
          </w:tcPr>
          <w:p w14:paraId="5582B2FE" w14:textId="28AE6C99" w:rsidR="00696CCE" w:rsidRPr="004829B9" w:rsidRDefault="00696CCE" w:rsidP="00696CC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79.8</w:t>
            </w:r>
          </w:p>
        </w:tc>
        <w:tc>
          <w:tcPr>
            <w:tcW w:w="1206" w:type="dxa"/>
            <w:vAlign w:val="center"/>
          </w:tcPr>
          <w:p w14:paraId="1219A9EB" w14:textId="53EB9A18" w:rsidR="00696CCE" w:rsidRPr="004829B9" w:rsidRDefault="00696CCE" w:rsidP="00696CC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1 317</w:t>
            </w:r>
          </w:p>
        </w:tc>
        <w:tc>
          <w:tcPr>
            <w:tcW w:w="1207" w:type="dxa"/>
            <w:vAlign w:val="center"/>
          </w:tcPr>
          <w:p w14:paraId="7D986892" w14:textId="281B2BF1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59.6</w:t>
            </w:r>
          </w:p>
        </w:tc>
      </w:tr>
      <w:tr w:rsidR="00696CCE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696CCE" w:rsidRPr="004829B9" w:rsidRDefault="00696CCE" w:rsidP="00696CC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7DACC44A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3CC36DA1" w14:textId="6D32D75D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7.7</w:t>
            </w:r>
          </w:p>
        </w:tc>
        <w:tc>
          <w:tcPr>
            <w:tcW w:w="1206" w:type="dxa"/>
            <w:vAlign w:val="center"/>
          </w:tcPr>
          <w:p w14:paraId="30517C07" w14:textId="0ED9D47E" w:rsidR="00696CCE" w:rsidRPr="004829B9" w:rsidRDefault="00696CCE" w:rsidP="00696CC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200.0</w:t>
            </w:r>
          </w:p>
        </w:tc>
        <w:tc>
          <w:tcPr>
            <w:tcW w:w="1206" w:type="dxa"/>
            <w:vAlign w:val="center"/>
          </w:tcPr>
          <w:p w14:paraId="410FD768" w14:textId="7B98C932" w:rsidR="00696CCE" w:rsidRPr="004829B9" w:rsidRDefault="00696CCE" w:rsidP="00696CC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14:paraId="17C799D5" w14:textId="5D285F99" w:rsidR="00696CCE" w:rsidRPr="004829B9" w:rsidRDefault="00696CCE" w:rsidP="00696CC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8.9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4E90F47A" w14:textId="77777777" w:rsidR="00666C53" w:rsidRDefault="00666C5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20C7B70" w14:textId="77777777" w:rsidR="00A65560" w:rsidRDefault="00A65560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F9B9C45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106B721">
                <wp:simplePos x="0" y="0"/>
                <wp:positionH relativeFrom="rightMargin">
                  <wp:posOffset>125729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16C09E7F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3029E3">
                              <w:rPr>
                                <w:lang w:val="en-US"/>
                              </w:rPr>
                              <w:t>X</w:t>
                            </w:r>
                            <w:r w:rsidR="00620ACB">
                              <w:rPr>
                                <w:lang w:val="en-US"/>
                              </w:rPr>
                              <w:t>I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620ACB">
                              <w:rPr>
                                <w:lang w:val="en-US"/>
                              </w:rPr>
                              <w:t>2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620ACB">
                              <w:rPr>
                                <w:lang w:val="en-US"/>
                              </w:rPr>
                              <w:t>8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9.9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NngEnjeAAAACAEAAA8A&#10;AAAAAAAAAAAAAAAAlgQAAGRycy9kb3ducmV2LnhtbFBLBQYAAAAABAAEAPMAAAChBQAAAAA=&#10;" filled="f" stroked="f" strokeweight=".5pt">
                <v:textbox>
                  <w:txbxContent>
                    <w:p w14:paraId="35DCCB4E" w14:textId="16C09E7F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3029E3">
                        <w:rPr>
                          <w:lang w:val="en-US"/>
                        </w:rPr>
                        <w:t>X</w:t>
                      </w:r>
                      <w:r w:rsidR="00620ACB">
                        <w:rPr>
                          <w:lang w:val="en-US"/>
                        </w:rPr>
                        <w:t>I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620ACB">
                        <w:rPr>
                          <w:lang w:val="en-US"/>
                        </w:rPr>
                        <w:t>2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620ACB">
                        <w:rPr>
                          <w:lang w:val="en-US"/>
                        </w:rPr>
                        <w:t>8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D77" w:rsidRPr="004829B9">
        <w:rPr>
          <w:szCs w:val="19"/>
          <w:shd w:val="clear" w:color="auto" w:fill="FFFFFF"/>
          <w:lang w:val="en-GB"/>
        </w:rPr>
        <w:t xml:space="preserve">In </w:t>
      </w:r>
      <w:r w:rsidR="00666C53">
        <w:rPr>
          <w:szCs w:val="19"/>
          <w:shd w:val="clear" w:color="auto" w:fill="FFFFFF"/>
          <w:lang w:val="en-GB"/>
        </w:rPr>
        <w:t xml:space="preserve">the period of </w:t>
      </w:r>
      <w:r w:rsidR="00696CCE">
        <w:rPr>
          <w:szCs w:val="19"/>
          <w:shd w:val="clear" w:color="auto" w:fill="FFFFFF"/>
          <w:lang w:val="en-GB"/>
        </w:rPr>
        <w:t>eleven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696CCE">
        <w:rPr>
          <w:shd w:val="clear" w:color="auto" w:fill="FFFFFF"/>
          <w:lang w:val="en-GB"/>
        </w:rPr>
        <w:t>241.3</w:t>
      </w:r>
      <w:r w:rsidR="007E7D97" w:rsidRPr="007E7D97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696CCE">
        <w:rPr>
          <w:shd w:val="clear" w:color="auto" w:fill="FFFFFF"/>
          <w:lang w:val="en-GB"/>
        </w:rPr>
        <w:t>2</w:t>
      </w:r>
      <w:r w:rsidR="00E245E1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8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696CCE">
        <w:rPr>
          <w:shd w:val="clear" w:color="auto" w:fill="FFFFFF"/>
          <w:lang w:val="en-GB"/>
        </w:rPr>
        <w:t>146.3</w:t>
      </w:r>
      <w:r w:rsidR="007E7D97" w:rsidRPr="007E7D97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696CCE">
        <w:rPr>
          <w:shd w:val="clear" w:color="auto" w:fill="FFFFFF"/>
          <w:lang w:val="en-GB"/>
        </w:rPr>
        <w:t>, a decrease of 5</w:t>
      </w:r>
      <w:r w:rsidR="007E7D97">
        <w:rPr>
          <w:shd w:val="clear" w:color="auto" w:fill="FFFFFF"/>
          <w:lang w:val="en-GB"/>
        </w:rPr>
        <w:t>.2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696CCE">
        <w:rPr>
          <w:shd w:val="clear" w:color="auto" w:fill="FFFFFF"/>
          <w:lang w:val="en-GB"/>
        </w:rPr>
        <w:t>92.4</w:t>
      </w:r>
      <w:r w:rsidR="007E7D97" w:rsidRPr="007E7D97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696CCE">
        <w:rPr>
          <w:shd w:val="clear" w:color="auto" w:fill="FFFFFF"/>
          <w:lang w:val="en-GB"/>
        </w:rPr>
        <w:t>, an increase of 2.4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3D5833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696CCE">
        <w:rPr>
          <w:shd w:val="clear" w:color="auto" w:fill="FFFFFF"/>
          <w:lang w:val="en-GB"/>
        </w:rPr>
        <w:t>9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>1</w:t>
      </w:r>
      <w:r w:rsidR="00A65560">
        <w:rPr>
          <w:shd w:val="clear" w:color="auto" w:fill="FFFFFF"/>
          <w:lang w:val="en-GB"/>
        </w:rPr>
        <w:t> </w:t>
      </w:r>
      <w:r w:rsidR="007E7D97">
        <w:rPr>
          <w:shd w:val="clear" w:color="auto" w:fill="FFFFFF"/>
          <w:lang w:val="en-GB"/>
        </w:rPr>
        <w:t>171</w:t>
      </w:r>
      <w:r w:rsidR="00A65560">
        <w:rPr>
          <w:shd w:val="clear" w:color="auto" w:fill="FFFFFF"/>
          <w:lang w:val="en-GB"/>
        </w:rPr>
        <w:t> 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135E5C">
        <w:rPr>
          <w:shd w:val="clear" w:color="auto" w:fill="FFFFFF"/>
          <w:lang w:val="en-GB"/>
        </w:rPr>
        <w:t xml:space="preserve">1 </w:t>
      </w:r>
      <w:r w:rsidR="00696CCE">
        <w:rPr>
          <w:shd w:val="clear" w:color="auto" w:fill="FFFFFF"/>
          <w:lang w:val="en-GB"/>
        </w:rPr>
        <w:t>364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 xml:space="preserve">1 </w:t>
      </w:r>
      <w:r w:rsidR="00696CCE">
        <w:rPr>
          <w:shd w:val="clear" w:color="auto" w:fill="FFFFFF"/>
          <w:lang w:val="en-GB"/>
        </w:rPr>
        <w:t>471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A65560">
        <w:rPr>
          <w:shd w:val="clear" w:color="auto" w:fill="FFFFFF"/>
          <w:lang w:val="en-GB"/>
        </w:rPr>
        <w:t xml:space="preserve"> against </w:t>
      </w:r>
      <w:r w:rsidR="007E7D97">
        <w:rPr>
          <w:shd w:val="clear" w:color="auto" w:fill="FFFFFF"/>
          <w:lang w:val="en-GB"/>
        </w:rPr>
        <w:t>2</w:t>
      </w:r>
      <w:r w:rsidR="00620ACB">
        <w:rPr>
          <w:shd w:val="clear" w:color="auto" w:fill="FFFFFF"/>
          <w:lang w:val="en-GB"/>
        </w:rPr>
        <w:t> 472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137"/>
        <w:gridCol w:w="1276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1D323890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2AB0AA5B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31400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568427D2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26F87710" w:rsidR="00527B0C" w:rsidRPr="004829B9" w:rsidRDefault="007E7D97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137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CBFF5D9" w14:textId="24FC5723" w:rsidR="00527B0C" w:rsidRPr="004829B9" w:rsidRDefault="005B5EB4" w:rsidP="003B05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D1222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620ACB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620ACB" w:rsidRPr="004829B9" w14:paraId="6C403ECE" w14:textId="77777777" w:rsidTr="0031400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620ACB" w:rsidRPr="004829B9" w:rsidRDefault="00620ACB" w:rsidP="00620AC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29D34543" w:rsidR="00620ACB" w:rsidRPr="004829B9" w:rsidRDefault="00620ACB" w:rsidP="00620ACB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22 163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5DD714D2" w:rsidR="00620ACB" w:rsidRPr="004829B9" w:rsidRDefault="00620ACB" w:rsidP="00620ACB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114.0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08E83E58" w:rsidR="00620ACB" w:rsidRPr="004829B9" w:rsidRDefault="00620ACB" w:rsidP="00620ACB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82.8</w:t>
            </w:r>
          </w:p>
        </w:tc>
        <w:tc>
          <w:tcPr>
            <w:tcW w:w="1137" w:type="dxa"/>
            <w:tcBorders>
              <w:top w:val="single" w:sz="12" w:space="0" w:color="212492"/>
            </w:tcBorders>
            <w:vAlign w:val="center"/>
          </w:tcPr>
          <w:p w14:paraId="4851E758" w14:textId="65EF1BD5" w:rsidR="00620ACB" w:rsidRPr="004829B9" w:rsidRDefault="00620ACB" w:rsidP="00620ACB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241 349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9250512" w14:textId="7542EABF" w:rsidR="00620ACB" w:rsidRPr="004829B9" w:rsidRDefault="00620ACB" w:rsidP="00620ACB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97.2</w:t>
            </w:r>
          </w:p>
        </w:tc>
      </w:tr>
      <w:tr w:rsidR="00620ACB" w:rsidRPr="004829B9" w14:paraId="24875DB4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620ACB" w:rsidRPr="004829B9" w:rsidRDefault="00620ACB" w:rsidP="00620A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24E3ECEB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8 105</w:t>
            </w:r>
          </w:p>
        </w:tc>
        <w:tc>
          <w:tcPr>
            <w:tcW w:w="1206" w:type="dxa"/>
            <w:vAlign w:val="center"/>
          </w:tcPr>
          <w:p w14:paraId="7DBBC394" w14:textId="7261BD00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1206" w:type="dxa"/>
            <w:vAlign w:val="center"/>
          </w:tcPr>
          <w:p w14:paraId="274B06FE" w14:textId="011F6E8C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1137" w:type="dxa"/>
            <w:vAlign w:val="center"/>
          </w:tcPr>
          <w:p w14:paraId="04580C6D" w14:textId="13957020" w:rsidR="00620ACB" w:rsidRPr="004829B9" w:rsidRDefault="00620ACB" w:rsidP="00620AC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92 375</w:t>
            </w:r>
          </w:p>
        </w:tc>
        <w:tc>
          <w:tcPr>
            <w:tcW w:w="1276" w:type="dxa"/>
            <w:vAlign w:val="center"/>
          </w:tcPr>
          <w:p w14:paraId="40E17662" w14:textId="34F431EE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</w:tr>
      <w:tr w:rsidR="00620ACB" w:rsidRPr="004829B9" w14:paraId="5C22900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620ACB" w:rsidRPr="004829B9" w:rsidRDefault="00620ACB" w:rsidP="00620A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2AA966F6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13 960</w:t>
            </w:r>
          </w:p>
        </w:tc>
        <w:tc>
          <w:tcPr>
            <w:tcW w:w="1206" w:type="dxa"/>
            <w:vAlign w:val="center"/>
          </w:tcPr>
          <w:p w14:paraId="3704CE86" w14:textId="57C6399E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1206" w:type="dxa"/>
            <w:vAlign w:val="center"/>
          </w:tcPr>
          <w:p w14:paraId="4E73BADA" w14:textId="1E3866FA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1137" w:type="dxa"/>
            <w:vAlign w:val="center"/>
          </w:tcPr>
          <w:p w14:paraId="48D424AC" w14:textId="4CFA4491" w:rsidR="00620ACB" w:rsidRPr="004829B9" w:rsidRDefault="00620ACB" w:rsidP="00620AC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146 332</w:t>
            </w:r>
          </w:p>
        </w:tc>
        <w:tc>
          <w:tcPr>
            <w:tcW w:w="1276" w:type="dxa"/>
            <w:vAlign w:val="center"/>
          </w:tcPr>
          <w:p w14:paraId="0D8FAE68" w14:textId="1AD021CB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</w:tr>
      <w:tr w:rsidR="00620ACB" w:rsidRPr="004829B9" w14:paraId="0BA3DFD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620ACB" w:rsidRPr="004829B9" w:rsidRDefault="00620ACB" w:rsidP="00620AC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2BC34FF3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471754E" w14:textId="4922DDEF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916C83A" w14:textId="42FD0265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A0C182A" w14:textId="7AEBA70F" w:rsidR="00620ACB" w:rsidRPr="004829B9" w:rsidRDefault="00620ACB" w:rsidP="00620AC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76" w:type="dxa"/>
            <w:vAlign w:val="center"/>
          </w:tcPr>
          <w:p w14:paraId="5D07B47C" w14:textId="36D294DA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85.9</w:t>
            </w:r>
          </w:p>
        </w:tc>
      </w:tr>
      <w:tr w:rsidR="00620ACB" w:rsidRPr="004829B9" w14:paraId="628C62B9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620ACB" w:rsidRPr="004829B9" w:rsidRDefault="00620ACB" w:rsidP="00620A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30DBCCB5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3CCCE51D" w14:textId="300B0014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1206" w:type="dxa"/>
            <w:vAlign w:val="center"/>
          </w:tcPr>
          <w:p w14:paraId="1B7E59DC" w14:textId="6A079078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7" w:type="dxa"/>
            <w:vAlign w:val="center"/>
          </w:tcPr>
          <w:p w14:paraId="594A1BF8" w14:textId="668A42D0" w:rsidR="00620ACB" w:rsidRPr="004829B9" w:rsidRDefault="00620ACB" w:rsidP="00620AC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686</w:t>
            </w:r>
          </w:p>
        </w:tc>
        <w:tc>
          <w:tcPr>
            <w:tcW w:w="1276" w:type="dxa"/>
            <w:vAlign w:val="center"/>
          </w:tcPr>
          <w:p w14:paraId="0B1FEB23" w14:textId="29999F55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55.7</w:t>
            </w:r>
          </w:p>
        </w:tc>
      </w:tr>
      <w:tr w:rsidR="00620ACB" w:rsidRPr="004829B9" w14:paraId="4A55058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620ACB" w:rsidRPr="004829B9" w:rsidRDefault="00620ACB" w:rsidP="00620A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6B6404E3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1206" w:type="dxa"/>
            <w:vAlign w:val="center"/>
          </w:tcPr>
          <w:p w14:paraId="1D7D6902" w14:textId="2163D5B7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73.1</w:t>
            </w:r>
          </w:p>
        </w:tc>
        <w:tc>
          <w:tcPr>
            <w:tcW w:w="1206" w:type="dxa"/>
            <w:vAlign w:val="center"/>
          </w:tcPr>
          <w:p w14:paraId="6F322B0B" w14:textId="4FBB9326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1137" w:type="dxa"/>
            <w:vAlign w:val="center"/>
          </w:tcPr>
          <w:p w14:paraId="72AA4379" w14:textId="54A33915" w:rsidR="00620ACB" w:rsidRPr="004829B9" w:rsidRDefault="00620ACB" w:rsidP="00620AC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276" w:type="dxa"/>
            <w:vAlign w:val="center"/>
          </w:tcPr>
          <w:p w14:paraId="08EB6A2D" w14:textId="736868A5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</w:tr>
      <w:tr w:rsidR="00620ACB" w:rsidRPr="004829B9" w14:paraId="1119B49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620ACB" w:rsidRPr="004829B9" w:rsidRDefault="00620ACB" w:rsidP="00620AC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2C48B5C8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06" w:type="dxa"/>
            <w:vAlign w:val="center"/>
          </w:tcPr>
          <w:p w14:paraId="0D95C694" w14:textId="47E1BC0F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1206" w:type="dxa"/>
            <w:vAlign w:val="center"/>
          </w:tcPr>
          <w:p w14:paraId="45EFCE0B" w14:textId="222E3B9B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BC05144" w14:textId="4DE76726" w:rsidR="00620ACB" w:rsidRPr="004829B9" w:rsidRDefault="00620ACB" w:rsidP="00620AC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14:paraId="3BFA6C4E" w14:textId="58981478" w:rsidR="00620ACB" w:rsidRPr="004829B9" w:rsidRDefault="00620ACB" w:rsidP="00620AC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4DB315BA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620ACB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620ACB">
        <w:rPr>
          <w:b w:val="0"/>
          <w:sz w:val="19"/>
          <w:szCs w:val="19"/>
          <w:shd w:val="clear" w:color="auto" w:fill="FFFFFF"/>
          <w:lang w:val="en-GB"/>
        </w:rPr>
        <w:t>206.7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620ACB">
        <w:rPr>
          <w:b w:val="0"/>
          <w:sz w:val="19"/>
          <w:szCs w:val="19"/>
          <w:shd w:val="clear" w:color="auto" w:fill="FFFFFF"/>
          <w:lang w:val="en-GB"/>
        </w:rPr>
        <w:t>6.6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620ACB">
        <w:rPr>
          <w:b w:val="0"/>
          <w:sz w:val="19"/>
          <w:szCs w:val="19"/>
          <w:shd w:val="clear" w:color="auto" w:fill="FFFFFF"/>
          <w:lang w:val="en-GB"/>
        </w:rPr>
        <w:t>118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4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9.2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85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2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5B093B">
        <w:rPr>
          <w:b w:val="0"/>
          <w:sz w:val="19"/>
          <w:szCs w:val="19"/>
          <w:shd w:val="clear" w:color="auto" w:fill="FFFFFF"/>
          <w:lang w:val="en-GB"/>
        </w:rPr>
        <w:t>a decrease of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 xml:space="preserve"> 1.4</w:t>
      </w:r>
      <w:r w:rsid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altogether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98,5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480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057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F74F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687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030BE">
        <w:rPr>
          <w:b w:val="0"/>
          <w:sz w:val="19"/>
          <w:szCs w:val="19"/>
          <w:shd w:val="clear" w:color="auto" w:fill="FFFFFF"/>
          <w:lang w:val="en-GB"/>
        </w:rPr>
        <w:t>569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58C341E5" w:rsidR="000013A9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55C3E5B3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574FF95D" w:rsidR="000013A9" w:rsidRPr="004829B9" w:rsidRDefault="00AE726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321E4FDC" w:rsidR="000013A9" w:rsidRPr="004829B9" w:rsidRDefault="00BB632D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4FEA740D" w:rsidR="000013A9" w:rsidRPr="004829B9" w:rsidRDefault="005B5EB4" w:rsidP="000A40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B632D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7571FA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94574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>2019=100</w:t>
            </w:r>
          </w:p>
        </w:tc>
      </w:tr>
      <w:tr w:rsidR="002030BE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2030BE" w:rsidRPr="004829B9" w:rsidRDefault="002030BE" w:rsidP="002030B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4898BE11" w:rsidR="002030BE" w:rsidRPr="004829B9" w:rsidRDefault="002030BE" w:rsidP="002030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19 785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4B863804" w:rsidR="002030BE" w:rsidRPr="004829B9" w:rsidRDefault="002030BE" w:rsidP="002030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085D0588" w:rsidR="002030BE" w:rsidRPr="004829B9" w:rsidRDefault="002030BE" w:rsidP="002030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15D7814F" w:rsidR="002030BE" w:rsidRPr="004829B9" w:rsidRDefault="002030BE" w:rsidP="002030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206 733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292B75DE" w:rsidR="002030BE" w:rsidRPr="004829B9" w:rsidRDefault="00647DE3" w:rsidP="002030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</w:t>
            </w:r>
            <w:r w:rsidR="002030B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2030BE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7314030D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6 506</w:t>
            </w:r>
          </w:p>
        </w:tc>
        <w:tc>
          <w:tcPr>
            <w:tcW w:w="1206" w:type="dxa"/>
            <w:vAlign w:val="center"/>
          </w:tcPr>
          <w:p w14:paraId="4182E47D" w14:textId="1B7E9A22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116.8</w:t>
            </w:r>
          </w:p>
        </w:tc>
        <w:tc>
          <w:tcPr>
            <w:tcW w:w="1206" w:type="dxa"/>
            <w:vAlign w:val="center"/>
          </w:tcPr>
          <w:p w14:paraId="55847995" w14:textId="58607B36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82.7</w:t>
            </w:r>
          </w:p>
        </w:tc>
        <w:tc>
          <w:tcPr>
            <w:tcW w:w="1206" w:type="dxa"/>
            <w:vAlign w:val="center"/>
          </w:tcPr>
          <w:p w14:paraId="563931BA" w14:textId="420FE5AC" w:rsidR="002030BE" w:rsidRPr="004829B9" w:rsidRDefault="002030BE" w:rsidP="002030B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85 178</w:t>
            </w:r>
          </w:p>
        </w:tc>
        <w:tc>
          <w:tcPr>
            <w:tcW w:w="1207" w:type="dxa"/>
            <w:vAlign w:val="center"/>
          </w:tcPr>
          <w:p w14:paraId="6B359C49" w14:textId="01D529A3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030BE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63455F32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13 062</w:t>
            </w:r>
          </w:p>
        </w:tc>
        <w:tc>
          <w:tcPr>
            <w:tcW w:w="1206" w:type="dxa"/>
            <w:vAlign w:val="center"/>
          </w:tcPr>
          <w:p w14:paraId="75BDDBF3" w14:textId="0C0E9AF6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100.8</w:t>
            </w:r>
          </w:p>
        </w:tc>
        <w:tc>
          <w:tcPr>
            <w:tcW w:w="1206" w:type="dxa"/>
            <w:vAlign w:val="center"/>
          </w:tcPr>
          <w:p w14:paraId="0FABE999" w14:textId="7331A19A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113.5</w:t>
            </w:r>
          </w:p>
        </w:tc>
        <w:tc>
          <w:tcPr>
            <w:tcW w:w="1206" w:type="dxa"/>
            <w:vAlign w:val="center"/>
          </w:tcPr>
          <w:p w14:paraId="512D50D9" w14:textId="16AE0A5A" w:rsidR="002030BE" w:rsidRPr="004829B9" w:rsidRDefault="002030BE" w:rsidP="002030B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118 388</w:t>
            </w:r>
          </w:p>
        </w:tc>
        <w:tc>
          <w:tcPr>
            <w:tcW w:w="1207" w:type="dxa"/>
            <w:vAlign w:val="center"/>
          </w:tcPr>
          <w:p w14:paraId="52836C7F" w14:textId="5FD296D0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030BE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41F8043F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6A70776B" w14:textId="7F7A8A53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20.7</w:t>
            </w:r>
          </w:p>
        </w:tc>
        <w:tc>
          <w:tcPr>
            <w:tcW w:w="1206" w:type="dxa"/>
            <w:vAlign w:val="center"/>
          </w:tcPr>
          <w:p w14:paraId="77A225F3" w14:textId="5DFE7A1A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A50CB">
              <w:rPr>
                <w:rFonts w:cs="Arial"/>
                <w:color w:val="000000" w:themeColor="text1"/>
                <w:sz w:val="16"/>
                <w:szCs w:val="16"/>
              </w:rPr>
              <w:t xml:space="preserve">49-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 more</w:t>
            </w:r>
          </w:p>
        </w:tc>
        <w:tc>
          <w:tcPr>
            <w:tcW w:w="1206" w:type="dxa"/>
            <w:vAlign w:val="center"/>
          </w:tcPr>
          <w:p w14:paraId="2296D291" w14:textId="6CA8647C" w:rsidR="002030BE" w:rsidRPr="004829B9" w:rsidRDefault="002030BE" w:rsidP="002030B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1 010</w:t>
            </w:r>
          </w:p>
        </w:tc>
        <w:tc>
          <w:tcPr>
            <w:tcW w:w="1207" w:type="dxa"/>
            <w:vAlign w:val="center"/>
          </w:tcPr>
          <w:p w14:paraId="0F18BEC0" w14:textId="226692A9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030BE" w:rsidRPr="00D81B78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2030BE" w:rsidRPr="004829B9" w:rsidRDefault="002030BE" w:rsidP="002030B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22F9AEE0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14:paraId="6D446002" w14:textId="3C8C9BC6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40.7</w:t>
            </w:r>
          </w:p>
        </w:tc>
        <w:tc>
          <w:tcPr>
            <w:tcW w:w="1206" w:type="dxa"/>
            <w:vAlign w:val="center"/>
          </w:tcPr>
          <w:p w14:paraId="73242060" w14:textId="048D4C7D" w:rsidR="002030BE" w:rsidRPr="004829B9" w:rsidRDefault="002030BE" w:rsidP="002030B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1206" w:type="dxa"/>
            <w:vAlign w:val="center"/>
          </w:tcPr>
          <w:p w14:paraId="4BFAFDD5" w14:textId="2733C719" w:rsidR="002030BE" w:rsidRPr="004829B9" w:rsidRDefault="002030BE" w:rsidP="002030B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1 480</w:t>
            </w:r>
          </w:p>
        </w:tc>
        <w:tc>
          <w:tcPr>
            <w:tcW w:w="1207" w:type="dxa"/>
            <w:vAlign w:val="center"/>
          </w:tcPr>
          <w:p w14:paraId="76E8B110" w14:textId="49F26D21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030BE" w:rsidRPr="00D81B78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54F61B48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06" w:type="dxa"/>
            <w:vAlign w:val="center"/>
          </w:tcPr>
          <w:p w14:paraId="71430A96" w14:textId="07825FE0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A50CB">
              <w:rPr>
                <w:rFonts w:cs="Arial"/>
                <w:color w:val="000000" w:themeColor="text1"/>
                <w:sz w:val="16"/>
                <w:szCs w:val="16"/>
              </w:rPr>
              <w:t xml:space="preserve">25-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Pr="00EA50C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</w:p>
        </w:tc>
        <w:tc>
          <w:tcPr>
            <w:tcW w:w="1206" w:type="dxa"/>
            <w:vAlign w:val="center"/>
          </w:tcPr>
          <w:p w14:paraId="33FA0D09" w14:textId="3A1F7F70" w:rsidR="002030BE" w:rsidRPr="004829B9" w:rsidRDefault="002030BE" w:rsidP="002030B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125.0</w:t>
            </w:r>
          </w:p>
        </w:tc>
        <w:tc>
          <w:tcPr>
            <w:tcW w:w="1206" w:type="dxa"/>
            <w:vAlign w:val="center"/>
          </w:tcPr>
          <w:p w14:paraId="1AD2E584" w14:textId="65656C1C" w:rsidR="002030BE" w:rsidRPr="004829B9" w:rsidRDefault="002030BE" w:rsidP="002030B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207" w:type="dxa"/>
            <w:vAlign w:val="center"/>
          </w:tcPr>
          <w:p w14:paraId="27BBCB3A" w14:textId="704E396E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030BE" w:rsidRPr="00D81B78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48AFE9ED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06" w:type="dxa"/>
            <w:vAlign w:val="center"/>
          </w:tcPr>
          <w:p w14:paraId="4BE61B3C" w14:textId="48856BD9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36.9</w:t>
            </w:r>
          </w:p>
        </w:tc>
        <w:tc>
          <w:tcPr>
            <w:tcW w:w="1206" w:type="dxa"/>
            <w:vAlign w:val="center"/>
          </w:tcPr>
          <w:p w14:paraId="55AFA942" w14:textId="7C63A0C2" w:rsidR="002030BE" w:rsidRPr="004829B9" w:rsidRDefault="002030BE" w:rsidP="002030B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1206" w:type="dxa"/>
            <w:vAlign w:val="center"/>
          </w:tcPr>
          <w:p w14:paraId="4EFD285C" w14:textId="31C4DF69" w:rsidR="002030BE" w:rsidRPr="004829B9" w:rsidRDefault="002030BE" w:rsidP="002030B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1 163</w:t>
            </w:r>
          </w:p>
        </w:tc>
        <w:tc>
          <w:tcPr>
            <w:tcW w:w="1207" w:type="dxa"/>
            <w:vAlign w:val="center"/>
          </w:tcPr>
          <w:p w14:paraId="61023407" w14:textId="454A1CB3" w:rsidR="002030BE" w:rsidRPr="004829B9" w:rsidRDefault="00647DE3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="002030B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030BE" w:rsidRPr="00D81B78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2030BE" w:rsidRPr="004829B9" w:rsidRDefault="002030BE" w:rsidP="002030B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4FCB5FD3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14:paraId="0BE40393" w14:textId="7D867372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266.7</w:t>
            </w:r>
          </w:p>
        </w:tc>
        <w:tc>
          <w:tcPr>
            <w:tcW w:w="1206" w:type="dxa"/>
            <w:vAlign w:val="center"/>
          </w:tcPr>
          <w:p w14:paraId="4569CA16" w14:textId="202D4645" w:rsidR="002030BE" w:rsidRPr="004829B9" w:rsidRDefault="002030BE" w:rsidP="002030B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EA50CB">
              <w:rPr>
                <w:rFonts w:cs="Arial"/>
                <w:sz w:val="16"/>
                <w:szCs w:val="16"/>
              </w:rPr>
              <w:t xml:space="preserve">64- </w:t>
            </w: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206" w:type="dxa"/>
            <w:vAlign w:val="center"/>
          </w:tcPr>
          <w:p w14:paraId="067A83DD" w14:textId="77FC96DF" w:rsidR="002030BE" w:rsidRPr="004829B9" w:rsidRDefault="002030BE" w:rsidP="002030B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07" w:type="dxa"/>
            <w:vAlign w:val="center"/>
          </w:tcPr>
          <w:p w14:paraId="25216EE8" w14:textId="5CFE3CA1" w:rsidR="002030BE" w:rsidRPr="004829B9" w:rsidRDefault="002030BE" w:rsidP="002030B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6-fold more</w:t>
            </w:r>
          </w:p>
        </w:tc>
      </w:tr>
    </w:tbl>
    <w:p w14:paraId="0A24A4D5" w14:textId="77777777" w:rsidR="00A035BA" w:rsidRDefault="00A035B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34869B52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A035BA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A035BA">
        <w:rPr>
          <w:b w:val="0"/>
          <w:sz w:val="19"/>
          <w:szCs w:val="19"/>
          <w:shd w:val="clear" w:color="auto" w:fill="FFFFFF"/>
          <w:lang w:val="en-GB"/>
        </w:rPr>
        <w:t xml:space="preserve"> there were 835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A035BA">
        <w:rPr>
          <w:b w:val="0"/>
          <w:sz w:val="19"/>
          <w:szCs w:val="19"/>
          <w:shd w:val="clear" w:color="auto" w:fill="FFFFFF"/>
          <w:lang w:val="en-GB"/>
        </w:rPr>
        <w:t>8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0.5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4B262C4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17CD510D" w14:textId="127E6CA1" w:rsidR="009222E9" w:rsidRPr="00A12B93" w:rsidRDefault="00F37978" w:rsidP="00A12B93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2D810D9D">
                <wp:simplePos x="0" y="0"/>
                <wp:positionH relativeFrom="page">
                  <wp:posOffset>5713426</wp:posOffset>
                </wp:positionH>
                <wp:positionV relativeFrom="paragraph">
                  <wp:posOffset>119491</wp:posOffset>
                </wp:positionV>
                <wp:extent cx="1675130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34DE73E" w:rsidR="003A7E95" w:rsidRPr="00AC3185" w:rsidRDefault="003A7E95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 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5825F0"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17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FC77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.9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9.9pt;margin-top:9.4pt;width:131.9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" filled="f" stroked="f">
                <v:textbox>
                  <w:txbxContent>
                    <w:p w14:paraId="58FBF1C9" w14:textId="134DE73E" w:rsidR="003A7E95" w:rsidRPr="00AC3185" w:rsidRDefault="003A7E95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 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5825F0"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17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FC77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.9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E154FB" wp14:editId="3CE8C465">
            <wp:extent cx="5122545" cy="2154803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DDCEC0" w14:textId="77777777" w:rsidR="00F37978" w:rsidRDefault="00F37978" w:rsidP="00CB6084">
      <w:pPr>
        <w:rPr>
          <w:szCs w:val="19"/>
          <w:shd w:val="clear" w:color="auto" w:fill="FFFFFF"/>
          <w:lang w:val="en-GB"/>
        </w:rPr>
      </w:pPr>
    </w:p>
    <w:p w14:paraId="6B2C5EA1" w14:textId="48F06DC7" w:rsidR="00CB6084" w:rsidRPr="004829B9" w:rsidRDefault="00E43CD7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 xml:space="preserve">completed </w:t>
      </w:r>
      <w:r>
        <w:rPr>
          <w:szCs w:val="19"/>
          <w:shd w:val="clear" w:color="auto" w:fill="FFFFFF"/>
          <w:lang w:val="en-GB"/>
        </w:rPr>
        <w:t>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 xml:space="preserve">, in the period of January – </w:t>
      </w:r>
      <w:r w:rsidR="00A035BA">
        <w:rPr>
          <w:szCs w:val="19"/>
          <w:shd w:val="clear" w:color="auto" w:fill="FFFFFF"/>
          <w:lang w:val="en-GB"/>
        </w:rPr>
        <w:t>November</w:t>
      </w:r>
      <w:r w:rsidR="00D81B78">
        <w:rPr>
          <w:szCs w:val="19"/>
          <w:shd w:val="clear" w:color="auto" w:fill="FFFFFF"/>
          <w:lang w:val="en-GB"/>
        </w:rPr>
        <w:t xml:space="preserve"> 2020</w:t>
      </w:r>
      <w:r w:rsidR="00DD2696">
        <w:rPr>
          <w:szCs w:val="19"/>
          <w:shd w:val="clear" w:color="auto" w:fill="FFFFFF"/>
          <w:lang w:val="en-GB"/>
        </w:rPr>
        <w:t>,</w:t>
      </w:r>
      <w:r w:rsidR="00CF2564">
        <w:rPr>
          <w:szCs w:val="19"/>
          <w:shd w:val="clear" w:color="auto" w:fill="FFFFFF"/>
          <w:lang w:val="en-GB"/>
        </w:rPr>
        <w:t xml:space="preserve"> </w:t>
      </w:r>
      <w:r w:rsidR="00EF6032" w:rsidRPr="00EF6032">
        <w:rPr>
          <w:szCs w:val="19"/>
          <w:shd w:val="clear" w:color="auto" w:fill="FFFFFF"/>
          <w:lang w:val="en-GB"/>
        </w:rPr>
        <w:t>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A035BA">
        <w:rPr>
          <w:szCs w:val="19"/>
          <w:shd w:val="clear" w:color="auto" w:fill="FFFFFF"/>
          <w:lang w:val="en-GB"/>
        </w:rPr>
        <w:t>42.0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A035BA">
        <w:rPr>
          <w:szCs w:val="19"/>
          <w:shd w:val="clear" w:color="auto" w:fill="FFFFFF"/>
          <w:lang w:val="en-GB"/>
        </w:rPr>
        <w:t xml:space="preserve"> and 38.1</w:t>
      </w:r>
      <w:r w:rsidR="00CF2564" w:rsidRPr="00CF2564">
        <w:rPr>
          <w:szCs w:val="19"/>
          <w:shd w:val="clear" w:color="auto" w:fill="FFFFFF"/>
          <w:lang w:val="en-GB"/>
        </w:rPr>
        <w:t xml:space="preserve"> thousand</w:t>
      </w:r>
      <w:r w:rsidR="00CF2564">
        <w:rPr>
          <w:szCs w:val="19"/>
          <w:shd w:val="clear" w:color="auto" w:fill="FFFFFF"/>
          <w:lang w:val="en-GB"/>
        </w:rPr>
        <w:t>) and</w:t>
      </w:r>
      <w:r w:rsidR="00A035BA">
        <w:rPr>
          <w:szCs w:val="19"/>
          <w:shd w:val="clear" w:color="auto" w:fill="FFFFFF"/>
          <w:lang w:val="en-GB"/>
        </w:rPr>
        <w:t xml:space="preserve"> Wielkopolskie (20.3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 w:rsidR="000834A5">
        <w:rPr>
          <w:szCs w:val="19"/>
          <w:shd w:val="clear" w:color="auto" w:fill="FFFFFF"/>
          <w:lang w:val="en-GB"/>
        </w:rPr>
        <w:t xml:space="preserve">and </w:t>
      </w:r>
      <w:r w:rsidR="00A035BA">
        <w:rPr>
          <w:szCs w:val="19"/>
          <w:shd w:val="clear" w:color="auto" w:fill="FFFFFF"/>
          <w:lang w:val="en-GB"/>
        </w:rPr>
        <w:t>20.4</w:t>
      </w:r>
      <w:r w:rsidR="00F333CC">
        <w:rPr>
          <w:szCs w:val="19"/>
          <w:shd w:val="clear" w:color="auto" w:fill="FFFFFF"/>
          <w:lang w:val="en-GB"/>
        </w:rPr>
        <w:t xml:space="preserve"> thou</w:t>
      </w:r>
      <w:bookmarkStart w:id="0" w:name="_GoBack"/>
      <w:bookmarkEnd w:id="0"/>
      <w:r w:rsidR="00F333CC">
        <w:rPr>
          <w:szCs w:val="19"/>
          <w:shd w:val="clear" w:color="auto" w:fill="FFFFFF"/>
          <w:lang w:val="en-GB"/>
        </w:rPr>
        <w:t>sand).</w:t>
      </w:r>
      <w:r>
        <w:rPr>
          <w:szCs w:val="19"/>
          <w:shd w:val="clear" w:color="auto" w:fill="FFFFFF"/>
          <w:lang w:val="en-GB"/>
        </w:rPr>
        <w:t xml:space="preserve"> Regarding dwellings </w:t>
      </w:r>
      <w:r w:rsidR="00D81B78" w:rsidRPr="00D81B78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>
        <w:rPr>
          <w:szCs w:val="19"/>
          <w:shd w:val="clear" w:color="auto" w:fill="FFFFFF"/>
          <w:lang w:val="en-GB"/>
        </w:rPr>
        <w:t>,</w:t>
      </w:r>
      <w:r w:rsidRPr="00E43CD7">
        <w:rPr>
          <w:bCs/>
          <w:szCs w:val="19"/>
          <w:shd w:val="clear" w:color="auto" w:fill="FFFFFF"/>
          <w:lang w:val="en-US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>the biggest amount was</w:t>
      </w:r>
      <w:r w:rsidR="00D81B78">
        <w:rPr>
          <w:szCs w:val="19"/>
          <w:shd w:val="clear" w:color="auto" w:fill="FFFFFF"/>
          <w:lang w:val="en-GB"/>
        </w:rPr>
        <w:t xml:space="preserve"> also</w:t>
      </w:r>
      <w:r w:rsidR="00E97E48">
        <w:rPr>
          <w:szCs w:val="19"/>
          <w:shd w:val="clear" w:color="auto" w:fill="FFFFFF"/>
          <w:lang w:val="en-GB"/>
        </w:rPr>
        <w:t xml:space="preserve"> not</w:t>
      </w:r>
      <w:r w:rsidR="00FC77BB">
        <w:rPr>
          <w:szCs w:val="19"/>
          <w:shd w:val="clear" w:color="auto" w:fill="FFFFFF"/>
          <w:lang w:val="en-GB"/>
        </w:rPr>
        <w:t>ed in Mazowieckie voivodship (39.4</w:t>
      </w:r>
      <w:r w:rsidR="00033479">
        <w:rPr>
          <w:szCs w:val="19"/>
          <w:shd w:val="clear" w:color="auto" w:fill="FFFFFF"/>
          <w:lang w:val="en-GB"/>
        </w:rPr>
        <w:t xml:space="preserve"> thousand)</w:t>
      </w:r>
      <w:r w:rsidR="00D81B78">
        <w:rPr>
          <w:szCs w:val="19"/>
          <w:shd w:val="clear" w:color="auto" w:fill="FFFFFF"/>
          <w:lang w:val="en-GB"/>
        </w:rPr>
        <w:t xml:space="preserve">, </w:t>
      </w:r>
      <w:r w:rsidR="00E97E48" w:rsidRPr="00314007">
        <w:rPr>
          <w:szCs w:val="19"/>
          <w:shd w:val="clear" w:color="auto" w:fill="FFFFFF"/>
          <w:lang w:val="en-GB"/>
        </w:rPr>
        <w:t>Dolnośląskie</w:t>
      </w:r>
      <w:r w:rsidR="00D81B78" w:rsidRPr="00314007">
        <w:rPr>
          <w:szCs w:val="19"/>
          <w:shd w:val="clear" w:color="auto" w:fill="FFFFFF"/>
          <w:lang w:val="en-GB"/>
        </w:rPr>
        <w:t xml:space="preserve"> voivodship </w:t>
      </w:r>
      <w:r w:rsidR="00314007" w:rsidRPr="00314007">
        <w:rPr>
          <w:szCs w:val="19"/>
          <w:shd w:val="clear" w:color="auto" w:fill="FFFFFF"/>
          <w:lang w:val="en-GB"/>
        </w:rPr>
        <w:t>occupied the</w:t>
      </w:r>
      <w:r w:rsidR="00D81B78" w:rsidRPr="00314007">
        <w:rPr>
          <w:szCs w:val="19"/>
          <w:shd w:val="clear" w:color="auto" w:fill="FFFFFF"/>
          <w:lang w:val="en-GB"/>
        </w:rPr>
        <w:t xml:space="preserve"> second </w:t>
      </w:r>
      <w:r w:rsidR="00314007" w:rsidRPr="00314007">
        <w:rPr>
          <w:szCs w:val="19"/>
          <w:shd w:val="clear" w:color="auto" w:fill="FFFFFF"/>
          <w:lang w:val="en-GB"/>
        </w:rPr>
        <w:t xml:space="preserve">place </w:t>
      </w:r>
      <w:r w:rsidR="00FC77BB">
        <w:rPr>
          <w:szCs w:val="19"/>
          <w:shd w:val="clear" w:color="auto" w:fill="FFFFFF"/>
          <w:lang w:val="en-GB"/>
        </w:rPr>
        <w:t>(24</w:t>
      </w:r>
      <w:r w:rsidR="000834A5">
        <w:rPr>
          <w:szCs w:val="19"/>
          <w:shd w:val="clear" w:color="auto" w:fill="FFFFFF"/>
          <w:lang w:val="en-GB"/>
        </w:rPr>
        <w:t>.</w:t>
      </w:r>
      <w:r w:rsidR="00FC77BB">
        <w:rPr>
          <w:szCs w:val="19"/>
          <w:shd w:val="clear" w:color="auto" w:fill="FFFFFF"/>
          <w:lang w:val="en-GB"/>
        </w:rPr>
        <w:t>1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 w:rsidR="00D81B78" w:rsidRPr="00D81B78">
        <w:rPr>
          <w:szCs w:val="19"/>
          <w:shd w:val="clear" w:color="auto" w:fill="FFFFFF"/>
          <w:lang w:val="en-GB"/>
        </w:rPr>
        <w:t xml:space="preserve"> </w:t>
      </w:r>
    </w:p>
    <w:p w14:paraId="73CBA65A" w14:textId="41B236AC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FC77BB">
        <w:rPr>
          <w:color w:val="auto"/>
          <w:sz w:val="18"/>
          <w:szCs w:val="18"/>
          <w:lang w:val="en-GB"/>
        </w:rPr>
        <w:t>November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077BA2B8" w:rsidR="003A358E" w:rsidRDefault="004132CC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2D1E117C" wp14:editId="0F25798F">
            <wp:extent cx="5122545" cy="315666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1"/>
        <w:gridCol w:w="3836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696CCE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14:paraId="35275A7D" w14:textId="77777777" w:rsidR="003A7E95" w:rsidRPr="00F11843" w:rsidRDefault="0039649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14:paraId="35275A7D" w14:textId="77777777" w:rsidR="003A7E95" w:rsidRPr="00F11843" w:rsidRDefault="0039649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2D2D1" w14:textId="77777777" w:rsidR="00396499" w:rsidRDefault="00396499" w:rsidP="000662E2">
      <w:pPr>
        <w:spacing w:after="0" w:line="240" w:lineRule="auto"/>
      </w:pPr>
      <w:r>
        <w:separator/>
      </w:r>
    </w:p>
  </w:endnote>
  <w:endnote w:type="continuationSeparator" w:id="0">
    <w:p w14:paraId="0D1105DC" w14:textId="77777777" w:rsidR="00396499" w:rsidRDefault="003964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C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C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F4967" w14:textId="77777777" w:rsidR="00396499" w:rsidRDefault="00396499" w:rsidP="000662E2">
      <w:pPr>
        <w:spacing w:after="0" w:line="240" w:lineRule="auto"/>
      </w:pPr>
      <w:r>
        <w:separator/>
      </w:r>
    </w:p>
  </w:footnote>
  <w:footnote w:type="continuationSeparator" w:id="0">
    <w:p w14:paraId="011C3485" w14:textId="77777777" w:rsidR="00396499" w:rsidRDefault="00396499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A486B4D" w:rsidR="003A7E95" w:rsidRPr="00C97596" w:rsidRDefault="00696CC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0A486B4D" w:rsidR="003A7E95" w:rsidRPr="00C97596" w:rsidRDefault="00696CC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105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57A1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5560"/>
    <w:rsid w:val="00A66E7E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1B78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Budownictwo_dashboards/Raporty_predefiniowane/RAP_DBD_BUD_7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2169164338328677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Arkusz1!$B$4:$BH$4</c:f>
              <c:numCache>
                <c:formatCode>General</c:formatCode>
                <c:ptCount val="59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23806</c:v>
                </c:pt>
                <c:pt idx="55" formatCode="#,##0">
                  <c:v>16378</c:v>
                </c:pt>
                <c:pt idx="56">
                  <c:v>19425</c:v>
                </c:pt>
                <c:pt idx="57">
                  <c:v>19901</c:v>
                </c:pt>
                <c:pt idx="58">
                  <c:v>19586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Arkusz1!$B$16:$BH$16</c:f>
              <c:numCache>
                <c:formatCode>General</c:formatCode>
                <c:ptCount val="59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25237</c:v>
                </c:pt>
                <c:pt idx="55">
                  <c:v>20975</c:v>
                </c:pt>
                <c:pt idx="56">
                  <c:v>23885</c:v>
                </c:pt>
                <c:pt idx="57">
                  <c:v>26780</c:v>
                </c:pt>
                <c:pt idx="58">
                  <c:v>22163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Arkusz1!$B$10:$BH$10</c:f>
              <c:numCache>
                <c:formatCode>General</c:formatCode>
                <c:ptCount val="59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  <c:pt idx="58">
                  <c:v>19785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855040"/>
        <c:axId val="123856672"/>
      </c:lineChart>
      <c:catAx>
        <c:axId val="12385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385667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2385667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385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9820426955914314"/>
          <c:w val="0.94616230799339018"/>
          <c:h val="0.15259206657523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5.8051469981346672E-2"/>
          <c:w val="0.78147912136044484"/>
          <c:h val="0.72506677231383798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2848</c:v>
                </c:pt>
                <c:pt idx="1">
                  <c:v>3792</c:v>
                </c:pt>
                <c:pt idx="2">
                  <c:v>5006</c:v>
                </c:pt>
                <c:pt idx="3">
                  <c:v>7109</c:v>
                </c:pt>
                <c:pt idx="4">
                  <c:v>6858</c:v>
                </c:pt>
                <c:pt idx="5">
                  <c:v>8575</c:v>
                </c:pt>
                <c:pt idx="6">
                  <c:v>8952</c:v>
                </c:pt>
                <c:pt idx="7">
                  <c:v>11011</c:v>
                </c:pt>
                <c:pt idx="8">
                  <c:v>11208</c:v>
                </c:pt>
                <c:pt idx="9">
                  <c:v>11019</c:v>
                </c:pt>
                <c:pt idx="10">
                  <c:v>15901</c:v>
                </c:pt>
                <c:pt idx="11">
                  <c:v>18573</c:v>
                </c:pt>
                <c:pt idx="12">
                  <c:v>19375</c:v>
                </c:pt>
                <c:pt idx="13">
                  <c:v>17965</c:v>
                </c:pt>
                <c:pt idx="14">
                  <c:v>20434</c:v>
                </c:pt>
                <c:pt idx="15">
                  <c:v>38107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3005</c:v>
                </c:pt>
                <c:pt idx="1">
                  <c:v>4253</c:v>
                </c:pt>
                <c:pt idx="2">
                  <c:v>7075</c:v>
                </c:pt>
                <c:pt idx="3">
                  <c:v>8232</c:v>
                </c:pt>
                <c:pt idx="4">
                  <c:v>6633</c:v>
                </c:pt>
                <c:pt idx="5">
                  <c:v>9652</c:v>
                </c:pt>
                <c:pt idx="6">
                  <c:v>12420</c:v>
                </c:pt>
                <c:pt idx="7">
                  <c:v>11308</c:v>
                </c:pt>
                <c:pt idx="8">
                  <c:v>13145</c:v>
                </c:pt>
                <c:pt idx="9">
                  <c:v>12293</c:v>
                </c:pt>
                <c:pt idx="10">
                  <c:v>21173</c:v>
                </c:pt>
                <c:pt idx="11">
                  <c:v>23238</c:v>
                </c:pt>
                <c:pt idx="12">
                  <c:v>21787</c:v>
                </c:pt>
                <c:pt idx="13">
                  <c:v>24110</c:v>
                </c:pt>
                <c:pt idx="14">
                  <c:v>23648</c:v>
                </c:pt>
                <c:pt idx="15">
                  <c:v>39377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2271</c:v>
                </c:pt>
                <c:pt idx="1">
                  <c:v>3361</c:v>
                </c:pt>
                <c:pt idx="2">
                  <c:v>4640</c:v>
                </c:pt>
                <c:pt idx="3">
                  <c:v>5396</c:v>
                </c:pt>
                <c:pt idx="4">
                  <c:v>5672</c:v>
                </c:pt>
                <c:pt idx="5">
                  <c:v>7686</c:v>
                </c:pt>
                <c:pt idx="6">
                  <c:v>8007</c:v>
                </c:pt>
                <c:pt idx="7">
                  <c:v>8468</c:v>
                </c:pt>
                <c:pt idx="8">
                  <c:v>8516</c:v>
                </c:pt>
                <c:pt idx="9">
                  <c:v>10011</c:v>
                </c:pt>
                <c:pt idx="10">
                  <c:v>16062</c:v>
                </c:pt>
                <c:pt idx="11">
                  <c:v>17230</c:v>
                </c:pt>
                <c:pt idx="12">
                  <c:v>17255</c:v>
                </c:pt>
                <c:pt idx="13">
                  <c:v>19505</c:v>
                </c:pt>
                <c:pt idx="14">
                  <c:v>20335</c:v>
                </c:pt>
                <c:pt idx="15">
                  <c:v>42026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3859392"/>
        <c:axId val="123857216"/>
      </c:barChart>
      <c:catAx>
        <c:axId val="123859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3857216"/>
        <c:crosses val="autoZero"/>
        <c:auto val="1"/>
        <c:lblAlgn val="ctr"/>
        <c:lblOffset val="100"/>
        <c:noMultiLvlLbl val="0"/>
      </c:catAx>
      <c:valAx>
        <c:axId val="123857216"/>
        <c:scaling>
          <c:orientation val="minMax"/>
          <c:max val="4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385939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07612719849216"/>
          <c:y val="0.84176826953234618"/>
          <c:w val="0.83688211129506873"/>
          <c:h val="0.13726736988065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residential_construction_in_january-october_2020.docx.docx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9B950-AA76-47B4-9C90-35CA9093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2020-11-23T07:25:00Z</cp:lastPrinted>
  <dcterms:created xsi:type="dcterms:W3CDTF">2020-12-16T13:19:00Z</dcterms:created>
  <dcterms:modified xsi:type="dcterms:W3CDTF">2020-12-16T13:19:00Z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