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3C192F94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5490E">
        <w:rPr>
          <w:szCs w:val="32"/>
          <w:lang w:val="en-GB"/>
        </w:rPr>
        <w:t>X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241CA66B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594C959B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05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106</w:t>
                            </w:r>
                            <w:r w:rsidR="00E5263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="00FD05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594C959B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05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106</w:t>
                      </w:r>
                      <w:r w:rsidR="00E5263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</w:t>
                      </w:r>
                      <w:r w:rsidR="00FD05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</w:t>
      </w:r>
      <w:r w:rsidR="00970194">
        <w:rPr>
          <w:lang w:val="en-GB"/>
        </w:rPr>
        <w:t xml:space="preserve">period of </w:t>
      </w:r>
      <w:r w:rsidR="00FD050C">
        <w:rPr>
          <w:lang w:val="en-GB"/>
        </w:rPr>
        <w:t>ten</w:t>
      </w:r>
      <w:r w:rsidR="00970194">
        <w:rPr>
          <w:lang w:val="en-GB"/>
        </w:rPr>
        <w:t xml:space="preserve"> months</w:t>
      </w:r>
      <w:r w:rsidR="00734C04">
        <w:rPr>
          <w:lang w:val="en-GB"/>
        </w:rPr>
        <w:t xml:space="preserve">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8E4D7">
                <wp:simplePos x="0" y="0"/>
                <wp:positionH relativeFrom="rightMargin">
                  <wp:posOffset>113665</wp:posOffset>
                </wp:positionH>
                <wp:positionV relativeFrom="paragraph">
                  <wp:posOffset>81915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469FBD4" w:rsidR="003A7E95" w:rsidRPr="00AD1492" w:rsidRDefault="0025490E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64.7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E19F6">
                              <w:rPr>
                                <w:lang w:val="en-US"/>
                              </w:rPr>
                              <w:t>1.</w:t>
                            </w:r>
                            <w:r w:rsidR="007E7D97">
                              <w:rPr>
                                <w:lang w:val="en-US"/>
                              </w:rPr>
                              <w:t>9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.95pt;margin-top:6.45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" filled="f" stroked="f">
                <v:textbox>
                  <w:txbxContent>
                    <w:p w14:paraId="55217834" w14:textId="0469FBD4" w:rsidR="003A7E95" w:rsidRPr="00AD1492" w:rsidRDefault="0025490E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64.7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 w:rsidR="009E19F6">
                        <w:rPr>
                          <w:lang w:val="en-US"/>
                        </w:rPr>
                        <w:t>1.</w:t>
                      </w:r>
                      <w:r w:rsidR="007E7D97">
                        <w:rPr>
                          <w:lang w:val="en-US"/>
                        </w:rPr>
                        <w:t>9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7D8D5343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FD050C" w:rsidRPr="00FD050C">
        <w:rPr>
          <w:spacing w:val="-4"/>
          <w:shd w:val="clear" w:color="auto" w:fill="FFFFFF"/>
          <w:lang w:val="en-GB"/>
        </w:rPr>
        <w:t>176.4 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FD050C">
        <w:rPr>
          <w:spacing w:val="-4"/>
          <w:shd w:val="clear" w:color="auto" w:fill="FFFFFF"/>
          <w:lang w:val="en-GB"/>
        </w:rPr>
        <w:t>October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FD050C">
        <w:rPr>
          <w:spacing w:val="-4"/>
          <w:shd w:val="clear" w:color="auto" w:fill="FFFFFF"/>
          <w:lang w:val="en-GB"/>
        </w:rPr>
        <w:t>6.1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FD050C">
        <w:rPr>
          <w:spacing w:val="-4"/>
          <w:shd w:val="clear" w:color="auto" w:fill="FFFFFF"/>
          <w:lang w:val="en-GB"/>
        </w:rPr>
        <w:t>114.1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5490E">
        <w:rPr>
          <w:spacing w:val="-4"/>
          <w:shd w:val="clear" w:color="auto" w:fill="FFFFFF"/>
          <w:lang w:val="en-GB"/>
        </w:rPr>
        <w:t>(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B052B2">
        <w:rPr>
          <w:color w:val="00B0F0"/>
          <w:spacing w:val="-4"/>
          <w:shd w:val="clear" w:color="auto" w:fill="FFFFFF"/>
          <w:lang w:val="en-GB"/>
        </w:rPr>
        <w:t xml:space="preserve"> </w:t>
      </w:r>
      <w:r w:rsidR="009E19F6">
        <w:rPr>
          <w:spacing w:val="-4"/>
          <w:shd w:val="clear" w:color="auto" w:fill="FFFFFF"/>
          <w:lang w:val="en-GB"/>
        </w:rPr>
        <w:t>9.3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9E19F6">
        <w:rPr>
          <w:spacing w:val="-4"/>
          <w:shd w:val="clear" w:color="auto" w:fill="FFFFFF"/>
          <w:lang w:val="en-GB"/>
        </w:rPr>
        <w:t>59.3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25490E">
        <w:rPr>
          <w:spacing w:val="-4"/>
          <w:shd w:val="clear" w:color="auto" w:fill="FFFFFF"/>
          <w:lang w:val="en-GB"/>
        </w:rPr>
        <w:t>5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9E19F6">
        <w:rPr>
          <w:spacing w:val="-4"/>
          <w:shd w:val="clear" w:color="auto" w:fill="FFFFFF"/>
          <w:lang w:val="en-GB"/>
        </w:rPr>
        <w:t>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25490E">
        <w:rPr>
          <w:spacing w:val="-4"/>
          <w:shd w:val="clear" w:color="auto" w:fill="FFFFFF"/>
          <w:lang w:val="en-GB"/>
        </w:rPr>
        <w:t>3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25490E">
        <w:rPr>
          <w:spacing w:val="-4"/>
          <w:shd w:val="clear" w:color="auto" w:fill="FFFFFF"/>
          <w:lang w:val="en-GB"/>
        </w:rPr>
        <w:t xml:space="preserve"> (respectively 64.7% and 33.6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0834A5">
        <w:rPr>
          <w:spacing w:val="-4"/>
          <w:shd w:val="clear" w:color="auto" w:fill="FFFFFF"/>
          <w:lang w:val="en-GB"/>
        </w:rPr>
        <w:t>1 09</w:t>
      </w:r>
      <w:r w:rsidR="009E19F6">
        <w:rPr>
          <w:spacing w:val="-4"/>
          <w:shd w:val="clear" w:color="auto" w:fill="FFFFFF"/>
          <w:lang w:val="en-GB"/>
        </w:rPr>
        <w:t>2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compared to</w:t>
      </w:r>
      <w:r w:rsidR="00314007">
        <w:rPr>
          <w:spacing w:val="-4"/>
          <w:shd w:val="clear" w:color="auto" w:fill="FFFFFF"/>
          <w:lang w:val="en-GB"/>
        </w:rPr>
        <w:t xml:space="preserve"> </w:t>
      </w:r>
      <w:r w:rsidR="00467905">
        <w:rPr>
          <w:spacing w:val="-4"/>
          <w:shd w:val="clear" w:color="auto" w:fill="FFFFFF"/>
          <w:lang w:val="en-GB"/>
        </w:rPr>
        <w:t>1 </w:t>
      </w:r>
      <w:r w:rsidR="009E19F6">
        <w:rPr>
          <w:spacing w:val="-4"/>
          <w:shd w:val="clear" w:color="auto" w:fill="FFFFFF"/>
          <w:lang w:val="en-GB"/>
        </w:rPr>
        <w:t>893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3557A1">
        <w:rPr>
          <w:spacing w:val="-4"/>
          <w:shd w:val="clear" w:color="auto" w:fill="FFFFFF"/>
          <w:lang w:val="en-GB"/>
        </w:rPr>
        <w:t xml:space="preserve">ellings) </w:t>
      </w:r>
      <w:r w:rsidR="00A65560">
        <w:rPr>
          <w:spacing w:val="-4"/>
          <w:shd w:val="clear" w:color="auto" w:fill="FFFFFF"/>
          <w:lang w:val="en-GB"/>
        </w:rPr>
        <w:t>and</w:t>
      </w:r>
      <w:r w:rsidR="003557A1">
        <w:rPr>
          <w:spacing w:val="-4"/>
          <w:shd w:val="clear" w:color="auto" w:fill="FFFFFF"/>
          <w:lang w:val="en-GB"/>
        </w:rPr>
        <w:t xml:space="preserve"> altogether in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3557A1">
        <w:rPr>
          <w:spacing w:val="-4"/>
          <w:shd w:val="clear" w:color="auto" w:fill="FFFFFF"/>
          <w:lang w:val="en-GB"/>
        </w:rPr>
        <w:t xml:space="preserve">construction, i.e. </w:t>
      </w:r>
      <w:r w:rsidR="00C733A3" w:rsidRPr="004829B9">
        <w:rPr>
          <w:spacing w:val="-4"/>
          <w:shd w:val="clear" w:color="auto" w:fill="FFFFFF"/>
          <w:lang w:val="en-GB"/>
        </w:rPr>
        <w:t>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3557A1">
        <w:rPr>
          <w:spacing w:val="-4"/>
          <w:shd w:val="clear" w:color="auto" w:fill="FFFFFF"/>
          <w:lang w:val="en-GB"/>
        </w:rPr>
        <w:t>and company construction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3557A1">
        <w:rPr>
          <w:spacing w:val="-4"/>
          <w:shd w:val="clear" w:color="auto" w:fill="FFFFFF"/>
          <w:lang w:val="en-GB"/>
        </w:rPr>
        <w:t>(</w:t>
      </w:r>
      <w:r w:rsidR="00467905">
        <w:rPr>
          <w:spacing w:val="-4"/>
          <w:shd w:val="clear" w:color="auto" w:fill="FFFFFF"/>
          <w:lang w:val="en-GB"/>
        </w:rPr>
        <w:t xml:space="preserve">1 </w:t>
      </w:r>
      <w:r w:rsidR="009E19F6">
        <w:rPr>
          <w:spacing w:val="-4"/>
          <w:shd w:val="clear" w:color="auto" w:fill="FFFFFF"/>
          <w:lang w:val="en-GB"/>
        </w:rPr>
        <w:t>910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94AC8" w:rsidRPr="004829B9">
        <w:rPr>
          <w:spacing w:val="-4"/>
          <w:shd w:val="clear" w:color="auto" w:fill="FFFFFF"/>
          <w:lang w:val="en-GB"/>
        </w:rPr>
        <w:t xml:space="preserve">compared to </w:t>
      </w:r>
      <w:r w:rsidR="0025490E">
        <w:rPr>
          <w:spacing w:val="-4"/>
          <w:shd w:val="clear" w:color="auto" w:fill="FFFFFF"/>
          <w:lang w:val="en-GB"/>
        </w:rPr>
        <w:t>3</w:t>
      </w:r>
      <w:r w:rsidR="00C625B8">
        <w:rPr>
          <w:spacing w:val="-4"/>
          <w:shd w:val="clear" w:color="auto" w:fill="FFFFFF"/>
          <w:lang w:val="en-GB"/>
        </w:rPr>
        <w:t xml:space="preserve"> </w:t>
      </w:r>
      <w:r w:rsidR="009E19F6">
        <w:rPr>
          <w:spacing w:val="-4"/>
          <w:shd w:val="clear" w:color="auto" w:fill="FFFFFF"/>
          <w:lang w:val="en-GB"/>
        </w:rPr>
        <w:t>758</w:t>
      </w:r>
      <w:r w:rsidR="00C94AC8" w:rsidRPr="004829B9">
        <w:rPr>
          <w:spacing w:val="-4"/>
          <w:shd w:val="clear" w:color="auto" w:fill="FFFFFF"/>
          <w:lang w:val="en-GB"/>
        </w:rPr>
        <w:t>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149819DE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9E19F6">
        <w:rPr>
          <w:shd w:val="clear" w:color="auto" w:fill="FFFFFF"/>
          <w:lang w:val="en-GB"/>
        </w:rPr>
        <w:t>October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9E19F6">
        <w:rPr>
          <w:shd w:val="clear" w:color="auto" w:fill="FFFFFF"/>
          <w:lang w:val="en-GB"/>
        </w:rPr>
        <w:t>15</w:t>
      </w:r>
      <w:r w:rsidR="00837231" w:rsidRPr="004829B9">
        <w:rPr>
          <w:shd w:val="clear" w:color="auto" w:fill="FFFFFF"/>
          <w:lang w:val="en-GB"/>
        </w:rPr>
        <w:t>.</w:t>
      </w:r>
      <w:r w:rsidR="009E19F6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9E19F6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9E19F6">
        <w:rPr>
          <w:shd w:val="clear" w:color="auto" w:fill="FFFFFF"/>
          <w:lang w:val="en-GB"/>
        </w:rPr>
        <w:t>6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3D3374" w:rsidRPr="00223849">
        <w:rPr>
          <w:shd w:val="clear" w:color="auto" w:fill="FFFFFF"/>
          <w:lang w:val="en-GB"/>
        </w:rPr>
        <w:t>2019</w:t>
      </w:r>
      <w:r w:rsidR="003557A1">
        <w:rPr>
          <w:shd w:val="clear" w:color="auto" w:fill="FFFFFF"/>
          <w:lang w:val="en-GB"/>
        </w:rPr>
        <w:t xml:space="preserve"> and </w:t>
      </w:r>
      <w:bookmarkStart w:id="0" w:name="_GoBack"/>
      <w:bookmarkEnd w:id="0"/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67905">
        <w:rPr>
          <w:shd w:val="clear" w:color="auto" w:fill="FFFFFF"/>
          <w:lang w:val="en-GB"/>
        </w:rPr>
        <w:t>88</w:t>
      </w:r>
      <w:r w:rsidR="005D25AB" w:rsidRPr="004829B9">
        <w:rPr>
          <w:shd w:val="clear" w:color="auto" w:fill="FFFFFF"/>
          <w:lang w:val="en-GB"/>
        </w:rPr>
        <w:t>.</w:t>
      </w:r>
      <w:r w:rsidR="009E19F6">
        <w:rPr>
          <w:shd w:val="clear" w:color="auto" w:fill="FFFFFF"/>
          <w:lang w:val="en-GB"/>
        </w:rPr>
        <w:t>7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3198E78F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51F81737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359F70A6" w:rsidR="0058073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41BB2484" w:rsidR="0058073C" w:rsidRPr="004829B9" w:rsidRDefault="00467905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D050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4374C501" w:rsidR="0058073C" w:rsidRPr="004829B9" w:rsidRDefault="00A11B23" w:rsidP="004B68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FD050C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FD050C" w:rsidRPr="004829B9" w:rsidRDefault="00FD050C" w:rsidP="00FD050C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75A48539" w:rsidR="00FD050C" w:rsidRPr="004829B9" w:rsidRDefault="00FD050C" w:rsidP="00FD050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19 901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22028547" w:rsidR="00FD050C" w:rsidRPr="004829B9" w:rsidRDefault="000834A5" w:rsidP="00FD050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</w:t>
            </w:r>
            <w:r w:rsidR="00FD050C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43DA4F93" w:rsidR="00FD050C" w:rsidRPr="004829B9" w:rsidRDefault="000834A5" w:rsidP="00FD050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</w:t>
            </w:r>
            <w:r w:rsidR="00FD050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1527DFB2" w:rsidR="00FD050C" w:rsidRPr="004829B9" w:rsidRDefault="00FD050C" w:rsidP="00FD050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176 424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5342BE57" w:rsidR="00FD050C" w:rsidRPr="004829B9" w:rsidRDefault="000834A5" w:rsidP="00FD050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</w:t>
            </w:r>
            <w:r w:rsidR="00FD050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FD050C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365BCA83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6 736</w:t>
            </w:r>
          </w:p>
        </w:tc>
        <w:tc>
          <w:tcPr>
            <w:tcW w:w="1206" w:type="dxa"/>
            <w:vAlign w:val="center"/>
          </w:tcPr>
          <w:p w14:paraId="1EF9A641" w14:textId="37D1CC45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6A6BDE68" w14:textId="09C00ABB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474030F8" w14:textId="72F8BF00" w:rsidR="00FD050C" w:rsidRPr="0026083F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59 324</w:t>
            </w:r>
          </w:p>
        </w:tc>
        <w:tc>
          <w:tcPr>
            <w:tcW w:w="1207" w:type="dxa"/>
            <w:vAlign w:val="center"/>
          </w:tcPr>
          <w:p w14:paraId="04A3773C" w14:textId="333DA814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D050C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16D6E13C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12 775</w:t>
            </w:r>
          </w:p>
        </w:tc>
        <w:tc>
          <w:tcPr>
            <w:tcW w:w="1206" w:type="dxa"/>
            <w:vAlign w:val="center"/>
          </w:tcPr>
          <w:p w14:paraId="2E70220E" w14:textId="4D50C621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14:paraId="1ED74D3A" w14:textId="6A6D9278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44BA7141" w14:textId="1CA6AB53" w:rsidR="00FD050C" w:rsidRPr="0026083F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114 098</w:t>
            </w:r>
          </w:p>
        </w:tc>
        <w:tc>
          <w:tcPr>
            <w:tcW w:w="1207" w:type="dxa"/>
            <w:vAlign w:val="center"/>
          </w:tcPr>
          <w:p w14:paraId="3F979385" w14:textId="6082911C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D050C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200D0D98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206" w:type="dxa"/>
            <w:vAlign w:val="center"/>
          </w:tcPr>
          <w:p w14:paraId="5CCE1C02" w14:textId="23E91C80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6A15538A" w14:textId="6E051CDF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429.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4F32B4AA" w14:textId="034C2D79" w:rsidR="00FD050C" w:rsidRPr="0026083F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1 178</w:t>
            </w:r>
          </w:p>
        </w:tc>
        <w:tc>
          <w:tcPr>
            <w:tcW w:w="1207" w:type="dxa"/>
            <w:vAlign w:val="center"/>
          </w:tcPr>
          <w:p w14:paraId="6749CE4C" w14:textId="571DE5A4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D050C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FD050C" w:rsidRPr="004829B9" w:rsidRDefault="00FD050C" w:rsidP="00FD050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0FA1FBDE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206" w:type="dxa"/>
            <w:vAlign w:val="center"/>
          </w:tcPr>
          <w:p w14:paraId="0C60AA6B" w14:textId="665AC261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73767A4C" w14:textId="666C99CD" w:rsidR="00FD050C" w:rsidRPr="004829B9" w:rsidRDefault="000834A5" w:rsidP="00FD050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54.</w:t>
            </w:r>
            <w:r w:rsidR="00FD050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14:paraId="233EB4FD" w14:textId="50C34FD3" w:rsidR="00FD050C" w:rsidRPr="0026083F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1 092</w:t>
            </w:r>
          </w:p>
        </w:tc>
        <w:tc>
          <w:tcPr>
            <w:tcW w:w="1207" w:type="dxa"/>
            <w:vAlign w:val="center"/>
          </w:tcPr>
          <w:p w14:paraId="37B21FA8" w14:textId="5D6F725F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57.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D050C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2632F2C7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52EA2698" w14:textId="2472B46F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14:paraId="7BD787EE" w14:textId="326187C2" w:rsidR="00FD050C" w:rsidRPr="004829B9" w:rsidRDefault="000834A5" w:rsidP="00FD050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19.</w:t>
            </w:r>
            <w:r w:rsidR="00FD050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1686B930" w14:textId="5297152A" w:rsidR="00FD050C" w:rsidRPr="004829B9" w:rsidRDefault="00FD050C" w:rsidP="00FD05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207" w:type="dxa"/>
            <w:vAlign w:val="center"/>
          </w:tcPr>
          <w:p w14:paraId="497B2680" w14:textId="2E8BC414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FD050C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3248F71F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206" w:type="dxa"/>
            <w:vAlign w:val="center"/>
          </w:tcPr>
          <w:p w14:paraId="210EF2BB" w14:textId="59BED109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5582B2FE" w14:textId="7AEFEC37" w:rsidR="00FD050C" w:rsidRPr="004829B9" w:rsidRDefault="000834A5" w:rsidP="00FD050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494.</w:t>
            </w:r>
            <w:r w:rsidR="00FD050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1219A9EB" w14:textId="6006ABA7" w:rsidR="00FD050C" w:rsidRPr="004829B9" w:rsidRDefault="00FD050C" w:rsidP="00FD05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1 120</w:t>
            </w:r>
          </w:p>
        </w:tc>
        <w:tc>
          <w:tcPr>
            <w:tcW w:w="1207" w:type="dxa"/>
            <w:vAlign w:val="center"/>
          </w:tcPr>
          <w:p w14:paraId="7D986892" w14:textId="40AD7FAA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D050C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FD050C" w:rsidRPr="004829B9" w:rsidRDefault="00FD050C" w:rsidP="00FD050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0E9850D0" w:rsidR="00FD050C" w:rsidRPr="004829B9" w:rsidRDefault="00FD050C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3CC36DA1" w14:textId="50386BDC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30517C07" w14:textId="6BFE6359" w:rsidR="00FD050C" w:rsidRPr="004829B9" w:rsidRDefault="00FD050C" w:rsidP="00FD050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10FD768" w14:textId="4EA62801" w:rsidR="00FD050C" w:rsidRPr="004829B9" w:rsidRDefault="00FD050C" w:rsidP="00FD050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7" w:type="dxa"/>
            <w:vAlign w:val="center"/>
          </w:tcPr>
          <w:p w14:paraId="17C799D5" w14:textId="462756BB" w:rsidR="00FD050C" w:rsidRPr="004829B9" w:rsidRDefault="000834A5" w:rsidP="00FD050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9.</w:t>
            </w:r>
            <w:r w:rsidR="00FD050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4E90F47A" w14:textId="77777777" w:rsidR="00666C53" w:rsidRDefault="00666C5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20C7B70" w14:textId="77777777" w:rsidR="00A65560" w:rsidRDefault="00A65560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8505A0C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106B721">
                <wp:simplePos x="0" y="0"/>
                <wp:positionH relativeFrom="rightMargin">
                  <wp:posOffset>125729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1BCC0BA0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3029E3">
                              <w:rPr>
                                <w:lang w:val="en-US"/>
                              </w:rPr>
                              <w:t>X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D5833">
                              <w:rPr>
                                <w:lang w:val="en-US"/>
                              </w:rPr>
                              <w:t>4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7E7D97">
                              <w:rPr>
                                <w:lang w:val="en-US"/>
                              </w:rPr>
                              <w:t>5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9.9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NngEnjeAAAACAEAAA8A&#10;AAAAAAAAAAAAAAAAlgQAAGRycy9kb3ducmV2LnhtbFBLBQYAAAAABAAEAPMAAAChBQAAAAA=&#10;" filled="f" stroked="f" strokeweight=".5pt">
                <v:textbox>
                  <w:txbxContent>
                    <w:p w14:paraId="35DCCB4E" w14:textId="1BCC0BA0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3029E3">
                        <w:rPr>
                          <w:lang w:val="en-US"/>
                        </w:rPr>
                        <w:t>X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3D5833">
                        <w:rPr>
                          <w:lang w:val="en-US"/>
                        </w:rPr>
                        <w:t>4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7E7D97">
                        <w:rPr>
                          <w:lang w:val="en-US"/>
                        </w:rPr>
                        <w:t>5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D77" w:rsidRPr="004829B9">
        <w:rPr>
          <w:szCs w:val="19"/>
          <w:shd w:val="clear" w:color="auto" w:fill="FFFFFF"/>
          <w:lang w:val="en-GB"/>
        </w:rPr>
        <w:t xml:space="preserve">In </w:t>
      </w:r>
      <w:r w:rsidR="00666C53">
        <w:rPr>
          <w:szCs w:val="19"/>
          <w:shd w:val="clear" w:color="auto" w:fill="FFFFFF"/>
          <w:lang w:val="en-GB"/>
        </w:rPr>
        <w:t>the period of ten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7E7D97" w:rsidRPr="007E7D97">
        <w:rPr>
          <w:shd w:val="clear" w:color="auto" w:fill="FFFFFF"/>
          <w:lang w:val="en-GB"/>
        </w:rPr>
        <w:t xml:space="preserve">218.5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167EED">
        <w:rPr>
          <w:shd w:val="clear" w:color="auto" w:fill="FFFFFF"/>
          <w:lang w:val="en-GB"/>
        </w:rPr>
        <w:t>4</w:t>
      </w:r>
      <w:r w:rsidR="00E245E1" w:rsidRPr="004829B9">
        <w:rPr>
          <w:shd w:val="clear" w:color="auto" w:fill="FFFFFF"/>
          <w:lang w:val="en-GB"/>
        </w:rPr>
        <w:t>.</w:t>
      </w:r>
      <w:r w:rsidR="007E7D97"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7E7D97" w:rsidRPr="007E7D97">
        <w:rPr>
          <w:shd w:val="clear" w:color="auto" w:fill="FFFFFF"/>
          <w:lang w:val="en-GB"/>
        </w:rPr>
        <w:t xml:space="preserve">131.8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E7D97">
        <w:rPr>
          <w:shd w:val="clear" w:color="auto" w:fill="FFFFFF"/>
          <w:lang w:val="en-GB"/>
        </w:rPr>
        <w:t>, a decrease of 7.2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7E7D97" w:rsidRPr="007E7D97">
        <w:rPr>
          <w:shd w:val="clear" w:color="auto" w:fill="FFFFFF"/>
          <w:lang w:val="en-GB"/>
        </w:rPr>
        <w:t>84.2 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E7D97">
        <w:rPr>
          <w:shd w:val="clear" w:color="auto" w:fill="FFFFFF"/>
          <w:lang w:val="en-GB"/>
        </w:rPr>
        <w:t>, an increase of 0.9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3D5833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029E3">
        <w:rPr>
          <w:shd w:val="clear" w:color="auto" w:fill="FFFFFF"/>
          <w:lang w:val="en-GB"/>
        </w:rPr>
        <w:t>8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>1</w:t>
      </w:r>
      <w:r w:rsidR="00A65560">
        <w:rPr>
          <w:shd w:val="clear" w:color="auto" w:fill="FFFFFF"/>
          <w:lang w:val="en-GB"/>
        </w:rPr>
        <w:t> </w:t>
      </w:r>
      <w:r w:rsidR="007E7D97">
        <w:rPr>
          <w:shd w:val="clear" w:color="auto" w:fill="FFFFFF"/>
          <w:lang w:val="en-GB"/>
        </w:rPr>
        <w:t>171</w:t>
      </w:r>
      <w:r w:rsidR="00A65560">
        <w:rPr>
          <w:shd w:val="clear" w:color="auto" w:fill="FFFFFF"/>
          <w:lang w:val="en-GB"/>
        </w:rPr>
        <w:t> 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135E5C">
        <w:rPr>
          <w:shd w:val="clear" w:color="auto" w:fill="FFFFFF"/>
          <w:lang w:val="en-GB"/>
        </w:rPr>
        <w:t xml:space="preserve">1 </w:t>
      </w:r>
      <w:r w:rsidR="007E7D97">
        <w:rPr>
          <w:shd w:val="clear" w:color="auto" w:fill="FFFFFF"/>
          <w:lang w:val="en-GB"/>
        </w:rPr>
        <w:t>301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135E5C">
        <w:rPr>
          <w:shd w:val="clear" w:color="auto" w:fill="FFFFFF"/>
          <w:lang w:val="en-GB"/>
        </w:rPr>
        <w:t xml:space="preserve">1 </w:t>
      </w:r>
      <w:r w:rsidR="007E7D97">
        <w:rPr>
          <w:shd w:val="clear" w:color="auto" w:fill="FFFFFF"/>
          <w:lang w:val="en-GB"/>
        </w:rPr>
        <w:t>352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A65560">
        <w:rPr>
          <w:shd w:val="clear" w:color="auto" w:fill="FFFFFF"/>
          <w:lang w:val="en-GB"/>
        </w:rPr>
        <w:t xml:space="preserve"> against </w:t>
      </w:r>
      <w:r w:rsidR="007E7D97">
        <w:rPr>
          <w:shd w:val="clear" w:color="auto" w:fill="FFFFFF"/>
          <w:lang w:val="en-GB"/>
        </w:rPr>
        <w:t>2190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137"/>
        <w:gridCol w:w="1276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79F82AEF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40940CA8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527B0C" w:rsidRPr="004829B9" w14:paraId="3B47338A" w14:textId="77777777" w:rsidTr="0031400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0AB6705C" w:rsidR="00527B0C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734A4C9C" w:rsidR="00527B0C" w:rsidRPr="004829B9" w:rsidRDefault="003D583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7E7D97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137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CBFF5D9" w14:textId="14013F68" w:rsidR="00527B0C" w:rsidRPr="004829B9" w:rsidRDefault="005B5EB4" w:rsidP="003B05C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D1222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7E7D97" w:rsidRPr="004829B9" w14:paraId="6C403ECE" w14:textId="77777777" w:rsidTr="0031400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7E7D97" w:rsidRPr="004829B9" w:rsidRDefault="007E7D97" w:rsidP="007E7D97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0FB46074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26 780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77B495A6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96.2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6B8845F7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113.9</w:t>
            </w:r>
          </w:p>
        </w:tc>
        <w:tc>
          <w:tcPr>
            <w:tcW w:w="1137" w:type="dxa"/>
            <w:tcBorders>
              <w:top w:val="single" w:sz="12" w:space="0" w:color="212492"/>
            </w:tcBorders>
            <w:vAlign w:val="center"/>
          </w:tcPr>
          <w:p w14:paraId="4851E758" w14:textId="7420635B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218 546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09250512" w14:textId="26064BA0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95.5</w:t>
            </w:r>
          </w:p>
        </w:tc>
      </w:tr>
      <w:tr w:rsidR="007E7D97" w:rsidRPr="004829B9" w14:paraId="24875DB4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283B27ED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9 182</w:t>
            </w:r>
          </w:p>
        </w:tc>
        <w:tc>
          <w:tcPr>
            <w:tcW w:w="1206" w:type="dxa"/>
            <w:vAlign w:val="center"/>
          </w:tcPr>
          <w:p w14:paraId="7DBBC394" w14:textId="11FADDD2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1206" w:type="dxa"/>
            <w:vAlign w:val="center"/>
          </w:tcPr>
          <w:p w14:paraId="274B06FE" w14:textId="6D440091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1137" w:type="dxa"/>
            <w:vAlign w:val="center"/>
          </w:tcPr>
          <w:p w14:paraId="04580C6D" w14:textId="12D617F4" w:rsidR="007E7D97" w:rsidRPr="004829B9" w:rsidRDefault="007E7D97" w:rsidP="007E7D97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84 224</w:t>
            </w:r>
          </w:p>
        </w:tc>
        <w:tc>
          <w:tcPr>
            <w:tcW w:w="1276" w:type="dxa"/>
            <w:vAlign w:val="center"/>
          </w:tcPr>
          <w:p w14:paraId="40E17662" w14:textId="628DD269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</w:tr>
      <w:tr w:rsidR="007E7D97" w:rsidRPr="004829B9" w14:paraId="5C22900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420E9DEA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17 319</w:t>
            </w:r>
          </w:p>
        </w:tc>
        <w:tc>
          <w:tcPr>
            <w:tcW w:w="1206" w:type="dxa"/>
            <w:vAlign w:val="center"/>
          </w:tcPr>
          <w:p w14:paraId="3704CE86" w14:textId="3F22B017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1206" w:type="dxa"/>
            <w:vAlign w:val="center"/>
          </w:tcPr>
          <w:p w14:paraId="4E73BADA" w14:textId="18C9E9BB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124.6</w:t>
            </w:r>
          </w:p>
        </w:tc>
        <w:tc>
          <w:tcPr>
            <w:tcW w:w="1137" w:type="dxa"/>
            <w:vAlign w:val="center"/>
          </w:tcPr>
          <w:p w14:paraId="48D424AC" w14:textId="420A6521" w:rsidR="007E7D97" w:rsidRPr="004829B9" w:rsidRDefault="007E7D97" w:rsidP="007E7D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131 799</w:t>
            </w:r>
          </w:p>
        </w:tc>
        <w:tc>
          <w:tcPr>
            <w:tcW w:w="1276" w:type="dxa"/>
            <w:vAlign w:val="center"/>
          </w:tcPr>
          <w:p w14:paraId="0D8FAE68" w14:textId="7A91849D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92.8</w:t>
            </w:r>
          </w:p>
        </w:tc>
      </w:tr>
      <w:tr w:rsidR="007E7D97" w:rsidRPr="004829B9" w14:paraId="0BA3DFDA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46D6FA07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7471754E" w14:textId="59883AEE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1206" w:type="dxa"/>
            <w:vAlign w:val="center"/>
          </w:tcPr>
          <w:p w14:paraId="1916C83A" w14:textId="66F2A563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140.6</w:t>
            </w:r>
          </w:p>
        </w:tc>
        <w:tc>
          <w:tcPr>
            <w:tcW w:w="1137" w:type="dxa"/>
            <w:vAlign w:val="center"/>
          </w:tcPr>
          <w:p w14:paraId="1A0C182A" w14:textId="49DD250D" w:rsidR="007E7D97" w:rsidRPr="004829B9" w:rsidRDefault="007E7D97" w:rsidP="007E7D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1 171</w:t>
            </w:r>
          </w:p>
        </w:tc>
        <w:tc>
          <w:tcPr>
            <w:tcW w:w="1276" w:type="dxa"/>
            <w:vAlign w:val="center"/>
          </w:tcPr>
          <w:p w14:paraId="5D07B47C" w14:textId="0AD75C60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90.0</w:t>
            </w:r>
          </w:p>
        </w:tc>
      </w:tr>
      <w:tr w:rsidR="007E7D97" w:rsidRPr="004829B9" w14:paraId="628C62B9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674C0A32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1206" w:type="dxa"/>
            <w:vAlign w:val="center"/>
          </w:tcPr>
          <w:p w14:paraId="3CCCE51D" w14:textId="5573A9FF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1206" w:type="dxa"/>
            <w:vAlign w:val="center"/>
          </w:tcPr>
          <w:p w14:paraId="1B7E59DC" w14:textId="5906320F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over 40-fold more</w:t>
            </w:r>
          </w:p>
        </w:tc>
        <w:tc>
          <w:tcPr>
            <w:tcW w:w="1137" w:type="dxa"/>
            <w:vAlign w:val="center"/>
          </w:tcPr>
          <w:p w14:paraId="594A1BF8" w14:textId="37138F74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1276" w:type="dxa"/>
            <w:vAlign w:val="center"/>
          </w:tcPr>
          <w:p w14:paraId="0B1FEB23" w14:textId="1FAE6311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56.1</w:t>
            </w:r>
          </w:p>
        </w:tc>
      </w:tr>
      <w:tr w:rsidR="007E7D97" w:rsidRPr="004829B9" w14:paraId="4A55058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04A7B991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153</w:t>
            </w:r>
          </w:p>
        </w:tc>
        <w:tc>
          <w:tcPr>
            <w:tcW w:w="1206" w:type="dxa"/>
            <w:vAlign w:val="center"/>
          </w:tcPr>
          <w:p w14:paraId="1D7D6902" w14:textId="23923BA4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1206" w:type="dxa"/>
            <w:vAlign w:val="center"/>
          </w:tcPr>
          <w:p w14:paraId="6F322B0B" w14:textId="25F89472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170.0</w:t>
            </w:r>
          </w:p>
        </w:tc>
        <w:tc>
          <w:tcPr>
            <w:tcW w:w="1137" w:type="dxa"/>
            <w:vAlign w:val="center"/>
          </w:tcPr>
          <w:p w14:paraId="72AA4379" w14:textId="425EBB98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693</w:t>
            </w:r>
          </w:p>
        </w:tc>
        <w:tc>
          <w:tcPr>
            <w:tcW w:w="1276" w:type="dxa"/>
            <w:vAlign w:val="center"/>
          </w:tcPr>
          <w:p w14:paraId="08EB6A2D" w14:textId="326806AD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91.3</w:t>
            </w:r>
          </w:p>
        </w:tc>
      </w:tr>
      <w:tr w:rsidR="007E7D97" w:rsidRPr="004829B9" w14:paraId="1119B492" w14:textId="77777777" w:rsidTr="00314007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27F840B0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31BA8A9C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10916706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7" w:type="dxa"/>
            <w:vAlign w:val="center"/>
          </w:tcPr>
          <w:p w14:paraId="1BC05144" w14:textId="2A7F95FF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3BFA6C4E" w14:textId="119F7C50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0911686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7E7D97">
        <w:rPr>
          <w:b w:val="0"/>
          <w:sz w:val="19"/>
          <w:szCs w:val="19"/>
          <w:shd w:val="clear" w:color="auto" w:fill="FFFFFF"/>
          <w:lang w:val="en-GB"/>
        </w:rPr>
        <w:t>October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186.9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7.7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105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3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10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.3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78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7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5B093B">
        <w:rPr>
          <w:b w:val="0"/>
          <w:sz w:val="19"/>
          <w:szCs w:val="19"/>
          <w:shd w:val="clear" w:color="auto" w:fill="FFFFFF"/>
          <w:lang w:val="en-GB"/>
        </w:rPr>
        <w:t>a decrease of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 xml:space="preserve"> 2.7</w:t>
      </w:r>
      <w:r w:rsid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altogether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68FC" w:rsidRPr="00314007">
        <w:rPr>
          <w:b w:val="0"/>
          <w:sz w:val="19"/>
          <w:szCs w:val="19"/>
          <w:shd w:val="clear" w:color="auto" w:fill="FFFFFF"/>
          <w:lang w:val="en-GB"/>
        </w:rPr>
        <w:t>98,4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414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895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F74F0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2B42CC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536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>2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376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032D9818" w:rsidR="000013A9" w:rsidRPr="004829B9" w:rsidRDefault="004B68F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07307FDA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4B68FC">
              <w:rPr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6AA58B56" w:rsidR="000013A9" w:rsidRPr="004829B9" w:rsidRDefault="00AE726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45EF032E" w:rsidR="000013A9" w:rsidRPr="004829B9" w:rsidRDefault="00AE726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B632D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7BD52335" w:rsidR="000013A9" w:rsidRPr="004829B9" w:rsidRDefault="005B5EB4" w:rsidP="000A40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BB632D">
              <w:rPr>
                <w:color w:val="000000" w:themeColor="text1"/>
                <w:sz w:val="16"/>
                <w:szCs w:val="16"/>
                <w:lang w:val="en-GB"/>
              </w:rPr>
              <w:t>X</w:t>
            </w:r>
            <w:r w:rsidR="00F94574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>2019=100</w:t>
            </w:r>
          </w:p>
        </w:tc>
      </w:tr>
      <w:tr w:rsidR="007E7D97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7E7D97" w:rsidRPr="004829B9" w:rsidRDefault="007E7D97" w:rsidP="007E7D97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0F8A0B03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19 601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4072D975" w:rsidR="007E7D97" w:rsidRPr="004829B9" w:rsidRDefault="00BB632D" w:rsidP="007E7D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81.</w:t>
            </w:r>
            <w:r w:rsidR="007E7D9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20BCB095" w:rsidR="007E7D97" w:rsidRPr="004829B9" w:rsidRDefault="00BB632D" w:rsidP="007E7D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74.</w:t>
            </w:r>
            <w:r w:rsidR="007E7D9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619F5B32" w:rsidR="007E7D97" w:rsidRPr="004829B9" w:rsidRDefault="007E7D97" w:rsidP="007E7D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186 948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786BFD46" w:rsidR="007E7D97" w:rsidRPr="004829B9" w:rsidRDefault="00BB632D" w:rsidP="007E7D9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92.</w:t>
            </w:r>
            <w:r w:rsidR="007E7D9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7E7D97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3569318D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7 871</w:t>
            </w:r>
          </w:p>
        </w:tc>
        <w:tc>
          <w:tcPr>
            <w:tcW w:w="1206" w:type="dxa"/>
            <w:vAlign w:val="center"/>
          </w:tcPr>
          <w:p w14:paraId="4182E47D" w14:textId="424AA590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55847995" w14:textId="7C84E0E6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563931BA" w14:textId="1AC58330" w:rsidR="007E7D97" w:rsidRPr="004829B9" w:rsidRDefault="007E7D97" w:rsidP="007E7D97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78 672</w:t>
            </w:r>
          </w:p>
        </w:tc>
        <w:tc>
          <w:tcPr>
            <w:tcW w:w="1207" w:type="dxa"/>
            <w:vAlign w:val="center"/>
          </w:tcPr>
          <w:p w14:paraId="6B359C49" w14:textId="77839565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7E7D97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15CF63DB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11 510</w:t>
            </w:r>
          </w:p>
        </w:tc>
        <w:tc>
          <w:tcPr>
            <w:tcW w:w="1206" w:type="dxa"/>
            <w:vAlign w:val="center"/>
          </w:tcPr>
          <w:p w14:paraId="75BDDBF3" w14:textId="58A27254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0FABE999" w14:textId="046CFA3D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512D50D9" w14:textId="60A23EAD" w:rsidR="007E7D97" w:rsidRPr="004829B9" w:rsidRDefault="007E7D97" w:rsidP="007E7D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105 326</w:t>
            </w:r>
          </w:p>
        </w:tc>
        <w:tc>
          <w:tcPr>
            <w:tcW w:w="1207" w:type="dxa"/>
            <w:vAlign w:val="center"/>
          </w:tcPr>
          <w:p w14:paraId="52836C7F" w14:textId="43FBC599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E7D97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75AD6FC6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6A70776B" w14:textId="4D7CC8EE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77A225F3" w14:textId="25A4B26E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14:paraId="2296D291" w14:textId="304CBA84" w:rsidR="007E7D97" w:rsidRPr="004829B9" w:rsidRDefault="007E7D97" w:rsidP="007E7D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961</w:t>
            </w:r>
          </w:p>
        </w:tc>
        <w:tc>
          <w:tcPr>
            <w:tcW w:w="1207" w:type="dxa"/>
            <w:vAlign w:val="center"/>
          </w:tcPr>
          <w:p w14:paraId="0F18BEC0" w14:textId="0032B687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7E7D97" w:rsidRPr="00D81B78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758E017E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206" w:type="dxa"/>
            <w:vAlign w:val="center"/>
          </w:tcPr>
          <w:p w14:paraId="6D446002" w14:textId="5CE323CD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14:paraId="73242060" w14:textId="0612A5BC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over 20-fold more</w:t>
            </w:r>
          </w:p>
        </w:tc>
        <w:tc>
          <w:tcPr>
            <w:tcW w:w="1206" w:type="dxa"/>
            <w:vAlign w:val="center"/>
          </w:tcPr>
          <w:p w14:paraId="4BFAFDD5" w14:textId="6CE7DDA6" w:rsidR="007E7D97" w:rsidRPr="004829B9" w:rsidRDefault="007E7D97" w:rsidP="007E7D97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1 414</w:t>
            </w:r>
          </w:p>
        </w:tc>
        <w:tc>
          <w:tcPr>
            <w:tcW w:w="1207" w:type="dxa"/>
            <w:vAlign w:val="center"/>
          </w:tcPr>
          <w:p w14:paraId="76E8B110" w14:textId="393B9747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E7D97" w:rsidRPr="00D81B78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2ECD9689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06" w:type="dxa"/>
            <w:vAlign w:val="center"/>
          </w:tcPr>
          <w:p w14:paraId="71430A96" w14:textId="2E44CE0C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33FA0D09" w14:textId="4AA70A08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D655EF">
              <w:rPr>
                <w:rFonts w:cs="Arial"/>
                <w:sz w:val="16"/>
                <w:szCs w:val="16"/>
              </w:rPr>
              <w:t>20-</w:t>
            </w:r>
            <w:r>
              <w:rPr>
                <w:rFonts w:cs="Arial"/>
                <w:sz w:val="16"/>
                <w:szCs w:val="16"/>
              </w:rPr>
              <w:t>fold</w:t>
            </w:r>
            <w:r w:rsidRPr="00D655E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206" w:type="dxa"/>
            <w:vAlign w:val="center"/>
          </w:tcPr>
          <w:p w14:paraId="1AD2E584" w14:textId="0F166F08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1207" w:type="dxa"/>
            <w:vAlign w:val="center"/>
          </w:tcPr>
          <w:p w14:paraId="27BBCB3A" w14:textId="06AB2E96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E7D97" w:rsidRPr="00D81B78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7ACBD3CD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206" w:type="dxa"/>
            <w:vAlign w:val="center"/>
          </w:tcPr>
          <w:p w14:paraId="4BE61B3C" w14:textId="69E7F315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55AFA942" w14:textId="40372F28" w:rsidR="007E7D97" w:rsidRPr="004829B9" w:rsidRDefault="00BB632D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18.</w:t>
            </w:r>
            <w:r w:rsidR="007E7D9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4EFD285C" w14:textId="63BC3BDA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1 101</w:t>
            </w:r>
          </w:p>
        </w:tc>
        <w:tc>
          <w:tcPr>
            <w:tcW w:w="1207" w:type="dxa"/>
            <w:vAlign w:val="center"/>
          </w:tcPr>
          <w:p w14:paraId="61023407" w14:textId="212F39CF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7E7D97" w:rsidRPr="00D81B78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7E7D97" w:rsidRPr="004829B9" w:rsidRDefault="007E7D97" w:rsidP="007E7D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36D531F4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0BE40393" w14:textId="05B713F4" w:rsidR="007E7D97" w:rsidRPr="004829B9" w:rsidRDefault="00BB632D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="007E7D9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14:paraId="4569CA16" w14:textId="211F7927" w:rsidR="007E7D97" w:rsidRPr="004829B9" w:rsidRDefault="007E7D97" w:rsidP="007E7D97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3843F7F5" w:rsidR="007E7D97" w:rsidRPr="004829B9" w:rsidRDefault="007E7D97" w:rsidP="007E7D9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07" w:type="dxa"/>
            <w:vAlign w:val="center"/>
          </w:tcPr>
          <w:p w14:paraId="25216EE8" w14:textId="164769DB" w:rsidR="007E7D97" w:rsidRPr="004829B9" w:rsidRDefault="007E7D97" w:rsidP="007E7D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47-fold more</w:t>
            </w:r>
          </w:p>
        </w:tc>
      </w:tr>
    </w:tbl>
    <w:p w14:paraId="34D75009" w14:textId="468C6AA5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October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D81B78">
        <w:rPr>
          <w:b w:val="0"/>
          <w:sz w:val="19"/>
          <w:szCs w:val="19"/>
          <w:shd w:val="clear" w:color="auto" w:fill="FFFFFF"/>
          <w:lang w:val="en-GB"/>
        </w:rPr>
        <w:t xml:space="preserve"> there were 836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1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BB632D">
        <w:rPr>
          <w:b w:val="0"/>
          <w:sz w:val="19"/>
          <w:szCs w:val="19"/>
          <w:shd w:val="clear" w:color="auto" w:fill="FFFFFF"/>
          <w:lang w:val="en-GB"/>
        </w:rPr>
        <w:t>0.5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57B6239B" w:rsidR="007207E6" w:rsidRPr="004829B9" w:rsidRDefault="00903A58" w:rsidP="007207E6">
      <w:pPr>
        <w:pStyle w:val="tytuwykresu"/>
        <w:rPr>
          <w:lang w:val="en-GB"/>
        </w:rPr>
      </w:pPr>
      <w:r w:rsidRPr="004829B9">
        <w:rPr>
          <w:b w:val="0"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0C59C26E">
                <wp:simplePos x="0" y="0"/>
                <wp:positionH relativeFrom="page">
                  <wp:posOffset>5705475</wp:posOffset>
                </wp:positionH>
                <wp:positionV relativeFrom="paragraph">
                  <wp:posOffset>101600</wp:posOffset>
                </wp:positionV>
                <wp:extent cx="1675130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11E7E6D2" w:rsidR="003A7E95" w:rsidRPr="00AC3185" w:rsidRDefault="003A7E95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 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815E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="005825F0"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25.3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 w:rsidR="000A40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BB63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13.9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49.25pt;margin-top:8pt;width:131.9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" filled="f" stroked="f">
                <v:textbox>
                  <w:txbxContent>
                    <w:p w14:paraId="58FBF1C9" w14:textId="11E7E6D2" w:rsidR="003A7E95" w:rsidRPr="00AC3185" w:rsidRDefault="003A7E95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 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815E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="005825F0"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25.3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 w:rsidR="000A40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BB63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13.9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17CD510D" w14:textId="153084E3" w:rsidR="009222E9" w:rsidRPr="00A12B93" w:rsidRDefault="00A12B93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58882F6E" wp14:editId="06AC25BD">
            <wp:extent cx="5122545" cy="2295525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2C5EA1" w14:textId="395F440D" w:rsidR="00CB6084" w:rsidRPr="004829B9" w:rsidRDefault="00E43CD7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 xml:space="preserve">completed </w:t>
      </w:r>
      <w:r>
        <w:rPr>
          <w:szCs w:val="19"/>
          <w:shd w:val="clear" w:color="auto" w:fill="FFFFFF"/>
          <w:lang w:val="en-GB"/>
        </w:rPr>
        <w:t>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</w:t>
      </w:r>
      <w:r w:rsidR="00DD2696">
        <w:rPr>
          <w:szCs w:val="19"/>
          <w:shd w:val="clear" w:color="auto" w:fill="FFFFFF"/>
          <w:lang w:val="en-GB"/>
        </w:rPr>
        <w:t xml:space="preserve">, in the period of January – </w:t>
      </w:r>
      <w:r w:rsidR="00BB632D">
        <w:rPr>
          <w:szCs w:val="19"/>
          <w:shd w:val="clear" w:color="auto" w:fill="FFFFFF"/>
          <w:lang w:val="en-GB"/>
        </w:rPr>
        <w:t>October</w:t>
      </w:r>
      <w:r w:rsidR="00D81B78">
        <w:rPr>
          <w:szCs w:val="19"/>
          <w:shd w:val="clear" w:color="auto" w:fill="FFFFFF"/>
          <w:lang w:val="en-GB"/>
        </w:rPr>
        <w:t xml:space="preserve"> 2020</w:t>
      </w:r>
      <w:r w:rsidR="00DD2696">
        <w:rPr>
          <w:szCs w:val="19"/>
          <w:shd w:val="clear" w:color="auto" w:fill="FFFFFF"/>
          <w:lang w:val="en-GB"/>
        </w:rPr>
        <w:t>,</w:t>
      </w:r>
      <w:r w:rsidR="00CF2564">
        <w:rPr>
          <w:szCs w:val="19"/>
          <w:shd w:val="clear" w:color="auto" w:fill="FFFFFF"/>
          <w:lang w:val="en-GB"/>
        </w:rPr>
        <w:t xml:space="preserve"> </w:t>
      </w:r>
      <w:r w:rsidR="00EF6032" w:rsidRPr="00EF6032">
        <w:rPr>
          <w:szCs w:val="19"/>
          <w:shd w:val="clear" w:color="auto" w:fill="FFFFFF"/>
          <w:lang w:val="en-GB"/>
        </w:rPr>
        <w:t>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0834A5">
        <w:rPr>
          <w:szCs w:val="19"/>
          <w:shd w:val="clear" w:color="auto" w:fill="FFFFFF"/>
          <w:lang w:val="en-GB"/>
        </w:rPr>
        <w:t>37.6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0834A5">
        <w:rPr>
          <w:szCs w:val="19"/>
          <w:shd w:val="clear" w:color="auto" w:fill="FFFFFF"/>
          <w:lang w:val="en-GB"/>
        </w:rPr>
        <w:t xml:space="preserve"> and 33.9</w:t>
      </w:r>
      <w:r w:rsidR="00CF2564" w:rsidRPr="00CF2564">
        <w:rPr>
          <w:szCs w:val="19"/>
          <w:shd w:val="clear" w:color="auto" w:fill="FFFFFF"/>
          <w:lang w:val="en-GB"/>
        </w:rPr>
        <w:t xml:space="preserve"> thousand</w:t>
      </w:r>
      <w:r w:rsidR="00CF2564">
        <w:rPr>
          <w:szCs w:val="19"/>
          <w:shd w:val="clear" w:color="auto" w:fill="FFFFFF"/>
          <w:lang w:val="en-GB"/>
        </w:rPr>
        <w:t>) and</w:t>
      </w:r>
      <w:r w:rsidR="00D81B78">
        <w:rPr>
          <w:szCs w:val="19"/>
          <w:shd w:val="clear" w:color="auto" w:fill="FFFFFF"/>
          <w:lang w:val="en-GB"/>
        </w:rPr>
        <w:t xml:space="preserve"> Wielkopolskie (1</w:t>
      </w:r>
      <w:r w:rsidR="000834A5">
        <w:rPr>
          <w:szCs w:val="19"/>
          <w:shd w:val="clear" w:color="auto" w:fill="FFFFFF"/>
          <w:lang w:val="en-GB"/>
        </w:rPr>
        <w:t>8.9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 w:rsidR="000834A5">
        <w:rPr>
          <w:szCs w:val="19"/>
          <w:shd w:val="clear" w:color="auto" w:fill="FFFFFF"/>
          <w:lang w:val="en-GB"/>
        </w:rPr>
        <w:t>and 18.7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>
        <w:rPr>
          <w:szCs w:val="19"/>
          <w:shd w:val="clear" w:color="auto" w:fill="FFFFFF"/>
          <w:lang w:val="en-GB"/>
        </w:rPr>
        <w:t xml:space="preserve"> Regarding dwellings </w:t>
      </w:r>
      <w:r w:rsidR="00D81B78" w:rsidRPr="00D81B78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>
        <w:rPr>
          <w:szCs w:val="19"/>
          <w:shd w:val="clear" w:color="auto" w:fill="FFFFFF"/>
          <w:lang w:val="en-GB"/>
        </w:rPr>
        <w:t>,</w:t>
      </w:r>
      <w:r w:rsidRPr="00E43CD7">
        <w:rPr>
          <w:bCs/>
          <w:szCs w:val="19"/>
          <w:shd w:val="clear" w:color="auto" w:fill="FFFFFF"/>
          <w:lang w:val="en-US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>the biggest amount was</w:t>
      </w:r>
      <w:r w:rsidR="00D81B78">
        <w:rPr>
          <w:szCs w:val="19"/>
          <w:shd w:val="clear" w:color="auto" w:fill="FFFFFF"/>
          <w:lang w:val="en-GB"/>
        </w:rPr>
        <w:t xml:space="preserve"> also</w:t>
      </w:r>
      <w:r w:rsidR="00E97E48">
        <w:rPr>
          <w:szCs w:val="19"/>
          <w:shd w:val="clear" w:color="auto" w:fill="FFFFFF"/>
          <w:lang w:val="en-GB"/>
        </w:rPr>
        <w:t xml:space="preserve"> not</w:t>
      </w:r>
      <w:r w:rsidR="000834A5">
        <w:rPr>
          <w:szCs w:val="19"/>
          <w:shd w:val="clear" w:color="auto" w:fill="FFFFFF"/>
          <w:lang w:val="en-GB"/>
        </w:rPr>
        <w:t>ed in Mazowieckie voivodship (36.0</w:t>
      </w:r>
      <w:r w:rsidR="00033479">
        <w:rPr>
          <w:szCs w:val="19"/>
          <w:shd w:val="clear" w:color="auto" w:fill="FFFFFF"/>
          <w:lang w:val="en-GB"/>
        </w:rPr>
        <w:t xml:space="preserve"> thousand)</w:t>
      </w:r>
      <w:r w:rsidR="00D81B78">
        <w:rPr>
          <w:szCs w:val="19"/>
          <w:shd w:val="clear" w:color="auto" w:fill="FFFFFF"/>
          <w:lang w:val="en-GB"/>
        </w:rPr>
        <w:t xml:space="preserve">, </w:t>
      </w:r>
      <w:r w:rsidR="00E97E48" w:rsidRPr="00314007">
        <w:rPr>
          <w:szCs w:val="19"/>
          <w:shd w:val="clear" w:color="auto" w:fill="FFFFFF"/>
          <w:lang w:val="en-GB"/>
        </w:rPr>
        <w:t>Dolnośląskie</w:t>
      </w:r>
      <w:r w:rsidR="00D81B78" w:rsidRPr="00314007">
        <w:rPr>
          <w:szCs w:val="19"/>
          <w:shd w:val="clear" w:color="auto" w:fill="FFFFFF"/>
          <w:lang w:val="en-GB"/>
        </w:rPr>
        <w:t xml:space="preserve"> voivodship </w:t>
      </w:r>
      <w:r w:rsidR="00314007" w:rsidRPr="00314007">
        <w:rPr>
          <w:szCs w:val="19"/>
          <w:shd w:val="clear" w:color="auto" w:fill="FFFFFF"/>
          <w:lang w:val="en-GB"/>
        </w:rPr>
        <w:t>occupied the</w:t>
      </w:r>
      <w:r w:rsidR="00D81B78" w:rsidRPr="00314007">
        <w:rPr>
          <w:szCs w:val="19"/>
          <w:shd w:val="clear" w:color="auto" w:fill="FFFFFF"/>
          <w:lang w:val="en-GB"/>
        </w:rPr>
        <w:t xml:space="preserve"> second </w:t>
      </w:r>
      <w:r w:rsidR="00314007" w:rsidRPr="00314007">
        <w:rPr>
          <w:szCs w:val="19"/>
          <w:shd w:val="clear" w:color="auto" w:fill="FFFFFF"/>
          <w:lang w:val="en-GB"/>
        </w:rPr>
        <w:t xml:space="preserve">place </w:t>
      </w:r>
      <w:r w:rsidR="000834A5">
        <w:rPr>
          <w:szCs w:val="19"/>
          <w:shd w:val="clear" w:color="auto" w:fill="FFFFFF"/>
          <w:lang w:val="en-GB"/>
        </w:rPr>
        <w:t>(21.8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 w:rsidR="00D81B78" w:rsidRPr="00D81B78">
        <w:rPr>
          <w:szCs w:val="19"/>
          <w:shd w:val="clear" w:color="auto" w:fill="FFFFFF"/>
          <w:lang w:val="en-GB"/>
        </w:rPr>
        <w:t xml:space="preserve"> </w:t>
      </w:r>
    </w:p>
    <w:p w14:paraId="73CBA65A" w14:textId="0904EB0C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0834A5">
        <w:rPr>
          <w:color w:val="auto"/>
          <w:sz w:val="18"/>
          <w:szCs w:val="18"/>
          <w:lang w:val="en-GB"/>
        </w:rPr>
        <w:t>October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38708425" w:rsidR="003A358E" w:rsidRDefault="00A12B93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72E02724" wp14:editId="0C9382C5">
            <wp:extent cx="5122545" cy="29908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3557A1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77777777" w:rsidR="003A7E95" w:rsidRPr="00F11843" w:rsidRDefault="006264BA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6" w:history="1"/>
                    </w:p>
                    <w:p w14:paraId="35275A7D" w14:textId="77777777" w:rsidR="003A7E95" w:rsidRPr="00F11843" w:rsidRDefault="002F2C84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B6F0" w14:textId="77777777" w:rsidR="006264BA" w:rsidRDefault="006264BA" w:rsidP="000662E2">
      <w:pPr>
        <w:spacing w:after="0" w:line="240" w:lineRule="auto"/>
      </w:pPr>
      <w:r>
        <w:separator/>
      </w:r>
    </w:p>
  </w:endnote>
  <w:endnote w:type="continuationSeparator" w:id="0">
    <w:p w14:paraId="56AB9E7B" w14:textId="77777777" w:rsidR="006264BA" w:rsidRDefault="006264B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2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2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96D0F" w14:textId="77777777" w:rsidR="006264BA" w:rsidRDefault="006264BA" w:rsidP="000662E2">
      <w:pPr>
        <w:spacing w:after="0" w:line="240" w:lineRule="auto"/>
      </w:pPr>
      <w:r>
        <w:separator/>
      </w:r>
    </w:p>
  </w:footnote>
  <w:footnote w:type="continuationSeparator" w:id="0">
    <w:p w14:paraId="5E53D8F7" w14:textId="77777777" w:rsidR="006264BA" w:rsidRDefault="006264BA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003145D" w:rsidR="003A7E95" w:rsidRPr="00C97596" w:rsidRDefault="00FD050C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4003145D" w:rsidR="003A7E95" w:rsidRPr="00C97596" w:rsidRDefault="00FD050C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57A1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46A9F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9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5560"/>
    <w:rsid w:val="00A66E7E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1B78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1187419000010892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Arkusz1!$B$4:$BG$4</c:f>
              <c:numCache>
                <c:formatCode>General</c:formatCode>
                <c:ptCount val="5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14358</c:v>
                </c:pt>
                <c:pt idx="52">
                  <c:v>16357</c:v>
                </c:pt>
                <c:pt idx="53">
                  <c:v>17006</c:v>
                </c:pt>
                <c:pt idx="54">
                  <c:v>21767</c:v>
                </c:pt>
                <c:pt idx="55" formatCode="#,##0">
                  <c:v>16692</c:v>
                </c:pt>
                <c:pt idx="56">
                  <c:v>20719</c:v>
                </c:pt>
                <c:pt idx="57">
                  <c:v>19901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Arkusz1!$B$16:$BG$16</c:f>
              <c:numCache>
                <c:formatCode>General</c:formatCode>
                <c:ptCount val="5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16714</c:v>
                </c:pt>
                <c:pt idx="52">
                  <c:v>19338</c:v>
                </c:pt>
                <c:pt idx="53">
                  <c:v>26845</c:v>
                </c:pt>
                <c:pt idx="54">
                  <c:v>24693</c:v>
                </c:pt>
                <c:pt idx="55">
                  <c:v>21252</c:v>
                </c:pt>
                <c:pt idx="56">
                  <c:v>23512</c:v>
                </c:pt>
                <c:pt idx="57">
                  <c:v>26780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Arkusz1!$B$2:$BG$3</c:f>
              <c:multiLvlStrCache>
                <c:ptCount val="5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  <c:pt idx="57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Arkusz1!$B$10:$BG$10</c:f>
              <c:numCache>
                <c:formatCode>General</c:formatCode>
                <c:ptCount val="5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  <c:pt idx="55">
                  <c:v>19460</c:v>
                </c:pt>
                <c:pt idx="56">
                  <c:v>26232</c:v>
                </c:pt>
                <c:pt idx="57">
                  <c:v>19601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6670320"/>
        <c:axId val="-926668688"/>
      </c:lineChart>
      <c:catAx>
        <c:axId val="-92667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666868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92666868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2667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504459209240719E-2"/>
          <c:y val="0.78045022380501206"/>
          <c:w val="0.8321174338146371"/>
          <c:h val="0.18773221812003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1.8131634819532907E-2"/>
          <c:w val="0.78147912136044484"/>
          <c:h val="0.7755711587007038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2625</c:v>
                </c:pt>
                <c:pt idx="1">
                  <c:v>3351</c:v>
                </c:pt>
                <c:pt idx="2">
                  <c:v>4713</c:v>
                </c:pt>
                <c:pt idx="3">
                  <c:v>6565</c:v>
                </c:pt>
                <c:pt idx="4">
                  <c:v>6084</c:v>
                </c:pt>
                <c:pt idx="5">
                  <c:v>8063</c:v>
                </c:pt>
                <c:pt idx="6">
                  <c:v>10520</c:v>
                </c:pt>
                <c:pt idx="7">
                  <c:v>8106</c:v>
                </c:pt>
                <c:pt idx="8">
                  <c:v>10184</c:v>
                </c:pt>
                <c:pt idx="9">
                  <c:v>9896</c:v>
                </c:pt>
                <c:pt idx="10">
                  <c:v>16748</c:v>
                </c:pt>
                <c:pt idx="11">
                  <c:v>14468</c:v>
                </c:pt>
                <c:pt idx="12">
                  <c:v>17141</c:v>
                </c:pt>
                <c:pt idx="13">
                  <c:v>15931</c:v>
                </c:pt>
                <c:pt idx="14">
                  <c:v>18676</c:v>
                </c:pt>
                <c:pt idx="15">
                  <c:v>33877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2716</c:v>
                </c:pt>
                <c:pt idx="1">
                  <c:v>3744</c:v>
                </c:pt>
                <c:pt idx="2">
                  <c:v>6661</c:v>
                </c:pt>
                <c:pt idx="3">
                  <c:v>7605</c:v>
                </c:pt>
                <c:pt idx="4">
                  <c:v>6356</c:v>
                </c:pt>
                <c:pt idx="5">
                  <c:v>8350</c:v>
                </c:pt>
                <c:pt idx="6">
                  <c:v>11784</c:v>
                </c:pt>
                <c:pt idx="7">
                  <c:v>10732</c:v>
                </c:pt>
                <c:pt idx="8">
                  <c:v>10561</c:v>
                </c:pt>
                <c:pt idx="9">
                  <c:v>11352</c:v>
                </c:pt>
                <c:pt idx="10">
                  <c:v>21061</c:v>
                </c:pt>
                <c:pt idx="11">
                  <c:v>18911</c:v>
                </c:pt>
                <c:pt idx="12">
                  <c:v>19680</c:v>
                </c:pt>
                <c:pt idx="13">
                  <c:v>21797</c:v>
                </c:pt>
                <c:pt idx="14">
                  <c:v>21235</c:v>
                </c:pt>
                <c:pt idx="15">
                  <c:v>36001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1997</c:v>
                </c:pt>
                <c:pt idx="1">
                  <c:v>3070</c:v>
                </c:pt>
                <c:pt idx="2">
                  <c:v>4033</c:v>
                </c:pt>
                <c:pt idx="3">
                  <c:v>4552</c:v>
                </c:pt>
                <c:pt idx="4">
                  <c:v>5127</c:v>
                </c:pt>
                <c:pt idx="5">
                  <c:v>6966</c:v>
                </c:pt>
                <c:pt idx="6">
                  <c:v>7327</c:v>
                </c:pt>
                <c:pt idx="7">
                  <c:v>7571</c:v>
                </c:pt>
                <c:pt idx="8">
                  <c:v>7847</c:v>
                </c:pt>
                <c:pt idx="9">
                  <c:v>8626</c:v>
                </c:pt>
                <c:pt idx="10">
                  <c:v>14683</c:v>
                </c:pt>
                <c:pt idx="11">
                  <c:v>14774</c:v>
                </c:pt>
                <c:pt idx="12">
                  <c:v>16039</c:v>
                </c:pt>
                <c:pt idx="13">
                  <c:v>17379</c:v>
                </c:pt>
                <c:pt idx="14">
                  <c:v>18873</c:v>
                </c:pt>
                <c:pt idx="15">
                  <c:v>37560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926665968"/>
        <c:axId val="-926670864"/>
      </c:barChart>
      <c:catAx>
        <c:axId val="-926665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26670864"/>
        <c:crosses val="autoZero"/>
        <c:auto val="1"/>
        <c:lblAlgn val="ctr"/>
        <c:lblOffset val="100"/>
        <c:noMultiLvlLbl val="0"/>
      </c:catAx>
      <c:valAx>
        <c:axId val="-926670864"/>
        <c:scaling>
          <c:orientation val="minMax"/>
          <c:max val="39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926665968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6161707221276673"/>
          <c:w val="0.83688211129506873"/>
          <c:h val="0.132295060504610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residential_construction_in_january-october_2020.docx.docx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5B3EA84-4BAA-460C-9C0A-DB523BC4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863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2020-11-23T07:25:00Z</cp:lastPrinted>
  <dcterms:created xsi:type="dcterms:W3CDTF">2020-11-17T14:14:00Z</dcterms:created>
  <dcterms:modified xsi:type="dcterms:W3CDTF">2020-11-23T07:25:00Z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