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597F98FD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bookmarkStart w:id="0" w:name="_GoBack"/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C625B8">
        <w:rPr>
          <w:szCs w:val="32"/>
          <w:lang w:val="en-GB"/>
        </w:rPr>
        <w:t>I-</w:t>
      </w:r>
      <w:r w:rsidR="0025490E">
        <w:rPr>
          <w:szCs w:val="32"/>
          <w:lang w:val="en-GB"/>
        </w:rPr>
        <w:t>IX</w:t>
      </w:r>
      <w:r w:rsidR="001F1170" w:rsidRPr="004829B9">
        <w:rPr>
          <w:szCs w:val="32"/>
          <w:lang w:val="en-GB"/>
        </w:rPr>
        <w:t xml:space="preserve"> </w:t>
      </w:r>
      <w:r w:rsidR="008B2394" w:rsidRPr="004829B9">
        <w:rPr>
          <w:szCs w:val="32"/>
          <w:shd w:val="clear" w:color="auto" w:fill="FFFFFF"/>
          <w:lang w:val="en-GB"/>
        </w:rPr>
        <w:t>2020</w:t>
      </w:r>
    </w:p>
    <w:bookmarkEnd w:id="0"/>
    <w:p w14:paraId="138C7713" w14:textId="77777777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3AA2B3BA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3A7E95" w:rsidRPr="004466B1" w:rsidRDefault="003A7E95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3A7E95" w:rsidRPr="004466B1" w:rsidRDefault="003A7E95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11665C8A" w:rsidR="00095A18" w:rsidRPr="004829B9" w:rsidRDefault="005F302D" w:rsidP="00896EB9">
      <w:pPr>
        <w:pStyle w:val="LID"/>
        <w:rPr>
          <w:lang w:val="en-GB"/>
        </w:rPr>
      </w:pPr>
      <w:r w:rsidRPr="004829B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D5BDCA" wp14:editId="38DEB2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85F8" w14:textId="77777777" w:rsidR="003A7E95" w:rsidRPr="00612A93" w:rsidRDefault="003A7E9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14:paraId="173D3CF5" w14:textId="77777777" w:rsidR="003A7E95" w:rsidRPr="00F64AC1" w:rsidRDefault="003A7E9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BDCA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2CC185F8" w14:textId="77777777" w:rsidR="003A7E95" w:rsidRPr="00612A93" w:rsidRDefault="003A7E9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8161D88" wp14:editId="4377BF9A">
                            <wp:extent cx="335280" cy="335280"/>
                            <wp:effectExtent l="0" t="0" r="7620" b="7620"/>
                            <wp:docPr id="2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14:paraId="173D3CF5" w14:textId="77777777" w:rsidR="003A7E95" w:rsidRPr="00F64AC1" w:rsidRDefault="003A7E95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26CAA24" wp14:editId="2DC80E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5284" w14:textId="3770C721" w:rsidR="003A7E95" w:rsidRPr="002C751B" w:rsidRDefault="00734C04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BEB3A4B" wp14:editId="1A2821F8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263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107.</w:t>
                            </w:r>
                            <w:r w:rsidR="0025490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4</w:t>
                            </w:r>
                          </w:p>
                          <w:p w14:paraId="4A535B62" w14:textId="2AEDB9F7" w:rsidR="003A7E95" w:rsidRPr="002C751B" w:rsidRDefault="003A7E95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 w:rsidR="002E1E0B"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D5740"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  <w:r w:rsidR="00E063B9">
                              <w:rPr>
                                <w:lang w:val="en-US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CAA2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DFD5284" w14:textId="3770C721" w:rsidR="003A7E95" w:rsidRPr="002C751B" w:rsidRDefault="00734C04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BEB3A4B" wp14:editId="1A2821F8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263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107.</w:t>
                      </w:r>
                      <w:r w:rsidR="0025490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4</w:t>
                      </w:r>
                    </w:p>
                    <w:p w14:paraId="4A535B62" w14:textId="2AEDB9F7" w:rsidR="003A7E95" w:rsidRPr="002C751B" w:rsidRDefault="003A7E95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 w:rsidR="002E1E0B"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 w:rsidR="00BD5740"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  <w:r w:rsidR="00E063B9">
                        <w:rPr>
                          <w:lang w:val="en-US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4829B9">
        <w:rPr>
          <w:lang w:val="en-GB"/>
        </w:rPr>
        <w:t xml:space="preserve">In </w:t>
      </w:r>
      <w:r w:rsidR="002B6593" w:rsidRPr="004829B9">
        <w:rPr>
          <w:lang w:val="en-GB"/>
        </w:rPr>
        <w:t xml:space="preserve">the </w:t>
      </w:r>
      <w:r w:rsidR="00970194">
        <w:rPr>
          <w:lang w:val="en-GB"/>
        </w:rPr>
        <w:t xml:space="preserve">period of </w:t>
      </w:r>
      <w:r w:rsidR="0025490E">
        <w:rPr>
          <w:lang w:val="en-GB"/>
        </w:rPr>
        <w:t>nine</w:t>
      </w:r>
      <w:r w:rsidR="00970194">
        <w:rPr>
          <w:lang w:val="en-GB"/>
        </w:rPr>
        <w:t xml:space="preserve"> months</w:t>
      </w:r>
      <w:r w:rsidR="00734C04">
        <w:rPr>
          <w:lang w:val="en-GB"/>
        </w:rPr>
        <w:t xml:space="preserve"> </w:t>
      </w:r>
      <w:r w:rsidR="002B6593" w:rsidRPr="004829B9">
        <w:rPr>
          <w:lang w:val="en-GB"/>
        </w:rPr>
        <w:t>of</w:t>
      </w:r>
      <w:r w:rsidR="008B2394" w:rsidRPr="004829B9">
        <w:rPr>
          <w:lang w:val="en-GB"/>
        </w:rPr>
        <w:t xml:space="preserve"> 2020</w:t>
      </w:r>
      <w:r w:rsidR="004829B9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734C04">
        <w:rPr>
          <w:lang w:val="en-GB"/>
        </w:rPr>
        <w:t>more</w:t>
      </w:r>
      <w:r w:rsidR="00AD1492" w:rsidRPr="004829B9">
        <w:rPr>
          <w:lang w:val="en-GB"/>
        </w:rPr>
        <w:t xml:space="preserve"> dwellings completed than the year before. </w:t>
      </w:r>
      <w:r w:rsidR="00095A18" w:rsidRPr="004829B9">
        <w:rPr>
          <w:lang w:val="en-GB"/>
        </w:rPr>
        <w:t>The number of dwellings</w:t>
      </w:r>
      <w:r w:rsidR="00EF3597" w:rsidRPr="004829B9">
        <w:rPr>
          <w:lang w:val="en-GB"/>
        </w:rPr>
        <w:t xml:space="preserve"> for which permits have been granted or which have been registered with a construction project </w:t>
      </w:r>
      <w:r w:rsidR="002E1E0B">
        <w:rPr>
          <w:lang w:val="en-GB"/>
        </w:rPr>
        <w:t xml:space="preserve">and </w:t>
      </w:r>
      <w:r w:rsidR="003C0487" w:rsidRPr="004829B9">
        <w:rPr>
          <w:lang w:val="en-GB"/>
        </w:rPr>
        <w:t>the number of dwellings</w:t>
      </w:r>
      <w:r w:rsidR="00EF3597" w:rsidRPr="004829B9">
        <w:rPr>
          <w:lang w:val="en-GB"/>
        </w:rPr>
        <w:t xml:space="preserve"> i</w:t>
      </w:r>
      <w:r w:rsidR="002E1E0B">
        <w:rPr>
          <w:lang w:val="en-GB"/>
        </w:rPr>
        <w:t>n which construction has begun decreased.</w:t>
      </w:r>
    </w:p>
    <w:p w14:paraId="131E17E4" w14:textId="77777777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6FCA3159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4829B9" w:rsidRDefault="00A87439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3D5F4FD7">
                <wp:simplePos x="0" y="0"/>
                <wp:positionH relativeFrom="page">
                  <wp:posOffset>5623535</wp:posOffset>
                </wp:positionH>
                <wp:positionV relativeFrom="paragraph">
                  <wp:posOffset>68809</wp:posOffset>
                </wp:positionV>
                <wp:extent cx="1809115" cy="990600"/>
                <wp:effectExtent l="0" t="0" r="0" b="0"/>
                <wp:wrapTight wrapText="bothSides">
                  <wp:wrapPolygon edited="0">
                    <wp:start x="682" y="0"/>
                    <wp:lineTo x="682" y="21185"/>
                    <wp:lineTo x="20698" y="21185"/>
                    <wp:lineTo x="20698" y="0"/>
                    <wp:lineTo x="68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775C38BC" w:rsidR="003A7E95" w:rsidRPr="00AD1492" w:rsidRDefault="0025490E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completed 64.7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% of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total number of dwellings, i.e.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by </w:t>
                            </w:r>
                            <w:r>
                              <w:rPr>
                                <w:lang w:val="en-US"/>
                              </w:rPr>
                              <w:t>2.1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 percentage points more than in </w:t>
                            </w:r>
                            <w:r w:rsidR="00954AC7">
                              <w:rPr>
                                <w:lang w:val="en-US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9" type="#_x0000_t202" style="position:absolute;left:0;text-align:left;margin-left:442.8pt;margin-top:5.4pt;width:142.4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" filled="f" stroked="f">
                <v:textbox>
                  <w:txbxContent>
                    <w:p w14:paraId="55217834" w14:textId="775C38BC" w:rsidR="003A7E95" w:rsidRPr="00AD1492" w:rsidRDefault="0025490E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completed 64.7</w:t>
                      </w:r>
                      <w:r w:rsidR="003A7E95">
                        <w:rPr>
                          <w:lang w:val="en-US"/>
                        </w:rPr>
                        <w:t xml:space="preserve">% of </w:t>
                      </w:r>
                      <w:r w:rsidR="000348CC">
                        <w:rPr>
                          <w:lang w:val="en-US"/>
                        </w:rPr>
                        <w:t xml:space="preserve">the </w:t>
                      </w:r>
                      <w:r w:rsidR="003A7E95">
                        <w:rPr>
                          <w:lang w:val="en-US"/>
                        </w:rPr>
                        <w:t xml:space="preserve">total number of dwellings, i.e. </w:t>
                      </w:r>
                      <w:r w:rsidR="000348CC">
                        <w:rPr>
                          <w:lang w:val="en-US"/>
                        </w:rPr>
                        <w:t xml:space="preserve">by </w:t>
                      </w:r>
                      <w:r>
                        <w:rPr>
                          <w:lang w:val="en-US"/>
                        </w:rPr>
                        <w:t>2.1</w:t>
                      </w:r>
                      <w:r w:rsidR="003A7E95">
                        <w:rPr>
                          <w:lang w:val="en-US"/>
                        </w:rPr>
                        <w:t xml:space="preserve"> percentage points more than in </w:t>
                      </w:r>
                      <w:r w:rsidR="00954AC7">
                        <w:rPr>
                          <w:lang w:val="en-US"/>
                        </w:rPr>
                        <w:t>the previous year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33A3" w:rsidRPr="004829B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363BFDF2" w:rsidR="0042048D" w:rsidRPr="004829B9" w:rsidRDefault="00A741A0" w:rsidP="00896EB9">
      <w:pPr>
        <w:rPr>
          <w:spacing w:val="-4"/>
          <w:shd w:val="clear" w:color="auto" w:fill="FFFFFF"/>
          <w:lang w:val="en-GB"/>
        </w:rPr>
      </w:pPr>
      <w:r w:rsidRPr="004829B9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19BEDD2C" wp14:editId="28013E23">
                <wp:simplePos x="0" y="0"/>
                <wp:positionH relativeFrom="page">
                  <wp:posOffset>5715313</wp:posOffset>
                </wp:positionH>
                <wp:positionV relativeFrom="paragraph">
                  <wp:posOffset>1170201</wp:posOffset>
                </wp:positionV>
                <wp:extent cx="1749425" cy="8001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B7E5D" w14:textId="52867C09" w:rsidR="003A7E95" w:rsidRPr="00AE3772" w:rsidRDefault="000348CC" w:rsidP="001C5029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The a</w:t>
                            </w:r>
                            <w:r w:rsidR="003A7E95"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verage useful floor </w:t>
                            </w:r>
                            <w:r w:rsidR="003A7E95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area of </w:t>
                            </w:r>
                            <w:r w:rsidR="003A7E9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 dwelling </w:t>
                            </w:r>
                            <w:r w:rsidR="009B636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completed in the</w:t>
                            </w:r>
                            <w:r w:rsidR="002549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period I-IX 2020 was 88.6</w:t>
                            </w:r>
                            <w:r w:rsidR="003A7E95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m</w:t>
                            </w:r>
                            <w:r w:rsidR="002C751B" w:rsidRPr="002C75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GB" w:eastAsia="pl-P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EDD2C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50pt;margin-top:92.15pt;width:137.75pt;height:6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" filled="f" stroked="f">
                <v:textbox>
                  <w:txbxContent>
                    <w:p w14:paraId="1A1B7E5D" w14:textId="52867C09" w:rsidR="003A7E95" w:rsidRPr="00AE3772" w:rsidRDefault="000348CC" w:rsidP="001C5029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The a</w:t>
                      </w:r>
                      <w:r w:rsidR="003A7E95"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verage useful floor </w:t>
                      </w:r>
                      <w:r w:rsidR="003A7E95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area of </w:t>
                      </w:r>
                      <w:r w:rsidR="003A7E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 dwelling </w:t>
                      </w:r>
                      <w:r w:rsidR="009B636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completed in the</w:t>
                      </w:r>
                      <w:r w:rsidR="002549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period I-IX 2020 was 88.6</w:t>
                      </w:r>
                      <w:r w:rsidR="003A7E95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m</w:t>
                      </w:r>
                      <w:r w:rsidR="002C751B" w:rsidRPr="002C75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val="en-GB" w:eastAsia="pl-PL"/>
                        </w:rPr>
                        <w:t>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25490E">
        <w:rPr>
          <w:spacing w:val="-4"/>
          <w:shd w:val="clear" w:color="auto" w:fill="FFFFFF"/>
          <w:lang w:val="en-GB"/>
        </w:rPr>
        <w:t>156.5</w:t>
      </w:r>
      <w:r w:rsidR="00EA20F6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>mpleted in</w:t>
      </w:r>
      <w:r w:rsidR="00F54505" w:rsidRPr="004829B9">
        <w:rPr>
          <w:spacing w:val="-4"/>
          <w:shd w:val="clear" w:color="auto" w:fill="FFFFFF"/>
          <w:lang w:val="en-GB"/>
        </w:rPr>
        <w:t xml:space="preserve"> </w:t>
      </w:r>
      <w:r w:rsidR="002B6593" w:rsidRPr="004829B9">
        <w:rPr>
          <w:spacing w:val="-4"/>
          <w:shd w:val="clear" w:color="auto" w:fill="FFFFFF"/>
          <w:lang w:val="en-GB"/>
        </w:rPr>
        <w:t xml:space="preserve">the period of </w:t>
      </w:r>
      <w:r w:rsidR="00F54505" w:rsidRPr="004829B9">
        <w:rPr>
          <w:spacing w:val="-4"/>
          <w:shd w:val="clear" w:color="auto" w:fill="FFFFFF"/>
          <w:lang w:val="en-GB"/>
        </w:rPr>
        <w:t>January</w:t>
      </w:r>
      <w:r w:rsidR="002E1E0B">
        <w:rPr>
          <w:spacing w:val="-4"/>
          <w:shd w:val="clear" w:color="auto" w:fill="FFFFFF"/>
          <w:lang w:val="en-GB"/>
        </w:rPr>
        <w:t>-</w:t>
      </w:r>
      <w:r w:rsidR="0025490E">
        <w:rPr>
          <w:spacing w:val="-4"/>
          <w:shd w:val="clear" w:color="auto" w:fill="FFFFFF"/>
          <w:lang w:val="en-GB"/>
        </w:rPr>
        <w:t>September</w:t>
      </w:r>
      <w:r w:rsidR="008B2394" w:rsidRPr="004829B9">
        <w:rPr>
          <w:spacing w:val="-4"/>
          <w:shd w:val="clear" w:color="auto" w:fill="FFFFFF"/>
          <w:lang w:val="en-GB"/>
        </w:rPr>
        <w:t xml:space="preserve"> 2020</w:t>
      </w:r>
      <w:r w:rsidR="009664CD" w:rsidRPr="004829B9">
        <w:rPr>
          <w:spacing w:val="-4"/>
          <w:shd w:val="clear" w:color="auto" w:fill="FFFFFF"/>
          <w:lang w:val="en-GB"/>
        </w:rPr>
        <w:t xml:space="preserve">, i.e. by </w:t>
      </w:r>
      <w:r w:rsidR="0025490E">
        <w:rPr>
          <w:spacing w:val="-4"/>
          <w:shd w:val="clear" w:color="auto" w:fill="FFFFFF"/>
          <w:lang w:val="en-GB"/>
        </w:rPr>
        <w:t>7.4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005167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a year ago.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25490E">
        <w:rPr>
          <w:spacing w:val="-4"/>
          <w:shd w:val="clear" w:color="auto" w:fill="FFFFFF"/>
          <w:lang w:val="en-GB"/>
        </w:rPr>
        <w:t>101.3</w:t>
      </w:r>
      <w:r w:rsidR="00EA20F6" w:rsidRPr="004829B9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5490E">
        <w:rPr>
          <w:spacing w:val="-4"/>
          <w:shd w:val="clear" w:color="auto" w:fill="FFFFFF"/>
          <w:lang w:val="en-GB"/>
        </w:rPr>
        <w:t>(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B052B2">
        <w:rPr>
          <w:color w:val="00B0F0"/>
          <w:spacing w:val="-4"/>
          <w:shd w:val="clear" w:color="auto" w:fill="FFFFFF"/>
          <w:lang w:val="en-GB"/>
        </w:rPr>
        <w:t xml:space="preserve"> </w:t>
      </w:r>
      <w:r w:rsidR="0025490E">
        <w:rPr>
          <w:spacing w:val="-4"/>
          <w:shd w:val="clear" w:color="auto" w:fill="FFFFFF"/>
          <w:lang w:val="en-GB"/>
        </w:rPr>
        <w:t>11.1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26083F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the </w:t>
      </w:r>
      <w:r w:rsidR="009664CD" w:rsidRPr="004829B9">
        <w:rPr>
          <w:spacing w:val="-4"/>
          <w:shd w:val="clear" w:color="auto" w:fill="FFFFFF"/>
          <w:lang w:val="en-GB"/>
        </w:rPr>
        <w:t>corresponding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58073C" w:rsidRPr="004829B9">
        <w:rPr>
          <w:spacing w:val="-4"/>
          <w:shd w:val="clear" w:color="auto" w:fill="FFFFFF"/>
          <w:lang w:val="en-GB"/>
        </w:rPr>
        <w:t>period</w:t>
      </w:r>
      <w:r w:rsidR="008B2394" w:rsidRPr="004829B9">
        <w:rPr>
          <w:spacing w:val="-4"/>
          <w:shd w:val="clear" w:color="auto" w:fill="FFFFFF"/>
          <w:lang w:val="en-GB"/>
        </w:rPr>
        <w:t xml:space="preserve"> of 2019</w:t>
      </w:r>
      <w:r w:rsidR="00C733A3" w:rsidRPr="004829B9">
        <w:rPr>
          <w:spacing w:val="-4"/>
          <w:shd w:val="clear" w:color="auto" w:fill="FFFFFF"/>
          <w:lang w:val="en-GB"/>
        </w:rPr>
        <w:t xml:space="preserve">),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25490E">
        <w:rPr>
          <w:spacing w:val="-4"/>
          <w:shd w:val="clear" w:color="auto" w:fill="FFFFFF"/>
          <w:lang w:val="en-GB"/>
        </w:rPr>
        <w:t>52.6</w:t>
      </w:r>
      <w:r w:rsidR="00B036BF" w:rsidRPr="004829B9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25490E">
        <w:rPr>
          <w:spacing w:val="-4"/>
          <w:shd w:val="clear" w:color="auto" w:fill="FFFFFF"/>
          <w:lang w:val="en-GB"/>
        </w:rPr>
        <w:t>5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25490E">
        <w:rPr>
          <w:spacing w:val="-4"/>
          <w:shd w:val="clear" w:color="auto" w:fill="FFFFFF"/>
          <w:lang w:val="en-GB"/>
        </w:rPr>
        <w:t>6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C94AC8" w:rsidRPr="004829B9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25490E">
        <w:rPr>
          <w:spacing w:val="-4"/>
          <w:shd w:val="clear" w:color="auto" w:fill="FFFFFF"/>
          <w:lang w:val="en-GB"/>
        </w:rPr>
        <w:t>3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25490E">
        <w:rPr>
          <w:spacing w:val="-4"/>
          <w:shd w:val="clear" w:color="auto" w:fill="FFFFFF"/>
          <w:lang w:val="en-GB"/>
        </w:rPr>
        <w:t xml:space="preserve"> (respectively 64.7% and 33.6</w:t>
      </w:r>
      <w:r w:rsidR="0058073C" w:rsidRPr="004829B9">
        <w:rPr>
          <w:spacing w:val="-4"/>
          <w:shd w:val="clear" w:color="auto" w:fill="FFFFFF"/>
          <w:lang w:val="en-GB"/>
        </w:rPr>
        <w:t>%)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EF3597" w:rsidRPr="004829B9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than a year ago were completed within </w:t>
      </w:r>
      <w:r w:rsidR="00C733A3" w:rsidRPr="004829B9">
        <w:rPr>
          <w:b/>
          <w:spacing w:val="-4"/>
          <w:shd w:val="clear" w:color="auto" w:fill="FFFFFF"/>
          <w:lang w:val="en-GB"/>
        </w:rPr>
        <w:t>cooperative</w:t>
      </w:r>
      <w:r w:rsidR="00C733A3" w:rsidRPr="004829B9">
        <w:rPr>
          <w:spacing w:val="-4"/>
          <w:shd w:val="clear" w:color="auto" w:fill="FFFFFF"/>
          <w:lang w:val="en-GB"/>
        </w:rPr>
        <w:t xml:space="preserve"> construction (</w:t>
      </w:r>
      <w:r w:rsidR="0025490E">
        <w:rPr>
          <w:spacing w:val="-4"/>
          <w:shd w:val="clear" w:color="auto" w:fill="FFFFFF"/>
          <w:lang w:val="en-GB"/>
        </w:rPr>
        <w:t>995</w:t>
      </w:r>
      <w:r w:rsidR="002C39C1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>compared to</w:t>
      </w:r>
      <w:r w:rsidR="00314007">
        <w:rPr>
          <w:spacing w:val="-4"/>
          <w:shd w:val="clear" w:color="auto" w:fill="FFFFFF"/>
          <w:lang w:val="en-GB"/>
        </w:rPr>
        <w:t xml:space="preserve"> </w:t>
      </w:r>
      <w:r w:rsidR="00467905">
        <w:rPr>
          <w:spacing w:val="-4"/>
          <w:shd w:val="clear" w:color="auto" w:fill="FFFFFF"/>
          <w:lang w:val="en-GB"/>
        </w:rPr>
        <w:t>1 </w:t>
      </w:r>
      <w:r w:rsidR="0025490E">
        <w:rPr>
          <w:spacing w:val="-4"/>
          <w:shd w:val="clear" w:color="auto" w:fill="FFFFFF"/>
          <w:lang w:val="en-GB"/>
        </w:rPr>
        <w:t>510</w:t>
      </w:r>
      <w:r w:rsidR="00BD7A45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dw</w:t>
      </w:r>
      <w:r w:rsidR="00FF795E" w:rsidRPr="004829B9">
        <w:rPr>
          <w:spacing w:val="-4"/>
          <w:shd w:val="clear" w:color="auto" w:fill="FFFFFF"/>
          <w:lang w:val="en-GB"/>
        </w:rPr>
        <w:t xml:space="preserve">ellings); </w:t>
      </w:r>
      <w:r w:rsidR="00FF795E" w:rsidRPr="004829B9">
        <w:rPr>
          <w:lang w:val="en-GB"/>
        </w:rPr>
        <w:t>i</w:t>
      </w:r>
      <w:r w:rsidR="003A358E" w:rsidRPr="004829B9">
        <w:rPr>
          <w:lang w:val="en-GB"/>
        </w:rPr>
        <w:t>n</w:t>
      </w:r>
      <w:r w:rsidR="00FF795E" w:rsidRPr="004829B9">
        <w:rPr>
          <w:lang w:val="en-GB"/>
        </w:rPr>
        <w:t> </w:t>
      </w:r>
      <w:r w:rsidR="003A358E" w:rsidRPr="004829B9">
        <w:rPr>
          <w:b/>
          <w:lang w:val="en-GB"/>
        </w:rPr>
        <w:t>other</w:t>
      </w:r>
      <w:r w:rsidR="003A358E" w:rsidRPr="004829B9">
        <w:rPr>
          <w:b/>
          <w:spacing w:val="-4"/>
          <w:shd w:val="clear" w:color="auto" w:fill="FFFFFF"/>
          <w:lang w:val="en-GB"/>
        </w:rPr>
        <w:t xml:space="preserve"> forms</w:t>
      </w:r>
      <w:r w:rsidR="003A358E" w:rsidRPr="004829B9">
        <w:rPr>
          <w:spacing w:val="-4"/>
          <w:shd w:val="clear" w:color="auto" w:fill="FFFFFF"/>
          <w:lang w:val="en-GB"/>
        </w:rPr>
        <w:t xml:space="preserve"> of </w:t>
      </w:r>
      <w:r w:rsidR="00C733A3" w:rsidRPr="004829B9">
        <w:rPr>
          <w:spacing w:val="-4"/>
          <w:shd w:val="clear" w:color="auto" w:fill="FFFFFF"/>
          <w:lang w:val="en-GB"/>
        </w:rPr>
        <w:t>construction (municipal</w:t>
      </w:r>
      <w:r w:rsidR="0042048D" w:rsidRPr="004829B9">
        <w:rPr>
          <w:spacing w:val="-4"/>
          <w:shd w:val="clear" w:color="auto" w:fill="FFFFFF"/>
          <w:lang w:val="en-GB"/>
        </w:rPr>
        <w:t xml:space="preserve">, public building society </w:t>
      </w:r>
      <w:r w:rsidR="002B1FCD" w:rsidRPr="004829B9">
        <w:rPr>
          <w:spacing w:val="-4"/>
          <w:shd w:val="clear" w:color="auto" w:fill="FFFFFF"/>
          <w:lang w:val="en-GB"/>
        </w:rPr>
        <w:t>and company construction)</w:t>
      </w:r>
      <w:r w:rsidR="00914AA5">
        <w:rPr>
          <w:spacing w:val="-4"/>
          <w:shd w:val="clear" w:color="auto" w:fill="FFFFFF"/>
          <w:lang w:val="en-GB"/>
        </w:rPr>
        <w:t xml:space="preserve"> </w:t>
      </w:r>
      <w:r w:rsidR="00467905">
        <w:rPr>
          <w:spacing w:val="-4"/>
          <w:shd w:val="clear" w:color="auto" w:fill="FFFFFF"/>
          <w:lang w:val="en-GB"/>
        </w:rPr>
        <w:t xml:space="preserve">1 </w:t>
      </w:r>
      <w:r w:rsidR="0025490E">
        <w:rPr>
          <w:spacing w:val="-4"/>
          <w:shd w:val="clear" w:color="auto" w:fill="FFFFFF"/>
          <w:lang w:val="en-GB"/>
        </w:rPr>
        <w:t>617</w:t>
      </w:r>
      <w:r w:rsidR="002C39C1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>dwellings were complete</w:t>
      </w:r>
      <w:r w:rsidR="0043577A" w:rsidRPr="004829B9">
        <w:rPr>
          <w:spacing w:val="-4"/>
          <w:shd w:val="clear" w:color="auto" w:fill="FFFFFF"/>
          <w:lang w:val="en-GB"/>
        </w:rPr>
        <w:t>d</w:t>
      </w:r>
      <w:r w:rsidR="00C733A3" w:rsidRPr="004829B9">
        <w:rPr>
          <w:spacing w:val="-4"/>
          <w:shd w:val="clear" w:color="auto" w:fill="FFFFFF"/>
          <w:lang w:val="en-GB"/>
        </w:rPr>
        <w:t xml:space="preserve"> in total</w:t>
      </w:r>
      <w:r w:rsidR="00C94AC8" w:rsidRPr="004829B9">
        <w:rPr>
          <w:spacing w:val="-4"/>
          <w:shd w:val="clear" w:color="auto" w:fill="FFFFFF"/>
          <w:lang w:val="en-GB"/>
        </w:rPr>
        <w:t xml:space="preserve"> (compared to </w:t>
      </w:r>
      <w:r w:rsidR="0025490E">
        <w:rPr>
          <w:spacing w:val="-4"/>
          <w:shd w:val="clear" w:color="auto" w:fill="FFFFFF"/>
          <w:lang w:val="en-GB"/>
        </w:rPr>
        <w:t>3</w:t>
      </w:r>
      <w:r w:rsidR="00C625B8">
        <w:rPr>
          <w:spacing w:val="-4"/>
          <w:shd w:val="clear" w:color="auto" w:fill="FFFFFF"/>
          <w:lang w:val="en-GB"/>
        </w:rPr>
        <w:t xml:space="preserve"> </w:t>
      </w:r>
      <w:r w:rsidR="0025490E">
        <w:rPr>
          <w:spacing w:val="-4"/>
          <w:shd w:val="clear" w:color="auto" w:fill="FFFFFF"/>
          <w:lang w:val="en-GB"/>
        </w:rPr>
        <w:t>248</w:t>
      </w:r>
      <w:r w:rsidR="00C94AC8" w:rsidRPr="004829B9">
        <w:rPr>
          <w:spacing w:val="-4"/>
          <w:shd w:val="clear" w:color="auto" w:fill="FFFFFF"/>
          <w:lang w:val="en-GB"/>
        </w:rPr>
        <w:t xml:space="preserve"> in the previous year)</w:t>
      </w:r>
      <w:r w:rsidR="0042048D" w:rsidRPr="004829B9">
        <w:rPr>
          <w:spacing w:val="-4"/>
          <w:shd w:val="clear" w:color="auto" w:fill="FFFFFF"/>
          <w:lang w:val="en-GB"/>
        </w:rPr>
        <w:t>.</w:t>
      </w:r>
    </w:p>
    <w:p w14:paraId="6DA771CF" w14:textId="59128317" w:rsidR="00054314" w:rsidRPr="004829B9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 xml:space="preserve">otal useful floor area of dwellings completed in </w:t>
      </w:r>
      <w:r w:rsidR="0058073C" w:rsidRPr="004829B9">
        <w:rPr>
          <w:shd w:val="clear" w:color="auto" w:fill="FFFFFF"/>
          <w:lang w:val="en-GB"/>
        </w:rPr>
        <w:t>the period of January-</w:t>
      </w:r>
      <w:r w:rsidR="0025490E">
        <w:rPr>
          <w:shd w:val="clear" w:color="auto" w:fill="FFFFFF"/>
          <w:lang w:val="en-GB"/>
        </w:rPr>
        <w:t>September</w:t>
      </w:r>
      <w:r w:rsidR="00C94AC8" w:rsidRPr="004829B9">
        <w:rPr>
          <w:shd w:val="clear" w:color="auto" w:fill="FFFFFF"/>
          <w:lang w:val="en-GB"/>
        </w:rPr>
        <w:t xml:space="preserve"> 2020</w:t>
      </w:r>
      <w:r w:rsidR="007C6C81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25490E">
        <w:rPr>
          <w:shd w:val="clear" w:color="auto" w:fill="FFFFFF"/>
          <w:lang w:val="en-GB"/>
        </w:rPr>
        <w:t>13</w:t>
      </w:r>
      <w:r w:rsidR="00837231" w:rsidRPr="004829B9">
        <w:rPr>
          <w:shd w:val="clear" w:color="auto" w:fill="FFFFFF"/>
          <w:lang w:val="en-GB"/>
        </w:rPr>
        <w:t>.</w:t>
      </w:r>
      <w:r w:rsidR="0025490E">
        <w:rPr>
          <w:shd w:val="clear" w:color="auto" w:fill="FFFFFF"/>
          <w:lang w:val="en-GB"/>
        </w:rPr>
        <w:t>9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2C751B">
        <w:rPr>
          <w:shd w:val="clear" w:color="auto" w:fill="FFFFFF"/>
          <w:lang w:val="en-GB"/>
        </w:rPr>
        <w:t xml:space="preserve"> 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25490E">
        <w:rPr>
          <w:shd w:val="clear" w:color="auto" w:fill="FFFFFF"/>
          <w:lang w:val="en-GB"/>
        </w:rPr>
        <w:t>6</w:t>
      </w:r>
      <w:r w:rsidR="00837231" w:rsidRPr="004829B9">
        <w:rPr>
          <w:shd w:val="clear" w:color="auto" w:fill="FFFFFF"/>
          <w:lang w:val="en-GB"/>
        </w:rPr>
        <w:t>.</w:t>
      </w:r>
      <w:r w:rsidR="00467905">
        <w:rPr>
          <w:shd w:val="clear" w:color="auto" w:fill="FFFFFF"/>
          <w:lang w:val="en-GB"/>
        </w:rPr>
        <w:t>4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FC5B45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in the corresponding </w:t>
      </w:r>
      <w:r w:rsidR="0058073C" w:rsidRPr="004829B9">
        <w:rPr>
          <w:shd w:val="clear" w:color="auto" w:fill="FFFFFF"/>
          <w:lang w:val="en-GB"/>
        </w:rPr>
        <w:t>period</w:t>
      </w:r>
      <w:r w:rsidRPr="004829B9">
        <w:rPr>
          <w:shd w:val="clear" w:color="auto" w:fill="FFFFFF"/>
          <w:lang w:val="en-GB"/>
        </w:rPr>
        <w:t xml:space="preserve"> of </w:t>
      </w:r>
      <w:r w:rsidR="003D3374" w:rsidRPr="00223849">
        <w:rPr>
          <w:shd w:val="clear" w:color="auto" w:fill="FFFFFF"/>
          <w:lang w:val="en-GB"/>
        </w:rPr>
        <w:t>2019</w:t>
      </w:r>
      <w:r w:rsidR="00314007" w:rsidRPr="00314007">
        <w:rPr>
          <w:shd w:val="clear" w:color="auto" w:fill="FFFFFF"/>
          <w:lang w:val="en-GB"/>
        </w:rPr>
        <w:t>.</w:t>
      </w:r>
      <w:r w:rsidR="00314007">
        <w:rPr>
          <w:shd w:val="clear" w:color="auto" w:fill="FFFFFF"/>
          <w:lang w:val="en-GB"/>
        </w:rPr>
        <w:t xml:space="preserve"> </w:t>
      </w:r>
      <w:r w:rsidR="00C94AC8" w:rsidRPr="004829B9">
        <w:rPr>
          <w:shd w:val="clear" w:color="auto" w:fill="FFFFFF"/>
          <w:lang w:val="en-GB"/>
        </w:rPr>
        <w:t xml:space="preserve">Compared to the </w:t>
      </w:r>
      <w:r w:rsidR="0058073C" w:rsidRPr="004829B9">
        <w:rPr>
          <w:shd w:val="clear" w:color="auto" w:fill="FFFFFF"/>
          <w:lang w:val="en-GB"/>
        </w:rPr>
        <w:t>period</w:t>
      </w:r>
      <w:r w:rsidR="000348CC">
        <w:rPr>
          <w:shd w:val="clear" w:color="auto" w:fill="FFFFFF"/>
          <w:lang w:val="en-GB"/>
        </w:rPr>
        <w:t xml:space="preserve"> of</w:t>
      </w:r>
      <w:r w:rsidR="0058073C" w:rsidRPr="004829B9">
        <w:rPr>
          <w:shd w:val="clear" w:color="auto" w:fill="FFFFFF"/>
          <w:lang w:val="en-GB"/>
        </w:rPr>
        <w:t xml:space="preserve"> January-</w:t>
      </w:r>
      <w:r w:rsidR="0025490E">
        <w:rPr>
          <w:shd w:val="clear" w:color="auto" w:fill="FFFFFF"/>
          <w:lang w:val="en-GB"/>
        </w:rPr>
        <w:t>September</w:t>
      </w:r>
      <w:r w:rsidR="00C94AC8" w:rsidRPr="004829B9">
        <w:rPr>
          <w:shd w:val="clear" w:color="auto" w:fill="FFFFFF"/>
          <w:lang w:val="en-GB"/>
        </w:rPr>
        <w:t xml:space="preserve"> 2019</w:t>
      </w:r>
      <w:r w:rsidR="000348CC">
        <w:rPr>
          <w:shd w:val="clear" w:color="auto" w:fill="FFFFFF"/>
          <w:lang w:val="en-GB"/>
        </w:rPr>
        <w:t>,</w:t>
      </w:r>
      <w:r w:rsidRPr="004829B9">
        <w:rPr>
          <w:shd w:val="clear" w:color="auto" w:fill="FFFFFF"/>
          <w:lang w:val="en-GB"/>
        </w:rPr>
        <w:t xml:space="preserve"> 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>dwelling de</w:t>
      </w:r>
      <w:r w:rsidR="00837231" w:rsidRPr="004829B9">
        <w:rPr>
          <w:shd w:val="clear" w:color="auto" w:fill="FFFFFF"/>
          <w:lang w:val="en-GB"/>
        </w:rPr>
        <w:t xml:space="preserve">creased by </w:t>
      </w:r>
      <w:r w:rsidR="00467905">
        <w:rPr>
          <w:shd w:val="clear" w:color="auto" w:fill="FFFFFF"/>
          <w:lang w:val="en-GB"/>
        </w:rPr>
        <w:t>0</w:t>
      </w:r>
      <w:r w:rsidR="00837231" w:rsidRPr="004829B9">
        <w:rPr>
          <w:shd w:val="clear" w:color="auto" w:fill="FFFFFF"/>
          <w:lang w:val="en-GB"/>
        </w:rPr>
        <w:t>.</w:t>
      </w:r>
      <w:r w:rsidR="00467905">
        <w:rPr>
          <w:shd w:val="clear" w:color="auto" w:fill="FFFFFF"/>
          <w:lang w:val="en-GB"/>
        </w:rPr>
        <w:t>9</w:t>
      </w:r>
      <w:r w:rsidRPr="004829B9">
        <w:rPr>
          <w:shd w:val="clear" w:color="auto" w:fill="FFFFFF"/>
          <w:lang w:val="en-GB"/>
        </w:rPr>
        <w:t xml:space="preserve"> </w:t>
      </w:r>
      <w:r w:rsidR="003460DF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3460DF" w:rsidRPr="004829B9">
        <w:rPr>
          <w:shd w:val="clear" w:color="auto" w:fill="FFFFFF"/>
          <w:lang w:val="en-GB"/>
        </w:rPr>
        <w:t xml:space="preserve"> to the level of </w:t>
      </w:r>
      <w:r w:rsidR="00467905">
        <w:rPr>
          <w:shd w:val="clear" w:color="auto" w:fill="FFFFFF"/>
          <w:lang w:val="en-GB"/>
        </w:rPr>
        <w:t>88</w:t>
      </w:r>
      <w:r w:rsidR="005D25AB" w:rsidRPr="004829B9">
        <w:rPr>
          <w:shd w:val="clear" w:color="auto" w:fill="FFFFFF"/>
          <w:lang w:val="en-GB"/>
        </w:rPr>
        <w:t>.</w:t>
      </w:r>
      <w:r w:rsidR="0025490E">
        <w:rPr>
          <w:shd w:val="clear" w:color="auto" w:fill="FFFFFF"/>
          <w:lang w:val="en-GB"/>
        </w:rPr>
        <w:t>6</w:t>
      </w:r>
      <w:r w:rsidRPr="004829B9">
        <w:rPr>
          <w:shd w:val="clear" w:color="auto" w:fill="FFFFFF"/>
          <w:lang w:val="en-GB"/>
        </w:rPr>
        <w:t xml:space="preserve"> 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4BC5FB40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58073C" w:rsidRPr="004829B9" w14:paraId="6FC114BC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05449335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32CFFA46" w14:textId="77777777" w:rsidR="0058073C" w:rsidRPr="004829B9" w:rsidRDefault="0058073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58073C" w:rsidRPr="004829B9" w14:paraId="3F9B3FED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D45712C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4C138F02" w14:textId="30211B7B" w:rsidR="0058073C" w:rsidRPr="004829B9" w:rsidRDefault="004B68F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25621A64" w14:textId="203164FA" w:rsidR="0058073C" w:rsidRPr="004829B9" w:rsidRDefault="00A11B2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4B68FC">
              <w:rPr>
                <w:color w:val="000000" w:themeColor="text1"/>
                <w:sz w:val="16"/>
                <w:szCs w:val="16"/>
                <w:lang w:val="en-GB"/>
              </w:rPr>
              <w:t>IX</w:t>
            </w:r>
          </w:p>
        </w:tc>
      </w:tr>
      <w:tr w:rsidR="0058073C" w:rsidRPr="004829B9" w14:paraId="22FC7A49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41F03985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7DB75AA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93DC622" w14:textId="23C07D03" w:rsidR="0058073C" w:rsidRPr="004829B9" w:rsidRDefault="00467905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4B68FC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1E6FC37" w14:textId="4D5BA933" w:rsidR="0058073C" w:rsidRPr="004829B9" w:rsidRDefault="00A11B2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167EE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4B68FC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46790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566992E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C0F5353" w14:textId="49D6B7F2" w:rsidR="0058073C" w:rsidRPr="004829B9" w:rsidRDefault="00A11B23" w:rsidP="004B68F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4B68FC">
              <w:rPr>
                <w:color w:val="000000" w:themeColor="text1"/>
                <w:sz w:val="16"/>
                <w:szCs w:val="16"/>
                <w:lang w:val="en-GB"/>
              </w:rPr>
              <w:t>IX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25490E" w:rsidRPr="004829B9" w14:paraId="233056DD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4AEC01FC" w14:textId="77777777" w:rsidR="0025490E" w:rsidRPr="004829B9" w:rsidRDefault="0025490E" w:rsidP="0025490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B14F49D" w14:textId="6A7517DE" w:rsidR="0025490E" w:rsidRPr="004829B9" w:rsidRDefault="0025490E" w:rsidP="0025490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20 719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DF92398" w14:textId="7BE3A035" w:rsidR="0025490E" w:rsidRPr="004829B9" w:rsidRDefault="0025490E" w:rsidP="0025490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121.9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9D76205" w14:textId="50C853F5" w:rsidR="0025490E" w:rsidRPr="004829B9" w:rsidRDefault="0025490E" w:rsidP="0025490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124.1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6D857ED" w14:textId="53B313C5" w:rsidR="0025490E" w:rsidRPr="004829B9" w:rsidRDefault="0025490E" w:rsidP="0025490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156 523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4B1C71C" w14:textId="63D9C5A2" w:rsidR="0025490E" w:rsidRPr="004829B9" w:rsidRDefault="0025490E" w:rsidP="0025490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107.4</w:t>
            </w:r>
          </w:p>
        </w:tc>
      </w:tr>
      <w:tr w:rsidR="0025490E" w:rsidRPr="004829B9" w14:paraId="0E21E3CF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0812006" w14:textId="77777777" w:rsidR="0025490E" w:rsidRPr="004829B9" w:rsidRDefault="0025490E" w:rsidP="0025490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4B64173" w14:textId="3B3933E9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6 624</w:t>
            </w:r>
          </w:p>
        </w:tc>
        <w:tc>
          <w:tcPr>
            <w:tcW w:w="1206" w:type="dxa"/>
            <w:vAlign w:val="center"/>
          </w:tcPr>
          <w:p w14:paraId="1EF9A641" w14:textId="3E7E3CAA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123.7</w:t>
            </w:r>
          </w:p>
        </w:tc>
        <w:tc>
          <w:tcPr>
            <w:tcW w:w="1206" w:type="dxa"/>
            <w:vAlign w:val="center"/>
          </w:tcPr>
          <w:p w14:paraId="6A6BDE68" w14:textId="1801C0ED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110.0</w:t>
            </w:r>
          </w:p>
        </w:tc>
        <w:tc>
          <w:tcPr>
            <w:tcW w:w="1206" w:type="dxa"/>
            <w:vAlign w:val="center"/>
          </w:tcPr>
          <w:p w14:paraId="474030F8" w14:textId="665A44BD" w:rsidR="0025490E" w:rsidRPr="0026083F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52 588</w:t>
            </w:r>
          </w:p>
        </w:tc>
        <w:tc>
          <w:tcPr>
            <w:tcW w:w="1207" w:type="dxa"/>
            <w:vAlign w:val="center"/>
          </w:tcPr>
          <w:p w14:paraId="04A3773C" w14:textId="23043723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105.6</w:t>
            </w:r>
          </w:p>
        </w:tc>
      </w:tr>
      <w:tr w:rsidR="0025490E" w:rsidRPr="004829B9" w14:paraId="3503250B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52D39B7" w14:textId="77777777" w:rsidR="0025490E" w:rsidRPr="004829B9" w:rsidRDefault="0025490E" w:rsidP="0025490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730C0030" w14:textId="468E3817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13 637</w:t>
            </w:r>
          </w:p>
        </w:tc>
        <w:tc>
          <w:tcPr>
            <w:tcW w:w="1206" w:type="dxa"/>
            <w:vAlign w:val="center"/>
          </w:tcPr>
          <w:p w14:paraId="2E70220E" w14:textId="36F8292B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123.5</w:t>
            </w:r>
          </w:p>
        </w:tc>
        <w:tc>
          <w:tcPr>
            <w:tcW w:w="1206" w:type="dxa"/>
            <w:vAlign w:val="center"/>
          </w:tcPr>
          <w:p w14:paraId="1ED74D3A" w14:textId="0AD352D7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130.4</w:t>
            </w:r>
          </w:p>
        </w:tc>
        <w:tc>
          <w:tcPr>
            <w:tcW w:w="1206" w:type="dxa"/>
            <w:vAlign w:val="center"/>
          </w:tcPr>
          <w:p w14:paraId="44BA7141" w14:textId="46456325" w:rsidR="0025490E" w:rsidRPr="0026083F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101 323</w:t>
            </w:r>
          </w:p>
        </w:tc>
        <w:tc>
          <w:tcPr>
            <w:tcW w:w="1207" w:type="dxa"/>
            <w:vAlign w:val="center"/>
          </w:tcPr>
          <w:p w14:paraId="3F979385" w14:textId="414681C1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111.1</w:t>
            </w:r>
          </w:p>
        </w:tc>
      </w:tr>
      <w:tr w:rsidR="0025490E" w:rsidRPr="004829B9" w14:paraId="157C331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4B0D4A9" w14:textId="77777777" w:rsidR="0025490E" w:rsidRPr="004829B9" w:rsidRDefault="0025490E" w:rsidP="0025490E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14:paraId="1EDB440B" w14:textId="7C0AE522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206" w:type="dxa"/>
            <w:vAlign w:val="center"/>
          </w:tcPr>
          <w:p w14:paraId="5CCE1C02" w14:textId="4146943C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5.0</w:t>
            </w:r>
          </w:p>
        </w:tc>
        <w:tc>
          <w:tcPr>
            <w:tcW w:w="1206" w:type="dxa"/>
            <w:vAlign w:val="center"/>
          </w:tcPr>
          <w:p w14:paraId="6A15538A" w14:textId="58FC6D95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19.5</w:t>
            </w:r>
          </w:p>
        </w:tc>
        <w:tc>
          <w:tcPr>
            <w:tcW w:w="1206" w:type="dxa"/>
            <w:vAlign w:val="center"/>
          </w:tcPr>
          <w:p w14:paraId="4F32B4AA" w14:textId="055DC7D1" w:rsidR="0025490E" w:rsidRPr="0026083F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1 105</w:t>
            </w:r>
          </w:p>
        </w:tc>
        <w:tc>
          <w:tcPr>
            <w:tcW w:w="1207" w:type="dxa"/>
            <w:vAlign w:val="center"/>
          </w:tcPr>
          <w:p w14:paraId="6749CE4C" w14:textId="382048BB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66.0</w:t>
            </w:r>
          </w:p>
        </w:tc>
      </w:tr>
      <w:tr w:rsidR="0025490E" w:rsidRPr="004829B9" w14:paraId="47755064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8BFFDDF" w14:textId="77777777" w:rsidR="0025490E" w:rsidRPr="004829B9" w:rsidRDefault="0025490E" w:rsidP="0025490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87B4707" w14:textId="386E1143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179</w:t>
            </w:r>
          </w:p>
        </w:tc>
        <w:tc>
          <w:tcPr>
            <w:tcW w:w="1206" w:type="dxa"/>
            <w:vAlign w:val="center"/>
          </w:tcPr>
          <w:p w14:paraId="0C60AA6B" w14:textId="303B1D36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241.9</w:t>
            </w:r>
          </w:p>
        </w:tc>
        <w:tc>
          <w:tcPr>
            <w:tcW w:w="1206" w:type="dxa"/>
            <w:vAlign w:val="center"/>
          </w:tcPr>
          <w:p w14:paraId="73767A4C" w14:textId="3D8E470D" w:rsidR="0025490E" w:rsidRPr="004829B9" w:rsidRDefault="0025490E" w:rsidP="0025490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161.3</w:t>
            </w:r>
          </w:p>
        </w:tc>
        <w:tc>
          <w:tcPr>
            <w:tcW w:w="1206" w:type="dxa"/>
            <w:vAlign w:val="center"/>
          </w:tcPr>
          <w:p w14:paraId="233EB4FD" w14:textId="2F4E1643" w:rsidR="0025490E" w:rsidRPr="0026083F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995</w:t>
            </w:r>
          </w:p>
        </w:tc>
        <w:tc>
          <w:tcPr>
            <w:tcW w:w="1207" w:type="dxa"/>
            <w:vAlign w:val="center"/>
          </w:tcPr>
          <w:p w14:paraId="37B21FA8" w14:textId="2498F6E7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65.9</w:t>
            </w:r>
          </w:p>
        </w:tc>
      </w:tr>
      <w:tr w:rsidR="0025490E" w:rsidRPr="004829B9" w14:paraId="1480E1F5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A99D66E" w14:textId="77777777" w:rsidR="0025490E" w:rsidRPr="004829B9" w:rsidRDefault="0025490E" w:rsidP="0025490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7AC42C73" w14:textId="1179E437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229</w:t>
            </w:r>
          </w:p>
        </w:tc>
        <w:tc>
          <w:tcPr>
            <w:tcW w:w="1206" w:type="dxa"/>
            <w:vAlign w:val="center"/>
          </w:tcPr>
          <w:p w14:paraId="52EA2698" w14:textId="322A997F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200.9</w:t>
            </w:r>
          </w:p>
        </w:tc>
        <w:tc>
          <w:tcPr>
            <w:tcW w:w="1206" w:type="dxa"/>
            <w:vAlign w:val="center"/>
          </w:tcPr>
          <w:p w14:paraId="7BD787EE" w14:textId="134FDA57" w:rsidR="0025490E" w:rsidRPr="004829B9" w:rsidRDefault="0025490E" w:rsidP="0025490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almost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9-fold </w:t>
            </w:r>
            <w:proofErr w:type="spellStart"/>
            <w:r>
              <w:rPr>
                <w:rFonts w:cs="Arial"/>
                <w:sz w:val="16"/>
                <w:szCs w:val="16"/>
              </w:rPr>
              <w:t>more</w:t>
            </w:r>
            <w:proofErr w:type="spellEnd"/>
          </w:p>
        </w:tc>
        <w:tc>
          <w:tcPr>
            <w:tcW w:w="1206" w:type="dxa"/>
            <w:vAlign w:val="center"/>
          </w:tcPr>
          <w:p w14:paraId="1686B930" w14:textId="073BFF3D" w:rsidR="0025490E" w:rsidRPr="004829B9" w:rsidRDefault="0025490E" w:rsidP="0025490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721</w:t>
            </w:r>
          </w:p>
        </w:tc>
        <w:tc>
          <w:tcPr>
            <w:tcW w:w="1207" w:type="dxa"/>
            <w:vAlign w:val="center"/>
          </w:tcPr>
          <w:p w14:paraId="497B2680" w14:textId="3798E9E1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62.6</w:t>
            </w:r>
          </w:p>
        </w:tc>
      </w:tr>
      <w:tr w:rsidR="0025490E" w:rsidRPr="00167EED" w14:paraId="5AF09ED3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F69253C" w14:textId="77777777" w:rsidR="0025490E" w:rsidRPr="004829B9" w:rsidRDefault="0025490E" w:rsidP="0025490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6FC62F3C" w14:textId="33A6C845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206" w:type="dxa"/>
            <w:vAlign w:val="center"/>
          </w:tcPr>
          <w:p w14:paraId="210EF2BB" w14:textId="2EE1C300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12.0</w:t>
            </w:r>
          </w:p>
        </w:tc>
        <w:tc>
          <w:tcPr>
            <w:tcW w:w="1206" w:type="dxa"/>
            <w:vAlign w:val="center"/>
          </w:tcPr>
          <w:p w14:paraId="5582B2FE" w14:textId="786172B3" w:rsidR="0025490E" w:rsidRPr="004829B9" w:rsidRDefault="0025490E" w:rsidP="0025490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69.4</w:t>
            </w:r>
          </w:p>
        </w:tc>
        <w:tc>
          <w:tcPr>
            <w:tcW w:w="1206" w:type="dxa"/>
            <w:vAlign w:val="center"/>
          </w:tcPr>
          <w:p w14:paraId="1219A9EB" w14:textId="1C10728E" w:rsidR="0025490E" w:rsidRPr="004829B9" w:rsidRDefault="0025490E" w:rsidP="0025490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873</w:t>
            </w:r>
          </w:p>
        </w:tc>
        <w:tc>
          <w:tcPr>
            <w:tcW w:w="1207" w:type="dxa"/>
            <w:vAlign w:val="center"/>
          </w:tcPr>
          <w:p w14:paraId="7D986892" w14:textId="43C1FECE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46.7</w:t>
            </w:r>
          </w:p>
        </w:tc>
      </w:tr>
      <w:tr w:rsidR="0025490E" w:rsidRPr="00167EED" w14:paraId="5F654D2E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5C09F32C" w14:textId="77777777" w:rsidR="0025490E" w:rsidRPr="004829B9" w:rsidRDefault="0025490E" w:rsidP="0025490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04C2B5C1" w14:textId="3FBC02B3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3CC36DA1" w14:textId="347615EC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30517C07" w14:textId="28FA9FC3" w:rsidR="0025490E" w:rsidRPr="004829B9" w:rsidRDefault="0025490E" w:rsidP="0025490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10FD768" w14:textId="0BEF3547" w:rsidR="0025490E" w:rsidRPr="004829B9" w:rsidRDefault="0025490E" w:rsidP="0025490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207" w:type="dxa"/>
            <w:vAlign w:val="center"/>
          </w:tcPr>
          <w:p w14:paraId="17C799D5" w14:textId="637A2690" w:rsidR="0025490E" w:rsidRPr="004829B9" w:rsidRDefault="0025490E" w:rsidP="002549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10.0</w:t>
            </w:r>
          </w:p>
        </w:tc>
      </w:tr>
    </w:tbl>
    <w:p w14:paraId="4C4EBE85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1FED3B6A" w14:textId="77777777" w:rsidR="0058073C" w:rsidRPr="004829B9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71002120" w14:textId="77777777" w:rsidR="009829F8" w:rsidRPr="004829B9" w:rsidRDefault="009829F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D03BCD7" w14:textId="77777777" w:rsidR="00896EB9" w:rsidRPr="004829B9" w:rsidRDefault="006E5F0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1258E152">
                <wp:simplePos x="0" y="0"/>
                <wp:positionH relativeFrom="page">
                  <wp:posOffset>5623738</wp:posOffset>
                </wp:positionH>
                <wp:positionV relativeFrom="paragraph">
                  <wp:posOffset>228549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765A74F3" w:rsidR="003A7E95" w:rsidRPr="00AD1492" w:rsidRDefault="000348CC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</w:t>
                            </w:r>
                            <w:r w:rsidR="003A7E95">
                              <w:rPr>
                                <w:lang w:val="en-US"/>
                              </w:rPr>
                              <w:t>umber of d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843B16">
                              <w:rPr>
                                <w:lang w:val="en-US"/>
                              </w:rPr>
                              <w:t xml:space="preserve"> de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A11B23">
                              <w:rPr>
                                <w:lang w:val="en-US"/>
                              </w:rPr>
                              <w:t>in the period of I-</w:t>
                            </w:r>
                            <w:r w:rsidR="003029E3">
                              <w:rPr>
                                <w:lang w:val="en-US"/>
                              </w:rPr>
                              <w:t>IX</w:t>
                            </w:r>
                            <w:r w:rsidR="00843B16">
                              <w:rPr>
                                <w:lang w:val="en-US"/>
                              </w:rPr>
                              <w:t xml:space="preserve"> 2020 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3D5833">
                              <w:rPr>
                                <w:lang w:val="en-US"/>
                              </w:rPr>
                              <w:t>4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>.</w:t>
                            </w:r>
                            <w:r w:rsidR="00135E5C">
                              <w:rPr>
                                <w:lang w:val="en-US"/>
                              </w:rPr>
                              <w:t>6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31" type="#_x0000_t202" style="position:absolute;margin-left:442.8pt;margin-top:18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" filled="f" stroked="f" strokeweight=".5pt">
                <v:textbox>
                  <w:txbxContent>
                    <w:p w14:paraId="35DCCB4E" w14:textId="765A74F3" w:rsidR="003A7E95" w:rsidRPr="00AD1492" w:rsidRDefault="000348CC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</w:t>
                      </w:r>
                      <w:r w:rsidR="003A7E95">
                        <w:rPr>
                          <w:lang w:val="en-US"/>
                        </w:rPr>
                        <w:t>umber of d</w:t>
                      </w:r>
                      <w:r w:rsidR="003A7E95" w:rsidRPr="004C57EC">
                        <w:rPr>
                          <w:lang w:val="en-US"/>
                        </w:rPr>
                        <w:t>wellings for which permits have been grante</w:t>
                      </w:r>
                      <w:r w:rsidR="003A7E95">
                        <w:rPr>
                          <w:lang w:val="en-US"/>
                        </w:rPr>
                        <w:t xml:space="preserve">d or which have been registered </w:t>
                      </w:r>
                      <w:r w:rsidR="003A7E95" w:rsidRPr="004C57EC">
                        <w:rPr>
                          <w:lang w:val="en-US"/>
                        </w:rPr>
                        <w:t>with a construction project</w:t>
                      </w:r>
                      <w:r w:rsidR="00843B16">
                        <w:rPr>
                          <w:lang w:val="en-US"/>
                        </w:rPr>
                        <w:t xml:space="preserve"> de</w:t>
                      </w:r>
                      <w:r w:rsidR="003A7E95" w:rsidRPr="00AD1492">
                        <w:rPr>
                          <w:lang w:val="en-US"/>
                        </w:rPr>
                        <w:t xml:space="preserve">creased </w:t>
                      </w:r>
                      <w:r w:rsidR="00A11B23">
                        <w:rPr>
                          <w:lang w:val="en-US"/>
                        </w:rPr>
                        <w:t>in the period of I-</w:t>
                      </w:r>
                      <w:r w:rsidR="003029E3">
                        <w:rPr>
                          <w:lang w:val="en-US"/>
                        </w:rPr>
                        <w:t>IX</w:t>
                      </w:r>
                      <w:r w:rsidR="00843B16">
                        <w:rPr>
                          <w:lang w:val="en-US"/>
                        </w:rPr>
                        <w:t xml:space="preserve"> 2020 </w:t>
                      </w:r>
                      <w:r w:rsidR="003A7E95" w:rsidRPr="00AD1492">
                        <w:rPr>
                          <w:lang w:val="en-US"/>
                        </w:rPr>
                        <w:t xml:space="preserve">by </w:t>
                      </w:r>
                      <w:r w:rsidR="003D5833">
                        <w:rPr>
                          <w:lang w:val="en-US"/>
                        </w:rPr>
                        <w:t>4</w:t>
                      </w:r>
                      <w:r w:rsidR="003A7E95" w:rsidRPr="00AD1492">
                        <w:rPr>
                          <w:lang w:val="en-US"/>
                        </w:rPr>
                        <w:t>.</w:t>
                      </w:r>
                      <w:r w:rsidR="00135E5C">
                        <w:rPr>
                          <w:lang w:val="en-US"/>
                        </w:rPr>
                        <w:t>6</w:t>
                      </w:r>
                      <w:r w:rsidR="003A7E95"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6EB9"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05B6C233" w:rsidR="00C47CE4" w:rsidRPr="004829B9" w:rsidRDefault="00BD1D77" w:rsidP="00896EB9">
      <w:pPr>
        <w:rPr>
          <w:b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t xml:space="preserve">In </w:t>
      </w:r>
      <w:r w:rsidR="0058073C" w:rsidRPr="004829B9">
        <w:rPr>
          <w:szCs w:val="19"/>
          <w:shd w:val="clear" w:color="auto" w:fill="FFFFFF"/>
          <w:lang w:val="en-GB"/>
        </w:rPr>
        <w:t xml:space="preserve">the first </w:t>
      </w:r>
      <w:r w:rsidR="0025490E">
        <w:rPr>
          <w:szCs w:val="19"/>
          <w:shd w:val="clear" w:color="auto" w:fill="FFFFFF"/>
          <w:lang w:val="en-GB"/>
        </w:rPr>
        <w:t>nine</w:t>
      </w:r>
      <w:r w:rsidR="0058073C" w:rsidRPr="004829B9">
        <w:rPr>
          <w:szCs w:val="19"/>
          <w:shd w:val="clear" w:color="auto" w:fill="FFFFFF"/>
          <w:lang w:val="en-GB"/>
        </w:rPr>
        <w:t xml:space="preserve"> months of</w:t>
      </w:r>
      <w:r w:rsidR="0044258C" w:rsidRPr="004829B9">
        <w:rPr>
          <w:szCs w:val="19"/>
          <w:shd w:val="clear" w:color="auto" w:fill="FFFFFF"/>
          <w:lang w:val="en-GB"/>
        </w:rPr>
        <w:t xml:space="preserve"> 2020</w:t>
      </w:r>
      <w:r w:rsidR="000348CC">
        <w:rPr>
          <w:szCs w:val="19"/>
          <w:shd w:val="clear" w:color="auto" w:fill="FFFFFF"/>
          <w:lang w:val="en-GB"/>
        </w:rPr>
        <w:t>,</w:t>
      </w:r>
      <w:r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 w:rsidR="0025490E">
        <w:rPr>
          <w:shd w:val="clear" w:color="auto" w:fill="FFFFFF"/>
          <w:lang w:val="en-GB"/>
        </w:rPr>
        <w:t>191</w:t>
      </w:r>
      <w:r w:rsidR="00F06543" w:rsidRPr="004829B9">
        <w:rPr>
          <w:shd w:val="clear" w:color="auto" w:fill="FFFFFF"/>
          <w:lang w:val="en-GB"/>
        </w:rPr>
        <w:t>.</w:t>
      </w:r>
      <w:r w:rsidR="0025490E">
        <w:rPr>
          <w:shd w:val="clear" w:color="auto" w:fill="FFFFFF"/>
          <w:lang w:val="en-GB"/>
        </w:rPr>
        <w:t>8</w:t>
      </w:r>
      <w:r w:rsidR="00086F9F" w:rsidRPr="004829B9">
        <w:rPr>
          <w:shd w:val="clear" w:color="auto" w:fill="FFFFFF"/>
          <w:lang w:val="en-GB"/>
        </w:rPr>
        <w:t xml:space="preserve"> 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167EED">
        <w:rPr>
          <w:shd w:val="clear" w:color="auto" w:fill="FFFFFF"/>
          <w:lang w:val="en-GB"/>
        </w:rPr>
        <w:t>4</w:t>
      </w:r>
      <w:r w:rsidR="00E245E1" w:rsidRPr="004829B9">
        <w:rPr>
          <w:shd w:val="clear" w:color="auto" w:fill="FFFFFF"/>
          <w:lang w:val="en-GB"/>
        </w:rPr>
        <w:t>.</w:t>
      </w:r>
      <w:r w:rsidR="00467905">
        <w:rPr>
          <w:shd w:val="clear" w:color="auto" w:fill="FFFFFF"/>
          <w:lang w:val="en-GB"/>
        </w:rPr>
        <w:t>6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11391E">
        <w:rPr>
          <w:shd w:val="clear" w:color="auto" w:fill="FFFFFF"/>
          <w:lang w:val="en-GB"/>
        </w:rPr>
        <w:t>less</w:t>
      </w:r>
      <w:r w:rsidR="00C47CE4" w:rsidRPr="004829B9">
        <w:rPr>
          <w:shd w:val="clear" w:color="auto" w:fill="FFFFFF"/>
          <w:lang w:val="en-GB"/>
        </w:rPr>
        <w:t xml:space="preserve"> than in the corres</w:t>
      </w:r>
      <w:r w:rsidR="00856FE3" w:rsidRPr="004829B9">
        <w:rPr>
          <w:shd w:val="clear" w:color="auto" w:fill="FFFFFF"/>
          <w:lang w:val="en-GB"/>
        </w:rPr>
        <w:t xml:space="preserve">ponding </w:t>
      </w:r>
      <w:r w:rsidR="0058073C" w:rsidRPr="004829B9">
        <w:rPr>
          <w:shd w:val="clear" w:color="auto" w:fill="FFFFFF"/>
          <w:lang w:val="en-GB"/>
        </w:rPr>
        <w:t>period</w:t>
      </w:r>
      <w:r w:rsidR="00856FE3" w:rsidRPr="004829B9">
        <w:rPr>
          <w:shd w:val="clear" w:color="auto" w:fill="FFFFFF"/>
          <w:lang w:val="en-GB"/>
        </w:rPr>
        <w:t xml:space="preserve"> of</w:t>
      </w:r>
      <w:r w:rsidR="0044258C" w:rsidRPr="004829B9">
        <w:rPr>
          <w:shd w:val="clear" w:color="auto" w:fill="FFFFFF"/>
          <w:lang w:val="en-GB"/>
        </w:rPr>
        <w:t xml:space="preserve"> 2019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Pr="004829B9">
        <w:rPr>
          <w:shd w:val="clear" w:color="auto" w:fill="FFFFFF"/>
          <w:lang w:val="en-GB"/>
        </w:rPr>
        <w:t>(</w:t>
      </w:r>
      <w:r w:rsidR="0025490E">
        <w:rPr>
          <w:shd w:val="clear" w:color="auto" w:fill="FFFFFF"/>
          <w:lang w:val="en-GB"/>
        </w:rPr>
        <w:t>114.5</w:t>
      </w:r>
      <w:r w:rsidR="000E65E1" w:rsidRPr="004829B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E3A83">
        <w:rPr>
          <w:shd w:val="clear" w:color="auto" w:fill="FFFFFF"/>
          <w:lang w:val="en-GB"/>
        </w:rPr>
        <w:t>, a decrease of 7.0% y/y</w:t>
      </w:r>
      <w:r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Pr="004829B9">
        <w:rPr>
          <w:shd w:val="clear" w:color="auto" w:fill="FFFFFF"/>
          <w:lang w:val="en-GB"/>
        </w:rPr>
        <w:t xml:space="preserve"> (</w:t>
      </w:r>
      <w:r w:rsidR="0025490E">
        <w:rPr>
          <w:shd w:val="clear" w:color="auto" w:fill="FFFFFF"/>
          <w:lang w:val="en-GB"/>
        </w:rPr>
        <w:t>75.0</w:t>
      </w:r>
      <w:r w:rsidR="00086F9F" w:rsidRPr="004829B9">
        <w:rPr>
          <w:shd w:val="clear" w:color="auto" w:fill="FFFFFF"/>
          <w:lang w:val="en-GB"/>
        </w:rPr>
        <w:t xml:space="preserve"> thous</w:t>
      </w:r>
      <w:r w:rsidR="000348CC">
        <w:rPr>
          <w:shd w:val="clear" w:color="auto" w:fill="FFFFFF"/>
          <w:lang w:val="en-GB"/>
        </w:rPr>
        <w:t>and</w:t>
      </w:r>
      <w:r w:rsidR="00FE3A83">
        <w:rPr>
          <w:shd w:val="clear" w:color="auto" w:fill="FFFFFF"/>
          <w:lang w:val="en-GB"/>
        </w:rPr>
        <w:t>, an increase of 0.3</w:t>
      </w:r>
      <w:r w:rsidR="00FE3A83" w:rsidRPr="00B7342E">
        <w:rPr>
          <w:shd w:val="clear" w:color="auto" w:fill="FFFFFF"/>
          <w:lang w:val="en-GB"/>
        </w:rPr>
        <w:t>%</w:t>
      </w:r>
      <w:r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3D5833">
        <w:rPr>
          <w:shd w:val="clear" w:color="auto" w:fill="FFFFFF"/>
          <w:lang w:val="en-GB"/>
        </w:rPr>
        <w:t xml:space="preserve"> 98</w:t>
      </w:r>
      <w:r w:rsidR="001A1F89" w:rsidRPr="004829B9">
        <w:rPr>
          <w:shd w:val="clear" w:color="auto" w:fill="FFFFFF"/>
          <w:lang w:val="en-GB"/>
        </w:rPr>
        <w:t>.</w:t>
      </w:r>
      <w:r w:rsidR="003029E3">
        <w:rPr>
          <w:shd w:val="clear" w:color="auto" w:fill="FFFFFF"/>
          <w:lang w:val="en-GB"/>
        </w:rPr>
        <w:t>8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D30D2" w:rsidRPr="004829B9">
        <w:rPr>
          <w:shd w:val="clear" w:color="auto" w:fill="FFFFFF"/>
          <w:lang w:val="en-GB"/>
        </w:rPr>
        <w:t>Less</w:t>
      </w:r>
      <w:r w:rsidR="00507D43" w:rsidRPr="004829B9">
        <w:rPr>
          <w:shd w:val="clear" w:color="auto" w:fill="FFFFFF"/>
          <w:lang w:val="en-GB"/>
        </w:rPr>
        <w:t xml:space="preserve"> dwellings</w:t>
      </w:r>
      <w:r w:rsidR="00507D43" w:rsidRPr="004829B9">
        <w:rPr>
          <w:lang w:val="en-GB"/>
        </w:rPr>
        <w:t xml:space="preserve"> </w:t>
      </w:r>
      <w:r w:rsidR="00CE0F21" w:rsidRPr="004829B9">
        <w:rPr>
          <w:lang w:val="en-GB"/>
        </w:rPr>
        <w:t xml:space="preserve">than in </w:t>
      </w:r>
      <w:r w:rsidR="00527B0C" w:rsidRPr="004829B9">
        <w:rPr>
          <w:lang w:val="en-GB"/>
        </w:rPr>
        <w:t>the</w:t>
      </w:r>
      <w:r w:rsidR="00CE0F21" w:rsidRPr="004829B9">
        <w:rPr>
          <w:lang w:val="en-GB"/>
        </w:rPr>
        <w:t xml:space="preserve"> </w:t>
      </w:r>
      <w:r w:rsidR="00527B0C" w:rsidRPr="004829B9">
        <w:rPr>
          <w:lang w:val="en-GB"/>
        </w:rPr>
        <w:t>corresponding period of 2019</w:t>
      </w:r>
      <w:r w:rsidR="00CE0F21" w:rsidRPr="004829B9">
        <w:rPr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 xml:space="preserve">ed </w:t>
      </w:r>
      <w:r w:rsidR="006A0E22" w:rsidRPr="004829B9">
        <w:rPr>
          <w:shd w:val="clear" w:color="auto" w:fill="FFFFFF"/>
          <w:lang w:val="en-GB"/>
        </w:rPr>
        <w:t xml:space="preserve">in </w:t>
      </w:r>
      <w:r w:rsidR="00BD601A" w:rsidRPr="004829B9">
        <w:rPr>
          <w:shd w:val="clear" w:color="auto" w:fill="FFFFFF"/>
          <w:lang w:val="en-GB"/>
        </w:rPr>
        <w:t>the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BD601A" w:rsidRPr="004829B9">
        <w:rPr>
          <w:b/>
          <w:shd w:val="clear" w:color="auto" w:fill="FFFFFF"/>
          <w:lang w:val="en-GB"/>
        </w:rPr>
        <w:t xml:space="preserve">cooperative </w:t>
      </w:r>
      <w:r w:rsidR="00BD601A" w:rsidRPr="004829B9">
        <w:rPr>
          <w:shd w:val="clear" w:color="auto" w:fill="FFFFFF"/>
          <w:lang w:val="en-GB"/>
        </w:rPr>
        <w:t>construction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983BE8" w:rsidRPr="004829B9">
        <w:rPr>
          <w:shd w:val="clear" w:color="auto" w:fill="FFFFFF"/>
          <w:lang w:val="en-GB"/>
        </w:rPr>
        <w:t>(</w:t>
      </w:r>
      <w:r w:rsidR="00135E5C">
        <w:rPr>
          <w:shd w:val="clear" w:color="auto" w:fill="FFFFFF"/>
          <w:lang w:val="en-GB"/>
        </w:rPr>
        <w:t xml:space="preserve">1 </w:t>
      </w:r>
      <w:r w:rsidR="003029E3">
        <w:rPr>
          <w:shd w:val="clear" w:color="auto" w:fill="FFFFFF"/>
          <w:lang w:val="en-GB"/>
        </w:rPr>
        <w:t>126</w:t>
      </w:r>
      <w:r w:rsidR="00F06543" w:rsidRPr="004829B9">
        <w:rPr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dwellings </w:t>
      </w:r>
      <w:r w:rsidR="00C47CE4" w:rsidRPr="004829B9">
        <w:rPr>
          <w:shd w:val="clear" w:color="auto" w:fill="FFFFFF"/>
          <w:lang w:val="en-GB"/>
        </w:rPr>
        <w:t xml:space="preserve">against </w:t>
      </w:r>
      <w:r w:rsidR="00135E5C">
        <w:rPr>
          <w:shd w:val="clear" w:color="auto" w:fill="FFFFFF"/>
          <w:lang w:val="en-GB"/>
        </w:rPr>
        <w:t xml:space="preserve">1 </w:t>
      </w:r>
      <w:r w:rsidR="003029E3">
        <w:rPr>
          <w:shd w:val="clear" w:color="auto" w:fill="FFFFFF"/>
          <w:lang w:val="en-GB"/>
        </w:rPr>
        <w:t>255</w:t>
      </w:r>
      <w:r w:rsidR="00AD30D2" w:rsidRPr="004829B9">
        <w:rPr>
          <w:shd w:val="clear" w:color="auto" w:fill="FFFFFF"/>
          <w:lang w:val="en-GB"/>
        </w:rPr>
        <w:t>) and</w:t>
      </w:r>
      <w:r w:rsidR="00C47CE4" w:rsidRPr="004829B9">
        <w:rPr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in </w:t>
      </w:r>
      <w:r w:rsidR="00704521" w:rsidRPr="004829B9">
        <w:rPr>
          <w:b/>
          <w:shd w:val="clear" w:color="auto" w:fill="FFFFFF"/>
          <w:lang w:val="en-GB"/>
        </w:rPr>
        <w:t xml:space="preserve">other forms </w:t>
      </w:r>
      <w:r w:rsidR="00704521" w:rsidRPr="004829B9">
        <w:rPr>
          <w:shd w:val="clear" w:color="auto" w:fill="FFFFFF"/>
          <w:lang w:val="en-GB"/>
        </w:rPr>
        <w:t>of</w:t>
      </w:r>
      <w:r w:rsidR="00704521" w:rsidRPr="004829B9">
        <w:rPr>
          <w:b/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construction </w:t>
      </w:r>
      <w:r w:rsidR="00616583" w:rsidRPr="004829B9">
        <w:rPr>
          <w:shd w:val="clear" w:color="auto" w:fill="FFFFFF"/>
          <w:lang w:val="en-GB"/>
        </w:rPr>
        <w:t>(</w:t>
      </w:r>
      <w:r w:rsidR="00135E5C">
        <w:rPr>
          <w:shd w:val="clear" w:color="auto" w:fill="FFFFFF"/>
          <w:lang w:val="en-GB"/>
        </w:rPr>
        <w:t xml:space="preserve">1 </w:t>
      </w:r>
      <w:r w:rsidR="003029E3">
        <w:rPr>
          <w:shd w:val="clear" w:color="auto" w:fill="FFFFFF"/>
          <w:lang w:val="en-GB"/>
        </w:rPr>
        <w:t>118</w:t>
      </w:r>
      <w:r w:rsidR="00843B16" w:rsidRPr="00843B16">
        <w:rPr>
          <w:shd w:val="clear" w:color="auto" w:fill="FFFFFF"/>
          <w:lang w:val="en-GB"/>
        </w:rPr>
        <w:t> </w:t>
      </w:r>
      <w:r w:rsidR="00616583" w:rsidRPr="004829B9">
        <w:rPr>
          <w:shd w:val="clear" w:color="auto" w:fill="FFFFFF"/>
          <w:lang w:val="en-GB"/>
        </w:rPr>
        <w:t>dwellings</w:t>
      </w:r>
      <w:r w:rsidR="00611CFA" w:rsidRPr="004829B9">
        <w:rPr>
          <w:shd w:val="clear" w:color="auto" w:fill="FFFFFF"/>
          <w:lang w:val="en-GB"/>
        </w:rPr>
        <w:t xml:space="preserve"> against </w:t>
      </w:r>
      <w:r w:rsidR="00A11B23">
        <w:rPr>
          <w:shd w:val="clear" w:color="auto" w:fill="FFFFFF"/>
          <w:lang w:val="en-GB"/>
        </w:rPr>
        <w:t xml:space="preserve">1 </w:t>
      </w:r>
      <w:r w:rsidR="003029E3">
        <w:rPr>
          <w:shd w:val="clear" w:color="auto" w:fill="FFFFFF"/>
          <w:lang w:val="en-GB"/>
        </w:rPr>
        <w:t>913</w:t>
      </w:r>
      <w:r w:rsidR="00616583" w:rsidRPr="004829B9">
        <w:rPr>
          <w:shd w:val="clear" w:color="auto" w:fill="FFFFFF"/>
          <w:lang w:val="en-GB"/>
        </w:rPr>
        <w:t>).</w:t>
      </w:r>
    </w:p>
    <w:p w14:paraId="073E70B2" w14:textId="77777777" w:rsidR="00896EB9" w:rsidRPr="004829B9" w:rsidRDefault="00896EB9" w:rsidP="001C5029">
      <w:pPr>
        <w:pStyle w:val="tytuwykresu"/>
        <w:ind w:left="851" w:hanging="851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137"/>
        <w:gridCol w:w="1276"/>
      </w:tblGrid>
      <w:tr w:rsidR="00527B0C" w:rsidRPr="004829B9" w14:paraId="6C27979C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01761131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297E44F1" w14:textId="77777777" w:rsidR="00527B0C" w:rsidRPr="004829B9" w:rsidRDefault="00527B0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527B0C" w:rsidRPr="004829B9" w14:paraId="7CB3A9FD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45F01AA5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73AFB71" w14:textId="57317A3B" w:rsidR="00527B0C" w:rsidRPr="004829B9" w:rsidRDefault="004B68F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1CCCED2D" w14:textId="176A5C65" w:rsidR="00527B0C" w:rsidRPr="004829B9" w:rsidRDefault="00B05C6B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135E5C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4B68FC">
              <w:rPr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527B0C" w:rsidRPr="004829B9" w14:paraId="3B47338A" w14:textId="77777777" w:rsidTr="00314007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38D5C87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1236635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614DDD0" w14:textId="2384903C" w:rsidR="00527B0C" w:rsidRPr="004829B9" w:rsidRDefault="004B68F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IX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98E573E" w14:textId="2F9E0698" w:rsidR="00527B0C" w:rsidRPr="004829B9" w:rsidRDefault="00A11B2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135E5C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4B68FC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3D5833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137" w:type="dxa"/>
            <w:tcBorders>
              <w:bottom w:val="single" w:sz="12" w:space="0" w:color="212492"/>
            </w:tcBorders>
            <w:vAlign w:val="center"/>
          </w:tcPr>
          <w:p w14:paraId="44B5C7D4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0CBFF5D9" w14:textId="747468EB" w:rsidR="00527B0C" w:rsidRPr="004829B9" w:rsidRDefault="005B5EB4" w:rsidP="003B05C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BD1222">
              <w:rPr>
                <w:color w:val="000000" w:themeColor="text1"/>
                <w:sz w:val="16"/>
                <w:szCs w:val="16"/>
                <w:lang w:val="en-GB"/>
              </w:rPr>
              <w:t>IX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3029E3" w:rsidRPr="004829B9" w14:paraId="6C403ECE" w14:textId="77777777" w:rsidTr="00314007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910755" w14:textId="77777777" w:rsidR="003029E3" w:rsidRPr="004829B9" w:rsidRDefault="003029E3" w:rsidP="003029E3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7D30553" w14:textId="14CDDEE8" w:rsidR="003029E3" w:rsidRPr="004829B9" w:rsidRDefault="003029E3" w:rsidP="003029E3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23 512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57FF288" w14:textId="67C9D38F" w:rsidR="003029E3" w:rsidRPr="004829B9" w:rsidRDefault="003029E3" w:rsidP="003029E3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95.0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88819C7" w14:textId="07E23158" w:rsidR="003029E3" w:rsidRPr="004829B9" w:rsidRDefault="003029E3" w:rsidP="003029E3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110.6</w:t>
            </w:r>
          </w:p>
        </w:tc>
        <w:tc>
          <w:tcPr>
            <w:tcW w:w="1137" w:type="dxa"/>
            <w:tcBorders>
              <w:top w:val="single" w:sz="12" w:space="0" w:color="212492"/>
            </w:tcBorders>
            <w:vAlign w:val="center"/>
          </w:tcPr>
          <w:p w14:paraId="4851E758" w14:textId="54A84E4D" w:rsidR="003029E3" w:rsidRPr="004829B9" w:rsidRDefault="003029E3" w:rsidP="003029E3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191 766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09250512" w14:textId="66B41EAC" w:rsidR="003029E3" w:rsidRPr="004829B9" w:rsidRDefault="003029E3" w:rsidP="003029E3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95.4</w:t>
            </w:r>
          </w:p>
        </w:tc>
      </w:tr>
      <w:tr w:rsidR="003029E3" w:rsidRPr="004829B9" w14:paraId="24875DB4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7B658AC" w14:textId="77777777" w:rsidR="003029E3" w:rsidRPr="004829B9" w:rsidRDefault="003029E3" w:rsidP="003029E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2974B7CC" w14:textId="0C143521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9 485</w:t>
            </w:r>
          </w:p>
        </w:tc>
        <w:tc>
          <w:tcPr>
            <w:tcW w:w="1206" w:type="dxa"/>
            <w:vAlign w:val="center"/>
          </w:tcPr>
          <w:p w14:paraId="7DBBC394" w14:textId="7C5D3F66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116.9</w:t>
            </w:r>
          </w:p>
        </w:tc>
        <w:tc>
          <w:tcPr>
            <w:tcW w:w="1206" w:type="dxa"/>
            <w:vAlign w:val="center"/>
          </w:tcPr>
          <w:p w14:paraId="274B06FE" w14:textId="096FD1EB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110.9</w:t>
            </w:r>
          </w:p>
        </w:tc>
        <w:tc>
          <w:tcPr>
            <w:tcW w:w="1137" w:type="dxa"/>
            <w:vAlign w:val="center"/>
          </w:tcPr>
          <w:p w14:paraId="04580C6D" w14:textId="6068978A" w:rsidR="003029E3" w:rsidRPr="004829B9" w:rsidRDefault="003029E3" w:rsidP="003029E3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75 042</w:t>
            </w:r>
          </w:p>
        </w:tc>
        <w:tc>
          <w:tcPr>
            <w:tcW w:w="1276" w:type="dxa"/>
            <w:vAlign w:val="center"/>
          </w:tcPr>
          <w:p w14:paraId="40E17662" w14:textId="3444C662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100.3</w:t>
            </w:r>
          </w:p>
        </w:tc>
      </w:tr>
      <w:tr w:rsidR="003029E3" w:rsidRPr="004829B9" w14:paraId="5C22900A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8227C88" w14:textId="77777777" w:rsidR="003029E3" w:rsidRPr="004829B9" w:rsidRDefault="003029E3" w:rsidP="003029E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5E106BCF" w14:textId="7B1ACAC2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13 903</w:t>
            </w:r>
          </w:p>
        </w:tc>
        <w:tc>
          <w:tcPr>
            <w:tcW w:w="1206" w:type="dxa"/>
            <w:vAlign w:val="center"/>
          </w:tcPr>
          <w:p w14:paraId="3704CE86" w14:textId="25514D46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84.5</w:t>
            </w:r>
          </w:p>
        </w:tc>
        <w:tc>
          <w:tcPr>
            <w:tcW w:w="1206" w:type="dxa"/>
            <w:vAlign w:val="center"/>
          </w:tcPr>
          <w:p w14:paraId="4E73BADA" w14:textId="7BA345EF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113.2</w:t>
            </w:r>
          </w:p>
        </w:tc>
        <w:tc>
          <w:tcPr>
            <w:tcW w:w="1137" w:type="dxa"/>
            <w:vAlign w:val="center"/>
          </w:tcPr>
          <w:p w14:paraId="48D424AC" w14:textId="13E96279" w:rsidR="003029E3" w:rsidRPr="004829B9" w:rsidRDefault="003029E3" w:rsidP="003029E3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114 480</w:t>
            </w:r>
          </w:p>
        </w:tc>
        <w:tc>
          <w:tcPr>
            <w:tcW w:w="1276" w:type="dxa"/>
            <w:vAlign w:val="center"/>
          </w:tcPr>
          <w:p w14:paraId="0D8FAE68" w14:textId="15799207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93.0</w:t>
            </w:r>
          </w:p>
        </w:tc>
      </w:tr>
      <w:tr w:rsidR="003029E3" w:rsidRPr="004829B9" w14:paraId="0BA3DFDA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4FCBBAE" w14:textId="77777777" w:rsidR="003029E3" w:rsidRPr="004829B9" w:rsidRDefault="003029E3" w:rsidP="003029E3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EB8D933" w14:textId="52007599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1206" w:type="dxa"/>
            <w:vAlign w:val="center"/>
          </w:tcPr>
          <w:p w14:paraId="7471754E" w14:textId="2CD173C5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33.3</w:t>
            </w:r>
          </w:p>
        </w:tc>
        <w:tc>
          <w:tcPr>
            <w:tcW w:w="1206" w:type="dxa"/>
            <w:vAlign w:val="center"/>
          </w:tcPr>
          <w:p w14:paraId="1916C83A" w14:textId="52B87AE0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10.5</w:t>
            </w:r>
          </w:p>
        </w:tc>
        <w:tc>
          <w:tcPr>
            <w:tcW w:w="1137" w:type="dxa"/>
            <w:vAlign w:val="center"/>
          </w:tcPr>
          <w:p w14:paraId="1A0C182A" w14:textId="3B1AD0E8" w:rsidR="003029E3" w:rsidRPr="004829B9" w:rsidRDefault="003029E3" w:rsidP="003029E3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1 126</w:t>
            </w:r>
          </w:p>
        </w:tc>
        <w:tc>
          <w:tcPr>
            <w:tcW w:w="1276" w:type="dxa"/>
            <w:vAlign w:val="center"/>
          </w:tcPr>
          <w:p w14:paraId="5D07B47C" w14:textId="04655805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89.7</w:t>
            </w:r>
          </w:p>
        </w:tc>
      </w:tr>
      <w:tr w:rsidR="003029E3" w:rsidRPr="004829B9" w14:paraId="628C62B9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8CF69C4" w14:textId="77777777" w:rsidR="003029E3" w:rsidRPr="004829B9" w:rsidRDefault="003029E3" w:rsidP="003029E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38194731" w14:textId="75749C6D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14:paraId="3CCCE51D" w14:textId="5FBC3A91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1206" w:type="dxa"/>
            <w:vAlign w:val="center"/>
          </w:tcPr>
          <w:p w14:paraId="1B7E59DC" w14:textId="0B924393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1137" w:type="dxa"/>
            <w:vAlign w:val="center"/>
          </w:tcPr>
          <w:p w14:paraId="594A1BF8" w14:textId="7FB212D2" w:rsidR="003029E3" w:rsidRPr="004829B9" w:rsidRDefault="003029E3" w:rsidP="003029E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576</w:t>
            </w:r>
          </w:p>
        </w:tc>
        <w:tc>
          <w:tcPr>
            <w:tcW w:w="1276" w:type="dxa"/>
            <w:vAlign w:val="center"/>
          </w:tcPr>
          <w:p w14:paraId="0B1FEB23" w14:textId="5A26FE78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55.0</w:t>
            </w:r>
          </w:p>
        </w:tc>
      </w:tr>
      <w:tr w:rsidR="003029E3" w:rsidRPr="004829B9" w14:paraId="4A550582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EB43836" w14:textId="77777777" w:rsidR="003029E3" w:rsidRPr="004829B9" w:rsidRDefault="003029E3" w:rsidP="003029E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22DD43C4" w14:textId="5039987F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1206" w:type="dxa"/>
            <w:vAlign w:val="center"/>
          </w:tcPr>
          <w:p w14:paraId="1D7D6902" w14:textId="04FB3150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272.7</w:t>
            </w:r>
          </w:p>
        </w:tc>
        <w:tc>
          <w:tcPr>
            <w:tcW w:w="1206" w:type="dxa"/>
            <w:vAlign w:val="center"/>
          </w:tcPr>
          <w:p w14:paraId="6F322B0B" w14:textId="2F75F6BA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375.0</w:t>
            </w:r>
          </w:p>
        </w:tc>
        <w:tc>
          <w:tcPr>
            <w:tcW w:w="1137" w:type="dxa"/>
            <w:vAlign w:val="center"/>
          </w:tcPr>
          <w:p w14:paraId="72AA4379" w14:textId="7D57310C" w:rsidR="003029E3" w:rsidRPr="004829B9" w:rsidRDefault="003029E3" w:rsidP="003029E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vAlign w:val="center"/>
          </w:tcPr>
          <w:p w14:paraId="08EB6A2D" w14:textId="2150D21D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85.0</w:t>
            </w:r>
          </w:p>
        </w:tc>
      </w:tr>
      <w:tr w:rsidR="003029E3" w:rsidRPr="004829B9" w14:paraId="1119B492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3AC118CE" w14:textId="77777777" w:rsidR="003029E3" w:rsidRPr="004829B9" w:rsidRDefault="003029E3" w:rsidP="003029E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1CE162BE" w14:textId="1F69733E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0D95C694" w14:textId="0AD4501C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5EFCE0B" w14:textId="61F593E1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7" w:type="dxa"/>
            <w:vAlign w:val="center"/>
          </w:tcPr>
          <w:p w14:paraId="1BC05144" w14:textId="4D2C866C" w:rsidR="003029E3" w:rsidRPr="004829B9" w:rsidRDefault="003029E3" w:rsidP="003029E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3BFA6C4E" w14:textId="7BB8E969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0.9</w:t>
            </w:r>
          </w:p>
        </w:tc>
      </w:tr>
    </w:tbl>
    <w:p w14:paraId="2230FC6A" w14:textId="77777777" w:rsidR="00896EB9" w:rsidRPr="004829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4829B9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716EB0AD" w:rsidR="00095A18" w:rsidRPr="004829B9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527B0C" w:rsidRPr="004829B9">
        <w:rPr>
          <w:b w:val="0"/>
          <w:sz w:val="19"/>
          <w:szCs w:val="19"/>
          <w:shd w:val="clear" w:color="auto" w:fill="FFFFFF"/>
          <w:lang w:val="en-GB"/>
        </w:rPr>
        <w:t>the period of January-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>September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 xml:space="preserve"> 2020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>167.3</w:t>
      </w:r>
      <w:r w:rsidR="00A3375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>6.2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2019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>93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3D5833">
        <w:rPr>
          <w:b w:val="0"/>
          <w:sz w:val="19"/>
          <w:szCs w:val="19"/>
          <w:shd w:val="clear" w:color="auto" w:fill="FFFFFF"/>
          <w:lang w:val="en-GB"/>
        </w:rPr>
        <w:t>8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>8.3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% less than in 2019)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>70</w:t>
      </w:r>
      <w:r w:rsidR="00C57EF3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>8</w:t>
      </w:r>
      <w:r w:rsidR="00885F42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5B093B">
        <w:rPr>
          <w:b w:val="0"/>
          <w:sz w:val="19"/>
          <w:szCs w:val="19"/>
          <w:shd w:val="clear" w:color="auto" w:fill="FFFFFF"/>
          <w:lang w:val="en-GB"/>
        </w:rPr>
        <w:t>a decrease of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2.4</w:t>
      </w:r>
      <w:r w:rsid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)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,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6590" w:rsidRPr="004829B9">
        <w:rPr>
          <w:b w:val="0"/>
          <w:sz w:val="19"/>
          <w:szCs w:val="19"/>
          <w:shd w:val="clear" w:color="auto" w:fill="FFFFFF"/>
          <w:lang w:val="en-GB"/>
        </w:rPr>
        <w:t xml:space="preserve">i.e.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altogether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B68FC" w:rsidRPr="00314007">
        <w:rPr>
          <w:b w:val="0"/>
          <w:sz w:val="19"/>
          <w:szCs w:val="19"/>
          <w:shd w:val="clear" w:color="auto" w:fill="FFFFFF"/>
          <w:lang w:val="en-GB"/>
        </w:rPr>
        <w:t>98,4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95E14" w:rsidRPr="004829B9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 w:rsidRPr="004829B9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 xml:space="preserve">1 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>273</w:t>
      </w:r>
      <w:r w:rsidR="000E65E1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 xml:space="preserve">1 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>550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F74F0">
        <w:rPr>
          <w:b w:val="0"/>
          <w:sz w:val="19"/>
          <w:szCs w:val="19"/>
          <w:shd w:val="clear" w:color="auto" w:fill="FFFFFF"/>
          <w:lang w:val="en-GB"/>
        </w:rPr>
        <w:t xml:space="preserve"> and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676177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D5465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 xml:space="preserve">1 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>457</w:t>
      </w:r>
      <w:r w:rsidR="003D5833" w:rsidRPr="003D5833">
        <w:rPr>
          <w:b w:val="0"/>
          <w:sz w:val="19"/>
          <w:szCs w:val="19"/>
          <w:shd w:val="clear" w:color="auto" w:fill="FFFFFF"/>
          <w:lang w:val="en-GB"/>
        </w:rPr>
        <w:t> 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>2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>083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).</w:t>
      </w:r>
    </w:p>
    <w:p w14:paraId="49780DA7" w14:textId="77777777" w:rsidR="00B4601E" w:rsidRPr="004829B9" w:rsidRDefault="00B4601E" w:rsidP="00CF36C5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0013A9" w:rsidRPr="004829B9" w14:paraId="581AD620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1DB08E6C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1954750B" w14:textId="77777777" w:rsidR="000013A9" w:rsidRPr="004829B9" w:rsidRDefault="000013A9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0013A9" w:rsidRPr="004829B9" w14:paraId="3F568F15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8956D22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37886D38" w14:textId="2F68E542" w:rsidR="000013A9" w:rsidRPr="004829B9" w:rsidRDefault="004B68F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07D2DC35" w14:textId="7E138039" w:rsidR="000013A9" w:rsidRPr="004829B9" w:rsidRDefault="005B5EB4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4B68FC">
              <w:rPr>
                <w:color w:val="000000" w:themeColor="text1"/>
                <w:sz w:val="16"/>
                <w:szCs w:val="16"/>
                <w:lang w:val="en-GB"/>
              </w:rPr>
              <w:t>IX</w:t>
            </w:r>
          </w:p>
        </w:tc>
      </w:tr>
      <w:tr w:rsidR="000013A9" w:rsidRPr="004829B9" w14:paraId="03089097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BBEA73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21E251B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98242DD" w14:textId="54F3A4D1" w:rsidR="000013A9" w:rsidRPr="004829B9" w:rsidRDefault="00AE726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IX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54C121F" w14:textId="2206B74D" w:rsidR="000013A9" w:rsidRPr="004829B9" w:rsidRDefault="005B5EB4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E43CD7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AE726C">
              <w:rPr>
                <w:color w:val="000000" w:themeColor="text1"/>
                <w:sz w:val="16"/>
                <w:szCs w:val="16"/>
                <w:lang w:val="en-GB"/>
              </w:rPr>
              <w:t>II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25FF03A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558FA70D" w14:textId="7883E507" w:rsidR="000013A9" w:rsidRPr="004829B9" w:rsidRDefault="005B5EB4" w:rsidP="000A40D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4B68FC">
              <w:rPr>
                <w:color w:val="000000" w:themeColor="text1"/>
                <w:sz w:val="16"/>
                <w:szCs w:val="16"/>
                <w:lang w:val="en-GB"/>
              </w:rPr>
              <w:t>IX</w:t>
            </w:r>
            <w:r w:rsidR="00F94574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>2019=100</w:t>
            </w:r>
          </w:p>
        </w:tc>
      </w:tr>
      <w:tr w:rsidR="003029E3" w:rsidRPr="004829B9" w14:paraId="6FDD4EF7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7A9FB5C9" w14:textId="77777777" w:rsidR="003029E3" w:rsidRPr="004829B9" w:rsidRDefault="003029E3" w:rsidP="003029E3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C0DE46B" w14:textId="5E0DE6B6" w:rsidR="003029E3" w:rsidRPr="004829B9" w:rsidRDefault="003029E3" w:rsidP="003029E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26 232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C00CC24" w14:textId="5B31554F" w:rsidR="003029E3" w:rsidRPr="004829B9" w:rsidRDefault="00D81B78" w:rsidP="003029E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121.</w:t>
            </w:r>
            <w:r w:rsidR="003029E3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5A450CD" w14:textId="4A12E155" w:rsidR="003029E3" w:rsidRPr="004829B9" w:rsidRDefault="00D81B78" w:rsidP="003029E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134.</w:t>
            </w:r>
            <w:r w:rsidR="003029E3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BBCAC80" w14:textId="0C39D4AC" w:rsidR="003029E3" w:rsidRPr="004829B9" w:rsidRDefault="003029E3" w:rsidP="003029E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167 347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40329725" w14:textId="65BECA97" w:rsidR="003029E3" w:rsidRPr="004829B9" w:rsidRDefault="00D81B78" w:rsidP="003029E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93.</w:t>
            </w:r>
            <w:r w:rsidR="003029E3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3029E3" w:rsidRPr="004829B9" w14:paraId="02B9960F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2B427C" w14:textId="77777777" w:rsidR="003029E3" w:rsidRPr="004829B9" w:rsidRDefault="003029E3" w:rsidP="003029E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EA24020" w14:textId="54B12A5D" w:rsidR="003029E3" w:rsidRPr="004829B9" w:rsidRDefault="003029E3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8 902</w:t>
            </w:r>
          </w:p>
        </w:tc>
        <w:tc>
          <w:tcPr>
            <w:tcW w:w="1206" w:type="dxa"/>
            <w:vAlign w:val="center"/>
          </w:tcPr>
          <w:p w14:paraId="4182E47D" w14:textId="112E64D9" w:rsidR="003029E3" w:rsidRPr="004829B9" w:rsidRDefault="00D81B78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="003029E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55847995" w14:textId="377C6D75" w:rsidR="003029E3" w:rsidRPr="004829B9" w:rsidRDefault="00D81B78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</w:t>
            </w:r>
            <w:r w:rsidR="003029E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563931BA" w14:textId="57CCFD91" w:rsidR="003029E3" w:rsidRPr="004829B9" w:rsidRDefault="003029E3" w:rsidP="003029E3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70 801</w:t>
            </w:r>
          </w:p>
        </w:tc>
        <w:tc>
          <w:tcPr>
            <w:tcW w:w="1207" w:type="dxa"/>
            <w:vAlign w:val="center"/>
          </w:tcPr>
          <w:p w14:paraId="6B359C49" w14:textId="3103D418" w:rsidR="003029E3" w:rsidRPr="004829B9" w:rsidRDefault="00D81B78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97.</w:t>
            </w:r>
            <w:r w:rsidR="003029E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3029E3" w:rsidRPr="004829B9" w14:paraId="16E631E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4BE628A" w14:textId="77777777" w:rsidR="003029E3" w:rsidRPr="004829B9" w:rsidRDefault="003029E3" w:rsidP="003029E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36D71E9A" w14:textId="2D9D457C" w:rsidR="003029E3" w:rsidRPr="004829B9" w:rsidRDefault="003029E3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17 007</w:t>
            </w:r>
          </w:p>
        </w:tc>
        <w:tc>
          <w:tcPr>
            <w:tcW w:w="1206" w:type="dxa"/>
            <w:vAlign w:val="center"/>
          </w:tcPr>
          <w:p w14:paraId="75BDDBF3" w14:textId="08E8B1F4" w:rsidR="003029E3" w:rsidRPr="004829B9" w:rsidRDefault="00D81B78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135.</w:t>
            </w:r>
            <w:r w:rsidR="003029E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14:paraId="0FABE999" w14:textId="358CEB27" w:rsidR="003029E3" w:rsidRPr="004829B9" w:rsidRDefault="00D81B78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155.</w:t>
            </w:r>
            <w:r w:rsidR="003029E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14:paraId="512D50D9" w14:textId="5687DA6C" w:rsidR="003029E3" w:rsidRPr="004829B9" w:rsidRDefault="003029E3" w:rsidP="003029E3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93 816</w:t>
            </w:r>
          </w:p>
        </w:tc>
        <w:tc>
          <w:tcPr>
            <w:tcW w:w="1207" w:type="dxa"/>
            <w:vAlign w:val="center"/>
          </w:tcPr>
          <w:p w14:paraId="52836C7F" w14:textId="59BE7DF4" w:rsidR="003029E3" w:rsidRPr="004829B9" w:rsidRDefault="00D81B78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91.</w:t>
            </w:r>
            <w:r w:rsidR="003029E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3029E3" w:rsidRPr="004829B9" w14:paraId="435A7676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156F18" w14:textId="77777777" w:rsidR="003029E3" w:rsidRPr="004829B9" w:rsidRDefault="003029E3" w:rsidP="003029E3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14:paraId="0953AF15" w14:textId="2EF7755F" w:rsidR="003029E3" w:rsidRPr="004829B9" w:rsidRDefault="003029E3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363</w:t>
            </w:r>
          </w:p>
        </w:tc>
        <w:tc>
          <w:tcPr>
            <w:tcW w:w="1206" w:type="dxa"/>
            <w:vAlign w:val="center"/>
          </w:tcPr>
          <w:p w14:paraId="6A70776B" w14:textId="6A5776C4" w:rsidR="003029E3" w:rsidRPr="004829B9" w:rsidRDefault="003029E3" w:rsidP="00D81B7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over</w:t>
            </w:r>
            <w:proofErr w:type="spellEnd"/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7-fold </w:t>
            </w: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more</w:t>
            </w:r>
            <w:proofErr w:type="spellEnd"/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77A225F3" w14:textId="66064E43" w:rsidR="003029E3" w:rsidRPr="004829B9" w:rsidRDefault="003029E3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over</w:t>
            </w:r>
            <w:proofErr w:type="spellEnd"/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22-fold </w:t>
            </w: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more</w:t>
            </w:r>
            <w:proofErr w:type="spellEnd"/>
          </w:p>
        </w:tc>
        <w:tc>
          <w:tcPr>
            <w:tcW w:w="1206" w:type="dxa"/>
            <w:vAlign w:val="center"/>
          </w:tcPr>
          <w:p w14:paraId="2296D291" w14:textId="4EAC7DDF" w:rsidR="003029E3" w:rsidRPr="004829B9" w:rsidRDefault="003029E3" w:rsidP="003029E3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960</w:t>
            </w:r>
          </w:p>
        </w:tc>
        <w:tc>
          <w:tcPr>
            <w:tcW w:w="1207" w:type="dxa"/>
            <w:vAlign w:val="center"/>
          </w:tcPr>
          <w:p w14:paraId="0F18BEC0" w14:textId="2CC1F1B4" w:rsidR="003029E3" w:rsidRPr="004829B9" w:rsidRDefault="00D81B78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192.</w:t>
            </w:r>
            <w:r w:rsidR="003029E3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3029E3" w:rsidRPr="00D81B78" w14:paraId="57DDA71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07F54E1" w14:textId="77777777" w:rsidR="003029E3" w:rsidRPr="004829B9" w:rsidRDefault="003029E3" w:rsidP="003029E3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2FE7DE35" w14:textId="2CCC97C1" w:rsidR="003029E3" w:rsidRPr="004829B9" w:rsidRDefault="003029E3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14:paraId="6D446002" w14:textId="25F8CBDB" w:rsidR="003029E3" w:rsidRPr="004829B9" w:rsidRDefault="00D81B78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2.</w:t>
            </w:r>
            <w:r w:rsidR="003029E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14:paraId="73242060" w14:textId="2A9B4E15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4BFAFDD5" w14:textId="1AD9561A" w:rsidR="003029E3" w:rsidRPr="004829B9" w:rsidRDefault="003029E3" w:rsidP="003029E3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1 273</w:t>
            </w:r>
          </w:p>
        </w:tc>
        <w:tc>
          <w:tcPr>
            <w:tcW w:w="1207" w:type="dxa"/>
            <w:vAlign w:val="center"/>
          </w:tcPr>
          <w:p w14:paraId="76E8B110" w14:textId="418151AD" w:rsidR="003029E3" w:rsidRPr="004829B9" w:rsidRDefault="003029E3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</w:t>
            </w:r>
            <w:r w:rsidR="00D81B7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.</w:t>
            </w:r>
            <w:r w:rsidRPr="00D81B7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="003029E3" w:rsidRPr="00D81B78" w14:paraId="6A70347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D6066AF" w14:textId="77777777" w:rsidR="003029E3" w:rsidRPr="004829B9" w:rsidRDefault="003029E3" w:rsidP="003029E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26504A67" w14:textId="09D9B5EB" w:rsidR="003029E3" w:rsidRPr="004829B9" w:rsidRDefault="003029E3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81B7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206" w:type="dxa"/>
            <w:vAlign w:val="center"/>
          </w:tcPr>
          <w:p w14:paraId="71430A96" w14:textId="311B6CF7" w:rsidR="003029E3" w:rsidRPr="004829B9" w:rsidRDefault="00D81B78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81B7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1.</w:t>
            </w:r>
            <w:r w:rsidR="003029E3" w:rsidRPr="00D81B7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206" w:type="dxa"/>
            <w:vAlign w:val="center"/>
          </w:tcPr>
          <w:p w14:paraId="33FA0D09" w14:textId="2175AAC1" w:rsidR="003029E3" w:rsidRPr="004829B9" w:rsidRDefault="00D81B78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D81B78">
              <w:rPr>
                <w:rFonts w:cs="Arial"/>
                <w:sz w:val="16"/>
                <w:szCs w:val="16"/>
                <w:lang w:val="en-GB"/>
              </w:rPr>
              <w:t>1.</w:t>
            </w:r>
            <w:r w:rsidR="003029E3" w:rsidRPr="00D81B78">
              <w:rPr>
                <w:rFonts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206" w:type="dxa"/>
            <w:vAlign w:val="center"/>
          </w:tcPr>
          <w:p w14:paraId="1AD2E584" w14:textId="765F2AFB" w:rsidR="003029E3" w:rsidRPr="004829B9" w:rsidRDefault="003029E3" w:rsidP="003029E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D81B78">
              <w:rPr>
                <w:color w:val="000000" w:themeColor="text1"/>
                <w:sz w:val="16"/>
                <w:szCs w:val="16"/>
                <w:lang w:val="en-GB"/>
              </w:rPr>
              <w:t>320</w:t>
            </w:r>
          </w:p>
        </w:tc>
        <w:tc>
          <w:tcPr>
            <w:tcW w:w="1207" w:type="dxa"/>
            <w:vAlign w:val="center"/>
          </w:tcPr>
          <w:p w14:paraId="27BBCB3A" w14:textId="0E308D0C" w:rsidR="003029E3" w:rsidRPr="004829B9" w:rsidRDefault="00D81B78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28.</w:t>
            </w:r>
            <w:r w:rsidR="003029E3" w:rsidRPr="00D81B7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</w:tr>
      <w:tr w:rsidR="003029E3" w:rsidRPr="00D81B78" w14:paraId="2C92CBE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D9A264D" w14:textId="77777777" w:rsidR="003029E3" w:rsidRPr="004829B9" w:rsidRDefault="003029E3" w:rsidP="003029E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4DBC4D16" w14:textId="3781B85C" w:rsidR="003029E3" w:rsidRPr="004829B9" w:rsidRDefault="003029E3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81B7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315</w:t>
            </w:r>
          </w:p>
        </w:tc>
        <w:tc>
          <w:tcPr>
            <w:tcW w:w="1206" w:type="dxa"/>
            <w:vAlign w:val="center"/>
          </w:tcPr>
          <w:p w14:paraId="4BE61B3C" w14:textId="44A523F6" w:rsidR="003029E3" w:rsidRPr="004829B9" w:rsidRDefault="00D81B78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81B7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231.</w:t>
            </w:r>
            <w:r w:rsidR="003029E3" w:rsidRPr="00D81B7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206" w:type="dxa"/>
            <w:vAlign w:val="center"/>
          </w:tcPr>
          <w:p w14:paraId="55AFA942" w14:textId="235B9187" w:rsidR="003029E3" w:rsidRPr="004829B9" w:rsidRDefault="00D81B78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D81B78">
              <w:rPr>
                <w:rFonts w:cs="Arial"/>
                <w:sz w:val="16"/>
                <w:szCs w:val="16"/>
                <w:lang w:val="en-GB"/>
              </w:rPr>
              <w:t>362.</w:t>
            </w:r>
            <w:r w:rsidR="003029E3" w:rsidRPr="00D81B78">
              <w:rPr>
                <w:rFonts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206" w:type="dxa"/>
            <w:vAlign w:val="center"/>
          </w:tcPr>
          <w:p w14:paraId="4EFD285C" w14:textId="3DCDE5F2" w:rsidR="003029E3" w:rsidRPr="004829B9" w:rsidRDefault="003029E3" w:rsidP="003029E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 w:rsidRPr="00D81B78">
              <w:rPr>
                <w:sz w:val="16"/>
                <w:szCs w:val="16"/>
                <w:lang w:val="en-GB"/>
              </w:rPr>
              <w:t>1 043</w:t>
            </w:r>
          </w:p>
        </w:tc>
        <w:tc>
          <w:tcPr>
            <w:tcW w:w="1207" w:type="dxa"/>
            <w:vAlign w:val="center"/>
          </w:tcPr>
          <w:p w14:paraId="61023407" w14:textId="45493E00" w:rsidR="003029E3" w:rsidRPr="004829B9" w:rsidRDefault="00D81B78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107.</w:t>
            </w:r>
            <w:r w:rsidR="003029E3" w:rsidRPr="00D81B7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</w:tr>
      <w:tr w:rsidR="003029E3" w:rsidRPr="00D81B78" w14:paraId="0EA887E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16A460B1" w14:textId="77777777" w:rsidR="003029E3" w:rsidRPr="004829B9" w:rsidRDefault="003029E3" w:rsidP="003029E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3B1E13A2" w14:textId="6162A814" w:rsidR="003029E3" w:rsidRPr="004829B9" w:rsidRDefault="003029E3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81B7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</w:t>
            </w:r>
          </w:p>
        </w:tc>
        <w:tc>
          <w:tcPr>
            <w:tcW w:w="1206" w:type="dxa"/>
            <w:vAlign w:val="center"/>
          </w:tcPr>
          <w:p w14:paraId="0BE40393" w14:textId="7019085F" w:rsidR="003029E3" w:rsidRPr="004829B9" w:rsidRDefault="003029E3" w:rsidP="003029E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81B7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206" w:type="dxa"/>
            <w:vAlign w:val="center"/>
          </w:tcPr>
          <w:p w14:paraId="4569CA16" w14:textId="75399596" w:rsidR="003029E3" w:rsidRPr="004829B9" w:rsidRDefault="003029E3" w:rsidP="003029E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D81B78">
              <w:rPr>
                <w:rFonts w:cs="Arial"/>
                <w:sz w:val="16"/>
                <w:szCs w:val="16"/>
                <w:lang w:val="en-GB"/>
              </w:rPr>
              <w:t>.</w:t>
            </w:r>
          </w:p>
        </w:tc>
        <w:tc>
          <w:tcPr>
            <w:tcW w:w="1206" w:type="dxa"/>
            <w:vAlign w:val="center"/>
          </w:tcPr>
          <w:p w14:paraId="067A83DD" w14:textId="73272FCA" w:rsidR="003029E3" w:rsidRPr="004829B9" w:rsidRDefault="003029E3" w:rsidP="003029E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D81B78">
              <w:rPr>
                <w:color w:val="000000" w:themeColor="text1"/>
                <w:sz w:val="16"/>
                <w:szCs w:val="16"/>
                <w:lang w:val="en-GB"/>
              </w:rPr>
              <w:t>94</w:t>
            </w:r>
          </w:p>
        </w:tc>
        <w:tc>
          <w:tcPr>
            <w:tcW w:w="1207" w:type="dxa"/>
            <w:vAlign w:val="center"/>
          </w:tcPr>
          <w:p w14:paraId="25216EE8" w14:textId="0DCFAEB8" w:rsidR="003029E3" w:rsidRPr="004829B9" w:rsidRDefault="003029E3" w:rsidP="00D81B7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81B7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 94- </w:t>
            </w:r>
            <w:r w:rsidR="00D81B78" w:rsidRPr="00D81B7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fold</w:t>
            </w:r>
            <w:r w:rsidRPr="00D81B7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D81B78" w:rsidRPr="00D81B7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more</w:t>
            </w:r>
          </w:p>
        </w:tc>
      </w:tr>
    </w:tbl>
    <w:p w14:paraId="26C5CCAE" w14:textId="77777777" w:rsidR="00A00C56" w:rsidRDefault="00A00C56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34D75009" w14:textId="732C0F08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D81B78">
        <w:rPr>
          <w:b w:val="0"/>
          <w:sz w:val="19"/>
          <w:szCs w:val="19"/>
          <w:shd w:val="clear" w:color="auto" w:fill="FFFFFF"/>
          <w:lang w:val="en-GB"/>
        </w:rPr>
        <w:t>September</w:t>
      </w:r>
      <w:r w:rsidR="00B4601E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F3F3D" w:rsidRPr="004829B9">
        <w:rPr>
          <w:b w:val="0"/>
          <w:sz w:val="19"/>
          <w:szCs w:val="19"/>
          <w:shd w:val="clear" w:color="auto" w:fill="FFFFFF"/>
          <w:lang w:val="en-GB"/>
        </w:rPr>
        <w:t>2020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D81B78">
        <w:rPr>
          <w:b w:val="0"/>
          <w:sz w:val="19"/>
          <w:szCs w:val="19"/>
          <w:shd w:val="clear" w:color="auto" w:fill="FFFFFF"/>
          <w:lang w:val="en-GB"/>
        </w:rPr>
        <w:t xml:space="preserve"> there were 836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D81B78">
        <w:rPr>
          <w:b w:val="0"/>
          <w:sz w:val="19"/>
          <w:szCs w:val="19"/>
          <w:shd w:val="clear" w:color="auto" w:fill="FFFFFF"/>
          <w:lang w:val="en-GB"/>
        </w:rPr>
        <w:t>4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D81B78">
        <w:rPr>
          <w:b w:val="0"/>
          <w:sz w:val="19"/>
          <w:szCs w:val="19"/>
          <w:shd w:val="clear" w:color="auto" w:fill="FFFFFF"/>
          <w:lang w:val="en-GB"/>
        </w:rPr>
        <w:t>1.0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>in the corresponding period of 2019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4326474E" w14:textId="42DA78DE" w:rsidR="005D23AA" w:rsidRPr="004829B9" w:rsidRDefault="005D23AA" w:rsidP="007207E6">
      <w:pPr>
        <w:pStyle w:val="tytuwykresu"/>
        <w:rPr>
          <w:lang w:val="en-GB"/>
        </w:rPr>
      </w:pPr>
    </w:p>
    <w:p w14:paraId="2E8A539A" w14:textId="525BA3AE" w:rsidR="007207E6" w:rsidRPr="004829B9" w:rsidRDefault="00903A58" w:rsidP="007207E6">
      <w:pPr>
        <w:pStyle w:val="tytuwykresu"/>
        <w:rPr>
          <w:lang w:val="en-GB"/>
        </w:rPr>
      </w:pPr>
      <w:r w:rsidRPr="004829B9">
        <w:rPr>
          <w:b w:val="0"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20D87FFD">
                <wp:simplePos x="0" y="0"/>
                <wp:positionH relativeFrom="page">
                  <wp:posOffset>5616702</wp:posOffset>
                </wp:positionH>
                <wp:positionV relativeFrom="paragraph">
                  <wp:posOffset>100914</wp:posOffset>
                </wp:positionV>
                <wp:extent cx="1760855" cy="214503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214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122003E9" w:rsidR="003A7E95" w:rsidRPr="00AC3185" w:rsidRDefault="003A7E95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903A5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September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903A5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EF60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in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 (by </w:t>
                            </w:r>
                            <w:r w:rsidR="00903A5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24.1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0A40D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815E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3140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Pr="00314007">
                              <w:rPr>
                                <w:rFonts w:eastAsia="Times New Roman" w:cs="Times New Roman"/>
                                <w:bCs/>
                                <w:strike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="003D5833" w:rsidRPr="003D58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which construction has begun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</w:t>
                            </w:r>
                            <w:r w:rsidR="00BD7A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903A5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34.8</w:t>
                            </w:r>
                            <w:r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  <w:r w:rsidR="000A40D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</w:t>
                            </w:r>
                            <w:r w:rsidR="00903A5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681E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</w:t>
                            </w:r>
                            <w:r w:rsidR="003D5833" w:rsidRPr="003D58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for which permits have been granted or which have been registered with a construction project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(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903A5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10.6</w:t>
                            </w:r>
                            <w:r w:rsidRPr="00F756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2" type="#_x0000_t202" style="position:absolute;margin-left:442.25pt;margin-top:7.95pt;width:138.65pt;height:168.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" filled="f" stroked="f">
                <v:textbox>
                  <w:txbxContent>
                    <w:p w14:paraId="58FBF1C9" w14:textId="122003E9" w:rsidR="003A7E95" w:rsidRPr="00AC3185" w:rsidRDefault="003A7E95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903A5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September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903A5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EF60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in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 (by </w:t>
                      </w:r>
                      <w:r w:rsidR="00903A5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24.1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0A40D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815E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3140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Pr="00314007">
                        <w:rPr>
                          <w:rFonts w:eastAsia="Times New Roman" w:cs="Times New Roman"/>
                          <w:bCs/>
                          <w:strike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="003D5833" w:rsidRPr="003D58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which construction has begun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</w:t>
                      </w:r>
                      <w:r w:rsidR="00BD7A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903A5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34.8</w:t>
                      </w:r>
                      <w:r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  <w:r w:rsidR="000A40D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</w:t>
                      </w:r>
                      <w:r w:rsidR="00903A5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681E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</w:t>
                      </w:r>
                      <w:r w:rsidR="003D5833" w:rsidRPr="003D58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for which permits have been granted or which have been registered with a construction project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(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903A5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10.6</w:t>
                      </w:r>
                      <w:r w:rsidRPr="00F756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222E9">
        <w:rPr>
          <w:noProof/>
          <w:lang w:eastAsia="pl-PL"/>
        </w:rPr>
        <w:drawing>
          <wp:anchor distT="0" distB="0" distL="114300" distR="114300" simplePos="0" relativeHeight="251781120" behindDoc="0" locked="0" layoutInCell="1" allowOverlap="1" wp14:anchorId="2A5A138C" wp14:editId="77BF6B43">
            <wp:simplePos x="0" y="0"/>
            <wp:positionH relativeFrom="column">
              <wp:posOffset>77638</wp:posOffset>
            </wp:positionH>
            <wp:positionV relativeFrom="paragraph">
              <wp:posOffset>10496</wp:posOffset>
            </wp:positionV>
            <wp:extent cx="5122545" cy="2155190"/>
            <wp:effectExtent l="0" t="0" r="0" b="0"/>
            <wp:wrapNone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AD1492" w:rsidRPr="004829B9">
        <w:rPr>
          <w:lang w:val="en-GB"/>
        </w:rPr>
        <w:t xml:space="preserve">Chart 1. Construction activity in the scope of </w:t>
      </w:r>
      <w:r w:rsidR="00256AD9" w:rsidRPr="004829B9">
        <w:rPr>
          <w:lang w:val="en-GB"/>
        </w:rPr>
        <w:t>residential construction</w:t>
      </w:r>
      <w:r w:rsidR="005D23AA" w:rsidRPr="004829B9">
        <w:rPr>
          <w:lang w:val="en-GB"/>
        </w:rPr>
        <w:t xml:space="preserve"> in Poland</w:t>
      </w:r>
    </w:p>
    <w:p w14:paraId="631FF680" w14:textId="107DDFFB" w:rsidR="000271FB" w:rsidRPr="004829B9" w:rsidRDefault="000271FB" w:rsidP="003A7E95">
      <w:pPr>
        <w:pStyle w:val="Nagwek1"/>
        <w:rPr>
          <w:color w:val="auto"/>
          <w:sz w:val="18"/>
          <w:szCs w:val="18"/>
          <w:lang w:val="en-GB"/>
        </w:rPr>
      </w:pPr>
    </w:p>
    <w:p w14:paraId="24E47249" w14:textId="326D5F50" w:rsidR="00BD7A45" w:rsidRDefault="00BD7A45" w:rsidP="00CB6084">
      <w:pPr>
        <w:rPr>
          <w:szCs w:val="19"/>
          <w:shd w:val="clear" w:color="auto" w:fill="FFFFFF"/>
          <w:lang w:val="en-GB"/>
        </w:rPr>
      </w:pPr>
    </w:p>
    <w:p w14:paraId="713AA125" w14:textId="77777777" w:rsidR="009222E9" w:rsidRDefault="009222E9" w:rsidP="00CB6084">
      <w:pPr>
        <w:rPr>
          <w:szCs w:val="19"/>
          <w:shd w:val="clear" w:color="auto" w:fill="FFFFFF"/>
          <w:lang w:val="en-GB"/>
        </w:rPr>
      </w:pPr>
    </w:p>
    <w:p w14:paraId="71450A97" w14:textId="77777777" w:rsidR="009222E9" w:rsidRDefault="009222E9" w:rsidP="00CB6084">
      <w:pPr>
        <w:rPr>
          <w:szCs w:val="19"/>
          <w:shd w:val="clear" w:color="auto" w:fill="FFFFFF"/>
          <w:lang w:val="en-GB"/>
        </w:rPr>
      </w:pPr>
    </w:p>
    <w:p w14:paraId="00B43054" w14:textId="77777777" w:rsidR="009222E9" w:rsidRDefault="009222E9" w:rsidP="00CB6084">
      <w:pPr>
        <w:rPr>
          <w:szCs w:val="19"/>
          <w:shd w:val="clear" w:color="auto" w:fill="FFFFFF"/>
          <w:lang w:val="en-GB"/>
        </w:rPr>
      </w:pPr>
    </w:p>
    <w:p w14:paraId="1BAEC888" w14:textId="77777777" w:rsidR="009222E9" w:rsidRDefault="009222E9" w:rsidP="00CB6084">
      <w:pPr>
        <w:rPr>
          <w:szCs w:val="19"/>
          <w:shd w:val="clear" w:color="auto" w:fill="FFFFFF"/>
          <w:lang w:val="en-GB"/>
        </w:rPr>
      </w:pPr>
    </w:p>
    <w:p w14:paraId="1B4FBDDC" w14:textId="50C80656" w:rsidR="009222E9" w:rsidRDefault="009222E9" w:rsidP="00CB6084">
      <w:pPr>
        <w:rPr>
          <w:szCs w:val="19"/>
          <w:shd w:val="clear" w:color="auto" w:fill="FFFFFF"/>
          <w:lang w:val="en-GB"/>
        </w:rPr>
      </w:pPr>
    </w:p>
    <w:p w14:paraId="5D336598" w14:textId="77777777" w:rsidR="009222E9" w:rsidRDefault="009222E9" w:rsidP="00CB6084">
      <w:pPr>
        <w:rPr>
          <w:szCs w:val="19"/>
          <w:shd w:val="clear" w:color="auto" w:fill="FFFFFF"/>
          <w:lang w:val="en-GB"/>
        </w:rPr>
      </w:pPr>
    </w:p>
    <w:p w14:paraId="17CD510D" w14:textId="77777777" w:rsidR="009222E9" w:rsidRDefault="009222E9" w:rsidP="00CB6084">
      <w:pPr>
        <w:rPr>
          <w:szCs w:val="19"/>
          <w:shd w:val="clear" w:color="auto" w:fill="FFFFFF"/>
          <w:lang w:val="en-GB"/>
        </w:rPr>
      </w:pPr>
    </w:p>
    <w:p w14:paraId="6B2C5EA1" w14:textId="1F42AFA0" w:rsidR="00CB6084" w:rsidRPr="004829B9" w:rsidRDefault="00E43CD7" w:rsidP="00CB6084">
      <w:pPr>
        <w:rPr>
          <w:szCs w:val="19"/>
          <w:shd w:val="clear" w:color="auto" w:fill="FFFFFF"/>
          <w:lang w:val="en-GB"/>
        </w:rPr>
      </w:pPr>
      <w:r>
        <w:rPr>
          <w:szCs w:val="19"/>
          <w:shd w:val="clear" w:color="auto" w:fill="FFFFFF"/>
          <w:lang w:val="en-GB"/>
        </w:rPr>
        <w:t>T</w:t>
      </w:r>
      <w:r w:rsidR="00980EA5" w:rsidRPr="004829B9">
        <w:rPr>
          <w:szCs w:val="19"/>
          <w:shd w:val="clear" w:color="auto" w:fill="FFFFFF"/>
          <w:lang w:val="en-GB"/>
        </w:rPr>
        <w:t xml:space="preserve">he biggest number </w:t>
      </w:r>
      <w:r w:rsidR="00CB6084" w:rsidRPr="004829B9">
        <w:rPr>
          <w:szCs w:val="19"/>
          <w:shd w:val="clear" w:color="auto" w:fill="FFFFFF"/>
          <w:lang w:val="en-GB"/>
        </w:rPr>
        <w:t>of dwellings</w:t>
      </w:r>
      <w:r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 xml:space="preserve">completed </w:t>
      </w:r>
      <w:r>
        <w:rPr>
          <w:szCs w:val="19"/>
          <w:shd w:val="clear" w:color="auto" w:fill="FFFFFF"/>
          <w:lang w:val="en-GB"/>
        </w:rPr>
        <w:t>and dwellings</w:t>
      </w:r>
      <w:r w:rsidR="00CF2564">
        <w:rPr>
          <w:szCs w:val="19"/>
          <w:shd w:val="clear" w:color="auto" w:fill="FFFFFF"/>
          <w:lang w:val="en-GB"/>
        </w:rPr>
        <w:t xml:space="preserve"> in which construction has begun</w:t>
      </w:r>
      <w:r w:rsidR="00DD2696">
        <w:rPr>
          <w:szCs w:val="19"/>
          <w:shd w:val="clear" w:color="auto" w:fill="FFFFFF"/>
          <w:lang w:val="en-GB"/>
        </w:rPr>
        <w:t xml:space="preserve">, in the period of January – </w:t>
      </w:r>
      <w:r w:rsidR="00D81B78">
        <w:rPr>
          <w:szCs w:val="19"/>
          <w:shd w:val="clear" w:color="auto" w:fill="FFFFFF"/>
          <w:lang w:val="en-GB"/>
        </w:rPr>
        <w:t>September 2020</w:t>
      </w:r>
      <w:r w:rsidR="00DD2696">
        <w:rPr>
          <w:szCs w:val="19"/>
          <w:shd w:val="clear" w:color="auto" w:fill="FFFFFF"/>
          <w:lang w:val="en-GB"/>
        </w:rPr>
        <w:t>,</w:t>
      </w:r>
      <w:r w:rsidR="00CF2564">
        <w:rPr>
          <w:szCs w:val="19"/>
          <w:shd w:val="clear" w:color="auto" w:fill="FFFFFF"/>
          <w:lang w:val="en-GB"/>
        </w:rPr>
        <w:t xml:space="preserve"> </w:t>
      </w:r>
      <w:r w:rsidR="00EF6032" w:rsidRPr="00EF6032">
        <w:rPr>
          <w:szCs w:val="19"/>
          <w:shd w:val="clear" w:color="auto" w:fill="FFFFFF"/>
          <w:lang w:val="en-GB"/>
        </w:rPr>
        <w:t xml:space="preserve">was recorded in </w:t>
      </w:r>
      <w:proofErr w:type="spellStart"/>
      <w:r w:rsidR="00EF6032" w:rsidRPr="00EF6032">
        <w:rPr>
          <w:szCs w:val="19"/>
          <w:shd w:val="clear" w:color="auto" w:fill="FFFFFF"/>
          <w:lang w:val="en-GB"/>
        </w:rPr>
        <w:t>Mazowieckie</w:t>
      </w:r>
      <w:proofErr w:type="spellEnd"/>
      <w:r w:rsidR="00EF6032" w:rsidRPr="00EF6032">
        <w:rPr>
          <w:szCs w:val="19"/>
          <w:shd w:val="clear" w:color="auto" w:fill="FFFFFF"/>
          <w:lang w:val="en-GB"/>
        </w:rPr>
        <w:t xml:space="preserve">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 xml:space="preserve">respectively </w:t>
      </w:r>
      <w:r w:rsidR="00D81B78">
        <w:rPr>
          <w:szCs w:val="19"/>
          <w:shd w:val="clear" w:color="auto" w:fill="FFFFFF"/>
          <w:lang w:val="en-GB"/>
        </w:rPr>
        <w:t>33.3</w:t>
      </w:r>
      <w:r w:rsidR="00EF6032">
        <w:rPr>
          <w:szCs w:val="19"/>
          <w:shd w:val="clear" w:color="auto" w:fill="FFFFFF"/>
          <w:lang w:val="en-GB"/>
        </w:rPr>
        <w:t xml:space="preserve"> thousand</w:t>
      </w:r>
      <w:r w:rsidR="00D81B78">
        <w:rPr>
          <w:szCs w:val="19"/>
          <w:shd w:val="clear" w:color="auto" w:fill="FFFFFF"/>
          <w:lang w:val="en-GB"/>
        </w:rPr>
        <w:t xml:space="preserve"> and 30.1</w:t>
      </w:r>
      <w:r w:rsidR="00CF2564" w:rsidRPr="00CF2564">
        <w:rPr>
          <w:szCs w:val="19"/>
          <w:shd w:val="clear" w:color="auto" w:fill="FFFFFF"/>
          <w:lang w:val="en-GB"/>
        </w:rPr>
        <w:t xml:space="preserve"> thousand</w:t>
      </w:r>
      <w:r w:rsidR="00CF2564">
        <w:rPr>
          <w:szCs w:val="19"/>
          <w:shd w:val="clear" w:color="auto" w:fill="FFFFFF"/>
          <w:lang w:val="en-GB"/>
        </w:rPr>
        <w:t>) and</w:t>
      </w:r>
      <w:r w:rsidR="00D81B78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D81B78">
        <w:rPr>
          <w:szCs w:val="19"/>
          <w:shd w:val="clear" w:color="auto" w:fill="FFFFFF"/>
          <w:lang w:val="en-GB"/>
        </w:rPr>
        <w:t>Wielkopolskie</w:t>
      </w:r>
      <w:proofErr w:type="spellEnd"/>
      <w:r w:rsidR="00D81B78">
        <w:rPr>
          <w:szCs w:val="19"/>
          <w:shd w:val="clear" w:color="auto" w:fill="FFFFFF"/>
          <w:lang w:val="en-GB"/>
        </w:rPr>
        <w:t xml:space="preserve"> (16.7</w:t>
      </w:r>
      <w:r w:rsidR="00F333CC">
        <w:rPr>
          <w:szCs w:val="19"/>
          <w:shd w:val="clear" w:color="auto" w:fill="FFFFFF"/>
          <w:lang w:val="en-GB"/>
        </w:rPr>
        <w:t xml:space="preserve"> </w:t>
      </w:r>
      <w:r w:rsidR="00F333CC" w:rsidRPr="00F333CC">
        <w:rPr>
          <w:szCs w:val="19"/>
          <w:shd w:val="clear" w:color="auto" w:fill="FFFFFF"/>
          <w:lang w:val="en-GB"/>
        </w:rPr>
        <w:t xml:space="preserve">thousand </w:t>
      </w:r>
      <w:r w:rsidR="00D81B78">
        <w:rPr>
          <w:szCs w:val="19"/>
          <w:shd w:val="clear" w:color="auto" w:fill="FFFFFF"/>
          <w:lang w:val="en-GB"/>
        </w:rPr>
        <w:t>and 17.0</w:t>
      </w:r>
      <w:r w:rsidR="00F333CC">
        <w:rPr>
          <w:szCs w:val="19"/>
          <w:shd w:val="clear" w:color="auto" w:fill="FFFFFF"/>
          <w:lang w:val="en-GB"/>
        </w:rPr>
        <w:t xml:space="preserve"> thousand).</w:t>
      </w:r>
      <w:r>
        <w:rPr>
          <w:szCs w:val="19"/>
          <w:shd w:val="clear" w:color="auto" w:fill="FFFFFF"/>
          <w:lang w:val="en-GB"/>
        </w:rPr>
        <w:t xml:space="preserve"> Regarding dwellings </w:t>
      </w:r>
      <w:r w:rsidR="00D81B78" w:rsidRPr="00D81B78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>
        <w:rPr>
          <w:szCs w:val="19"/>
          <w:shd w:val="clear" w:color="auto" w:fill="FFFFFF"/>
          <w:lang w:val="en-GB"/>
        </w:rPr>
        <w:t>,</w:t>
      </w:r>
      <w:r w:rsidRPr="00E43CD7">
        <w:rPr>
          <w:bCs/>
          <w:szCs w:val="19"/>
          <w:shd w:val="clear" w:color="auto" w:fill="FFFFFF"/>
          <w:lang w:val="en-US"/>
        </w:rPr>
        <w:t xml:space="preserve"> </w:t>
      </w:r>
      <w:r w:rsidR="00E97E48">
        <w:rPr>
          <w:szCs w:val="19"/>
          <w:shd w:val="clear" w:color="auto" w:fill="FFFFFF"/>
          <w:lang w:val="en-GB"/>
        </w:rPr>
        <w:t>the biggest amount was</w:t>
      </w:r>
      <w:r w:rsidR="00D81B78">
        <w:rPr>
          <w:szCs w:val="19"/>
          <w:shd w:val="clear" w:color="auto" w:fill="FFFFFF"/>
          <w:lang w:val="en-GB"/>
        </w:rPr>
        <w:t xml:space="preserve"> also</w:t>
      </w:r>
      <w:r w:rsidR="00E97E48">
        <w:rPr>
          <w:szCs w:val="19"/>
          <w:shd w:val="clear" w:color="auto" w:fill="FFFFFF"/>
          <w:lang w:val="en-GB"/>
        </w:rPr>
        <w:t xml:space="preserve"> not</w:t>
      </w:r>
      <w:r w:rsidR="00D81B78">
        <w:rPr>
          <w:szCs w:val="19"/>
          <w:shd w:val="clear" w:color="auto" w:fill="FFFFFF"/>
          <w:lang w:val="en-GB"/>
        </w:rPr>
        <w:t xml:space="preserve">ed in </w:t>
      </w:r>
      <w:proofErr w:type="spellStart"/>
      <w:r w:rsidR="00D81B78">
        <w:rPr>
          <w:szCs w:val="19"/>
          <w:shd w:val="clear" w:color="auto" w:fill="FFFFFF"/>
          <w:lang w:val="en-GB"/>
        </w:rPr>
        <w:t>Mazowieckie</w:t>
      </w:r>
      <w:proofErr w:type="spellEnd"/>
      <w:r w:rsidR="00D81B78">
        <w:rPr>
          <w:szCs w:val="19"/>
          <w:shd w:val="clear" w:color="auto" w:fill="FFFFFF"/>
          <w:lang w:val="en-GB"/>
        </w:rPr>
        <w:t xml:space="preserve"> voivodship (31</w:t>
      </w:r>
      <w:r w:rsidR="00DD2696">
        <w:rPr>
          <w:szCs w:val="19"/>
          <w:shd w:val="clear" w:color="auto" w:fill="FFFFFF"/>
          <w:lang w:val="en-GB"/>
        </w:rPr>
        <w:t>.5</w:t>
      </w:r>
      <w:r w:rsidR="00033479">
        <w:rPr>
          <w:szCs w:val="19"/>
          <w:shd w:val="clear" w:color="auto" w:fill="FFFFFF"/>
          <w:lang w:val="en-GB"/>
        </w:rPr>
        <w:t xml:space="preserve"> thousand)</w:t>
      </w:r>
      <w:r w:rsidR="00D81B78">
        <w:rPr>
          <w:szCs w:val="19"/>
          <w:shd w:val="clear" w:color="auto" w:fill="FFFFFF"/>
          <w:lang w:val="en-GB"/>
        </w:rPr>
        <w:t xml:space="preserve">, </w:t>
      </w:r>
      <w:proofErr w:type="spellStart"/>
      <w:r w:rsidR="00E97E48" w:rsidRPr="00314007">
        <w:rPr>
          <w:szCs w:val="19"/>
          <w:shd w:val="clear" w:color="auto" w:fill="FFFFFF"/>
          <w:lang w:val="en-GB"/>
        </w:rPr>
        <w:t>Dolnośląskie</w:t>
      </w:r>
      <w:proofErr w:type="spellEnd"/>
      <w:r w:rsidR="00D81B78" w:rsidRPr="00314007">
        <w:rPr>
          <w:szCs w:val="19"/>
          <w:shd w:val="clear" w:color="auto" w:fill="FFFFFF"/>
          <w:lang w:val="en-GB"/>
        </w:rPr>
        <w:t xml:space="preserve"> voivodship </w:t>
      </w:r>
      <w:r w:rsidR="00314007" w:rsidRPr="00314007">
        <w:rPr>
          <w:szCs w:val="19"/>
          <w:shd w:val="clear" w:color="auto" w:fill="FFFFFF"/>
          <w:lang w:val="en-GB"/>
        </w:rPr>
        <w:t>occupied the</w:t>
      </w:r>
      <w:r w:rsidR="00D81B78" w:rsidRPr="00314007">
        <w:rPr>
          <w:szCs w:val="19"/>
          <w:shd w:val="clear" w:color="auto" w:fill="FFFFFF"/>
          <w:lang w:val="en-GB"/>
        </w:rPr>
        <w:t xml:space="preserve"> second </w:t>
      </w:r>
      <w:r w:rsidR="00314007" w:rsidRPr="00314007">
        <w:rPr>
          <w:szCs w:val="19"/>
          <w:shd w:val="clear" w:color="auto" w:fill="FFFFFF"/>
          <w:lang w:val="en-GB"/>
        </w:rPr>
        <w:t xml:space="preserve">place </w:t>
      </w:r>
      <w:r w:rsidR="009222E9">
        <w:rPr>
          <w:szCs w:val="19"/>
          <w:shd w:val="clear" w:color="auto" w:fill="FFFFFF"/>
          <w:lang w:val="en-GB"/>
        </w:rPr>
        <w:t>(19</w:t>
      </w:r>
      <w:r w:rsidR="00DD2696">
        <w:rPr>
          <w:szCs w:val="19"/>
          <w:shd w:val="clear" w:color="auto" w:fill="FFFFFF"/>
          <w:lang w:val="en-GB"/>
        </w:rPr>
        <w:t>.2</w:t>
      </w:r>
      <w:r w:rsidR="00F333CC">
        <w:rPr>
          <w:szCs w:val="19"/>
          <w:shd w:val="clear" w:color="auto" w:fill="FFFFFF"/>
          <w:lang w:val="en-GB"/>
        </w:rPr>
        <w:t xml:space="preserve"> thousand).</w:t>
      </w:r>
      <w:r w:rsidR="00D81B78" w:rsidRPr="00D81B78">
        <w:rPr>
          <w:szCs w:val="19"/>
          <w:shd w:val="clear" w:color="auto" w:fill="FFFFFF"/>
          <w:lang w:val="en-GB"/>
        </w:rPr>
        <w:t xml:space="preserve"> </w:t>
      </w:r>
    </w:p>
    <w:p w14:paraId="73CBA65A" w14:textId="77777777" w:rsidR="00903A58" w:rsidRDefault="001C1808" w:rsidP="00903A58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="00256AD9" w:rsidRPr="004829B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="00384D8B" w:rsidRPr="004829B9">
        <w:rPr>
          <w:color w:val="auto"/>
          <w:sz w:val="18"/>
          <w:szCs w:val="18"/>
          <w:lang w:val="en-GB"/>
        </w:rPr>
        <w:t xml:space="preserve">               </w:t>
      </w:r>
      <w:r w:rsidR="000401D6" w:rsidRPr="004829B9">
        <w:rPr>
          <w:color w:val="auto"/>
          <w:sz w:val="18"/>
          <w:szCs w:val="18"/>
          <w:lang w:val="en-GB"/>
        </w:rPr>
        <w:t>(January</w:t>
      </w:r>
      <w:r w:rsidR="00F95941" w:rsidRPr="004829B9">
        <w:rPr>
          <w:color w:val="auto"/>
          <w:sz w:val="18"/>
          <w:szCs w:val="18"/>
          <w:lang w:val="en-GB"/>
        </w:rPr>
        <w:t>-</w:t>
      </w:r>
      <w:r w:rsidR="009222E9">
        <w:rPr>
          <w:color w:val="auto"/>
          <w:sz w:val="18"/>
          <w:szCs w:val="18"/>
          <w:lang w:val="en-GB"/>
        </w:rPr>
        <w:t>September</w:t>
      </w:r>
      <w:r w:rsidR="00E873C8" w:rsidRPr="004829B9">
        <w:rPr>
          <w:color w:val="auto"/>
          <w:sz w:val="18"/>
          <w:szCs w:val="18"/>
          <w:lang w:val="en-GB"/>
        </w:rPr>
        <w:t xml:space="preserve"> </w:t>
      </w:r>
      <w:r w:rsidR="000401D6" w:rsidRPr="004829B9">
        <w:rPr>
          <w:color w:val="auto"/>
          <w:sz w:val="18"/>
          <w:szCs w:val="18"/>
          <w:lang w:val="en-GB"/>
        </w:rPr>
        <w:t>2020</w:t>
      </w:r>
      <w:r w:rsidRPr="004829B9">
        <w:rPr>
          <w:color w:val="auto"/>
          <w:sz w:val="18"/>
          <w:szCs w:val="18"/>
          <w:lang w:val="en-GB"/>
        </w:rPr>
        <w:t>)</w:t>
      </w:r>
    </w:p>
    <w:p w14:paraId="7EC8DDB5" w14:textId="66B9B637" w:rsidR="00010A4A" w:rsidRPr="00903A58" w:rsidRDefault="00903A58" w:rsidP="00903A58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anchor distT="0" distB="0" distL="114300" distR="114300" simplePos="0" relativeHeight="251782144" behindDoc="0" locked="0" layoutInCell="1" allowOverlap="1" wp14:anchorId="4CC1BAA9" wp14:editId="7D904EFE">
            <wp:simplePos x="0" y="0"/>
            <wp:positionH relativeFrom="margin">
              <wp:align>right</wp:align>
            </wp:positionH>
            <wp:positionV relativeFrom="paragraph">
              <wp:posOffset>117146</wp:posOffset>
            </wp:positionV>
            <wp:extent cx="5122545" cy="2978988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14:paraId="7AEE73F8" w14:textId="69F58BF4" w:rsidR="004231A6" w:rsidRPr="004829B9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28E3DDD1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8C163FB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E2571D8" w14:textId="2A9D266B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D8D474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FF3760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A030C0E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1F2737E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D456CA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B66589A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7061D12D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73A2A541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1AA9CD5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94F78B6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8D6B616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01426E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02585F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A91665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70F087F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6C5A628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A05A3A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p w14:paraId="3949FC6D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B34C4C" w:rsidRPr="004829B9" w14:paraId="40C6557F" w14:textId="77777777" w:rsidTr="00E873C8">
        <w:trPr>
          <w:trHeight w:val="1912"/>
        </w:trPr>
        <w:tc>
          <w:tcPr>
            <w:tcW w:w="4379" w:type="dxa"/>
          </w:tcPr>
          <w:p w14:paraId="6665BC8F" w14:textId="77777777" w:rsidR="00B34C4C" w:rsidRPr="004829B9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67FFA76B" w14:textId="77777777" w:rsidR="00B34C4C" w:rsidRPr="004829B9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14:paraId="55C69C2C" w14:textId="77777777" w:rsidR="00B34C4C" w:rsidRPr="004829B9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14:paraId="3F6217D4" w14:textId="6E53501C" w:rsidR="00B34C4C" w:rsidRPr="004829B9" w:rsidRDefault="00D46532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="002F2E8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="00B34C4C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="008C48C6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14:paraId="313903AC" w14:textId="77777777" w:rsidR="00B34C4C" w:rsidRPr="004829B9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14:paraId="734EA749" w14:textId="002C959A" w:rsidR="00B34C4C" w:rsidRPr="004829B9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B749880" w14:textId="4973DE75" w:rsidR="00B34C4C" w:rsidRPr="004829B9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30B3F71" w14:textId="77777777" w:rsidR="00B34C4C" w:rsidRPr="004829B9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14:paraId="518D9CD4" w14:textId="4C421917" w:rsidR="00B34C4C" w:rsidRPr="004829B9" w:rsidRDefault="00D46532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Mobile: </w:t>
            </w:r>
            <w:r w:rsidR="00105BED" w:rsidRPr="004829B9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016549" w14:paraId="494BDD91" w14:textId="77777777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3CAB2DF" w14:textId="77777777" w:rsidR="00B34C4C" w:rsidRPr="004829B9" w:rsidRDefault="00B34C4C" w:rsidP="00E873C8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14:paraId="623CBE4C" w14:textId="4BBC772D" w:rsidR="00B34C4C" w:rsidRPr="004829B9" w:rsidRDefault="00D46532" w:rsidP="00E873C8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BA5050" w:rsidRPr="004829B9">
              <w:rPr>
                <w:sz w:val="20"/>
                <w:lang w:val="en-GB"/>
              </w:rPr>
              <w:t>(</w:t>
            </w:r>
            <w:r w:rsidR="00B34C4C" w:rsidRPr="004829B9">
              <w:rPr>
                <w:sz w:val="20"/>
                <w:lang w:val="en-GB"/>
              </w:rPr>
              <w:t>+ 48</w:t>
            </w:r>
            <w:r w:rsidR="00B34C4C" w:rsidRPr="004829B9">
              <w:rPr>
                <w:b/>
                <w:sz w:val="20"/>
                <w:lang w:val="en-GB"/>
              </w:rPr>
              <w:t xml:space="preserve"> </w:t>
            </w:r>
            <w:r w:rsidR="008235EC" w:rsidRPr="004829B9">
              <w:rPr>
                <w:sz w:val="20"/>
                <w:lang w:val="en-GB"/>
              </w:rPr>
              <w:t>22</w:t>
            </w:r>
            <w:r w:rsidR="00BA5050" w:rsidRPr="004829B9">
              <w:rPr>
                <w:sz w:val="20"/>
                <w:lang w:val="en-GB"/>
              </w:rPr>
              <w:t>)</w:t>
            </w:r>
            <w:r w:rsidR="008235EC" w:rsidRPr="004829B9">
              <w:rPr>
                <w:sz w:val="20"/>
                <w:lang w:val="en-GB"/>
              </w:rPr>
              <w:t xml:space="preserve"> 608 34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A5050" w:rsidRPr="004829B9">
              <w:rPr>
                <w:sz w:val="20"/>
                <w:lang w:val="en-GB"/>
              </w:rPr>
              <w:t xml:space="preserve">91, </w:t>
            </w:r>
            <w:r w:rsidR="008235EC" w:rsidRPr="004829B9">
              <w:rPr>
                <w:sz w:val="20"/>
                <w:lang w:val="en-GB"/>
              </w:rPr>
              <w:t>608 38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34C4C" w:rsidRPr="004829B9">
              <w:rPr>
                <w:sz w:val="20"/>
                <w:lang w:val="en-GB"/>
              </w:rPr>
              <w:t xml:space="preserve">04 </w:t>
            </w:r>
          </w:p>
          <w:p w14:paraId="4F5D46AB" w14:textId="77777777" w:rsidR="00B34C4C" w:rsidRPr="004829B9" w:rsidRDefault="00B34C4C" w:rsidP="00E873C8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r:id="rId18" w:history="1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86CFEE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1F32D071" wp14:editId="7B7350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87B3278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="008235EC" w:rsidRPr="004829B9">
              <w:rPr>
                <w:sz w:val="20"/>
                <w:lang w:val="en-GB"/>
              </w:rPr>
              <w:t>/en/</w:t>
            </w:r>
          </w:p>
        </w:tc>
      </w:tr>
      <w:tr w:rsidR="00B34C4C" w:rsidRPr="004829B9" w14:paraId="648C1E6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7E7FD1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9317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11E6E2DC" wp14:editId="6199C21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DF75532" w14:textId="77777777" w:rsidR="00B34C4C" w:rsidRPr="004829B9" w:rsidRDefault="008235E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B34C4C" w:rsidRPr="004829B9" w14:paraId="2959575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6E773AF1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F1D3479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2B8316A" wp14:editId="4F4CA4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E72E8C9" w14:textId="77777777" w:rsidR="00B34C4C" w:rsidRPr="004829B9" w:rsidRDefault="00B34C4C" w:rsidP="00E873C8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637862CB" w14:textId="77777777" w:rsidR="00B34C4C" w:rsidRPr="004829B9" w:rsidRDefault="00B34C4C" w:rsidP="0046503D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59FDAC" wp14:editId="79657CBB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866C" w14:textId="77777777" w:rsidR="003A7E95" w:rsidRDefault="003A7E9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38C998D" w14:textId="77777777" w:rsidR="003A7E95" w:rsidRDefault="003A7E95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03EB9888" w14:textId="77777777" w:rsidR="003A7E95" w:rsidRPr="004E377B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04758E0" w14:textId="77777777" w:rsidR="003A7E95" w:rsidRPr="008235EC" w:rsidRDefault="003A7E95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2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14:paraId="4C293715" w14:textId="77777777" w:rsidR="003A7E95" w:rsidRPr="005C7839" w:rsidRDefault="00F32F64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3" w:history="1">
                              <w:r w:rsidR="003A7E95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3A7E9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432F2D3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9A7AD9" w14:textId="77777777" w:rsidR="003A7E95" w:rsidRPr="00734C04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6E678369" w14:textId="0F342923" w:rsidR="003A7E95" w:rsidRPr="0026083F" w:rsidRDefault="00F32F64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14:paraId="14295646" w14:textId="77777777" w:rsidR="003A7E95" w:rsidRDefault="00F32F64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5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14:paraId="10DF6A1D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5F6943A" w14:textId="77777777" w:rsidR="003A7E95" w:rsidRDefault="003A7E95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3FA17007" w14:textId="77777777" w:rsidR="003A7E95" w:rsidRPr="008235EC" w:rsidRDefault="00F32F64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3A7E9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14:paraId="2F539928" w14:textId="77777777" w:rsidR="003A7E95" w:rsidRPr="00F11843" w:rsidRDefault="00F32F64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7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28" w:history="1"/>
                          </w:p>
                          <w:p w14:paraId="35275A7D" w14:textId="77777777" w:rsidR="003A7E95" w:rsidRPr="00F11843" w:rsidRDefault="00F32F64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9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14:paraId="41C747C6" w14:textId="77777777" w:rsidR="003A7E95" w:rsidRDefault="003A7E95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5195305" w14:textId="77777777" w:rsidR="003A7E95" w:rsidRPr="003B6350" w:rsidRDefault="003A7E9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FDAC" id="_x0000_s1033" type="#_x0000_t20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oK4N6D0CAABzBAAADgAA&#10;AAAAAAAAAAAAAAAuAgAAZHJzL2Uyb0RvYy54bWxQSwECLQAUAAYACAAAACEA8Gpojt8AAAAJAQAA&#10;DwAAAAAAAAAAAAAAAACXBAAAZHJzL2Rvd25yZXYueG1sUEsFBgAAAAAEAAQA8wAAAKMFAAAAAA==&#10;" fillcolor="#f2f2f2 [3052]" strokecolor="white [3212]">
                <v:textbox>
                  <w:txbxContent>
                    <w:p w14:paraId="0A17866C" w14:textId="77777777" w:rsidR="003A7E95" w:rsidRDefault="003A7E95" w:rsidP="00AB6D25">
                      <w:pPr>
                        <w:rPr>
                          <w:b/>
                        </w:rPr>
                      </w:pPr>
                    </w:p>
                    <w:p w14:paraId="438C998D" w14:textId="77777777" w:rsidR="003A7E95" w:rsidRDefault="003A7E95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03EB9888" w14:textId="77777777" w:rsidR="003A7E95" w:rsidRPr="004E377B" w:rsidRDefault="003A7E95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004758E0" w14:textId="77777777" w:rsidR="003A7E95" w:rsidRPr="008235EC" w:rsidRDefault="003A7E95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0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14:paraId="4C293715" w14:textId="77777777" w:rsidR="003A7E95" w:rsidRPr="005C7839" w:rsidRDefault="004657A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1" w:history="1">
                        <w:r w:rsidR="003A7E95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3A7E9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6432F2D3" w14:textId="77777777" w:rsidR="003A7E95" w:rsidRPr="00F11843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119A7AD9" w14:textId="77777777" w:rsidR="003A7E95" w:rsidRPr="00734C04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14:paraId="6E678369" w14:textId="0F342923" w:rsidR="003A7E95" w:rsidRPr="0026083F" w:rsidRDefault="004657A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2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14:paraId="14295646" w14:textId="77777777" w:rsidR="003A7E95" w:rsidRDefault="004657A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3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14:paraId="10DF6A1D" w14:textId="77777777" w:rsidR="003A7E95" w:rsidRPr="00F11843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65F6943A" w14:textId="77777777" w:rsidR="003A7E95" w:rsidRDefault="003A7E95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3FA17007" w14:textId="77777777" w:rsidR="003A7E95" w:rsidRPr="008235EC" w:rsidRDefault="004657A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4" w:history="1">
                        <w:r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</w:t>
                        </w:r>
                        <w:r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g</w:t>
                        </w:r>
                        <w:r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istered with a construction project</w:t>
                        </w:r>
                      </w:hyperlink>
                    </w:p>
                    <w:p w14:paraId="2F539928" w14:textId="77777777" w:rsidR="003A7E95" w:rsidRPr="00F11843" w:rsidRDefault="004657A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5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6" w:history="1"/>
                    </w:p>
                    <w:p w14:paraId="35275A7D" w14:textId="77777777" w:rsidR="003A7E95" w:rsidRPr="00F11843" w:rsidRDefault="004657A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7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14:paraId="41C747C6" w14:textId="77777777" w:rsidR="003A7E95" w:rsidRDefault="003A7E95" w:rsidP="00000009">
                      <w:pPr>
                        <w:rPr>
                          <w:lang w:val="en-GB"/>
                        </w:rPr>
                      </w:pPr>
                    </w:p>
                    <w:p w14:paraId="15195305" w14:textId="77777777" w:rsidR="003A7E95" w:rsidRPr="003B6350" w:rsidRDefault="003A7E9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2FCCF" w14:textId="77777777" w:rsidR="000470AA" w:rsidRPr="004829B9" w:rsidRDefault="000470AA" w:rsidP="0046503D">
      <w:pPr>
        <w:rPr>
          <w:sz w:val="20"/>
          <w:lang w:val="en-GB"/>
        </w:rPr>
      </w:pPr>
    </w:p>
    <w:p w14:paraId="6DD284D6" w14:textId="77777777" w:rsidR="00B80D90" w:rsidRDefault="00B80D90" w:rsidP="00B80D90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829B9" w14:paraId="6D1780A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9472902" w14:textId="77777777" w:rsidR="000470AA" w:rsidRPr="004829B9" w:rsidRDefault="000470AA" w:rsidP="0000000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9FCF89C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14:paraId="78DA6311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5DF708B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9B076A4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1C44CEA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22C796F5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257B58F0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91590B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B5EC16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7D2F9530" w14:textId="77777777" w:rsidR="000470AA" w:rsidRPr="004829B9" w:rsidRDefault="000470AA" w:rsidP="0046503D">
            <w:pPr>
              <w:rPr>
                <w:sz w:val="20"/>
                <w:lang w:val="en-GB"/>
              </w:rPr>
            </w:pPr>
          </w:p>
        </w:tc>
      </w:tr>
    </w:tbl>
    <w:p w14:paraId="080FA477" w14:textId="77777777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AEAC8" w14:textId="77777777" w:rsidR="00F32F64" w:rsidRDefault="00F32F64" w:rsidP="000662E2">
      <w:pPr>
        <w:spacing w:after="0" w:line="240" w:lineRule="auto"/>
      </w:pPr>
      <w:r>
        <w:separator/>
      </w:r>
    </w:p>
  </w:endnote>
  <w:endnote w:type="continuationSeparator" w:id="0">
    <w:p w14:paraId="1EE066A9" w14:textId="77777777" w:rsidR="00F32F64" w:rsidRDefault="00F32F6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63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3A7E95" w:rsidRPr="007B4F73" w:rsidRDefault="003A7E95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6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3A7E95" w:rsidRPr="00CC1C7C" w:rsidRDefault="003A7E95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DE0BD" w14:textId="77777777" w:rsidR="00F32F64" w:rsidRDefault="00F32F64" w:rsidP="000662E2">
      <w:pPr>
        <w:spacing w:after="0" w:line="240" w:lineRule="auto"/>
      </w:pPr>
      <w:r>
        <w:separator/>
      </w:r>
    </w:p>
  </w:footnote>
  <w:footnote w:type="continuationSeparator" w:id="0">
    <w:p w14:paraId="1166D2EC" w14:textId="77777777" w:rsidR="00F32F64" w:rsidRDefault="00F32F64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3A7E95" w:rsidRPr="008C48C6" w:rsidRDefault="003A7E95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3A7E95" w:rsidRDefault="003A7E9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3A7E95" w:rsidRDefault="003A7E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3A7E95" w:rsidRDefault="003A7E9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5950AE36" w:rsidR="003A7E95" w:rsidRPr="00C97596" w:rsidRDefault="0025490E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21.10</w:t>
                          </w:r>
                          <w:r w:rsidR="003A7E95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5950AE36" w:rsidR="003A7E95" w:rsidRPr="00C97596" w:rsidRDefault="0025490E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21.10</w:t>
                    </w:r>
                    <w:r w:rsidR="003A7E95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23" name="Obraz 23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3A7E95" w:rsidRPr="003C6C8D" w:rsidRDefault="003A7E9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3A7E95" w:rsidRPr="003C6C8D" w:rsidRDefault="003A7E9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3A7E95" w:rsidRPr="00C97596" w:rsidRDefault="003A7E9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E876"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106D657" w14:textId="77777777" w:rsidR="003A7E95" w:rsidRPr="00C97596" w:rsidRDefault="003A7E9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3A7E95" w:rsidRDefault="003A7E95">
    <w:pPr>
      <w:pStyle w:val="Nagwek"/>
    </w:pPr>
  </w:p>
  <w:p w14:paraId="77A82982" w14:textId="77777777" w:rsidR="003A7E95" w:rsidRDefault="003A7E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5.4pt;visibility:visible;mso-wrap-style:square" o:bullet="t">
        <v:imagedata r:id="rId1" o:title=""/>
      </v:shape>
    </w:pict>
  </w:numPicBullet>
  <w:numPicBullet w:numPicBulletId="1">
    <w:pict>
      <v:shape id="_x0000_i1029" type="#_x0000_t75" style="width:124.8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A71"/>
    <w:rsid w:val="000D1D43"/>
    <w:rsid w:val="000D225C"/>
    <w:rsid w:val="000D2A5C"/>
    <w:rsid w:val="000D2E0B"/>
    <w:rsid w:val="000D348A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7C74"/>
    <w:rsid w:val="00130296"/>
    <w:rsid w:val="00133F23"/>
    <w:rsid w:val="00135E5C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62325"/>
    <w:rsid w:val="00167EED"/>
    <w:rsid w:val="00175380"/>
    <w:rsid w:val="0017779B"/>
    <w:rsid w:val="00177DD6"/>
    <w:rsid w:val="00177F32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4A86"/>
    <w:rsid w:val="001B7948"/>
    <w:rsid w:val="001C1808"/>
    <w:rsid w:val="001C30AD"/>
    <w:rsid w:val="001C3269"/>
    <w:rsid w:val="001C3694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3ACC"/>
    <w:rsid w:val="001E475A"/>
    <w:rsid w:val="001F1170"/>
    <w:rsid w:val="001F31BD"/>
    <w:rsid w:val="001F3686"/>
    <w:rsid w:val="001F5873"/>
    <w:rsid w:val="001F649C"/>
    <w:rsid w:val="00202E71"/>
    <w:rsid w:val="00207BF8"/>
    <w:rsid w:val="00211FA7"/>
    <w:rsid w:val="002123EA"/>
    <w:rsid w:val="00212787"/>
    <w:rsid w:val="00216F21"/>
    <w:rsid w:val="00217D5E"/>
    <w:rsid w:val="00223849"/>
    <w:rsid w:val="00224A09"/>
    <w:rsid w:val="00224D54"/>
    <w:rsid w:val="00237220"/>
    <w:rsid w:val="00237A99"/>
    <w:rsid w:val="00244842"/>
    <w:rsid w:val="002452B8"/>
    <w:rsid w:val="00246441"/>
    <w:rsid w:val="0025490E"/>
    <w:rsid w:val="00254D71"/>
    <w:rsid w:val="0025542F"/>
    <w:rsid w:val="00256AD9"/>
    <w:rsid w:val="00257306"/>
    <w:rsid w:val="002574F9"/>
    <w:rsid w:val="00257AA4"/>
    <w:rsid w:val="0026083F"/>
    <w:rsid w:val="002615C6"/>
    <w:rsid w:val="00261B24"/>
    <w:rsid w:val="0026524A"/>
    <w:rsid w:val="00270874"/>
    <w:rsid w:val="0027193F"/>
    <w:rsid w:val="002722B3"/>
    <w:rsid w:val="00273A1F"/>
    <w:rsid w:val="0027483D"/>
    <w:rsid w:val="0027606C"/>
    <w:rsid w:val="00276811"/>
    <w:rsid w:val="0028261A"/>
    <w:rsid w:val="00282699"/>
    <w:rsid w:val="00284BF7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42CC"/>
    <w:rsid w:val="002B6593"/>
    <w:rsid w:val="002B6B12"/>
    <w:rsid w:val="002B6B7B"/>
    <w:rsid w:val="002C1E44"/>
    <w:rsid w:val="002C2695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AB0"/>
    <w:rsid w:val="002F1F42"/>
    <w:rsid w:val="002F2E8D"/>
    <w:rsid w:val="002F77C8"/>
    <w:rsid w:val="0030115B"/>
    <w:rsid w:val="003029E3"/>
    <w:rsid w:val="00304F22"/>
    <w:rsid w:val="00306C7C"/>
    <w:rsid w:val="00313E16"/>
    <w:rsid w:val="00314007"/>
    <w:rsid w:val="0031409D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46B3"/>
    <w:rsid w:val="00365F22"/>
    <w:rsid w:val="00367237"/>
    <w:rsid w:val="003674D8"/>
    <w:rsid w:val="0037077F"/>
    <w:rsid w:val="00371C7E"/>
    <w:rsid w:val="0037385E"/>
    <w:rsid w:val="00373882"/>
    <w:rsid w:val="00375215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358E"/>
    <w:rsid w:val="003A3FCF"/>
    <w:rsid w:val="003A42AA"/>
    <w:rsid w:val="003A716C"/>
    <w:rsid w:val="003A7E95"/>
    <w:rsid w:val="003B05CF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3374"/>
    <w:rsid w:val="003D4F95"/>
    <w:rsid w:val="003D5465"/>
    <w:rsid w:val="003D5833"/>
    <w:rsid w:val="003D5F42"/>
    <w:rsid w:val="003D60A9"/>
    <w:rsid w:val="003D6FE0"/>
    <w:rsid w:val="003D795B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12461"/>
    <w:rsid w:val="004130B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324F"/>
    <w:rsid w:val="00463E39"/>
    <w:rsid w:val="00464D4F"/>
    <w:rsid w:val="0046503D"/>
    <w:rsid w:val="004652C2"/>
    <w:rsid w:val="004657A9"/>
    <w:rsid w:val="004657FC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97680"/>
    <w:rsid w:val="004B68FC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E6F53"/>
    <w:rsid w:val="004F0C3C"/>
    <w:rsid w:val="004F4FCA"/>
    <w:rsid w:val="004F63FC"/>
    <w:rsid w:val="004F6903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0C"/>
    <w:rsid w:val="00527BA1"/>
    <w:rsid w:val="00533632"/>
    <w:rsid w:val="00536E29"/>
    <w:rsid w:val="005378A0"/>
    <w:rsid w:val="0054251F"/>
    <w:rsid w:val="00542771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5C63"/>
    <w:rsid w:val="005762A7"/>
    <w:rsid w:val="00577BDE"/>
    <w:rsid w:val="0058073C"/>
    <w:rsid w:val="00582224"/>
    <w:rsid w:val="00582ED4"/>
    <w:rsid w:val="005916AB"/>
    <w:rsid w:val="005916D7"/>
    <w:rsid w:val="005A30AB"/>
    <w:rsid w:val="005A4C6A"/>
    <w:rsid w:val="005A698C"/>
    <w:rsid w:val="005B093B"/>
    <w:rsid w:val="005B0979"/>
    <w:rsid w:val="005B2080"/>
    <w:rsid w:val="005B5EB4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7B4"/>
    <w:rsid w:val="005D7A4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187C"/>
    <w:rsid w:val="00621F5F"/>
    <w:rsid w:val="006262B3"/>
    <w:rsid w:val="006263DA"/>
    <w:rsid w:val="00626952"/>
    <w:rsid w:val="00626D87"/>
    <w:rsid w:val="00627CBE"/>
    <w:rsid w:val="006318DA"/>
    <w:rsid w:val="00632DF8"/>
    <w:rsid w:val="00633014"/>
    <w:rsid w:val="0063437B"/>
    <w:rsid w:val="00642778"/>
    <w:rsid w:val="00646D6F"/>
    <w:rsid w:val="0065707D"/>
    <w:rsid w:val="00664589"/>
    <w:rsid w:val="00665C38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4AF0"/>
    <w:rsid w:val="006A0E22"/>
    <w:rsid w:val="006A1938"/>
    <w:rsid w:val="006A37E8"/>
    <w:rsid w:val="006A46FA"/>
    <w:rsid w:val="006B0E9E"/>
    <w:rsid w:val="006B5AE4"/>
    <w:rsid w:val="006B6187"/>
    <w:rsid w:val="006B6263"/>
    <w:rsid w:val="006B6D5F"/>
    <w:rsid w:val="006C645A"/>
    <w:rsid w:val="006D4054"/>
    <w:rsid w:val="006D5A05"/>
    <w:rsid w:val="006D5ABB"/>
    <w:rsid w:val="006D7F1E"/>
    <w:rsid w:val="006E02EC"/>
    <w:rsid w:val="006E4D66"/>
    <w:rsid w:val="006E56A0"/>
    <w:rsid w:val="006E5888"/>
    <w:rsid w:val="006E5F08"/>
    <w:rsid w:val="006E6053"/>
    <w:rsid w:val="006E6C7B"/>
    <w:rsid w:val="006F3F3D"/>
    <w:rsid w:val="006F5EF5"/>
    <w:rsid w:val="007039DD"/>
    <w:rsid w:val="00704521"/>
    <w:rsid w:val="00707935"/>
    <w:rsid w:val="00710A0B"/>
    <w:rsid w:val="00710C03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924"/>
    <w:rsid w:val="00734C04"/>
    <w:rsid w:val="00741554"/>
    <w:rsid w:val="007418AC"/>
    <w:rsid w:val="00746187"/>
    <w:rsid w:val="00746A9F"/>
    <w:rsid w:val="0075636C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3C3F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D6458"/>
    <w:rsid w:val="007E1643"/>
    <w:rsid w:val="007E3314"/>
    <w:rsid w:val="007E4B03"/>
    <w:rsid w:val="007E58A2"/>
    <w:rsid w:val="007E7CE3"/>
    <w:rsid w:val="007F0C1A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C08"/>
    <w:rsid w:val="0080553C"/>
    <w:rsid w:val="00805B46"/>
    <w:rsid w:val="00813014"/>
    <w:rsid w:val="00815E57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CDB"/>
    <w:rsid w:val="00887F70"/>
    <w:rsid w:val="00891CF0"/>
    <w:rsid w:val="00893B4E"/>
    <w:rsid w:val="008941E0"/>
    <w:rsid w:val="008948E4"/>
    <w:rsid w:val="00896EB9"/>
    <w:rsid w:val="008A1C80"/>
    <w:rsid w:val="008A26D9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079C"/>
    <w:rsid w:val="00901350"/>
    <w:rsid w:val="00903A58"/>
    <w:rsid w:val="009046F6"/>
    <w:rsid w:val="00905A67"/>
    <w:rsid w:val="00906857"/>
    <w:rsid w:val="00907546"/>
    <w:rsid w:val="009127BA"/>
    <w:rsid w:val="0091499D"/>
    <w:rsid w:val="00914AA5"/>
    <w:rsid w:val="00916639"/>
    <w:rsid w:val="009168D8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AC7"/>
    <w:rsid w:val="00956313"/>
    <w:rsid w:val="009609A1"/>
    <w:rsid w:val="00960A1C"/>
    <w:rsid w:val="00960A9C"/>
    <w:rsid w:val="00960BE4"/>
    <w:rsid w:val="00964B1A"/>
    <w:rsid w:val="009651E5"/>
    <w:rsid w:val="009664CD"/>
    <w:rsid w:val="0096740A"/>
    <w:rsid w:val="00970194"/>
    <w:rsid w:val="009705EE"/>
    <w:rsid w:val="009729CD"/>
    <w:rsid w:val="00972B83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7251"/>
    <w:rsid w:val="009D2F59"/>
    <w:rsid w:val="009E13F6"/>
    <w:rsid w:val="009E1F94"/>
    <w:rsid w:val="009E2E91"/>
    <w:rsid w:val="009E3371"/>
    <w:rsid w:val="009E6202"/>
    <w:rsid w:val="009F0127"/>
    <w:rsid w:val="009F16E7"/>
    <w:rsid w:val="009F1C77"/>
    <w:rsid w:val="009F1CDB"/>
    <w:rsid w:val="009F200F"/>
    <w:rsid w:val="009F686F"/>
    <w:rsid w:val="00A00C56"/>
    <w:rsid w:val="00A01686"/>
    <w:rsid w:val="00A02ED8"/>
    <w:rsid w:val="00A05A3A"/>
    <w:rsid w:val="00A05EE7"/>
    <w:rsid w:val="00A11B23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40D16"/>
    <w:rsid w:val="00A4219B"/>
    <w:rsid w:val="00A4223C"/>
    <w:rsid w:val="00A4333F"/>
    <w:rsid w:val="00A45EB1"/>
    <w:rsid w:val="00A47D80"/>
    <w:rsid w:val="00A51E03"/>
    <w:rsid w:val="00A521F6"/>
    <w:rsid w:val="00A53132"/>
    <w:rsid w:val="00A536D2"/>
    <w:rsid w:val="00A563F2"/>
    <w:rsid w:val="00A566E8"/>
    <w:rsid w:val="00A569FC"/>
    <w:rsid w:val="00A63CAF"/>
    <w:rsid w:val="00A66E7E"/>
    <w:rsid w:val="00A72CF4"/>
    <w:rsid w:val="00A741A0"/>
    <w:rsid w:val="00A810F9"/>
    <w:rsid w:val="00A846D6"/>
    <w:rsid w:val="00A84818"/>
    <w:rsid w:val="00A86ECC"/>
    <w:rsid w:val="00A86FCC"/>
    <w:rsid w:val="00A87439"/>
    <w:rsid w:val="00A87DC7"/>
    <w:rsid w:val="00A91D74"/>
    <w:rsid w:val="00A97495"/>
    <w:rsid w:val="00AA05AC"/>
    <w:rsid w:val="00AA087A"/>
    <w:rsid w:val="00AA22EE"/>
    <w:rsid w:val="00AA298E"/>
    <w:rsid w:val="00AA3EB6"/>
    <w:rsid w:val="00AA4B7C"/>
    <w:rsid w:val="00AA5069"/>
    <w:rsid w:val="00AA710D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B3C"/>
    <w:rsid w:val="00AE2D4B"/>
    <w:rsid w:val="00AE3772"/>
    <w:rsid w:val="00AE3FB3"/>
    <w:rsid w:val="00AE4F99"/>
    <w:rsid w:val="00AE726C"/>
    <w:rsid w:val="00AF0752"/>
    <w:rsid w:val="00AF19C9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13C9"/>
    <w:rsid w:val="00B42455"/>
    <w:rsid w:val="00B44C5A"/>
    <w:rsid w:val="00B453D4"/>
    <w:rsid w:val="00B4601E"/>
    <w:rsid w:val="00B465A7"/>
    <w:rsid w:val="00B519FF"/>
    <w:rsid w:val="00B53935"/>
    <w:rsid w:val="00B55F47"/>
    <w:rsid w:val="00B56724"/>
    <w:rsid w:val="00B6240E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7EC9"/>
    <w:rsid w:val="00B80D90"/>
    <w:rsid w:val="00B82E2D"/>
    <w:rsid w:val="00B847C4"/>
    <w:rsid w:val="00B84896"/>
    <w:rsid w:val="00B86655"/>
    <w:rsid w:val="00B914E9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C4AAD"/>
    <w:rsid w:val="00BC514E"/>
    <w:rsid w:val="00BC70F1"/>
    <w:rsid w:val="00BD1222"/>
    <w:rsid w:val="00BD1D77"/>
    <w:rsid w:val="00BD2577"/>
    <w:rsid w:val="00BD4E33"/>
    <w:rsid w:val="00BD5740"/>
    <w:rsid w:val="00BD5F7F"/>
    <w:rsid w:val="00BD601A"/>
    <w:rsid w:val="00BD6924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397D"/>
    <w:rsid w:val="00C05C8B"/>
    <w:rsid w:val="00C16ABB"/>
    <w:rsid w:val="00C175B6"/>
    <w:rsid w:val="00C202E0"/>
    <w:rsid w:val="00C20CA7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7EF3"/>
    <w:rsid w:val="00C60835"/>
    <w:rsid w:val="00C625B8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44F1"/>
    <w:rsid w:val="00CD5580"/>
    <w:rsid w:val="00CD58B7"/>
    <w:rsid w:val="00CE0F21"/>
    <w:rsid w:val="00CE124B"/>
    <w:rsid w:val="00CE66F6"/>
    <w:rsid w:val="00CF0172"/>
    <w:rsid w:val="00CF140B"/>
    <w:rsid w:val="00CF2564"/>
    <w:rsid w:val="00CF36C5"/>
    <w:rsid w:val="00CF4099"/>
    <w:rsid w:val="00D00796"/>
    <w:rsid w:val="00D06341"/>
    <w:rsid w:val="00D10E44"/>
    <w:rsid w:val="00D110E3"/>
    <w:rsid w:val="00D21D71"/>
    <w:rsid w:val="00D242EC"/>
    <w:rsid w:val="00D261A2"/>
    <w:rsid w:val="00D30D5C"/>
    <w:rsid w:val="00D30EF4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6E73"/>
    <w:rsid w:val="00D8018C"/>
    <w:rsid w:val="00D81B78"/>
    <w:rsid w:val="00D8211E"/>
    <w:rsid w:val="00D8397C"/>
    <w:rsid w:val="00D83D00"/>
    <w:rsid w:val="00D923F1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D1D64"/>
    <w:rsid w:val="00DD20E2"/>
    <w:rsid w:val="00DD21A2"/>
    <w:rsid w:val="00DD2696"/>
    <w:rsid w:val="00DE4176"/>
    <w:rsid w:val="00DE6865"/>
    <w:rsid w:val="00DE7D23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39D0"/>
    <w:rsid w:val="00E873C8"/>
    <w:rsid w:val="00E87A8F"/>
    <w:rsid w:val="00E90AC0"/>
    <w:rsid w:val="00E928D6"/>
    <w:rsid w:val="00E94640"/>
    <w:rsid w:val="00E97E48"/>
    <w:rsid w:val="00EA20F6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5CD"/>
    <w:rsid w:val="00ED55C0"/>
    <w:rsid w:val="00ED682B"/>
    <w:rsid w:val="00ED7983"/>
    <w:rsid w:val="00EE373E"/>
    <w:rsid w:val="00EE41D5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43757"/>
    <w:rsid w:val="00F4477E"/>
    <w:rsid w:val="00F46B76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4574"/>
    <w:rsid w:val="00F95941"/>
    <w:rsid w:val="00F97730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D0C2F"/>
    <w:rsid w:val="00FD1099"/>
    <w:rsid w:val="00FD5EA7"/>
    <w:rsid w:val="00FE3A83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s/glossary/terms-used-in-official-statistics/3763,term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7.png"/><Relationship Id="rId34" Type="http://schemas.openxmlformats.org/officeDocument/2006/relationships/hyperlink" Target="https://stat.gov.pl/en/metainformations/glossary/terms-used-in-official-statistics/3763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bdl.stat.gov.pl/BDL/start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en/metainformations/glossary/terms-used-in-official-statistics/201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waid.stat.gov.pl/EN/Budownictwo_dashboards/Raporty_predefiniowane/RAP_DBD_BUD_7.aspx" TargetMode="External"/><Relationship Id="rId32" Type="http://schemas.openxmlformats.org/officeDocument/2006/relationships/hyperlink" Target="http://swaid.stat.gov.pl/EN/Budownictwo_dashboards/Raporty_predefiniowane/RAP_DBD_BUD_7.aspx" TargetMode="External"/><Relationship Id="rId37" Type="http://schemas.openxmlformats.org/officeDocument/2006/relationships/hyperlink" Target="http://stat.gov.pl/en/metainformations/glossary/terms-used-in-official-statistics/201,term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industry-construction-fixed-assets/construction/publikacja,1.html" TargetMode="External"/><Relationship Id="rId28" Type="http://schemas.openxmlformats.org/officeDocument/2006/relationships/hyperlink" Target="http://stat.gov.pl/en/metainformations/glossary/terms-used-in-official-statistics/945,term.html" TargetMode="External"/><Relationship Id="rId36" Type="http://schemas.openxmlformats.org/officeDocument/2006/relationships/hyperlink" Target="http://stat.gov.pl/en/metainformations/glossary/terms-used-in-official-statistics/945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en/topics/industry-construction-fixed-assets/construction/publikacja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other-studies/informations-on-socio-economic-situation/publikacja,1.html" TargetMode="External"/><Relationship Id="rId27" Type="http://schemas.openxmlformats.org/officeDocument/2006/relationships/hyperlink" Target="http://stat.gov.pl/en/metainformations/glossary/terms-used-in-official-statistics/945,term.html" TargetMode="External"/><Relationship Id="rId30" Type="http://schemas.openxmlformats.org/officeDocument/2006/relationships/hyperlink" Target="https://stat.gov.pl/en/topics/other-studies/informations-on-socio-economic-situation/publikacja,1.html" TargetMode="External"/><Relationship Id="rId35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5397296758058456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Arkusz1!$B$2:$BF$3</c:f>
              <c:multiLvlStrCache>
                <c:ptCount val="5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Arkusz1!$B$4:$BF$4</c:f>
              <c:numCache>
                <c:formatCode>General</c:formatCode>
                <c:ptCount val="57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 formatCode="#,##0">
                  <c:v>16637</c:v>
                </c:pt>
                <c:pt idx="31" formatCode="#,##0">
                  <c:v>16415</c:v>
                </c:pt>
                <c:pt idx="32" formatCode="#,##0">
                  <c:v>13914</c:v>
                </c:pt>
                <c:pt idx="33" formatCode="#,##0">
                  <c:v>18871</c:v>
                </c:pt>
                <c:pt idx="34" formatCode="#,##0">
                  <c:v>16470</c:v>
                </c:pt>
                <c:pt idx="35" formatCode="#,##0">
                  <c:v>19970</c:v>
                </c:pt>
                <c:pt idx="36" formatCode="#,##0">
                  <c:v>17405</c:v>
                </c:pt>
                <c:pt idx="37" formatCode="#,##0">
                  <c:v>15021</c:v>
                </c:pt>
                <c:pt idx="38">
                  <c:v>14991</c:v>
                </c:pt>
                <c:pt idx="39">
                  <c:v>17673</c:v>
                </c:pt>
                <c:pt idx="40">
                  <c:v>14974</c:v>
                </c:pt>
                <c:pt idx="41">
                  <c:v>14412</c:v>
                </c:pt>
                <c:pt idx="42">
                  <c:v>16908</c:v>
                </c:pt>
                <c:pt idx="43">
                  <c:v>17334</c:v>
                </c:pt>
                <c:pt idx="44">
                  <c:v>16998</c:v>
                </c:pt>
                <c:pt idx="45">
                  <c:v>20592</c:v>
                </c:pt>
                <c:pt idx="46">
                  <c:v>19042</c:v>
                </c:pt>
                <c:pt idx="47">
                  <c:v>22075</c:v>
                </c:pt>
                <c:pt idx="48">
                  <c:v>18517</c:v>
                </c:pt>
                <c:pt idx="49">
                  <c:v>15527</c:v>
                </c:pt>
                <c:pt idx="50">
                  <c:v>15580</c:v>
                </c:pt>
                <c:pt idx="51">
                  <c:v>14358</c:v>
                </c:pt>
                <c:pt idx="52">
                  <c:v>16357</c:v>
                </c:pt>
                <c:pt idx="53">
                  <c:v>17006</c:v>
                </c:pt>
                <c:pt idx="54">
                  <c:v>21767</c:v>
                </c:pt>
                <c:pt idx="55" formatCode="#,##0">
                  <c:v>16692</c:v>
                </c:pt>
                <c:pt idx="56">
                  <c:v>20719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Arkusz1!$B$2:$BF$3</c:f>
              <c:multiLvlStrCache>
                <c:ptCount val="5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Arkusz1!$B$16:$BF$16</c:f>
              <c:numCache>
                <c:formatCode>General</c:formatCode>
                <c:ptCount val="57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>
                  <c:v>22122</c:v>
                </c:pt>
                <c:pt idx="51">
                  <c:v>16714</c:v>
                </c:pt>
                <c:pt idx="52">
                  <c:v>19338</c:v>
                </c:pt>
                <c:pt idx="53">
                  <c:v>26845</c:v>
                </c:pt>
                <c:pt idx="54">
                  <c:v>24693</c:v>
                </c:pt>
                <c:pt idx="55">
                  <c:v>21252</c:v>
                </c:pt>
                <c:pt idx="56">
                  <c:v>23512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Arkusz1!$B$2:$BF$3</c:f>
              <c:multiLvlStrCache>
                <c:ptCount val="5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Arkusz1!$B$10:$BF$10</c:f>
              <c:numCache>
                <c:formatCode>General</c:formatCode>
                <c:ptCount val="57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  <c:pt idx="51">
                  <c:v>13647</c:v>
                </c:pt>
                <c:pt idx="52">
                  <c:v>15012</c:v>
                </c:pt>
                <c:pt idx="53">
                  <c:v>18763</c:v>
                </c:pt>
                <c:pt idx="54">
                  <c:v>21690</c:v>
                </c:pt>
                <c:pt idx="55">
                  <c:v>19460</c:v>
                </c:pt>
                <c:pt idx="56">
                  <c:v>26232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8427584"/>
        <c:axId val="1808421056"/>
      </c:lineChart>
      <c:catAx>
        <c:axId val="180842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0842105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1808421056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0842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8545986418860168E-2"/>
          <c:y val="0.82182823788157888"/>
          <c:w val="0.83955514300020795"/>
          <c:h val="0.157419531456623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2406</c:v>
                </c:pt>
                <c:pt idx="1">
                  <c:v>2864</c:v>
                </c:pt>
                <c:pt idx="2">
                  <c:v>4386</c:v>
                </c:pt>
                <c:pt idx="3">
                  <c:v>5958</c:v>
                </c:pt>
                <c:pt idx="4">
                  <c:v>5581</c:v>
                </c:pt>
                <c:pt idx="5">
                  <c:v>7147</c:v>
                </c:pt>
                <c:pt idx="6">
                  <c:v>9205</c:v>
                </c:pt>
                <c:pt idx="7">
                  <c:v>9535</c:v>
                </c:pt>
                <c:pt idx="8">
                  <c:v>7328</c:v>
                </c:pt>
                <c:pt idx="9">
                  <c:v>9045</c:v>
                </c:pt>
                <c:pt idx="10">
                  <c:v>14140</c:v>
                </c:pt>
                <c:pt idx="11">
                  <c:v>12427</c:v>
                </c:pt>
                <c:pt idx="12">
                  <c:v>15651</c:v>
                </c:pt>
                <c:pt idx="13">
                  <c:v>14527</c:v>
                </c:pt>
                <c:pt idx="14">
                  <c:v>17037</c:v>
                </c:pt>
                <c:pt idx="15">
                  <c:v>30110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2422</c:v>
                </c:pt>
                <c:pt idx="1">
                  <c:v>3206</c:v>
                </c:pt>
                <c:pt idx="2">
                  <c:v>5975</c:v>
                </c:pt>
                <c:pt idx="3">
                  <c:v>6781</c:v>
                </c:pt>
                <c:pt idx="4">
                  <c:v>5750</c:v>
                </c:pt>
                <c:pt idx="5">
                  <c:v>7104</c:v>
                </c:pt>
                <c:pt idx="6">
                  <c:v>9645</c:v>
                </c:pt>
                <c:pt idx="7">
                  <c:v>10863</c:v>
                </c:pt>
                <c:pt idx="8">
                  <c:v>9171</c:v>
                </c:pt>
                <c:pt idx="9">
                  <c:v>9842</c:v>
                </c:pt>
                <c:pt idx="10">
                  <c:v>17907</c:v>
                </c:pt>
                <c:pt idx="11">
                  <c:v>16935</c:v>
                </c:pt>
                <c:pt idx="12">
                  <c:v>16325</c:v>
                </c:pt>
                <c:pt idx="13">
                  <c:v>19222</c:v>
                </c:pt>
                <c:pt idx="14">
                  <c:v>19134</c:v>
                </c:pt>
                <c:pt idx="15">
                  <c:v>31484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1858</c:v>
                </c:pt>
                <c:pt idx="1">
                  <c:v>2884</c:v>
                </c:pt>
                <c:pt idx="2">
                  <c:v>3487</c:v>
                </c:pt>
                <c:pt idx="3">
                  <c:v>3840</c:v>
                </c:pt>
                <c:pt idx="4">
                  <c:v>4705</c:v>
                </c:pt>
                <c:pt idx="5">
                  <c:v>6275</c:v>
                </c:pt>
                <c:pt idx="6">
                  <c:v>6436</c:v>
                </c:pt>
                <c:pt idx="7">
                  <c:v>6617</c:v>
                </c:pt>
                <c:pt idx="8">
                  <c:v>6742</c:v>
                </c:pt>
                <c:pt idx="9">
                  <c:v>7797</c:v>
                </c:pt>
                <c:pt idx="10">
                  <c:v>12947</c:v>
                </c:pt>
                <c:pt idx="11">
                  <c:v>13171</c:v>
                </c:pt>
                <c:pt idx="12">
                  <c:v>14355</c:v>
                </c:pt>
                <c:pt idx="13">
                  <c:v>15465</c:v>
                </c:pt>
                <c:pt idx="14">
                  <c:v>16687</c:v>
                </c:pt>
                <c:pt idx="15">
                  <c:v>33257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08421600"/>
        <c:axId val="1968240592"/>
      </c:barChart>
      <c:catAx>
        <c:axId val="1808421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968240592"/>
        <c:crosses val="autoZero"/>
        <c:auto val="1"/>
        <c:lblAlgn val="ctr"/>
        <c:lblOffset val="100"/>
        <c:noMultiLvlLbl val="0"/>
      </c:catAx>
      <c:valAx>
        <c:axId val="1968240592"/>
        <c:scaling>
          <c:orientation val="minMax"/>
          <c:max val="36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08421600"/>
        <c:crosses val="autoZero"/>
        <c:crossBetween val="between"/>
        <c:majorUnit val="4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059689080330187"/>
          <c:y val="0.83253626467315078"/>
          <c:w val="0.83688211129506873"/>
          <c:h val="0.14005811094120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residential_construction_in_january-june_2020.docx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B257-98A6-4D1A-9F5A-EF79A74F8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F423D7B2-1C61-472D-BB58-26CA23AE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January 2020</vt:lpstr>
    </vt:vector>
  </TitlesOfParts>
  <Company>Statistics Poland</Company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January 2020</dc:title>
  <dc:subject>Residential construction in January 2020</dc:subject>
  <cp:keywords>dwellings completed; dwellings under construction; dwellings started; building permit; useful floor area</cp:keywords>
  <cp:lastPrinted>2020-10-20T11:52:00Z</cp:lastPrinted>
  <dcterms:created xsi:type="dcterms:W3CDTF">2020-10-19T10:57:00Z</dcterms:created>
  <dcterms:modified xsi:type="dcterms:W3CDTF">2020-10-20T11:53:00Z</dcterms:modified>
  <cp:category>Construction;Residential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LUB-OSB.6362.2.2020.5</vt:lpwstr>
  </property>
  <property fmtid="{D5CDD505-2E9C-101B-9397-08002B2CF9AE}" pid="4" name="UNPPisma">
    <vt:lpwstr>2020-135611</vt:lpwstr>
  </property>
  <property fmtid="{D5CDD505-2E9C-101B-9397-08002B2CF9AE}" pid="5" name="ZnakSprawy">
    <vt:lpwstr>LUB-OSB.6362.2.2020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Budownictwo mieszkaniowe w okresie I-VI 2020r.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2020-07-17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