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33ED83DC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bookmarkStart w:id="0" w:name="_GoBack"/>
      <w:bookmarkEnd w:id="0"/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C625B8">
        <w:rPr>
          <w:szCs w:val="32"/>
          <w:lang w:val="en-GB"/>
        </w:rPr>
        <w:t>I-</w:t>
      </w:r>
      <w:r w:rsidR="002E1E0B">
        <w:rPr>
          <w:szCs w:val="32"/>
          <w:lang w:val="en-GB"/>
        </w:rPr>
        <w:t>V</w:t>
      </w:r>
      <w:r w:rsidR="00A342B4">
        <w:rPr>
          <w:szCs w:val="32"/>
          <w:lang w:val="en-GB"/>
        </w:rPr>
        <w:t>I</w:t>
      </w:r>
      <w:r w:rsidR="001F1170" w:rsidRPr="004829B9">
        <w:rPr>
          <w:szCs w:val="32"/>
          <w:lang w:val="en-GB"/>
        </w:rPr>
        <w:t xml:space="preserve"> </w:t>
      </w:r>
      <w:r w:rsidR="008B2394" w:rsidRPr="004829B9">
        <w:rPr>
          <w:szCs w:val="32"/>
          <w:shd w:val="clear" w:color="auto" w:fill="FFFFFF"/>
          <w:lang w:val="en-GB"/>
        </w:rPr>
        <w:t>2020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3A7E95" w:rsidRPr="004466B1" w:rsidRDefault="003A7E95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B252253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3A7E95" w:rsidP="00074DD8" w:rsidRDefault="003A7E95" w14:paraId="47E9AF23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675D2071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3A7E95" w:rsidRPr="00612A93" w:rsidRDefault="003A7E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3A7E95" w:rsidRPr="00F64AC1" w:rsidRDefault="003A7E9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w14:anchorId="0ED5BDCA">
                <v:textbox>
                  <w:txbxContent>
                    <w:p w:rsidRPr="00612A93" w:rsidR="003A7E95" w:rsidP="00633014" w:rsidRDefault="003A7E95" w14:paraId="2CC185F8" w14:textId="7777777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Pr="00F64AC1" w:rsidR="003A7E95" w:rsidP="00074DD8" w:rsidRDefault="003A7E95" w14:paraId="173D3CF5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0C55A017" w:rsidR="003A7E95" w:rsidRPr="002C751B" w:rsidRDefault="00734C04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1A2821F8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102,7</w:t>
                            </w:r>
                          </w:p>
                          <w:p w14:paraId="4A535B62" w14:textId="2AEDB9F7" w:rsidR="003A7E95" w:rsidRPr="002C751B" w:rsidRDefault="003A7E95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 w:rsidR="002E1E0B"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5740"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26CAA24">
                <v:stroke joinstyle="miter"/>
                <v:path gradientshapeok="t" o:connecttype="rect"/>
              </v:shapetype>
              <v:shape id="_x0000_s1028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>
                <v:textbox>
                  <w:txbxContent>
                    <w:p w:rsidRPr="002C751B" w:rsidR="003A7E95" w:rsidP="004466B1" w:rsidRDefault="00734C04" w14:paraId="0DFD5284" w14:textId="0C55A01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1A2821F8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102,7</w:t>
                      </w:r>
                    </w:p>
                    <w:p w:rsidRPr="002C751B" w:rsidR="003A7E95" w:rsidP="004466B1" w:rsidRDefault="003A7E95" w14:paraId="4A535B62" w14:textId="2AEDB9F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 w:rsidR="002E1E0B"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 w:rsidR="00BD5740"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2B6593" w:rsidRPr="004829B9">
        <w:rPr>
          <w:lang w:val="en-GB"/>
        </w:rPr>
        <w:t xml:space="preserve">the first </w:t>
      </w:r>
      <w:r w:rsidR="00734C04">
        <w:rPr>
          <w:lang w:val="en-GB"/>
        </w:rPr>
        <w:t xml:space="preserve">half </w:t>
      </w:r>
      <w:r w:rsidR="002B6593" w:rsidRPr="004829B9">
        <w:rPr>
          <w:lang w:val="en-GB"/>
        </w:rPr>
        <w:t>of</w:t>
      </w:r>
      <w:r w:rsidR="008B2394" w:rsidRPr="004829B9">
        <w:rPr>
          <w:lang w:val="en-GB"/>
        </w:rPr>
        <w:t xml:space="preserve"> 2020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734C04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095A18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for which permits have been granted or which have been registered with a construction project </w:t>
      </w:r>
      <w:r w:rsidR="002E1E0B">
        <w:rPr>
          <w:lang w:val="en-GB"/>
        </w:rPr>
        <w:t xml:space="preserve">and </w:t>
      </w:r>
      <w:r w:rsidR="003C0487" w:rsidRPr="004829B9">
        <w:rPr>
          <w:lang w:val="en-GB"/>
        </w:rPr>
        <w:t xml:space="preserve">the number of dwellings </w:t>
      </w:r>
      <w:r w:rsidR="00EF3597" w:rsidRPr="004829B9">
        <w:rPr>
          <w:lang w:val="en-GB"/>
        </w:rPr>
        <w:t xml:space="preserve"> i</w:t>
      </w:r>
      <w:r w:rsidR="002E1E0B">
        <w:rPr>
          <w:lang w:val="en-GB"/>
        </w:rPr>
        <w:t>n which construction has begun decreased.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77777777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77777777" w:rsidR="00C733A3" w:rsidRPr="004829B9" w:rsidRDefault="00B407E7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0C27F2EF">
                <wp:simplePos x="0" y="0"/>
                <wp:positionH relativeFrom="page">
                  <wp:posOffset>5689600</wp:posOffset>
                </wp:positionH>
                <wp:positionV relativeFrom="paragraph">
                  <wp:posOffset>105410</wp:posOffset>
                </wp:positionV>
                <wp:extent cx="1809115" cy="990600"/>
                <wp:effectExtent l="0" t="0" r="0" b="0"/>
                <wp:wrapTight wrapText="bothSides">
                  <wp:wrapPolygon edited="0">
                    <wp:start x="682" y="0"/>
                    <wp:lineTo x="682" y="21185"/>
                    <wp:lineTo x="20698" y="21185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6537E844" w:rsidR="003A7E95" w:rsidRPr="00AD1492" w:rsidRDefault="00FC5B45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64.3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% 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total number of dwellings, i.e.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by </w:t>
                            </w:r>
                            <w:r>
                              <w:rPr>
                                <w:lang w:val="en-US"/>
                              </w:rPr>
                              <w:t>2.1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 percentage points more than in </w:t>
                            </w:r>
                            <w:r w:rsidR="00954AC7">
                              <w:rPr>
                                <w:lang w:val="en-US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left:0;text-align:left;margin-left:448pt;margin-top:8.3pt;width:142.4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" w14:anchorId="6EE33181">
                <v:textbox>
                  <w:txbxContent>
                    <w:p w:rsidRPr="00AD1492" w:rsidR="003A7E95" w:rsidP="00AD1492" w:rsidRDefault="00FC5B45" w14:paraId="55217834" w14:textId="6537E84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64.3</w:t>
                      </w:r>
                      <w:r w:rsidR="003A7E95">
                        <w:rPr>
                          <w:lang w:val="en-US"/>
                        </w:rPr>
                        <w:t xml:space="preserve">% 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 w:rsidR="003A7E95">
                        <w:rPr>
                          <w:lang w:val="en-US"/>
                        </w:rPr>
                        <w:t xml:space="preserve">total number of dwellings, i.e. </w:t>
                      </w:r>
                      <w:r w:rsidR="000348CC">
                        <w:rPr>
                          <w:lang w:val="en-US"/>
                        </w:rPr>
                        <w:t xml:space="preserve">by </w:t>
                      </w:r>
                      <w:r>
                        <w:rPr>
                          <w:lang w:val="en-US"/>
                        </w:rPr>
                        <w:t>2.1</w:t>
                      </w:r>
                      <w:r w:rsidR="003A7E95">
                        <w:rPr>
                          <w:lang w:val="en-US"/>
                        </w:rPr>
                        <w:t xml:space="preserve"> percentage points more than in </w:t>
                      </w:r>
                      <w:r w:rsidR="00954AC7">
                        <w:rPr>
                          <w:lang w:val="en-US"/>
                        </w:rPr>
                        <w:t>the previous year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76526920" w:rsidR="0042048D" w:rsidRPr="004829B9" w:rsidRDefault="0071658F" w:rsidP="00896EB9">
      <w:pPr>
        <w:rPr>
          <w:spacing w:val="-4"/>
          <w:shd w:val="clear" w:color="auto" w:fill="FFFFFF"/>
          <w:lang w:val="en-GB"/>
        </w:rPr>
      </w:pPr>
      <w:r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9BEDD2C" wp14:editId="4A379895">
                <wp:simplePos x="0" y="0"/>
                <wp:positionH relativeFrom="page">
                  <wp:posOffset>5759753</wp:posOffset>
                </wp:positionH>
                <wp:positionV relativeFrom="paragraph">
                  <wp:posOffset>1181624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B7E5D" w14:textId="77D233F3" w:rsidR="003A7E95" w:rsidRPr="00AE3772" w:rsidRDefault="000348CC" w:rsidP="001C5029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The a</w:t>
                            </w:r>
                            <w:r w:rsidR="003A7E95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verage useful floor 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 w:rsidR="003A7E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 dwelling </w:t>
                            </w:r>
                            <w:r w:rsidR="009B63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completed in the</w:t>
                            </w:r>
                            <w:r w:rsidR="00C625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period I-V</w:t>
                            </w:r>
                            <w:r w:rsidR="00FC5B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 2020 was 89.5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</w:t>
                            </w:r>
                            <w:r w:rsidR="002C751B" w:rsidRPr="002C75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GB" w:eastAsia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453.5pt;margin-top:93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tRr71&#10;3wAAAAwBAAAPAAAAAAAAAAAAAAAAAGYEAABkcnMvZG93bnJldi54bWxQSwUGAAAAAAQABADzAAAA&#10;cgUAAAAA&#10;" w14:anchorId="19BEDD2C">
                <v:textbox>
                  <w:txbxContent>
                    <w:p w:rsidRPr="00AE3772" w:rsidR="003A7E95" w:rsidP="001C5029" w:rsidRDefault="000348CC" w14:paraId="1A1B7E5D" w14:textId="77D233F3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The a</w:t>
                      </w:r>
                      <w:r w:rsidRPr="004C7185" w:rsidR="003A7E9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verage useful floor </w:t>
                      </w:r>
                      <w:r w:rsidRPr="00AE3772" w:rsidR="003A7E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 w:rsidR="003A7E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 dwelling </w:t>
                      </w:r>
                      <w:r w:rsidR="009B63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completed in the</w:t>
                      </w:r>
                      <w:r w:rsidR="00C625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period I-V</w:t>
                      </w:r>
                      <w:r w:rsidR="00FC5B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 2020 was 89.5</w:t>
                      </w:r>
                      <w:r w:rsidRPr="00AE3772" w:rsidR="003A7E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</w:t>
                      </w:r>
                      <w:r w:rsidRPr="002C751B" w:rsidR="002C75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GB" w:eastAsia="pl-PL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734C04">
        <w:rPr>
          <w:spacing w:val="-4"/>
          <w:shd w:val="clear" w:color="auto" w:fill="FFFFFF"/>
          <w:lang w:val="en-GB"/>
        </w:rPr>
        <w:t>97.0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>mpleted in</w:t>
      </w:r>
      <w:r w:rsidR="00F54505" w:rsidRPr="004829B9">
        <w:rPr>
          <w:spacing w:val="-4"/>
          <w:shd w:val="clear" w:color="auto" w:fill="FFFFFF"/>
          <w:lang w:val="en-GB"/>
        </w:rPr>
        <w:t xml:space="preserve"> </w:t>
      </w:r>
      <w:r w:rsidR="002B6593" w:rsidRPr="004829B9">
        <w:rPr>
          <w:spacing w:val="-4"/>
          <w:shd w:val="clear" w:color="auto" w:fill="FFFFFF"/>
          <w:lang w:val="en-GB"/>
        </w:rPr>
        <w:t xml:space="preserve">the period of </w:t>
      </w:r>
      <w:r w:rsidR="00F54505" w:rsidRPr="004829B9">
        <w:rPr>
          <w:spacing w:val="-4"/>
          <w:shd w:val="clear" w:color="auto" w:fill="FFFFFF"/>
          <w:lang w:val="en-GB"/>
        </w:rPr>
        <w:t>January</w:t>
      </w:r>
      <w:r w:rsidR="002E1E0B">
        <w:rPr>
          <w:spacing w:val="-4"/>
          <w:shd w:val="clear" w:color="auto" w:fill="FFFFFF"/>
          <w:lang w:val="en-GB"/>
        </w:rPr>
        <w:t>-</w:t>
      </w:r>
      <w:r w:rsidR="00734C04">
        <w:rPr>
          <w:spacing w:val="-4"/>
          <w:shd w:val="clear" w:color="auto" w:fill="FFFFFF"/>
          <w:lang w:val="en-GB"/>
        </w:rPr>
        <w:t>June</w:t>
      </w:r>
      <w:r w:rsidR="008B2394" w:rsidRPr="004829B9">
        <w:rPr>
          <w:spacing w:val="-4"/>
          <w:shd w:val="clear" w:color="auto" w:fill="FFFFFF"/>
          <w:lang w:val="en-GB"/>
        </w:rPr>
        <w:t xml:space="preserve"> 2020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734C04">
        <w:rPr>
          <w:spacing w:val="-4"/>
          <w:shd w:val="clear" w:color="auto" w:fill="FFFFFF"/>
          <w:lang w:val="en-GB"/>
        </w:rPr>
        <w:t>2.7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005167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a year ago.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734C04">
        <w:rPr>
          <w:spacing w:val="-4"/>
          <w:shd w:val="clear" w:color="auto" w:fill="FFFFFF"/>
          <w:lang w:val="en-GB"/>
        </w:rPr>
        <w:t>62.4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734C04">
        <w:rPr>
          <w:spacing w:val="-4"/>
          <w:shd w:val="clear" w:color="auto" w:fill="FFFFFF"/>
          <w:lang w:val="en-GB"/>
        </w:rPr>
        <w:t>(6.1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26083F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58073C" w:rsidRPr="004829B9">
        <w:rPr>
          <w:spacing w:val="-4"/>
          <w:shd w:val="clear" w:color="auto" w:fill="FFFFFF"/>
          <w:lang w:val="en-GB"/>
        </w:rPr>
        <w:t>period</w:t>
      </w:r>
      <w:r w:rsidR="008B2394" w:rsidRPr="004829B9">
        <w:rPr>
          <w:spacing w:val="-4"/>
          <w:shd w:val="clear" w:color="auto" w:fill="FFFFFF"/>
          <w:lang w:val="en-GB"/>
        </w:rPr>
        <w:t xml:space="preserve"> of 2019</w:t>
      </w:r>
      <w:r w:rsidR="00C733A3" w:rsidRPr="004829B9">
        <w:rPr>
          <w:spacing w:val="-4"/>
          <w:shd w:val="clear" w:color="auto" w:fill="FFFFFF"/>
          <w:lang w:val="en-GB"/>
        </w:rPr>
        <w:t xml:space="preserve">),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734C04">
        <w:rPr>
          <w:spacing w:val="-4"/>
          <w:shd w:val="clear" w:color="auto" w:fill="FFFFFF"/>
          <w:lang w:val="en-GB"/>
        </w:rPr>
        <w:t>32.8</w:t>
      </w:r>
      <w:r w:rsidR="00B036BF" w:rsidRPr="004829B9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734C04">
        <w:rPr>
          <w:spacing w:val="-4"/>
          <w:shd w:val="clear" w:color="auto" w:fill="FFFFFF"/>
          <w:lang w:val="en-GB"/>
        </w:rPr>
        <w:t>0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734C04">
        <w:rPr>
          <w:spacing w:val="-4"/>
          <w:shd w:val="clear" w:color="auto" w:fill="FFFFFF"/>
          <w:lang w:val="en-GB"/>
        </w:rPr>
        <w:t>9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2E1E0B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</w:t>
      </w:r>
      <w:r w:rsidR="00C94AC8" w:rsidRPr="004829B9">
        <w:rPr>
          <w:spacing w:val="-4"/>
          <w:shd w:val="clear" w:color="auto" w:fill="FFFFFF"/>
          <w:lang w:val="en-GB"/>
        </w:rPr>
        <w:t>2019</w:t>
      </w:r>
      <w:r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C94AC8" w:rsidRPr="004829B9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734C04">
        <w:rPr>
          <w:spacing w:val="-4"/>
          <w:shd w:val="clear" w:color="auto" w:fill="FFFFFF"/>
          <w:lang w:val="en-GB"/>
        </w:rPr>
        <w:t>1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734C04">
        <w:rPr>
          <w:spacing w:val="-4"/>
          <w:shd w:val="clear" w:color="auto" w:fill="FFFFFF"/>
          <w:lang w:val="en-GB"/>
        </w:rPr>
        <w:t xml:space="preserve"> (respectively 64.3% and 33.8</w:t>
      </w:r>
      <w:r w:rsidR="0058073C" w:rsidRPr="004829B9">
        <w:rPr>
          <w:spacing w:val="-4"/>
          <w:shd w:val="clear" w:color="auto" w:fill="FFFFFF"/>
          <w:lang w:val="en-GB"/>
        </w:rPr>
        <w:t>%)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EF3597" w:rsidRPr="004829B9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than a year ago were completed within </w:t>
      </w:r>
      <w:r w:rsidR="00C733A3" w:rsidRPr="004829B9">
        <w:rPr>
          <w:b/>
          <w:spacing w:val="-4"/>
          <w:shd w:val="clear" w:color="auto" w:fill="FFFFFF"/>
          <w:lang w:val="en-GB"/>
        </w:rPr>
        <w:t>cooperative</w:t>
      </w:r>
      <w:r w:rsidR="00C733A3" w:rsidRPr="004829B9">
        <w:rPr>
          <w:spacing w:val="-4"/>
          <w:shd w:val="clear" w:color="auto" w:fill="FFFFFF"/>
          <w:lang w:val="en-GB"/>
        </w:rPr>
        <w:t xml:space="preserve"> construction (</w:t>
      </w:r>
      <w:r w:rsidR="00FC5B45">
        <w:rPr>
          <w:spacing w:val="-4"/>
          <w:shd w:val="clear" w:color="auto" w:fill="FFFFFF"/>
          <w:lang w:val="en-GB"/>
        </w:rPr>
        <w:t>661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compared to </w:t>
      </w:r>
      <w:r w:rsidR="00FC5B45">
        <w:rPr>
          <w:spacing w:val="-4"/>
          <w:shd w:val="clear" w:color="auto" w:fill="FFFFFF"/>
          <w:lang w:val="en-GB"/>
        </w:rPr>
        <w:t>954</w:t>
      </w:r>
      <w:r w:rsidR="00BD7A45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dw</w:t>
      </w:r>
      <w:r w:rsidR="00FF795E" w:rsidRPr="004829B9">
        <w:rPr>
          <w:spacing w:val="-4"/>
          <w:shd w:val="clear" w:color="auto" w:fill="FFFFFF"/>
          <w:lang w:val="en-GB"/>
        </w:rPr>
        <w:t xml:space="preserve">ellings); </w:t>
      </w:r>
      <w:r w:rsidR="00FF795E" w:rsidRPr="004829B9">
        <w:rPr>
          <w:lang w:val="en-GB"/>
        </w:rPr>
        <w:t>i</w:t>
      </w:r>
      <w:r w:rsidR="003A358E" w:rsidRPr="004829B9">
        <w:rPr>
          <w:lang w:val="en-GB"/>
        </w:rPr>
        <w:t>n</w:t>
      </w:r>
      <w:r w:rsidR="00FF795E" w:rsidRPr="004829B9">
        <w:rPr>
          <w:lang w:val="en-GB"/>
        </w:rPr>
        <w:t> </w:t>
      </w:r>
      <w:r w:rsidR="003A358E" w:rsidRPr="004829B9">
        <w:rPr>
          <w:b/>
          <w:lang w:val="en-GB"/>
        </w:rPr>
        <w:t>other</w:t>
      </w:r>
      <w:r w:rsidR="003A358E" w:rsidRPr="004829B9">
        <w:rPr>
          <w:b/>
          <w:spacing w:val="-4"/>
          <w:shd w:val="clear" w:color="auto" w:fill="FFFFFF"/>
          <w:lang w:val="en-GB"/>
        </w:rPr>
        <w:t xml:space="preserve"> forms</w:t>
      </w:r>
      <w:r w:rsidR="003A358E" w:rsidRPr="004829B9">
        <w:rPr>
          <w:spacing w:val="-4"/>
          <w:shd w:val="clear" w:color="auto" w:fill="FFFFFF"/>
          <w:lang w:val="en-GB"/>
        </w:rPr>
        <w:t xml:space="preserve"> of </w:t>
      </w:r>
      <w:r w:rsidR="00C733A3" w:rsidRPr="004829B9">
        <w:rPr>
          <w:spacing w:val="-4"/>
          <w:shd w:val="clear" w:color="auto" w:fill="FFFFFF"/>
          <w:lang w:val="en-GB"/>
        </w:rPr>
        <w:t>construction (municipal</w:t>
      </w:r>
      <w:r w:rsidR="0042048D" w:rsidRPr="004829B9">
        <w:rPr>
          <w:spacing w:val="-4"/>
          <w:shd w:val="clear" w:color="auto" w:fill="FFFFFF"/>
          <w:lang w:val="en-GB"/>
        </w:rPr>
        <w:t xml:space="preserve">, public building society </w:t>
      </w:r>
      <w:r w:rsidR="002B1FCD" w:rsidRPr="004829B9">
        <w:rPr>
          <w:spacing w:val="-4"/>
          <w:shd w:val="clear" w:color="auto" w:fill="FFFFFF"/>
          <w:lang w:val="en-GB"/>
        </w:rPr>
        <w:t>and company construction)</w:t>
      </w:r>
      <w:r w:rsidR="004829B9">
        <w:rPr>
          <w:spacing w:val="-4"/>
          <w:shd w:val="clear" w:color="auto" w:fill="FFFFFF"/>
          <w:lang w:val="en-GB"/>
        </w:rPr>
        <w:t>,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FC5B45">
        <w:rPr>
          <w:spacing w:val="-4"/>
          <w:shd w:val="clear" w:color="auto" w:fill="FFFFFF"/>
          <w:lang w:val="en-GB"/>
        </w:rPr>
        <w:t>1 179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dwellings were complete</w:t>
      </w:r>
      <w:r w:rsidR="0043577A" w:rsidRPr="004829B9">
        <w:rPr>
          <w:spacing w:val="-4"/>
          <w:shd w:val="clear" w:color="auto" w:fill="FFFFFF"/>
          <w:lang w:val="en-GB"/>
        </w:rPr>
        <w:t>d</w:t>
      </w:r>
      <w:r w:rsidR="00C733A3" w:rsidRPr="004829B9">
        <w:rPr>
          <w:spacing w:val="-4"/>
          <w:shd w:val="clear" w:color="auto" w:fill="FFFFFF"/>
          <w:lang w:val="en-GB"/>
        </w:rPr>
        <w:t xml:space="preserve"> in total</w:t>
      </w:r>
      <w:r w:rsidR="00C94AC8" w:rsidRPr="004829B9">
        <w:rPr>
          <w:spacing w:val="-4"/>
          <w:shd w:val="clear" w:color="auto" w:fill="FFFFFF"/>
          <w:lang w:val="en-GB"/>
        </w:rPr>
        <w:t xml:space="preserve"> (compared to </w:t>
      </w:r>
      <w:r w:rsidR="00C625B8">
        <w:rPr>
          <w:spacing w:val="-4"/>
          <w:shd w:val="clear" w:color="auto" w:fill="FFFFFF"/>
          <w:lang w:val="en-GB"/>
        </w:rPr>
        <w:t xml:space="preserve">1 </w:t>
      </w:r>
      <w:r w:rsidR="00FC5B45">
        <w:rPr>
          <w:spacing w:val="-4"/>
          <w:shd w:val="clear" w:color="auto" w:fill="FFFFFF"/>
          <w:lang w:val="en-GB"/>
        </w:rPr>
        <w:t>655</w:t>
      </w:r>
      <w:r w:rsidR="00C94AC8" w:rsidRPr="004829B9">
        <w:rPr>
          <w:spacing w:val="-4"/>
          <w:shd w:val="clear" w:color="auto" w:fill="FFFFFF"/>
          <w:lang w:val="en-GB"/>
        </w:rPr>
        <w:t xml:space="preserve"> in the previous year)</w:t>
      </w:r>
      <w:r w:rsidR="0042048D" w:rsidRPr="004829B9">
        <w:rPr>
          <w:spacing w:val="-4"/>
          <w:shd w:val="clear" w:color="auto" w:fill="FFFFFF"/>
          <w:lang w:val="en-GB"/>
        </w:rPr>
        <w:t>.</w:t>
      </w:r>
    </w:p>
    <w:p w14:paraId="6DA771CF" w14:textId="72CFCAC6" w:rsidR="00054314" w:rsidRPr="004829B9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 xml:space="preserve">otal useful floor area of dwellings completed in </w:t>
      </w:r>
      <w:r w:rsidR="0058073C" w:rsidRPr="004829B9">
        <w:rPr>
          <w:shd w:val="clear" w:color="auto" w:fill="FFFFFF"/>
          <w:lang w:val="en-GB"/>
        </w:rPr>
        <w:t>the period of January-</w:t>
      </w:r>
      <w:r w:rsidR="00FC5B45">
        <w:rPr>
          <w:shd w:val="clear" w:color="auto" w:fill="FFFFFF"/>
          <w:lang w:val="en-GB"/>
        </w:rPr>
        <w:t>June</w:t>
      </w:r>
      <w:r w:rsidR="00C94AC8" w:rsidRPr="004829B9">
        <w:rPr>
          <w:shd w:val="clear" w:color="auto" w:fill="FFFFFF"/>
          <w:lang w:val="en-GB"/>
        </w:rPr>
        <w:t xml:space="preserve"> 2020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FC5B45">
        <w:rPr>
          <w:shd w:val="clear" w:color="auto" w:fill="FFFFFF"/>
          <w:lang w:val="en-GB"/>
        </w:rPr>
        <w:t>8</w:t>
      </w:r>
      <w:r w:rsidR="00837231" w:rsidRPr="004829B9">
        <w:rPr>
          <w:shd w:val="clear" w:color="auto" w:fill="FFFFFF"/>
          <w:lang w:val="en-GB"/>
        </w:rPr>
        <w:t>.</w:t>
      </w:r>
      <w:r w:rsidR="00FC5B45">
        <w:rPr>
          <w:shd w:val="clear" w:color="auto" w:fill="FFFFFF"/>
          <w:lang w:val="en-GB"/>
        </w:rPr>
        <w:t>7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2C751B">
        <w:rPr>
          <w:shd w:val="clear" w:color="auto" w:fill="FFFFFF"/>
          <w:lang w:val="en-GB"/>
        </w:rPr>
        <w:t xml:space="preserve"> 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FC5B45">
        <w:rPr>
          <w:shd w:val="clear" w:color="auto" w:fill="FFFFFF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>.</w:t>
      </w:r>
      <w:r w:rsidR="00FC5B45">
        <w:rPr>
          <w:shd w:val="clear" w:color="auto" w:fill="FFFFFF"/>
          <w:lang w:val="en-GB"/>
        </w:rPr>
        <w:t>1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FC5B45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in the corresponding </w:t>
      </w:r>
      <w:r w:rsidR="0058073C" w:rsidRPr="004829B9">
        <w:rPr>
          <w:shd w:val="clear" w:color="auto" w:fill="FFFFFF"/>
          <w:lang w:val="en-GB"/>
        </w:rPr>
        <w:t>period</w:t>
      </w:r>
      <w:r w:rsidRPr="004829B9">
        <w:rPr>
          <w:shd w:val="clear" w:color="auto" w:fill="FFFFFF"/>
          <w:lang w:val="en-GB"/>
        </w:rPr>
        <w:t xml:space="preserve"> of </w:t>
      </w:r>
      <w:r w:rsidR="00CE0F21" w:rsidRPr="004829B9">
        <w:rPr>
          <w:shd w:val="clear" w:color="auto" w:fill="FFFFFF"/>
          <w:lang w:val="en-GB"/>
        </w:rPr>
        <w:t xml:space="preserve">the </w:t>
      </w:r>
      <w:r w:rsidRPr="004829B9">
        <w:rPr>
          <w:shd w:val="clear" w:color="auto" w:fill="FFFFFF"/>
          <w:lang w:val="en-GB"/>
        </w:rPr>
        <w:t>previous year.</w:t>
      </w:r>
      <w:r w:rsidR="00C94AC8" w:rsidRPr="004829B9">
        <w:rPr>
          <w:shd w:val="clear" w:color="auto" w:fill="FFFFFF"/>
          <w:lang w:val="en-GB"/>
        </w:rPr>
        <w:t xml:space="preserve"> Compared to the </w:t>
      </w:r>
      <w:r w:rsidR="0058073C" w:rsidRPr="004829B9">
        <w:rPr>
          <w:shd w:val="clear" w:color="auto" w:fill="FFFFFF"/>
          <w:lang w:val="en-GB"/>
        </w:rPr>
        <w:t>period</w:t>
      </w:r>
      <w:r w:rsidR="000348CC">
        <w:rPr>
          <w:shd w:val="clear" w:color="auto" w:fill="FFFFFF"/>
          <w:lang w:val="en-GB"/>
        </w:rPr>
        <w:t xml:space="preserve"> of</w:t>
      </w:r>
      <w:r w:rsidR="0058073C" w:rsidRPr="004829B9">
        <w:rPr>
          <w:shd w:val="clear" w:color="auto" w:fill="FFFFFF"/>
          <w:lang w:val="en-GB"/>
        </w:rPr>
        <w:t xml:space="preserve"> January-</w:t>
      </w:r>
      <w:r w:rsidR="00FC5B45">
        <w:rPr>
          <w:shd w:val="clear" w:color="auto" w:fill="FFFFFF"/>
          <w:lang w:val="en-GB"/>
        </w:rPr>
        <w:t>June</w:t>
      </w:r>
      <w:r w:rsidR="00C94AC8" w:rsidRPr="004829B9">
        <w:rPr>
          <w:shd w:val="clear" w:color="auto" w:fill="FFFFFF"/>
          <w:lang w:val="en-GB"/>
        </w:rPr>
        <w:t xml:space="preserve"> 2019</w:t>
      </w:r>
      <w:r w:rsidR="000348CC">
        <w:rPr>
          <w:shd w:val="clear" w:color="auto" w:fill="FFFFFF"/>
          <w:lang w:val="en-GB"/>
        </w:rPr>
        <w:t>,</w:t>
      </w:r>
      <w:r w:rsidRPr="004829B9">
        <w:rPr>
          <w:shd w:val="clear" w:color="auto" w:fill="FFFFFF"/>
          <w:lang w:val="en-GB"/>
        </w:rPr>
        <w:t xml:space="preserve"> 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>dwelling de</w:t>
      </w:r>
      <w:r w:rsidR="00837231" w:rsidRPr="004829B9">
        <w:rPr>
          <w:shd w:val="clear" w:color="auto" w:fill="FFFFFF"/>
          <w:lang w:val="en-GB"/>
        </w:rPr>
        <w:t xml:space="preserve">creased by </w:t>
      </w:r>
      <w:r w:rsidR="00FC5B45">
        <w:rPr>
          <w:shd w:val="clear" w:color="auto" w:fill="FFFFFF"/>
          <w:lang w:val="en-GB"/>
        </w:rPr>
        <w:t>0</w:t>
      </w:r>
      <w:r w:rsidR="00837231" w:rsidRPr="004829B9">
        <w:rPr>
          <w:shd w:val="clear" w:color="auto" w:fill="FFFFFF"/>
          <w:lang w:val="en-GB"/>
        </w:rPr>
        <w:t>.</w:t>
      </w:r>
      <w:r w:rsidR="00FC5B45">
        <w:rPr>
          <w:shd w:val="clear" w:color="auto" w:fill="FFFFFF"/>
          <w:lang w:val="en-GB"/>
        </w:rPr>
        <w:t>6</w:t>
      </w:r>
      <w:r w:rsidRPr="004829B9">
        <w:rPr>
          <w:shd w:val="clear" w:color="auto" w:fill="FFFFFF"/>
          <w:lang w:val="en-GB"/>
        </w:rPr>
        <w:t xml:space="preserve"> </w:t>
      </w:r>
      <w:r w:rsidR="003460DF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3460DF" w:rsidRPr="004829B9">
        <w:rPr>
          <w:shd w:val="clear" w:color="auto" w:fill="FFFFFF"/>
          <w:lang w:val="en-GB"/>
        </w:rPr>
        <w:t xml:space="preserve"> to the level of </w:t>
      </w:r>
      <w:r w:rsidR="00FC5B45">
        <w:rPr>
          <w:shd w:val="clear" w:color="auto" w:fill="FFFFFF"/>
          <w:lang w:val="en-GB"/>
        </w:rPr>
        <w:t>89</w:t>
      </w:r>
      <w:r w:rsidR="005D25AB" w:rsidRPr="004829B9">
        <w:rPr>
          <w:shd w:val="clear" w:color="auto" w:fill="FFFFFF"/>
          <w:lang w:val="en-GB"/>
        </w:rPr>
        <w:t>.</w:t>
      </w:r>
      <w:r w:rsidR="00FC5B45">
        <w:rPr>
          <w:shd w:val="clear" w:color="auto" w:fill="FFFFFF"/>
          <w:lang w:val="en-GB"/>
        </w:rPr>
        <w:t>5</w:t>
      </w:r>
      <w:r w:rsidRPr="004829B9">
        <w:rPr>
          <w:shd w:val="clear" w:color="auto" w:fill="FFFFFF"/>
          <w:lang w:val="en-GB"/>
        </w:rPr>
        <w:t xml:space="preserve"> 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8073C" w:rsidRPr="004829B9" w14:paraId="6FC114B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544933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2CFFA46" w14:textId="77777777" w:rsidR="0058073C" w:rsidRPr="004829B9" w:rsidRDefault="0058073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8073C" w:rsidRPr="004829B9" w14:paraId="3F9B3FE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D45712C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C138F02" w14:textId="79BDCF34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25621A64" w14:textId="24F86729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8073C" w:rsidRPr="004829B9" w14:paraId="22FC7A49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1F0398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7DB75AA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3DC622" w14:textId="01C30990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1E6FC37" w14:textId="325293AF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566992E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C0F5353" w14:textId="689A5E6B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FC5B45" w:rsidRPr="004829B9" w14:paraId="233056DD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AEC01FC" w14:textId="77777777" w:rsidR="00FC5B45" w:rsidRPr="004829B9" w:rsidRDefault="00FC5B45" w:rsidP="00FC5B45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B14F49D" w14:textId="310D5A41" w:rsidR="00FC5B45" w:rsidRPr="004829B9" w:rsidRDefault="00FC5B45" w:rsidP="00FC5B4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17 180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DF92398" w14:textId="52078F81" w:rsidR="00FC5B45" w:rsidRPr="004829B9" w:rsidRDefault="00FC5B45" w:rsidP="00FC5B4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119.2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9D76205" w14:textId="40A02630" w:rsidR="00FC5B45" w:rsidRPr="004829B9" w:rsidRDefault="00FC5B45" w:rsidP="00FC5B4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6D857ED" w14:textId="10EF6EEF" w:rsidR="00FC5B45" w:rsidRPr="004829B9" w:rsidRDefault="00FC5B45" w:rsidP="00FC5B4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97 012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4B1C71C" w14:textId="08D7A608" w:rsidR="00FC5B45" w:rsidRPr="004829B9" w:rsidRDefault="00FC5B45" w:rsidP="00FC5B4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102.7</w:t>
            </w:r>
          </w:p>
        </w:tc>
      </w:tr>
      <w:tr w:rsidR="00FC5B45" w:rsidRPr="004829B9" w14:paraId="0E21E3C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812006" w14:textId="77777777" w:rsidR="00FC5B45" w:rsidRPr="004829B9" w:rsidRDefault="00FC5B45" w:rsidP="00FC5B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4B64173" w14:textId="41187551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6 259</w:t>
            </w:r>
          </w:p>
        </w:tc>
        <w:tc>
          <w:tcPr>
            <w:tcW w:w="1206" w:type="dxa"/>
            <w:vAlign w:val="center"/>
          </w:tcPr>
          <w:p w14:paraId="1EF9A641" w14:textId="68827B54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132.3</w:t>
            </w:r>
          </w:p>
        </w:tc>
        <w:tc>
          <w:tcPr>
            <w:tcW w:w="1206" w:type="dxa"/>
            <w:vAlign w:val="center"/>
          </w:tcPr>
          <w:p w14:paraId="6A6BDE68" w14:textId="3E9C6CAA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124.9</w:t>
            </w:r>
          </w:p>
        </w:tc>
        <w:tc>
          <w:tcPr>
            <w:tcW w:w="1206" w:type="dxa"/>
            <w:vAlign w:val="center"/>
          </w:tcPr>
          <w:p w14:paraId="474030F8" w14:textId="005E0A05" w:rsidR="00FC5B45" w:rsidRPr="0026083F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32 807</w:t>
            </w:r>
          </w:p>
        </w:tc>
        <w:tc>
          <w:tcPr>
            <w:tcW w:w="1207" w:type="dxa"/>
            <w:vAlign w:val="center"/>
          </w:tcPr>
          <w:p w14:paraId="04A3773C" w14:textId="7E87B827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99.1</w:t>
            </w:r>
          </w:p>
        </w:tc>
      </w:tr>
      <w:tr w:rsidR="00FC5B45" w:rsidRPr="004829B9" w14:paraId="3503250B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52D39B7" w14:textId="77777777" w:rsidR="00FC5B45" w:rsidRPr="004829B9" w:rsidRDefault="00FC5B45" w:rsidP="00FC5B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730C0030" w14:textId="07F9B098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10 414</w:t>
            </w:r>
          </w:p>
        </w:tc>
        <w:tc>
          <w:tcPr>
            <w:tcW w:w="1206" w:type="dxa"/>
            <w:vAlign w:val="center"/>
          </w:tcPr>
          <w:p w14:paraId="2E70220E" w14:textId="67F0D5E7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115.6</w:t>
            </w:r>
          </w:p>
        </w:tc>
        <w:tc>
          <w:tcPr>
            <w:tcW w:w="1206" w:type="dxa"/>
            <w:vAlign w:val="center"/>
          </w:tcPr>
          <w:p w14:paraId="1ED74D3A" w14:textId="5FDD9E8A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93.1</w:t>
            </w:r>
          </w:p>
        </w:tc>
        <w:tc>
          <w:tcPr>
            <w:tcW w:w="1206" w:type="dxa"/>
            <w:vAlign w:val="center"/>
          </w:tcPr>
          <w:p w14:paraId="44BA7141" w14:textId="7D83AE27" w:rsidR="00FC5B45" w:rsidRPr="0026083F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62 365</w:t>
            </w:r>
          </w:p>
        </w:tc>
        <w:tc>
          <w:tcPr>
            <w:tcW w:w="1207" w:type="dxa"/>
            <w:vAlign w:val="center"/>
          </w:tcPr>
          <w:p w14:paraId="3F979385" w14:textId="0E8813FD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106.1</w:t>
            </w:r>
          </w:p>
        </w:tc>
      </w:tr>
      <w:tr w:rsidR="00FC5B45" w:rsidRPr="004829B9" w14:paraId="157C331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B0D4A9" w14:textId="77777777" w:rsidR="00FC5B45" w:rsidRPr="004829B9" w:rsidRDefault="00FC5B45" w:rsidP="00FC5B45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1EDB440B" w14:textId="1BCE3728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206" w:type="dxa"/>
            <w:vAlign w:val="center"/>
          </w:tcPr>
          <w:p w14:paraId="5CCE1C02" w14:textId="5D364774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30.7</w:t>
            </w:r>
          </w:p>
        </w:tc>
        <w:tc>
          <w:tcPr>
            <w:tcW w:w="1206" w:type="dxa"/>
            <w:vAlign w:val="center"/>
          </w:tcPr>
          <w:p w14:paraId="6A15538A" w14:textId="362DCE54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56.6</w:t>
            </w:r>
          </w:p>
        </w:tc>
        <w:tc>
          <w:tcPr>
            <w:tcW w:w="1206" w:type="dxa"/>
            <w:vAlign w:val="center"/>
          </w:tcPr>
          <w:p w14:paraId="4F32B4AA" w14:textId="648EBD94" w:rsidR="00FC5B45" w:rsidRPr="0026083F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649</w:t>
            </w:r>
          </w:p>
        </w:tc>
        <w:tc>
          <w:tcPr>
            <w:tcW w:w="1207" w:type="dxa"/>
            <w:vAlign w:val="center"/>
          </w:tcPr>
          <w:p w14:paraId="6749CE4C" w14:textId="0CE9AD49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65.7</w:t>
            </w:r>
          </w:p>
        </w:tc>
      </w:tr>
      <w:tr w:rsidR="00FC5B45" w:rsidRPr="004829B9" w14:paraId="4775506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8BFFDDF" w14:textId="77777777" w:rsidR="00FC5B45" w:rsidRPr="004829B9" w:rsidRDefault="00FC5B45" w:rsidP="00FC5B4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87B4707" w14:textId="4E5CF34B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1206" w:type="dxa"/>
            <w:vAlign w:val="center"/>
          </w:tcPr>
          <w:p w14:paraId="0C60AA6B" w14:textId="319327D5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135.2</w:t>
            </w:r>
          </w:p>
        </w:tc>
        <w:tc>
          <w:tcPr>
            <w:tcW w:w="1206" w:type="dxa"/>
            <w:vAlign w:val="center"/>
          </w:tcPr>
          <w:p w14:paraId="73767A4C" w14:textId="434D6D8A" w:rsidR="00FC5B45" w:rsidRPr="004829B9" w:rsidRDefault="00FC5B45" w:rsidP="00FC5B45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392.9</w:t>
            </w:r>
          </w:p>
        </w:tc>
        <w:tc>
          <w:tcPr>
            <w:tcW w:w="1206" w:type="dxa"/>
            <w:vAlign w:val="center"/>
          </w:tcPr>
          <w:p w14:paraId="233EB4FD" w14:textId="19857168" w:rsidR="00FC5B45" w:rsidRPr="0026083F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661</w:t>
            </w:r>
          </w:p>
        </w:tc>
        <w:tc>
          <w:tcPr>
            <w:tcW w:w="1207" w:type="dxa"/>
            <w:vAlign w:val="center"/>
          </w:tcPr>
          <w:p w14:paraId="37B21FA8" w14:textId="308BF00B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69.3</w:t>
            </w:r>
          </w:p>
        </w:tc>
      </w:tr>
      <w:tr w:rsidR="00FC5B45" w:rsidRPr="004829B9" w14:paraId="1480E1F5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A99D66E" w14:textId="77777777" w:rsidR="00FC5B45" w:rsidRPr="004829B9" w:rsidRDefault="00FC5B45" w:rsidP="00FC5B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7AC42C73" w14:textId="3307A43C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14:paraId="52EA2698" w14:textId="489AE9A3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4.1</w:t>
            </w:r>
          </w:p>
        </w:tc>
        <w:tc>
          <w:tcPr>
            <w:tcW w:w="1206" w:type="dxa"/>
            <w:vAlign w:val="center"/>
          </w:tcPr>
          <w:p w14:paraId="7BD787EE" w14:textId="42100043" w:rsidR="00FC5B45" w:rsidRPr="004829B9" w:rsidRDefault="00FC5B45" w:rsidP="00FC5B45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1206" w:type="dxa"/>
            <w:vAlign w:val="center"/>
          </w:tcPr>
          <w:p w14:paraId="1686B930" w14:textId="3C147A54" w:rsidR="00FC5B45" w:rsidRPr="004829B9" w:rsidRDefault="00FC5B45" w:rsidP="00FC5B4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388</w:t>
            </w:r>
          </w:p>
        </w:tc>
        <w:tc>
          <w:tcPr>
            <w:tcW w:w="1207" w:type="dxa"/>
            <w:vAlign w:val="center"/>
          </w:tcPr>
          <w:p w14:paraId="497B2680" w14:textId="112A1B25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49.9</w:t>
            </w:r>
          </w:p>
        </w:tc>
      </w:tr>
      <w:tr w:rsidR="00FC5B45" w:rsidRPr="004829B9" w14:paraId="5AF09ED3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F69253C" w14:textId="77777777" w:rsidR="00FC5B45" w:rsidRPr="004829B9" w:rsidRDefault="00FC5B45" w:rsidP="00FC5B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6FC62F3C" w14:textId="453EA8A7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332</w:t>
            </w:r>
          </w:p>
        </w:tc>
        <w:tc>
          <w:tcPr>
            <w:tcW w:w="1206" w:type="dxa"/>
            <w:vAlign w:val="center"/>
          </w:tcPr>
          <w:p w14:paraId="210EF2BB" w14:textId="36C9A6C2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112.2</w:t>
            </w:r>
          </w:p>
        </w:tc>
        <w:tc>
          <w:tcPr>
            <w:tcW w:w="1206" w:type="dxa"/>
            <w:vAlign w:val="center"/>
          </w:tcPr>
          <w:p w14:paraId="5582B2FE" w14:textId="06E66939" w:rsidR="00FC5B45" w:rsidRPr="004829B9" w:rsidRDefault="00FC5B45" w:rsidP="00FC5B45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332.0</w:t>
            </w:r>
          </w:p>
        </w:tc>
        <w:tc>
          <w:tcPr>
            <w:tcW w:w="1206" w:type="dxa"/>
            <w:vAlign w:val="center"/>
          </w:tcPr>
          <w:p w14:paraId="1219A9EB" w14:textId="664EFEF8" w:rsidR="00FC5B45" w:rsidRPr="004829B9" w:rsidRDefault="00FC5B45" w:rsidP="00FC5B4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771</w:t>
            </w:r>
          </w:p>
        </w:tc>
        <w:tc>
          <w:tcPr>
            <w:tcW w:w="1207" w:type="dxa"/>
            <w:vAlign w:val="center"/>
          </w:tcPr>
          <w:p w14:paraId="7D986892" w14:textId="5DDCE131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102.8</w:t>
            </w:r>
          </w:p>
        </w:tc>
      </w:tr>
      <w:tr w:rsidR="00FC5B45" w:rsidRPr="004829B9" w14:paraId="5F654D2E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5C09F32C" w14:textId="77777777" w:rsidR="00FC5B45" w:rsidRPr="004829B9" w:rsidRDefault="00FC5B45" w:rsidP="00FC5B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04C2B5C1" w14:textId="1EA71FA1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3CC36DA1" w14:textId="7031879D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1206" w:type="dxa"/>
            <w:vAlign w:val="center"/>
          </w:tcPr>
          <w:p w14:paraId="30517C07" w14:textId="768F5231" w:rsidR="00FC5B45" w:rsidRPr="004829B9" w:rsidRDefault="00FC5B45" w:rsidP="00FC5B45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25.0</w:t>
            </w:r>
          </w:p>
        </w:tc>
        <w:tc>
          <w:tcPr>
            <w:tcW w:w="1206" w:type="dxa"/>
            <w:vAlign w:val="center"/>
          </w:tcPr>
          <w:p w14:paraId="410FD768" w14:textId="74832C2D" w:rsidR="00FC5B45" w:rsidRPr="004829B9" w:rsidRDefault="00FC5B45" w:rsidP="00FC5B4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07" w:type="dxa"/>
            <w:vAlign w:val="center"/>
          </w:tcPr>
          <w:p w14:paraId="17C799D5" w14:textId="01B78D8B" w:rsidR="00FC5B45" w:rsidRPr="004829B9" w:rsidRDefault="00FC5B45" w:rsidP="00FC5B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15.7</w:t>
            </w:r>
          </w:p>
        </w:tc>
      </w:tr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6B0D1C36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77777777" w:rsidR="00896EB9" w:rsidRPr="004829B9" w:rsidRDefault="006E5F0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73DFB82">
                <wp:simplePos x="0" y="0"/>
                <wp:positionH relativeFrom="page">
                  <wp:posOffset>5704619</wp:posOffset>
                </wp:positionH>
                <wp:positionV relativeFrom="paragraph">
                  <wp:posOffset>258058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4FEC020F" w:rsidR="003A7E95" w:rsidRPr="00AD1492" w:rsidRDefault="000348CC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de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A11B23">
                              <w:rPr>
                                <w:lang w:val="en-US"/>
                              </w:rPr>
                              <w:t>in the period of I-</w:t>
                            </w:r>
                            <w:r w:rsidR="00843B16">
                              <w:rPr>
                                <w:lang w:val="en-US"/>
                              </w:rPr>
                              <w:t>V</w:t>
                            </w:r>
                            <w:r w:rsidR="00FC5B45">
                              <w:rPr>
                                <w:lang w:val="en-US"/>
                              </w:rPr>
                              <w:t>I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2020 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FC5B45">
                              <w:rPr>
                                <w:lang w:val="en-US"/>
                              </w:rPr>
                              <w:t>5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>.</w:t>
                            </w:r>
                            <w:r w:rsidR="00FC5B45">
                              <w:rPr>
                                <w:lang w:val="en-US"/>
                              </w:rPr>
                              <w:t>5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15" style="position:absolute;margin-left:449.2pt;margin-top:20.3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" w14:anchorId="51E55D6D">
                <v:textbox>
                  <w:txbxContent>
                    <w:p w:rsidRPr="00AD1492" w:rsidR="003A7E95" w:rsidP="00C47CE4" w:rsidRDefault="000348CC" w14:paraId="35DCCB4E" w14:textId="4FEC020F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Pr="004C57EC" w:rsidR="003A7E95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 w:rsidR="003A7E95">
                        <w:rPr>
                          <w:lang w:val="en-US"/>
                        </w:rPr>
                        <w:t>with a construction project</w:t>
                      </w:r>
                      <w:r w:rsidR="00843B16">
                        <w:rPr>
                          <w:lang w:val="en-US"/>
                        </w:rPr>
                        <w:t xml:space="preserve"> de</w:t>
                      </w:r>
                      <w:r w:rsidRPr="00AD1492" w:rsidR="003A7E95">
                        <w:rPr>
                          <w:lang w:val="en-US"/>
                        </w:rPr>
                        <w:t xml:space="preserve">creased </w:t>
                      </w:r>
                      <w:r w:rsidR="00A11B23">
                        <w:rPr>
                          <w:lang w:val="en-US"/>
                        </w:rPr>
                        <w:t>in the period of I-</w:t>
                      </w:r>
                      <w:r w:rsidR="00843B16">
                        <w:rPr>
                          <w:lang w:val="en-US"/>
                        </w:rPr>
                        <w:t>V</w:t>
                      </w:r>
                      <w:r w:rsidR="00FC5B45">
                        <w:rPr>
                          <w:lang w:val="en-US"/>
                        </w:rPr>
                        <w:t>I</w:t>
                      </w:r>
                      <w:r w:rsidR="00843B16">
                        <w:rPr>
                          <w:lang w:val="en-US"/>
                        </w:rPr>
                        <w:t xml:space="preserve"> 2020 </w:t>
                      </w:r>
                      <w:r w:rsidRPr="00AD1492" w:rsidR="003A7E95">
                        <w:rPr>
                          <w:lang w:val="en-US"/>
                        </w:rPr>
                        <w:t xml:space="preserve">by </w:t>
                      </w:r>
                      <w:r w:rsidR="00FC5B45">
                        <w:rPr>
                          <w:lang w:val="en-US"/>
                        </w:rPr>
                        <w:t>5</w:t>
                      </w:r>
                      <w:r w:rsidRPr="00AD1492" w:rsidR="003A7E95">
                        <w:rPr>
                          <w:lang w:val="en-US"/>
                        </w:rPr>
                        <w:t>.</w:t>
                      </w:r>
                      <w:r w:rsidR="00FC5B45">
                        <w:rPr>
                          <w:lang w:val="en-US"/>
                        </w:rPr>
                        <w:t>5</w:t>
                      </w:r>
                      <w:r w:rsidRPr="00AD1492" w:rsidR="003A7E95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73409FE4" w:rsidR="00C47CE4" w:rsidRPr="004829B9" w:rsidRDefault="00BD1D77" w:rsidP="00896EB9">
      <w:pPr>
        <w:rPr>
          <w:b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t xml:space="preserve">In </w:t>
      </w:r>
      <w:r w:rsidR="0058073C" w:rsidRPr="004829B9">
        <w:rPr>
          <w:szCs w:val="19"/>
          <w:shd w:val="clear" w:color="auto" w:fill="FFFFFF"/>
          <w:lang w:val="en-GB"/>
        </w:rPr>
        <w:t xml:space="preserve">the first </w:t>
      </w:r>
      <w:r w:rsidR="00FC5B45">
        <w:rPr>
          <w:szCs w:val="19"/>
          <w:shd w:val="clear" w:color="auto" w:fill="FFFFFF"/>
          <w:lang w:val="en-GB"/>
        </w:rPr>
        <w:t>six</w:t>
      </w:r>
      <w:r w:rsidR="0058073C" w:rsidRPr="004829B9">
        <w:rPr>
          <w:szCs w:val="19"/>
          <w:shd w:val="clear" w:color="auto" w:fill="FFFFFF"/>
          <w:lang w:val="en-GB"/>
        </w:rPr>
        <w:t xml:space="preserve"> months of</w:t>
      </w:r>
      <w:r w:rsidR="0044258C" w:rsidRPr="004829B9">
        <w:rPr>
          <w:szCs w:val="19"/>
          <w:shd w:val="clear" w:color="auto" w:fill="FFFFFF"/>
          <w:lang w:val="en-GB"/>
        </w:rPr>
        <w:t xml:space="preserve"> 2020</w:t>
      </w:r>
      <w:r w:rsidR="000348CC">
        <w:rPr>
          <w:szCs w:val="19"/>
          <w:shd w:val="clear" w:color="auto" w:fill="FFFFFF"/>
          <w:lang w:val="en-GB"/>
        </w:rPr>
        <w:t>,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permits and registrations have been granted for construction of </w:t>
      </w:r>
      <w:r w:rsidR="00FC5B45">
        <w:rPr>
          <w:shd w:val="clear" w:color="auto" w:fill="FFFFFF"/>
          <w:lang w:val="en-GB"/>
        </w:rPr>
        <w:t>122</w:t>
      </w:r>
      <w:r w:rsidR="00F06543" w:rsidRPr="004829B9">
        <w:rPr>
          <w:shd w:val="clear" w:color="auto" w:fill="FFFFFF"/>
          <w:lang w:val="en-GB"/>
        </w:rPr>
        <w:t>.</w:t>
      </w:r>
      <w:r w:rsidR="00FC5B45">
        <w:rPr>
          <w:shd w:val="clear" w:color="auto" w:fill="FFFFFF"/>
          <w:lang w:val="en-GB"/>
        </w:rPr>
        <w:t>3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FC5B45">
        <w:rPr>
          <w:shd w:val="clear" w:color="auto" w:fill="FFFFFF"/>
          <w:lang w:val="en-GB"/>
        </w:rPr>
        <w:t>5</w:t>
      </w:r>
      <w:r w:rsidR="00E245E1" w:rsidRPr="004829B9">
        <w:rPr>
          <w:shd w:val="clear" w:color="auto" w:fill="FFFFFF"/>
          <w:lang w:val="en-GB"/>
        </w:rPr>
        <w:t>.</w:t>
      </w:r>
      <w:r w:rsidR="00FC5B45">
        <w:rPr>
          <w:shd w:val="clear" w:color="auto" w:fill="FFFFFF"/>
          <w:lang w:val="en-GB"/>
        </w:rPr>
        <w:t>5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11391E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than in the corres</w:t>
      </w:r>
      <w:r w:rsidR="00856FE3" w:rsidRPr="004829B9">
        <w:rPr>
          <w:shd w:val="clear" w:color="auto" w:fill="FFFFFF"/>
          <w:lang w:val="en-GB"/>
        </w:rPr>
        <w:t xml:space="preserve">ponding </w:t>
      </w:r>
      <w:r w:rsidR="0058073C" w:rsidRPr="004829B9">
        <w:rPr>
          <w:shd w:val="clear" w:color="auto" w:fill="FFFFFF"/>
          <w:lang w:val="en-GB"/>
        </w:rPr>
        <w:t>period</w:t>
      </w:r>
      <w:r w:rsidR="00856FE3" w:rsidRPr="004829B9">
        <w:rPr>
          <w:shd w:val="clear" w:color="auto" w:fill="FFFFFF"/>
          <w:lang w:val="en-GB"/>
        </w:rPr>
        <w:t xml:space="preserve"> of</w:t>
      </w:r>
      <w:r w:rsidR="0044258C" w:rsidRPr="004829B9">
        <w:rPr>
          <w:shd w:val="clear" w:color="auto" w:fill="FFFFFF"/>
          <w:lang w:val="en-GB"/>
        </w:rPr>
        <w:t xml:space="preserve"> 2019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Pr="004829B9">
        <w:rPr>
          <w:shd w:val="clear" w:color="auto" w:fill="FFFFFF"/>
          <w:lang w:val="en-GB"/>
        </w:rPr>
        <w:t>(</w:t>
      </w:r>
      <w:r w:rsidR="00FC5B45">
        <w:rPr>
          <w:shd w:val="clear" w:color="auto" w:fill="FFFFFF"/>
          <w:lang w:val="en-GB"/>
        </w:rPr>
        <w:t>74.2</w:t>
      </w:r>
      <w:r w:rsidR="000E65E1" w:rsidRPr="004829B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Pr="004829B9">
        <w:rPr>
          <w:shd w:val="clear" w:color="auto" w:fill="FFFFFF"/>
          <w:lang w:val="en-GB"/>
        </w:rPr>
        <w:t xml:space="preserve"> (</w:t>
      </w:r>
      <w:r w:rsidR="00FC5B45">
        <w:rPr>
          <w:shd w:val="clear" w:color="auto" w:fill="FFFFFF"/>
          <w:lang w:val="en-GB"/>
        </w:rPr>
        <w:t>46.9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3A358E" w:rsidRPr="004829B9">
        <w:rPr>
          <w:shd w:val="clear" w:color="auto" w:fill="FFFFFF"/>
          <w:lang w:val="en-GB"/>
        </w:rPr>
        <w:t xml:space="preserve">, i.e. </w:t>
      </w:r>
      <w:r w:rsidR="000D348A" w:rsidRPr="004829B9">
        <w:rPr>
          <w:shd w:val="clear" w:color="auto" w:fill="FFFFFF"/>
          <w:lang w:val="en-GB"/>
        </w:rPr>
        <w:t xml:space="preserve">respectively </w:t>
      </w:r>
      <w:r w:rsidR="00495B6E" w:rsidRPr="004829B9">
        <w:rPr>
          <w:shd w:val="clear" w:color="auto" w:fill="FFFFFF"/>
          <w:lang w:val="en-GB"/>
        </w:rPr>
        <w:t xml:space="preserve">by </w:t>
      </w:r>
      <w:r w:rsidR="00FC5B45">
        <w:rPr>
          <w:shd w:val="clear" w:color="auto" w:fill="FFFFFF"/>
          <w:lang w:val="en-GB"/>
        </w:rPr>
        <w:t>5.8</w:t>
      </w:r>
      <w:r w:rsidR="000D348A" w:rsidRPr="004829B9">
        <w:rPr>
          <w:shd w:val="clear" w:color="auto" w:fill="FFFFFF"/>
          <w:lang w:val="en-GB"/>
        </w:rPr>
        <w:t xml:space="preserve">% </w:t>
      </w:r>
      <w:r w:rsidR="00FC5B45">
        <w:rPr>
          <w:shd w:val="clear" w:color="auto" w:fill="FFFFFF"/>
          <w:lang w:val="en-GB"/>
        </w:rPr>
        <w:t>and 3.2</w:t>
      </w:r>
      <w:r w:rsidR="000D348A" w:rsidRPr="004829B9">
        <w:rPr>
          <w:shd w:val="clear" w:color="auto" w:fill="FFFFFF"/>
          <w:lang w:val="en-GB"/>
        </w:rPr>
        <w:t>%</w:t>
      </w:r>
      <w:r w:rsidR="006E5F08" w:rsidRPr="004829B9">
        <w:rPr>
          <w:shd w:val="clear" w:color="auto" w:fill="FFFFFF"/>
          <w:lang w:val="en-GB"/>
        </w:rPr>
        <w:t xml:space="preserve"> </w:t>
      </w:r>
      <w:r w:rsidR="00843B16">
        <w:rPr>
          <w:shd w:val="clear" w:color="auto" w:fill="FFFFFF"/>
          <w:lang w:val="en-GB"/>
        </w:rPr>
        <w:t>less</w:t>
      </w:r>
      <w:r w:rsidR="003A358E" w:rsidRPr="004829B9">
        <w:rPr>
          <w:shd w:val="clear" w:color="auto" w:fill="FFFFFF"/>
          <w:lang w:val="en-GB"/>
        </w:rPr>
        <w:t xml:space="preserve"> than </w:t>
      </w:r>
      <w:r w:rsidR="0058073C" w:rsidRPr="004829B9">
        <w:rPr>
          <w:shd w:val="clear" w:color="auto" w:fill="FFFFFF"/>
          <w:lang w:val="en-GB"/>
        </w:rPr>
        <w:t xml:space="preserve">in the period </w:t>
      </w:r>
      <w:r w:rsidR="00527B0C" w:rsidRPr="004829B9">
        <w:rPr>
          <w:shd w:val="clear" w:color="auto" w:fill="FFFFFF"/>
          <w:lang w:val="en-GB"/>
        </w:rPr>
        <w:t xml:space="preserve">of </w:t>
      </w:r>
      <w:r w:rsidR="0058073C" w:rsidRPr="004829B9">
        <w:rPr>
          <w:shd w:val="clear" w:color="auto" w:fill="FFFFFF"/>
          <w:lang w:val="en-GB"/>
        </w:rPr>
        <w:t>January-</w:t>
      </w:r>
      <w:r w:rsidR="00FC5B45">
        <w:rPr>
          <w:shd w:val="clear" w:color="auto" w:fill="FFFFFF"/>
          <w:lang w:val="en-GB"/>
        </w:rPr>
        <w:t>June</w:t>
      </w:r>
      <w:r w:rsidR="0058073C" w:rsidRPr="004829B9">
        <w:rPr>
          <w:shd w:val="clear" w:color="auto" w:fill="FFFFFF"/>
          <w:lang w:val="en-GB"/>
        </w:rPr>
        <w:t xml:space="preserve"> </w:t>
      </w:r>
      <w:r w:rsidR="0044258C" w:rsidRPr="004829B9">
        <w:rPr>
          <w:shd w:val="clear" w:color="auto" w:fill="FFFFFF"/>
          <w:lang w:val="en-GB"/>
        </w:rPr>
        <w:t>2019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7C88" w:rsidRPr="004829B9">
        <w:rPr>
          <w:shd w:val="clear" w:color="auto" w:fill="FFFFFF"/>
          <w:lang w:val="en-GB"/>
        </w:rPr>
        <w:t>Altogether</w:t>
      </w:r>
      <w:r w:rsidR="000348CC">
        <w:rPr>
          <w:shd w:val="clear" w:color="auto" w:fill="FFFFFF"/>
          <w:lang w:val="en-GB"/>
        </w:rPr>
        <w:t>,</w:t>
      </w:r>
      <w:r w:rsidR="000A7C88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the share </w:t>
      </w:r>
      <w:r w:rsidR="00CD44F1" w:rsidRPr="004829B9">
        <w:rPr>
          <w:shd w:val="clear" w:color="auto" w:fill="FFFFFF"/>
          <w:lang w:val="en-GB"/>
        </w:rPr>
        <w:t>of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44258C" w:rsidRPr="004829B9">
        <w:rPr>
          <w:shd w:val="clear" w:color="auto" w:fill="FFFFFF"/>
          <w:lang w:val="en-GB"/>
        </w:rPr>
        <w:t>of construction amounted to 99</w:t>
      </w:r>
      <w:r w:rsidR="001A1F89" w:rsidRPr="004829B9">
        <w:rPr>
          <w:shd w:val="clear" w:color="auto" w:fill="FFFFFF"/>
          <w:lang w:val="en-GB"/>
        </w:rPr>
        <w:t>.</w:t>
      </w:r>
      <w:r w:rsidR="00FC5B45">
        <w:rPr>
          <w:shd w:val="clear" w:color="auto" w:fill="FFFFFF"/>
          <w:lang w:val="en-GB"/>
        </w:rPr>
        <w:t>0</w:t>
      </w:r>
      <w:r w:rsidR="000A7C88" w:rsidRPr="004829B9">
        <w:rPr>
          <w:shd w:val="clear" w:color="auto" w:fill="FFFFFF"/>
          <w:lang w:val="en-GB"/>
        </w:rPr>
        <w:t xml:space="preserve">% of </w:t>
      </w:r>
      <w:r w:rsidR="008B64BD">
        <w:rPr>
          <w:shd w:val="clear" w:color="auto" w:fill="FFFFFF"/>
          <w:lang w:val="en-GB"/>
        </w:rPr>
        <w:t>the</w:t>
      </w:r>
      <w:r w:rsidR="00B30E2E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>total number of dwellings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D30D2" w:rsidRPr="004829B9">
        <w:rPr>
          <w:shd w:val="clear" w:color="auto" w:fill="FFFFFF"/>
          <w:lang w:val="en-GB"/>
        </w:rPr>
        <w:t>Less</w:t>
      </w:r>
      <w:r w:rsidR="00507D43" w:rsidRPr="004829B9">
        <w:rPr>
          <w:shd w:val="clear" w:color="auto" w:fill="FFFFFF"/>
          <w:lang w:val="en-GB"/>
        </w:rPr>
        <w:t xml:space="preserve"> dwellings</w:t>
      </w:r>
      <w:r w:rsidR="00507D43" w:rsidRPr="004829B9">
        <w:rPr>
          <w:lang w:val="en-GB"/>
        </w:rPr>
        <w:t xml:space="preserve"> </w:t>
      </w:r>
      <w:r w:rsidR="00CE0F21" w:rsidRPr="004829B9">
        <w:rPr>
          <w:lang w:val="en-GB"/>
        </w:rPr>
        <w:t xml:space="preserve">than in </w:t>
      </w:r>
      <w:r w:rsidR="00527B0C" w:rsidRPr="004829B9">
        <w:rPr>
          <w:lang w:val="en-GB"/>
        </w:rPr>
        <w:t>the</w:t>
      </w:r>
      <w:r w:rsidR="00CE0F21" w:rsidRPr="004829B9">
        <w:rPr>
          <w:lang w:val="en-GB"/>
        </w:rPr>
        <w:t xml:space="preserve"> </w:t>
      </w:r>
      <w:r w:rsidR="00527B0C" w:rsidRPr="004829B9">
        <w:rPr>
          <w:lang w:val="en-GB"/>
        </w:rPr>
        <w:t>corresponding period of 2019</w:t>
      </w:r>
      <w:r w:rsidR="00CE0F21" w:rsidRPr="004829B9">
        <w:rPr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 xml:space="preserve">ed </w:t>
      </w:r>
      <w:r w:rsidR="006A0E22" w:rsidRPr="004829B9">
        <w:rPr>
          <w:shd w:val="clear" w:color="auto" w:fill="FFFFFF"/>
          <w:lang w:val="en-GB"/>
        </w:rPr>
        <w:t xml:space="preserve">in </w:t>
      </w:r>
      <w:r w:rsidR="00BD601A" w:rsidRPr="004829B9">
        <w:rPr>
          <w:shd w:val="clear" w:color="auto" w:fill="FFFFFF"/>
          <w:lang w:val="en-GB"/>
        </w:rPr>
        <w:t>the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BD601A" w:rsidRPr="004829B9">
        <w:rPr>
          <w:b/>
          <w:shd w:val="clear" w:color="auto" w:fill="FFFFFF"/>
          <w:lang w:val="en-GB"/>
        </w:rPr>
        <w:t xml:space="preserve">cooperative </w:t>
      </w:r>
      <w:r w:rsidR="00BD601A" w:rsidRPr="004829B9">
        <w:rPr>
          <w:shd w:val="clear" w:color="auto" w:fill="FFFFFF"/>
          <w:lang w:val="en-GB"/>
        </w:rPr>
        <w:t>construction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983BE8" w:rsidRPr="004829B9">
        <w:rPr>
          <w:shd w:val="clear" w:color="auto" w:fill="FFFFFF"/>
          <w:lang w:val="en-GB"/>
        </w:rPr>
        <w:t>(</w:t>
      </w:r>
      <w:r w:rsidR="00FC5B45">
        <w:rPr>
          <w:shd w:val="clear" w:color="auto" w:fill="FFFFFF"/>
          <w:lang w:val="en-GB"/>
        </w:rPr>
        <w:t>493</w:t>
      </w:r>
      <w:r w:rsidR="00F06543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dwellings </w:t>
      </w:r>
      <w:r w:rsidR="00C47CE4" w:rsidRPr="004829B9">
        <w:rPr>
          <w:shd w:val="clear" w:color="auto" w:fill="FFFFFF"/>
          <w:lang w:val="en-GB"/>
        </w:rPr>
        <w:t xml:space="preserve">against </w:t>
      </w:r>
      <w:r w:rsidR="00FC5B45">
        <w:rPr>
          <w:shd w:val="clear" w:color="auto" w:fill="FFFFFF"/>
          <w:lang w:val="en-GB"/>
        </w:rPr>
        <w:t>867</w:t>
      </w:r>
      <w:r w:rsidR="00AD30D2" w:rsidRPr="004829B9">
        <w:rPr>
          <w:shd w:val="clear" w:color="auto" w:fill="FFFFFF"/>
          <w:lang w:val="en-GB"/>
        </w:rPr>
        <w:t>) and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in </w:t>
      </w:r>
      <w:r w:rsidR="00704521" w:rsidRPr="004829B9">
        <w:rPr>
          <w:b/>
          <w:shd w:val="clear" w:color="auto" w:fill="FFFFFF"/>
          <w:lang w:val="en-GB"/>
        </w:rPr>
        <w:t xml:space="preserve">other forms </w:t>
      </w:r>
      <w:r w:rsidR="00704521" w:rsidRPr="004829B9">
        <w:rPr>
          <w:shd w:val="clear" w:color="auto" w:fill="FFFFFF"/>
          <w:lang w:val="en-GB"/>
        </w:rPr>
        <w:t>of</w:t>
      </w:r>
      <w:r w:rsidR="00704521" w:rsidRPr="004829B9">
        <w:rPr>
          <w:b/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construction </w:t>
      </w:r>
      <w:r w:rsidR="00616583" w:rsidRPr="004829B9">
        <w:rPr>
          <w:shd w:val="clear" w:color="auto" w:fill="FFFFFF"/>
          <w:lang w:val="en-GB"/>
        </w:rPr>
        <w:t>(</w:t>
      </w:r>
      <w:r w:rsidR="00FC5B45">
        <w:rPr>
          <w:shd w:val="clear" w:color="auto" w:fill="FFFFFF"/>
          <w:lang w:val="en-GB"/>
        </w:rPr>
        <w:t>727</w:t>
      </w:r>
      <w:r w:rsidR="00843B16" w:rsidRPr="00843B16">
        <w:rPr>
          <w:shd w:val="clear" w:color="auto" w:fill="FFFFFF"/>
          <w:lang w:val="en-GB"/>
        </w:rPr>
        <w:t> </w:t>
      </w:r>
      <w:r w:rsidR="00616583" w:rsidRPr="004829B9">
        <w:rPr>
          <w:shd w:val="clear" w:color="auto" w:fill="FFFFFF"/>
          <w:lang w:val="en-GB"/>
        </w:rPr>
        <w:t>dwellings</w:t>
      </w:r>
      <w:r w:rsidR="00611CFA" w:rsidRPr="004829B9">
        <w:rPr>
          <w:shd w:val="clear" w:color="auto" w:fill="FFFFFF"/>
          <w:lang w:val="en-GB"/>
        </w:rPr>
        <w:t xml:space="preserve"> against </w:t>
      </w:r>
      <w:r w:rsidR="00A11B23">
        <w:rPr>
          <w:shd w:val="clear" w:color="auto" w:fill="FFFFFF"/>
          <w:lang w:val="en-GB"/>
        </w:rPr>
        <w:t xml:space="preserve">1 </w:t>
      </w:r>
      <w:r w:rsidR="00FC5B45">
        <w:rPr>
          <w:shd w:val="clear" w:color="auto" w:fill="FFFFFF"/>
          <w:lang w:val="en-GB"/>
        </w:rPr>
        <w:t>460</w:t>
      </w:r>
      <w:r w:rsidR="00616583" w:rsidRPr="004829B9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1C5029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27B0C" w:rsidRPr="004829B9" w14:paraId="6C27979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1761131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297E44F1" w14:textId="77777777" w:rsidR="00527B0C" w:rsidRPr="004829B9" w:rsidRDefault="00527B0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27B0C" w:rsidRPr="004829B9" w14:paraId="7CB3A9F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5F01AA5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73AFB71" w14:textId="0A7B0B9A" w:rsidR="00527B0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CCCED2D" w14:textId="2D78CCA4" w:rsidR="00527B0C" w:rsidRPr="004829B9" w:rsidRDefault="00B05C6B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27B0C" w:rsidRPr="004829B9" w14:paraId="3B47338A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38D5C87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236635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14DDD0" w14:textId="0E4F842D" w:rsidR="00527B0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98E573E" w14:textId="1B8E6899" w:rsidR="00527B0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4B5C7D4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BFF5D9" w14:textId="414F7C8A" w:rsidR="00527B0C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CF2564" w:rsidRPr="004829B9" w14:paraId="6C403ECE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910755" w14:textId="77777777" w:rsidR="00CF2564" w:rsidRPr="004829B9" w:rsidRDefault="00CF2564" w:rsidP="00CF2564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7D30553" w14:textId="52F2B1EC" w:rsidR="00CF2564" w:rsidRPr="004829B9" w:rsidRDefault="00CF2564" w:rsidP="00CF256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26 822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57FF288" w14:textId="6A72A839" w:rsidR="00CF2564" w:rsidRPr="004829B9" w:rsidRDefault="00CF2564" w:rsidP="00CF256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119.1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88819C7" w14:textId="1ABDD6FA" w:rsidR="00CF2564" w:rsidRPr="004829B9" w:rsidRDefault="00CF2564" w:rsidP="00CF256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138.7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851E758" w14:textId="1AF1C570" w:rsidR="00CF2564" w:rsidRPr="004829B9" w:rsidRDefault="00CF2564" w:rsidP="00CF256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122 330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09250512" w14:textId="0B673F30" w:rsidR="00CF2564" w:rsidRPr="004829B9" w:rsidRDefault="00CF2564" w:rsidP="00CF2564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94.5</w:t>
            </w:r>
          </w:p>
        </w:tc>
      </w:tr>
      <w:tr w:rsidR="00CF2564" w:rsidRPr="004829B9" w14:paraId="24875DB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7B658AC" w14:textId="77777777" w:rsidR="00CF2564" w:rsidRPr="004829B9" w:rsidRDefault="00CF2564" w:rsidP="00CF25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2974B7CC" w14:textId="05A38B24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9 845</w:t>
            </w:r>
          </w:p>
        </w:tc>
        <w:tc>
          <w:tcPr>
            <w:tcW w:w="1206" w:type="dxa"/>
            <w:vAlign w:val="center"/>
          </w:tcPr>
          <w:p w14:paraId="7DBBC394" w14:textId="3228D8E2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117.8</w:t>
            </w:r>
          </w:p>
        </w:tc>
        <w:tc>
          <w:tcPr>
            <w:tcW w:w="1206" w:type="dxa"/>
            <w:vAlign w:val="center"/>
          </w:tcPr>
          <w:p w14:paraId="274B06FE" w14:textId="4158BD99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118.6</w:t>
            </w:r>
          </w:p>
        </w:tc>
        <w:tc>
          <w:tcPr>
            <w:tcW w:w="1206" w:type="dxa"/>
            <w:vAlign w:val="center"/>
          </w:tcPr>
          <w:p w14:paraId="04580C6D" w14:textId="415DFCF5" w:rsidR="00CF2564" w:rsidRPr="004829B9" w:rsidRDefault="00CF2564" w:rsidP="00CF2564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46 948</w:t>
            </w:r>
          </w:p>
        </w:tc>
        <w:tc>
          <w:tcPr>
            <w:tcW w:w="1207" w:type="dxa"/>
            <w:vAlign w:val="center"/>
          </w:tcPr>
          <w:p w14:paraId="40E17662" w14:textId="1431298B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</w:tr>
      <w:tr w:rsidR="00CF2564" w:rsidRPr="004829B9" w14:paraId="5C22900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8227C88" w14:textId="77777777" w:rsidR="00CF2564" w:rsidRPr="004829B9" w:rsidRDefault="00CF2564" w:rsidP="00CF25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5E106BCF" w14:textId="00F187C0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16 620</w:t>
            </w:r>
          </w:p>
        </w:tc>
        <w:tc>
          <w:tcPr>
            <w:tcW w:w="1206" w:type="dxa"/>
            <w:vAlign w:val="center"/>
          </w:tcPr>
          <w:p w14:paraId="3704CE86" w14:textId="1BCEA2DF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119.2</w:t>
            </w:r>
          </w:p>
        </w:tc>
        <w:tc>
          <w:tcPr>
            <w:tcW w:w="1206" w:type="dxa"/>
            <w:vAlign w:val="center"/>
          </w:tcPr>
          <w:p w14:paraId="4E73BADA" w14:textId="19F8C6A3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155.0</w:t>
            </w:r>
          </w:p>
        </w:tc>
        <w:tc>
          <w:tcPr>
            <w:tcW w:w="1206" w:type="dxa"/>
            <w:vAlign w:val="center"/>
          </w:tcPr>
          <w:p w14:paraId="48D424AC" w14:textId="16F6861B" w:rsidR="00CF2564" w:rsidRPr="004829B9" w:rsidRDefault="00CF2564" w:rsidP="00CF256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74 162</w:t>
            </w:r>
          </w:p>
        </w:tc>
        <w:tc>
          <w:tcPr>
            <w:tcW w:w="1207" w:type="dxa"/>
            <w:vAlign w:val="center"/>
          </w:tcPr>
          <w:p w14:paraId="0D8FAE68" w14:textId="3072F9A9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94.2</w:t>
            </w:r>
          </w:p>
        </w:tc>
      </w:tr>
      <w:tr w:rsidR="00CF2564" w:rsidRPr="004829B9" w14:paraId="0BA3DFD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4FCBBAE" w14:textId="77777777" w:rsidR="00CF2564" w:rsidRPr="004829B9" w:rsidRDefault="00CF2564" w:rsidP="00CF256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B8D933" w14:textId="3F237653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1206" w:type="dxa"/>
            <w:vAlign w:val="center"/>
          </w:tcPr>
          <w:p w14:paraId="7471754E" w14:textId="1730E24C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136.0</w:t>
            </w:r>
          </w:p>
        </w:tc>
        <w:tc>
          <w:tcPr>
            <w:tcW w:w="1206" w:type="dxa"/>
            <w:vAlign w:val="center"/>
          </w:tcPr>
          <w:p w14:paraId="1916C83A" w14:textId="16788CC4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A0C182A" w14:textId="4F62834A" w:rsidR="00CF2564" w:rsidRPr="004829B9" w:rsidRDefault="00CF2564" w:rsidP="00CF256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493</w:t>
            </w:r>
          </w:p>
        </w:tc>
        <w:tc>
          <w:tcPr>
            <w:tcW w:w="1207" w:type="dxa"/>
            <w:vAlign w:val="center"/>
          </w:tcPr>
          <w:p w14:paraId="5D07B47C" w14:textId="53FC3DA5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56.9</w:t>
            </w:r>
          </w:p>
        </w:tc>
      </w:tr>
      <w:tr w:rsidR="00CF2564" w:rsidRPr="004829B9" w14:paraId="628C62B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8CF69C4" w14:textId="77777777" w:rsidR="00CF2564" w:rsidRPr="004829B9" w:rsidRDefault="00CF2564" w:rsidP="00CF25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38194731" w14:textId="46D9B72C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1206" w:type="dxa"/>
            <w:vAlign w:val="center"/>
          </w:tcPr>
          <w:p w14:paraId="3CCCE51D" w14:textId="70FD0495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489.2</w:t>
            </w:r>
          </w:p>
        </w:tc>
        <w:tc>
          <w:tcPr>
            <w:tcW w:w="1206" w:type="dxa"/>
            <w:vAlign w:val="center"/>
          </w:tcPr>
          <w:p w14:paraId="1B7E59DC" w14:textId="43192BA5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146.0</w:t>
            </w:r>
          </w:p>
        </w:tc>
        <w:tc>
          <w:tcPr>
            <w:tcW w:w="1206" w:type="dxa"/>
            <w:vAlign w:val="center"/>
          </w:tcPr>
          <w:p w14:paraId="594A1BF8" w14:textId="735256BF" w:rsidR="00CF2564" w:rsidRPr="004829B9" w:rsidRDefault="00CF2564" w:rsidP="00CF256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207" w:type="dxa"/>
            <w:vAlign w:val="center"/>
          </w:tcPr>
          <w:p w14:paraId="0B1FEB23" w14:textId="37426724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52.0</w:t>
            </w:r>
          </w:p>
        </w:tc>
      </w:tr>
      <w:tr w:rsidR="00CF2564" w:rsidRPr="004829B9" w14:paraId="4A55058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EB43836" w14:textId="77777777" w:rsidR="00CF2564" w:rsidRPr="004829B9" w:rsidRDefault="00CF2564" w:rsidP="00CF25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22DD43C4" w14:textId="797BEAE0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206" w:type="dxa"/>
            <w:vAlign w:val="center"/>
          </w:tcPr>
          <w:p w14:paraId="1D7D6902" w14:textId="33AA1A90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52.6</w:t>
            </w:r>
          </w:p>
        </w:tc>
        <w:tc>
          <w:tcPr>
            <w:tcW w:w="1206" w:type="dxa"/>
            <w:vAlign w:val="center"/>
          </w:tcPr>
          <w:p w14:paraId="6F322B0B" w14:textId="647570B4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20.7</w:t>
            </w:r>
          </w:p>
        </w:tc>
        <w:tc>
          <w:tcPr>
            <w:tcW w:w="1206" w:type="dxa"/>
            <w:vAlign w:val="center"/>
          </w:tcPr>
          <w:p w14:paraId="72AA4379" w14:textId="00F13A0A" w:rsidR="00CF2564" w:rsidRPr="004829B9" w:rsidRDefault="00CF2564" w:rsidP="00CF256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207" w:type="dxa"/>
            <w:vAlign w:val="center"/>
          </w:tcPr>
          <w:p w14:paraId="08EB6A2D" w14:textId="67ED7125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67.9</w:t>
            </w:r>
          </w:p>
        </w:tc>
      </w:tr>
      <w:tr w:rsidR="00CF2564" w:rsidRPr="004829B9" w14:paraId="1119B49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3AC118CE" w14:textId="77777777" w:rsidR="00CF2564" w:rsidRPr="004829B9" w:rsidRDefault="00CF2564" w:rsidP="00CF25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1CE162BE" w14:textId="2B6EE3C3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D95C694" w14:textId="079E251E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EFCE0B" w14:textId="56565F21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BC05144" w14:textId="079B7FF2" w:rsidR="00CF2564" w:rsidRPr="004829B9" w:rsidRDefault="00CF2564" w:rsidP="00CF256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3BFA6C4E" w14:textId="63E0A052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</w:tr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60B3A96C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527B0C" w:rsidRPr="004829B9">
        <w:rPr>
          <w:b w:val="0"/>
          <w:sz w:val="19"/>
          <w:szCs w:val="19"/>
          <w:shd w:val="clear" w:color="auto" w:fill="FFFFFF"/>
          <w:lang w:val="en-GB"/>
        </w:rPr>
        <w:t>the period of January-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June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 xml:space="preserve"> 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100.0</w:t>
      </w:r>
      <w:r w:rsidR="00A3375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13.4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53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5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19.6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% less than in 2019)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44</w:t>
      </w:r>
      <w:r w:rsidR="00C57EF3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4</w:t>
      </w:r>
      <w:r w:rsidR="00885F42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3.7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y/y)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 w:rsidRPr="004829B9">
        <w:rPr>
          <w:b w:val="0"/>
          <w:sz w:val="19"/>
          <w:szCs w:val="19"/>
          <w:shd w:val="clear" w:color="auto" w:fill="FFFFFF"/>
          <w:lang w:val="en-GB"/>
        </w:rPr>
        <w:t xml:space="preserve">i.e.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altogether 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98</w:t>
      </w:r>
      <w:r w:rsidR="00983BE8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0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 w:rsidRPr="004829B9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 w:rsidRPr="004829B9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1 266</w:t>
      </w:r>
      <w:r w:rsidR="000E65E1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109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7E1643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whereas less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783</w:t>
      </w:r>
      <w:r w:rsidR="00115574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611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).</w:t>
      </w:r>
    </w:p>
    <w:p w14:paraId="49780DA7" w14:textId="77777777" w:rsidR="00B4601E" w:rsidRPr="004829B9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13A9" w:rsidRPr="004829B9" w14:paraId="581AD620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1DB08E6C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954750B" w14:textId="77777777" w:rsidR="000013A9" w:rsidRPr="004829B9" w:rsidRDefault="000013A9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0013A9" w:rsidRPr="004829B9" w14:paraId="3F568F15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8956D22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7886D38" w14:textId="5794AB11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7D2DC35" w14:textId="7D738A8F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9F200F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0013A9" w:rsidRPr="004829B9" w14:paraId="03089097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BBEA73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1E251B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8242DD" w14:textId="5497898F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54C121F" w14:textId="5485054B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5FF03A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558FA70D" w14:textId="0E28FFFE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9F200F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CF2564" w:rsidRPr="004829B9" w14:paraId="6FDD4EF7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9FB5C9" w14:textId="77777777" w:rsidR="00CF2564" w:rsidRPr="004829B9" w:rsidRDefault="00CF2564" w:rsidP="00CF2564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C0DE46B" w14:textId="65FDE7D5" w:rsidR="00CF2564" w:rsidRPr="004829B9" w:rsidRDefault="00CF2564" w:rsidP="00CF256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D9571A">
              <w:rPr>
                <w:rFonts w:cs="Arial"/>
                <w:b/>
                <w:color w:val="000000" w:themeColor="text1"/>
                <w:sz w:val="16"/>
                <w:szCs w:val="16"/>
              </w:rPr>
              <w:t>18 763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C00CC24" w14:textId="2772F745" w:rsidR="00CF2564" w:rsidRPr="004829B9" w:rsidRDefault="00CF2564" w:rsidP="00CF256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99.</w:t>
            </w:r>
            <w:r w:rsidRPr="00D9571A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A450CD" w14:textId="588AD4D4" w:rsidR="00CF2564" w:rsidRPr="004829B9" w:rsidRDefault="00CF2564" w:rsidP="00CF256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125.</w:t>
            </w:r>
            <w:r w:rsidRPr="00D9571A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BBCAC80" w14:textId="781D9F1F" w:rsidR="00CF2564" w:rsidRPr="004829B9" w:rsidRDefault="00CF2564" w:rsidP="00CF256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F39D1">
              <w:rPr>
                <w:rFonts w:cs="Arial"/>
                <w:b/>
                <w:color w:val="000000" w:themeColor="text1"/>
                <w:sz w:val="16"/>
                <w:szCs w:val="16"/>
              </w:rPr>
              <w:t>99 965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40329725" w14:textId="3E6A1EE5" w:rsidR="00CF2564" w:rsidRPr="004829B9" w:rsidRDefault="00CF2564" w:rsidP="00CF256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86.</w:t>
            </w:r>
            <w:r w:rsidRPr="000F39D1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CF2564" w:rsidRPr="004829B9" w14:paraId="02B9960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2B427C" w14:textId="77777777" w:rsidR="00CF2564" w:rsidRPr="004829B9" w:rsidRDefault="00CF2564" w:rsidP="00CF25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EA24020" w14:textId="0BD09DD2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8 963</w:t>
            </w:r>
          </w:p>
        </w:tc>
        <w:tc>
          <w:tcPr>
            <w:tcW w:w="1206" w:type="dxa"/>
            <w:vAlign w:val="center"/>
          </w:tcPr>
          <w:p w14:paraId="4182E47D" w14:textId="0547015F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</w:t>
            </w: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14:paraId="55847995" w14:textId="4DA86BB3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14:paraId="563931BA" w14:textId="20B93E03" w:rsidR="00CF2564" w:rsidRPr="004829B9" w:rsidRDefault="00CF2564" w:rsidP="00CF2564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0F39D1">
              <w:rPr>
                <w:rFonts w:ascii="Fira Sans" w:hAnsi="Fira Sans"/>
                <w:color w:val="000000" w:themeColor="text1"/>
                <w:sz w:val="16"/>
                <w:szCs w:val="16"/>
              </w:rPr>
              <w:t>44 383</w:t>
            </w:r>
          </w:p>
        </w:tc>
        <w:tc>
          <w:tcPr>
            <w:tcW w:w="1207" w:type="dxa"/>
            <w:vAlign w:val="center"/>
          </w:tcPr>
          <w:p w14:paraId="6B359C49" w14:textId="36D953C7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F2564" w:rsidRPr="004829B9" w14:paraId="16E631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4BE628A" w14:textId="77777777" w:rsidR="00CF2564" w:rsidRPr="004829B9" w:rsidRDefault="00CF2564" w:rsidP="00CF25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36D71E9A" w14:textId="6C121C4F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9 317</w:t>
            </w:r>
          </w:p>
        </w:tc>
        <w:tc>
          <w:tcPr>
            <w:tcW w:w="1206" w:type="dxa"/>
            <w:vAlign w:val="center"/>
          </w:tcPr>
          <w:p w14:paraId="75BDDBF3" w14:textId="44AD0F2A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88.</w:t>
            </w: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14:paraId="0FABE999" w14:textId="00777F8B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150.</w:t>
            </w: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14:paraId="512D50D9" w14:textId="14559D2B" w:rsidR="00CF2564" w:rsidRPr="004829B9" w:rsidRDefault="00CF2564" w:rsidP="00CF256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0F39D1">
              <w:rPr>
                <w:rFonts w:ascii="Fira Sans" w:hAnsi="Fira Sans"/>
                <w:color w:val="000000" w:themeColor="text1"/>
                <w:sz w:val="16"/>
                <w:szCs w:val="16"/>
              </w:rPr>
              <w:t>53 533</w:t>
            </w:r>
          </w:p>
        </w:tc>
        <w:tc>
          <w:tcPr>
            <w:tcW w:w="1207" w:type="dxa"/>
            <w:vAlign w:val="center"/>
          </w:tcPr>
          <w:p w14:paraId="52836C7F" w14:textId="3DF27D4F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80.</w:t>
            </w: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F2564" w:rsidRPr="004829B9" w14:paraId="435A7676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156F18" w14:textId="77777777" w:rsidR="00CF2564" w:rsidRPr="004829B9" w:rsidRDefault="00CF2564" w:rsidP="00CF2564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0953AF15" w14:textId="6C600CED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1206" w:type="dxa"/>
            <w:vAlign w:val="center"/>
          </w:tcPr>
          <w:p w14:paraId="6A70776B" w14:textId="2753E961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347.</w:t>
            </w: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14:paraId="77A225F3" w14:textId="028F8958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 15-fold more</w:t>
            </w:r>
          </w:p>
        </w:tc>
        <w:tc>
          <w:tcPr>
            <w:tcW w:w="1206" w:type="dxa"/>
            <w:vAlign w:val="center"/>
          </w:tcPr>
          <w:p w14:paraId="2296D291" w14:textId="101BB4E9" w:rsidR="00CF2564" w:rsidRPr="004829B9" w:rsidRDefault="00CF2564" w:rsidP="00CF256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0F39D1">
              <w:rPr>
                <w:rFonts w:ascii="Fira Sans" w:hAnsi="Fira Sans"/>
                <w:color w:val="000000" w:themeColor="text1"/>
                <w:sz w:val="16"/>
                <w:szCs w:val="16"/>
              </w:rPr>
              <w:t>532</w:t>
            </w:r>
          </w:p>
        </w:tc>
        <w:tc>
          <w:tcPr>
            <w:tcW w:w="1207" w:type="dxa"/>
            <w:vAlign w:val="center"/>
          </w:tcPr>
          <w:p w14:paraId="0F18BEC0" w14:textId="0B032801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127.</w:t>
            </w: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F2564" w:rsidRPr="004829B9" w14:paraId="57DDA71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07F54E1" w14:textId="77777777" w:rsidR="00CF2564" w:rsidRPr="004829B9" w:rsidRDefault="00CF2564" w:rsidP="00CF2564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2FE7DE35" w14:textId="5FCCB16F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404</w:t>
            </w:r>
          </w:p>
        </w:tc>
        <w:tc>
          <w:tcPr>
            <w:tcW w:w="1206" w:type="dxa"/>
            <w:vAlign w:val="center"/>
          </w:tcPr>
          <w:p w14:paraId="6D446002" w14:textId="2C90BBFC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492.</w:t>
            </w: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73242060" w14:textId="44FAA6EB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561.</w:t>
            </w:r>
            <w:r w:rsidRPr="00D9571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4BFAFDD5" w14:textId="7CC4543C" w:rsidR="00CF2564" w:rsidRPr="004829B9" w:rsidRDefault="00CF2564" w:rsidP="00CF2564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0F39D1">
              <w:rPr>
                <w:rFonts w:ascii="Fira Sans" w:hAnsi="Fira Sans"/>
                <w:color w:val="000000" w:themeColor="text1"/>
                <w:sz w:val="16"/>
                <w:szCs w:val="16"/>
              </w:rPr>
              <w:t>1 266</w:t>
            </w:r>
          </w:p>
        </w:tc>
        <w:tc>
          <w:tcPr>
            <w:tcW w:w="1207" w:type="dxa"/>
            <w:vAlign w:val="center"/>
          </w:tcPr>
          <w:p w14:paraId="76E8B110" w14:textId="2B188F5F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2564" w:rsidRPr="004829B9" w14:paraId="6A70347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6066AF" w14:textId="77777777" w:rsidR="00CF2564" w:rsidRPr="004829B9" w:rsidRDefault="00CF2564" w:rsidP="00CF25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26504A67" w14:textId="3601DD93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206" w:type="dxa"/>
            <w:vAlign w:val="center"/>
          </w:tcPr>
          <w:p w14:paraId="71430A96" w14:textId="5D111D0A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14.</w:t>
            </w: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14:paraId="33FA0D09" w14:textId="2E7AE21A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253.</w:t>
            </w:r>
            <w:r w:rsidRPr="000F39D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14:paraId="1AD2E584" w14:textId="1BED5C55" w:rsidR="00CF2564" w:rsidRPr="004829B9" w:rsidRDefault="00CF2564" w:rsidP="00CF256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0F39D1">
              <w:rPr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1207" w:type="dxa"/>
            <w:vAlign w:val="center"/>
          </w:tcPr>
          <w:p w14:paraId="27BBCB3A" w14:textId="1F72D181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22.</w:t>
            </w: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2564" w:rsidRPr="004829B9" w14:paraId="2C92CBE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9A264D" w14:textId="77777777" w:rsidR="00CF2564" w:rsidRPr="004829B9" w:rsidRDefault="00CF2564" w:rsidP="00CF25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4DBC4D16" w14:textId="522D4FD4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14:paraId="4BE61B3C" w14:textId="6B524BDF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6.</w:t>
            </w: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55AFA942" w14:textId="3A11DE51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EFD285C" w14:textId="12250AB5" w:rsidR="00CF2564" w:rsidRPr="004829B9" w:rsidRDefault="00CF2564" w:rsidP="00CF256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0F39D1">
              <w:rPr>
                <w:sz w:val="16"/>
                <w:szCs w:val="16"/>
              </w:rPr>
              <w:t>527</w:t>
            </w:r>
          </w:p>
        </w:tc>
        <w:tc>
          <w:tcPr>
            <w:tcW w:w="1207" w:type="dxa"/>
            <w:vAlign w:val="center"/>
          </w:tcPr>
          <w:p w14:paraId="61023407" w14:textId="1B79BB1E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76.</w:t>
            </w: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CF2564" w:rsidRPr="004829B9" w14:paraId="0EA887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16A460B1" w14:textId="77777777" w:rsidR="00CF2564" w:rsidRPr="004829B9" w:rsidRDefault="00CF2564" w:rsidP="00CF25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3B1E13A2" w14:textId="564C0592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BE40393" w14:textId="39C3742E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69CA16" w14:textId="11403C8C" w:rsidR="00CF2564" w:rsidRPr="004829B9" w:rsidRDefault="00CF2564" w:rsidP="00CF256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067A83DD" w14:textId="31D0E7D2" w:rsidR="00CF2564" w:rsidRPr="004829B9" w:rsidRDefault="00CF2564" w:rsidP="00CF256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07" w:type="dxa"/>
            <w:vAlign w:val="center"/>
          </w:tcPr>
          <w:p w14:paraId="25216EE8" w14:textId="3D699DDC" w:rsidR="00CF2564" w:rsidRPr="004829B9" w:rsidRDefault="00CF2564" w:rsidP="00CF256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7272B003" w14:textId="77777777" w:rsidR="009609A1" w:rsidRPr="004829B9" w:rsidRDefault="009609A1" w:rsidP="00467EFF">
      <w:pPr>
        <w:rPr>
          <w:shd w:val="clear" w:color="auto" w:fill="FFFFFF"/>
          <w:lang w:val="en-GB"/>
        </w:rPr>
      </w:pPr>
    </w:p>
    <w:p w14:paraId="26C5CCAE" w14:textId="77777777" w:rsidR="00A00C56" w:rsidRDefault="00A00C56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516D69C8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June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F3F3D" w:rsidRPr="004829B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 xml:space="preserve"> there were 828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5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1.5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in the corresponding period of 2019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7AFA1BBF" w:rsidR="005D23AA" w:rsidRPr="004829B9" w:rsidRDefault="005D23AA" w:rsidP="007207E6">
      <w:pPr>
        <w:pStyle w:val="tytuwykresu"/>
        <w:rPr>
          <w:lang w:val="en-GB"/>
        </w:rPr>
      </w:pPr>
    </w:p>
    <w:p w14:paraId="2E8A539A" w14:textId="3007975C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631FF680" w14:textId="1235C97B" w:rsidR="000271FB" w:rsidRPr="004829B9" w:rsidRDefault="00F333CC" w:rsidP="003A7E95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6FB22A82" wp14:editId="0FA343D3">
            <wp:extent cx="5122545" cy="215519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D54185">
        <w:rPr>
          <w:b/>
          <w:noProof/>
          <w:spacing w:val="-4"/>
          <w:shd w:val="clear" w:color="auto" w:fill="FFFFFF"/>
          <w:lang w:val="en-GB"/>
        </w:rPr>
        <w:t xml:space="preserve"> </w:t>
      </w:r>
      <w:r w:rsidR="00A00C56"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46DD489B">
                <wp:simplePos x="0" y="0"/>
                <wp:positionH relativeFrom="page">
                  <wp:posOffset>5756910</wp:posOffset>
                </wp:positionH>
                <wp:positionV relativeFrom="paragraph">
                  <wp:posOffset>83820</wp:posOffset>
                </wp:positionV>
                <wp:extent cx="1760855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4BA47504" w:rsidR="003A7E95" w:rsidRPr="00AC3185" w:rsidRDefault="003A7E95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CF256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June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CF256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 (by </w:t>
                            </w:r>
                            <w:r w:rsidR="00CF256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4.2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ich have been registered with a 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project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BD7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CF256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38.7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 and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in which construction has begun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(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CF256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25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.0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453.3pt;margin-top:6.6pt;width:138.65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" w14:anchorId="50036E1A">
                <v:textbox>
                  <w:txbxContent>
                    <w:p w:rsidRPr="00AC3185" w:rsidR="003A7E95" w:rsidP="00AC3185" w:rsidRDefault="003A7E95" w14:paraId="58FBF1C9" w14:textId="4BA47504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CF256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June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CF256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 (by </w:t>
                      </w:r>
                      <w:r w:rsidR="00CF256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4.2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ich have been registered with a 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project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BD7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CF256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38.7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 and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in which construction has begun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(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CF256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25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.0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4E47249" w14:textId="5E731CEF" w:rsidR="00BD7A45" w:rsidRDefault="00BD7A45" w:rsidP="00CB6084">
      <w:pPr>
        <w:rPr>
          <w:szCs w:val="19"/>
          <w:shd w:val="clear" w:color="auto" w:fill="FFFFFF"/>
          <w:lang w:val="en-GB"/>
        </w:rPr>
      </w:pPr>
    </w:p>
    <w:p w14:paraId="6B2C5EA1" w14:textId="5AA7E9DE" w:rsidR="00CB6084" w:rsidRPr="004829B9" w:rsidRDefault="00CF2564" w:rsidP="00CB608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>In the first half of 2020, t</w:t>
      </w:r>
      <w:r w:rsidR="00980EA5" w:rsidRPr="004829B9">
        <w:rPr>
          <w:szCs w:val="19"/>
          <w:shd w:val="clear" w:color="auto" w:fill="FFFFFF"/>
          <w:lang w:val="en-GB"/>
        </w:rPr>
        <w:t xml:space="preserve">he biggest number </w:t>
      </w:r>
      <w:r w:rsidR="00CB6084" w:rsidRPr="004829B9">
        <w:rPr>
          <w:szCs w:val="19"/>
          <w:shd w:val="clear" w:color="auto" w:fill="FFFFFF"/>
          <w:lang w:val="en-GB"/>
        </w:rPr>
        <w:t>of dwellings</w:t>
      </w:r>
      <w:r>
        <w:rPr>
          <w:szCs w:val="19"/>
          <w:shd w:val="clear" w:color="auto" w:fill="FFFFFF"/>
          <w:lang w:val="en-GB"/>
        </w:rPr>
        <w:t xml:space="preserve"> in which construction has begun and </w:t>
      </w:r>
      <w:r>
        <w:rPr>
          <w:lang w:val="en-GB"/>
        </w:rPr>
        <w:t xml:space="preserve">dwellings </w:t>
      </w:r>
      <w:r>
        <w:rPr>
          <w:szCs w:val="19"/>
          <w:shd w:val="clear" w:color="auto" w:fill="FFFFFF"/>
          <w:lang w:val="en-GB"/>
        </w:rPr>
        <w:t>completed</w:t>
      </w:r>
      <w:r w:rsidR="00EF6032" w:rsidRPr="00EF6032">
        <w:rPr>
          <w:szCs w:val="19"/>
          <w:shd w:val="clear" w:color="auto" w:fill="FFFFFF"/>
          <w:lang w:val="en-GB"/>
        </w:rPr>
        <w:t xml:space="preserve"> was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>
        <w:rPr>
          <w:szCs w:val="19"/>
          <w:shd w:val="clear" w:color="auto" w:fill="FFFFFF"/>
          <w:lang w:val="en-GB"/>
        </w:rPr>
        <w:t>respectively 18.1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>
        <w:rPr>
          <w:szCs w:val="19"/>
          <w:shd w:val="clear" w:color="auto" w:fill="FFFFFF"/>
          <w:lang w:val="en-GB"/>
        </w:rPr>
        <w:t xml:space="preserve"> and 18.3</w:t>
      </w:r>
      <w:r w:rsidRPr="00CF2564">
        <w:rPr>
          <w:szCs w:val="19"/>
          <w:shd w:val="clear" w:color="auto" w:fill="FFFFFF"/>
          <w:lang w:val="en-GB"/>
        </w:rPr>
        <w:t xml:space="preserve"> thousand</w:t>
      </w:r>
      <w:r>
        <w:rPr>
          <w:szCs w:val="19"/>
          <w:shd w:val="clear" w:color="auto" w:fill="FFFFFF"/>
          <w:lang w:val="en-GB"/>
        </w:rPr>
        <w:t>) and</w:t>
      </w:r>
      <w:r w:rsidR="00F333CC">
        <w:rPr>
          <w:szCs w:val="19"/>
          <w:shd w:val="clear" w:color="auto" w:fill="FFFFFF"/>
          <w:lang w:val="en-GB"/>
        </w:rPr>
        <w:t xml:space="preserve"> Wielkopolskie (10.6 </w:t>
      </w:r>
      <w:r w:rsidR="00F333CC" w:rsidRPr="00F333CC">
        <w:rPr>
          <w:szCs w:val="19"/>
          <w:shd w:val="clear" w:color="auto" w:fill="FFFFFF"/>
          <w:lang w:val="en-GB"/>
        </w:rPr>
        <w:t xml:space="preserve">thousand </w:t>
      </w:r>
      <w:r w:rsidR="00F333CC">
        <w:rPr>
          <w:szCs w:val="19"/>
          <w:shd w:val="clear" w:color="auto" w:fill="FFFFFF"/>
          <w:lang w:val="en-GB"/>
        </w:rPr>
        <w:t>and 10.0 thousand).</w:t>
      </w:r>
      <w:r w:rsidR="00E97E48">
        <w:rPr>
          <w:szCs w:val="19"/>
          <w:shd w:val="clear" w:color="auto" w:fill="FFFFFF"/>
          <w:lang w:val="en-GB"/>
        </w:rPr>
        <w:t xml:space="preserve"> Regarding dwellings </w:t>
      </w:r>
      <w:r w:rsidR="00CB6084" w:rsidRPr="004829B9">
        <w:rPr>
          <w:szCs w:val="19"/>
          <w:shd w:val="clear" w:color="auto" w:fill="FFFFFF"/>
          <w:lang w:val="en-GB"/>
        </w:rPr>
        <w:t>for which permits have been granted or which have been registe</w:t>
      </w:r>
      <w:r w:rsidR="00E97E48">
        <w:rPr>
          <w:szCs w:val="19"/>
          <w:shd w:val="clear" w:color="auto" w:fill="FFFFFF"/>
          <w:lang w:val="en-GB"/>
        </w:rPr>
        <w:t>red with a construction project, the biggest amount was not</w:t>
      </w:r>
      <w:r w:rsidR="00F333CC">
        <w:rPr>
          <w:szCs w:val="19"/>
          <w:shd w:val="clear" w:color="auto" w:fill="FFFFFF"/>
          <w:lang w:val="en-GB"/>
        </w:rPr>
        <w:t>ed in Mazowieckie voivodship (20.7</w:t>
      </w:r>
      <w:r w:rsidR="00033479">
        <w:rPr>
          <w:szCs w:val="19"/>
          <w:shd w:val="clear" w:color="auto" w:fill="FFFFFF"/>
          <w:lang w:val="en-GB"/>
        </w:rPr>
        <w:t xml:space="preserve"> thousand) </w:t>
      </w:r>
      <w:r w:rsidR="00F333CC">
        <w:rPr>
          <w:szCs w:val="19"/>
          <w:shd w:val="clear" w:color="auto" w:fill="FFFFFF"/>
          <w:lang w:val="en-GB"/>
        </w:rPr>
        <w:t xml:space="preserve">and </w:t>
      </w:r>
      <w:r w:rsidR="00E97E48">
        <w:rPr>
          <w:szCs w:val="19"/>
          <w:shd w:val="clear" w:color="auto" w:fill="FFFFFF"/>
          <w:lang w:val="en-GB"/>
        </w:rPr>
        <w:t xml:space="preserve">Dolnośląskie </w:t>
      </w:r>
      <w:r w:rsidR="00F333CC">
        <w:rPr>
          <w:szCs w:val="19"/>
          <w:shd w:val="clear" w:color="auto" w:fill="FFFFFF"/>
          <w:lang w:val="en-GB"/>
        </w:rPr>
        <w:t>(13.0 thousand).</w:t>
      </w:r>
    </w:p>
    <w:p w14:paraId="20372666" w14:textId="08FB6C0E" w:rsidR="00C60835" w:rsidRPr="004829B9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F95941" w:rsidRPr="004829B9">
        <w:rPr>
          <w:color w:val="auto"/>
          <w:sz w:val="18"/>
          <w:szCs w:val="18"/>
          <w:lang w:val="en-GB"/>
        </w:rPr>
        <w:t>-</w:t>
      </w:r>
      <w:r w:rsidR="00F333CC">
        <w:rPr>
          <w:color w:val="auto"/>
          <w:sz w:val="18"/>
          <w:szCs w:val="18"/>
          <w:lang w:val="en-GB"/>
        </w:rPr>
        <w:t>June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0401D6" w:rsidRPr="004829B9">
        <w:rPr>
          <w:color w:val="auto"/>
          <w:sz w:val="18"/>
          <w:szCs w:val="18"/>
          <w:lang w:val="en-GB"/>
        </w:rPr>
        <w:t>2020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7EC8DDB5" w14:textId="306D0976" w:rsidR="00010A4A" w:rsidRPr="004829B9" w:rsidRDefault="00F333CC" w:rsidP="00010A4A">
      <w:pPr>
        <w:rPr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0096" behindDoc="0" locked="0" layoutInCell="1" allowOverlap="1" wp14:anchorId="37C44522" wp14:editId="33C125DB">
            <wp:simplePos x="0" y="0"/>
            <wp:positionH relativeFrom="margin">
              <wp:align>left</wp:align>
            </wp:positionH>
            <wp:positionV relativeFrom="paragraph">
              <wp:posOffset>7087</wp:posOffset>
            </wp:positionV>
            <wp:extent cx="5122545" cy="352171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7AEE73F8" w14:textId="7037DC5B" w:rsidR="004231A6" w:rsidRPr="004829B9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28E3DDD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8C163FB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E2571D8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D8D474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FF3760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A030C0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1F2737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D456CA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B66589A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061D12D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3A2A54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1AA9CD5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94F78B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8D6B61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01426E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02585F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A91665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70F087F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6C5A628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005167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9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3A7E95" w:rsidRDefault="003A7E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3A7E95" w:rsidRDefault="003A7E95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3A7E95" w:rsidRPr="004E377B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3A7E95" w:rsidRPr="008235EC" w:rsidRDefault="003A7E95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3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3A7E95" w:rsidRPr="005C7839" w:rsidRDefault="004E6F5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3A7E95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3A7E95" w:rsidRPr="00734C04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3A7E95" w:rsidRPr="0026083F" w:rsidRDefault="004E6F5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3A7E95" w:rsidRDefault="004E6F5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3A7E95" w:rsidRPr="008235EC" w:rsidRDefault="004E6F5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3A7E95" w:rsidRPr="00F11843" w:rsidRDefault="004E6F5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9" w:history="1"/>
                          </w:p>
                          <w:p w14:paraId="35275A7D" w14:textId="77777777" w:rsidR="003A7E95" w:rsidRPr="00F11843" w:rsidRDefault="004E6F5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0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3A7E95" w:rsidRDefault="003A7E95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3A7E95" w:rsidRPr="003B6350" w:rsidRDefault="003A7E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w14:anchorId="4A59FDAC">
                <v:textbox>
                  <w:txbxContent>
                    <w:p w:rsidR="003A7E95" w:rsidP="00AB6D25" w:rsidRDefault="003A7E95" w14:paraId="0A17866C" w14:textId="77777777">
                      <w:pPr>
                        <w:rPr>
                          <w:b/>
                        </w:rPr>
                      </w:pPr>
                    </w:p>
                    <w:p w:rsidR="003A7E95" w:rsidP="00000009" w:rsidRDefault="003A7E95" w14:paraId="438C998D" w14:textId="77777777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Pr="004E377B" w:rsidR="003A7E95" w:rsidP="00000009" w:rsidRDefault="003A7E95" w14:paraId="03EB9888" w14:textId="77777777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8235EC" w:rsidR="003A7E95" w:rsidP="00F11843" w:rsidRDefault="003A7E95" w14:paraId="004758E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w:history="1" r:id="rId3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Pr="005C7839" w:rsidR="003A7E95" w:rsidP="00000009" w:rsidRDefault="002E462D" w14:paraId="4C293715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2">
                        <w:r w:rsidRPr="005C7839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F11843" w:rsidR="003A7E95" w:rsidP="00000009" w:rsidRDefault="003A7E95" w14:paraId="6432F2D3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Pr="0026083F" w:rsidR="003A7E95" w:rsidP="00000009" w:rsidRDefault="003A7E95" w14:paraId="119A7AD9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  <w:bookmarkStart w:name="_GoBack" w:id="1"/>
                      <w:bookmarkEnd w:id="1"/>
                    </w:p>
                    <w:p w:rsidRPr="0026083F" w:rsidR="003A7E95" w:rsidP="00000009" w:rsidRDefault="002E462D" w14:paraId="6E678369" w14:textId="0F34292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3">
                        <w:r w:rsidRPr="00F11843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</w:t>
                        </w:r>
                        <w:r w:rsidRPr="00F11843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t</w:t>
                        </w:r>
                        <w:r w:rsidRPr="00F11843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ion</w:t>
                        </w:r>
                      </w:hyperlink>
                    </w:p>
                    <w:p w:rsidR="003A7E95" w:rsidP="00000009" w:rsidRDefault="002E462D" w14:paraId="14295646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4">
                        <w:r w:rsidRPr="00F11843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Pr="00F11843" w:rsidR="003A7E95" w:rsidP="00000009" w:rsidRDefault="003A7E95" w14:paraId="10DF6A1D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3A7E95" w:rsidP="00000009" w:rsidRDefault="003A7E95" w14:paraId="65F6943A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Pr="008235EC" w:rsidR="003A7E95" w:rsidP="00000009" w:rsidRDefault="002E462D" w14:paraId="3FA17007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w:history="1" r:id="rId35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:rsidRPr="00F11843" w:rsidR="003A7E95" w:rsidP="00000009" w:rsidRDefault="002E462D" w14:paraId="2F539928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6">
                        <w:r w:rsidRPr="00F11843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w:history="1" r:id="rId37"/>
                    </w:p>
                    <w:p w:rsidRPr="00F11843" w:rsidR="003A7E95" w:rsidP="00000009" w:rsidRDefault="002E462D" w14:paraId="35275A7D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8">
                        <w:r w:rsidRPr="00F11843"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3A7E95" w:rsidP="00000009" w:rsidRDefault="003A7E95" w14:paraId="41C747C6" w14:textId="77777777">
                      <w:pPr>
                        <w:rPr>
                          <w:lang w:val="en-GB"/>
                        </w:rPr>
                      </w:pPr>
                    </w:p>
                    <w:p w:rsidRPr="003B6350" w:rsidR="003A7E95" w:rsidP="00AB6D25" w:rsidRDefault="003A7E95" w14:paraId="1519530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02595CBB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7777777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BC7F0" w14:textId="77777777" w:rsidR="004E6F53" w:rsidRDefault="004E6F53" w:rsidP="000662E2">
      <w:pPr>
        <w:spacing w:after="0" w:line="240" w:lineRule="auto"/>
      </w:pPr>
      <w:r>
        <w:separator/>
      </w:r>
    </w:p>
  </w:endnote>
  <w:endnote w:type="continuationSeparator" w:id="0">
    <w:p w14:paraId="6A5D36B3" w14:textId="77777777" w:rsidR="004E6F53" w:rsidRDefault="004E6F5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6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6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F9F7" w14:textId="77777777" w:rsidR="004E6F53" w:rsidRDefault="004E6F53" w:rsidP="000662E2">
      <w:pPr>
        <w:spacing w:after="0" w:line="240" w:lineRule="auto"/>
      </w:pPr>
      <w:r>
        <w:separator/>
      </w:r>
    </w:p>
  </w:footnote>
  <w:footnote w:type="continuationSeparator" w:id="0">
    <w:p w14:paraId="67EE3A45" w14:textId="77777777" w:rsidR="004E6F53" w:rsidRDefault="004E6F53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6FC4AE3C" w:rsidR="003A7E95" w:rsidRPr="00C97596" w:rsidRDefault="00A342B4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21.07</w:t>
                          </w:r>
                          <w:r w:rsidR="003A7E95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6FC4AE3C" w:rsidR="003A7E95" w:rsidRPr="00C97596" w:rsidRDefault="00A342B4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21.07</w:t>
                    </w:r>
                    <w:r w:rsidR="003A7E95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23" name="Obraz 2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4842"/>
    <w:rsid w:val="002452B8"/>
    <w:rsid w:val="00246441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6140"/>
    <w:rsid w:val="002E6985"/>
    <w:rsid w:val="002E71B6"/>
    <w:rsid w:val="002E7AB0"/>
    <w:rsid w:val="002F1F42"/>
    <w:rsid w:val="002F2E8D"/>
    <w:rsid w:val="002F77C8"/>
    <w:rsid w:val="0030115B"/>
    <w:rsid w:val="00304F22"/>
    <w:rsid w:val="00306C7C"/>
    <w:rsid w:val="00313E16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E6F53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073C"/>
    <w:rsid w:val="00582224"/>
    <w:rsid w:val="00582ED4"/>
    <w:rsid w:val="005916AB"/>
    <w:rsid w:val="005916D7"/>
    <w:rsid w:val="005A30AB"/>
    <w:rsid w:val="005A4C6A"/>
    <w:rsid w:val="005A698C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D5F"/>
    <w:rsid w:val="006C645A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34C04"/>
    <w:rsid w:val="00741554"/>
    <w:rsid w:val="007418AC"/>
    <w:rsid w:val="00746187"/>
    <w:rsid w:val="0075636C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1643"/>
    <w:rsid w:val="007E3314"/>
    <w:rsid w:val="007E4B03"/>
    <w:rsid w:val="007E58A2"/>
    <w:rsid w:val="007E7CE3"/>
    <w:rsid w:val="007F0C1A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46F6"/>
    <w:rsid w:val="00905A67"/>
    <w:rsid w:val="00906857"/>
    <w:rsid w:val="00907546"/>
    <w:rsid w:val="009127BA"/>
    <w:rsid w:val="0091499D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C56"/>
    <w:rsid w:val="00A01686"/>
    <w:rsid w:val="00A02ED8"/>
    <w:rsid w:val="00A05A3A"/>
    <w:rsid w:val="00A05EE7"/>
    <w:rsid w:val="00A11B2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42B4"/>
    <w:rsid w:val="00A365F4"/>
    <w:rsid w:val="00A40D16"/>
    <w:rsid w:val="00A4219B"/>
    <w:rsid w:val="00A4223C"/>
    <w:rsid w:val="00A4333F"/>
    <w:rsid w:val="00A45EB1"/>
    <w:rsid w:val="00A47D80"/>
    <w:rsid w:val="00A51E03"/>
    <w:rsid w:val="00A521F6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36BF"/>
    <w:rsid w:val="00B0456F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2564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27154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87A8F"/>
    <w:rsid w:val="00E90AC0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33CC"/>
    <w:rsid w:val="00F342E0"/>
    <w:rsid w:val="00F35AD5"/>
    <w:rsid w:val="00F37172"/>
    <w:rsid w:val="00F37480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5B45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star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start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945,term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topics/industry-construction-fixed-assets/construction/publikacja,1.html" TargetMode="External"/><Relationship Id="rId32" Type="http://schemas.openxmlformats.org/officeDocument/2006/relationships/hyperlink" Target="https://stat.gov.pl/en/topics/industry-construction-fixed-assets/construction/publikacja,1.html" TargetMode="External"/><Relationship Id="rId37" Type="http://schemas.openxmlformats.org/officeDocument/2006/relationships/hyperlink" Target="http://stat.gov.pl/en/metainformations/glossary/terms-used-in-official-statistics/945,term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topics/other-studies/informations-on-socio-economic-situa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stat.gov.pl/en/metainformations/glossary/terms-used-in-official-statistics/3763,term.html" TargetMode="External"/><Relationship Id="rId30" Type="http://schemas.openxmlformats.org/officeDocument/2006/relationships/hyperlink" Target="http://stat.gov.pl/en/metainformations/glossary/terms-used-in-official-statistics/201,term.html" TargetMode="External"/><Relationship Id="rId35" Type="http://schemas.openxmlformats.org/officeDocument/2006/relationships/hyperlink" Target="https://stat.gov.pl/en/metainformations/glossary/terms-used-in-official-statistics/376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1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Budownictwo_dashboards/Raporty_predefiniowane/RAP_DBD_BUD_7.aspx" TargetMode="External"/><Relationship Id="rId33" Type="http://schemas.openxmlformats.org/officeDocument/2006/relationships/hyperlink" Target="http://swaid.stat.gov.pl/EN/Budownictwo_dashboards/Raporty_predefiniowane/RAP_DBD_BUD_7.aspx" TargetMode="External"/><Relationship Id="rId38" Type="http://schemas.openxmlformats.org/officeDocument/2006/relationships/hyperlink" Target="http://stat.gov.pl/en/metainformations/glossary/terms-used-in-official-statistics/201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5397296758058456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Arkusz1!$B$4:$BC$4</c:f>
              <c:numCache>
                <c:formatCode>General</c:formatCode>
                <c:ptCount val="54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13722</c:v>
                </c:pt>
                <c:pt idx="52">
                  <c:v>16486</c:v>
                </c:pt>
                <c:pt idx="53">
                  <c:v>17180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Arkusz1!$B$16:$BC$16</c:f>
              <c:numCache>
                <c:formatCode>General</c:formatCode>
                <c:ptCount val="54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22122</c:v>
                </c:pt>
                <c:pt idx="51">
                  <c:v>16758</c:v>
                </c:pt>
                <c:pt idx="52">
                  <c:v>19338</c:v>
                </c:pt>
                <c:pt idx="53">
                  <c:v>26822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Arkusz1!$B$10:$BC$10</c:f>
              <c:numCache>
                <c:formatCode>General</c:formatCode>
                <c:ptCount val="54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2336720"/>
        <c:axId val="1132340528"/>
      </c:lineChart>
      <c:catAx>
        <c:axId val="113233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3234052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13234052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3233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066750023669875E-2"/>
          <c:y val="0.84539924554215629"/>
          <c:w val="0.85195132497615944"/>
          <c:h val="0.151526779541478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1621</c:v>
                </c:pt>
                <c:pt idx="1">
                  <c:v>1840</c:v>
                </c:pt>
                <c:pt idx="2">
                  <c:v>2672</c:v>
                </c:pt>
                <c:pt idx="3">
                  <c:v>3310</c:v>
                </c:pt>
                <c:pt idx="4">
                  <c:v>2944</c:v>
                </c:pt>
                <c:pt idx="5">
                  <c:v>5571</c:v>
                </c:pt>
                <c:pt idx="6">
                  <c:v>4324</c:v>
                </c:pt>
                <c:pt idx="7">
                  <c:v>5327</c:v>
                </c:pt>
                <c:pt idx="8">
                  <c:v>4049</c:v>
                </c:pt>
                <c:pt idx="9">
                  <c:v>5306</c:v>
                </c:pt>
                <c:pt idx="10">
                  <c:v>7510</c:v>
                </c:pt>
                <c:pt idx="11">
                  <c:v>8881</c:v>
                </c:pt>
                <c:pt idx="12">
                  <c:v>9163</c:v>
                </c:pt>
                <c:pt idx="13">
                  <c:v>8803</c:v>
                </c:pt>
                <c:pt idx="14">
                  <c:v>10563</c:v>
                </c:pt>
                <c:pt idx="15">
                  <c:v>18081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1631</c:v>
                </c:pt>
                <c:pt idx="1">
                  <c:v>2178</c:v>
                </c:pt>
                <c:pt idx="2">
                  <c:v>3433</c:v>
                </c:pt>
                <c:pt idx="3">
                  <c:v>4417</c:v>
                </c:pt>
                <c:pt idx="4">
                  <c:v>3053</c:v>
                </c:pt>
                <c:pt idx="5">
                  <c:v>5877</c:v>
                </c:pt>
                <c:pt idx="6">
                  <c:v>4381</c:v>
                </c:pt>
                <c:pt idx="7">
                  <c:v>6996</c:v>
                </c:pt>
                <c:pt idx="8">
                  <c:v>5976</c:v>
                </c:pt>
                <c:pt idx="9">
                  <c:v>6872</c:v>
                </c:pt>
                <c:pt idx="10">
                  <c:v>9731</c:v>
                </c:pt>
                <c:pt idx="11">
                  <c:v>11499</c:v>
                </c:pt>
                <c:pt idx="12">
                  <c:v>9766</c:v>
                </c:pt>
                <c:pt idx="13">
                  <c:v>12969</c:v>
                </c:pt>
                <c:pt idx="14">
                  <c:v>12813</c:v>
                </c:pt>
                <c:pt idx="15">
                  <c:v>20738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1167</c:v>
                </c:pt>
                <c:pt idx="1">
                  <c:v>1996</c:v>
                </c:pt>
                <c:pt idx="2">
                  <c:v>2339</c:v>
                </c:pt>
                <c:pt idx="3">
                  <c:v>2695</c:v>
                </c:pt>
                <c:pt idx="4">
                  <c:v>2999</c:v>
                </c:pt>
                <c:pt idx="5">
                  <c:v>3679</c:v>
                </c:pt>
                <c:pt idx="6">
                  <c:v>3711</c:v>
                </c:pt>
                <c:pt idx="7">
                  <c:v>4387</c:v>
                </c:pt>
                <c:pt idx="8">
                  <c:v>4613</c:v>
                </c:pt>
                <c:pt idx="9">
                  <c:v>5125</c:v>
                </c:pt>
                <c:pt idx="10">
                  <c:v>8368</c:v>
                </c:pt>
                <c:pt idx="11">
                  <c:v>8453</c:v>
                </c:pt>
                <c:pt idx="12">
                  <c:v>9353</c:v>
                </c:pt>
                <c:pt idx="13">
                  <c:v>9871</c:v>
                </c:pt>
                <c:pt idx="14">
                  <c:v>9959</c:v>
                </c:pt>
                <c:pt idx="15">
                  <c:v>18297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32342704"/>
        <c:axId val="1132344336"/>
      </c:barChart>
      <c:catAx>
        <c:axId val="1132342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32344336"/>
        <c:crosses val="autoZero"/>
        <c:auto val="1"/>
        <c:lblAlgn val="ctr"/>
        <c:lblOffset val="100"/>
        <c:noMultiLvlLbl val="0"/>
      </c:catAx>
      <c:valAx>
        <c:axId val="1132344336"/>
        <c:scaling>
          <c:orientation val="minMax"/>
          <c:max val="22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32342704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555536359368247"/>
          <c:y val="0.82532406132248259"/>
          <c:w val="0.83688211129506873"/>
          <c:h val="0.10728225776682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residential_construction_in_january-june_2020.docx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D86F0-FDF1-4E56-981D-69C93579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2020</vt:lpstr>
    </vt:vector>
  </TitlesOfParts>
  <Company>Statistics Poland</Company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2020</dc:title>
  <dc:subject>Residential construction in January 2020</dc:subject>
  <dc:creator>Powęska Anna</dc:creator>
  <cp:keywords>dwellings completed; dwellings under construction; dwellings started; building permit; useful floor area</cp:keywords>
  <cp:lastModifiedBy>Bolesławska Ewa</cp:lastModifiedBy>
  <cp:revision>2</cp:revision>
  <cp:lastPrinted>2020-06-19T07:15:00Z</cp:lastPrinted>
  <dcterms:created xsi:type="dcterms:W3CDTF">2020-07-20T08:28:00Z</dcterms:created>
  <dcterms:modified xsi:type="dcterms:W3CDTF">2020-07-20T08:28:00Z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