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2BAA287F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C625B8">
        <w:rPr>
          <w:szCs w:val="32"/>
          <w:lang w:val="en-GB"/>
        </w:rPr>
        <w:t>I-</w:t>
      </w:r>
      <w:r w:rsidR="002E1E0B">
        <w:rPr>
          <w:szCs w:val="32"/>
          <w:lang w:val="en-GB"/>
        </w:rPr>
        <w:t>V</w:t>
      </w:r>
      <w:r w:rsidR="001F1170" w:rsidRPr="004829B9">
        <w:rPr>
          <w:szCs w:val="32"/>
          <w:lang w:val="en-GB"/>
        </w:rPr>
        <w:t xml:space="preserve"> </w:t>
      </w:r>
      <w:r w:rsidR="008B2394" w:rsidRPr="004829B9">
        <w:rPr>
          <w:szCs w:val="32"/>
          <w:shd w:val="clear" w:color="auto" w:fill="FFFFFF"/>
          <w:lang w:val="en-GB"/>
        </w:rPr>
        <w:t>2020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3A7E95" w:rsidRPr="004466B1" w:rsidRDefault="003A7E95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3A7E95" w:rsidRPr="004466B1" w:rsidRDefault="003A7E95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75BF8CE4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3A7E95" w:rsidRPr="00612A93" w:rsidRDefault="003A7E9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3A7E95" w:rsidRPr="00F64AC1" w:rsidRDefault="003A7E9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DCA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2CC185F8" w14:textId="77777777" w:rsidR="003A7E95" w:rsidRPr="00612A93" w:rsidRDefault="003A7E9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14:paraId="173D3CF5" w14:textId="77777777" w:rsidR="003A7E95" w:rsidRPr="00F64AC1" w:rsidRDefault="003A7E9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65BD5D0B" w:rsidR="003A7E95" w:rsidRPr="002C751B" w:rsidRDefault="002E1E0B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FFB387E" wp14:editId="03B2EF0D">
                                  <wp:extent cx="335280" cy="335280"/>
                                  <wp:effectExtent l="0" t="0" r="7620" b="7620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25B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99,7</w:t>
                            </w:r>
                          </w:p>
                          <w:p w14:paraId="4A535B62" w14:textId="2AEDB9F7" w:rsidR="003A7E95" w:rsidRPr="002C751B" w:rsidRDefault="003A7E95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 w:rsidR="002E1E0B"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D5740"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  <w:r w:rsidR="00E063B9">
                              <w:rPr>
                                <w:lang w:val="en-US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AA24"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65BD5D0B" w:rsidR="003A7E95" w:rsidRPr="002C751B" w:rsidRDefault="002E1E0B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FFB387E" wp14:editId="03B2EF0D">
                            <wp:extent cx="335280" cy="335280"/>
                            <wp:effectExtent l="0" t="0" r="7620" b="7620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625B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99,7</w:t>
                      </w:r>
                    </w:p>
                    <w:p w14:paraId="4A535B62" w14:textId="2AEDB9F7" w:rsidR="003A7E95" w:rsidRPr="002C751B" w:rsidRDefault="003A7E95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 w:rsidR="002E1E0B"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 w:rsidR="00BD5740"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  <w:r w:rsidR="00E063B9">
                        <w:rPr>
                          <w:lang w:val="en-US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2B6593" w:rsidRPr="004829B9">
        <w:rPr>
          <w:lang w:val="en-GB"/>
        </w:rPr>
        <w:t xml:space="preserve">the first </w:t>
      </w:r>
      <w:r w:rsidR="00C625B8">
        <w:rPr>
          <w:lang w:val="en-GB"/>
        </w:rPr>
        <w:t>five</w:t>
      </w:r>
      <w:r w:rsidR="002B6593" w:rsidRPr="004829B9">
        <w:rPr>
          <w:lang w:val="en-GB"/>
        </w:rPr>
        <w:t xml:space="preserve"> month</w:t>
      </w:r>
      <w:r w:rsidR="00954AC7" w:rsidRPr="004829B9">
        <w:rPr>
          <w:lang w:val="en-GB"/>
        </w:rPr>
        <w:t>s</w:t>
      </w:r>
      <w:r w:rsidR="002B6593" w:rsidRPr="004829B9">
        <w:rPr>
          <w:lang w:val="en-GB"/>
        </w:rPr>
        <w:t xml:space="preserve"> of</w:t>
      </w:r>
      <w:r w:rsidR="008B2394" w:rsidRPr="004829B9">
        <w:rPr>
          <w:lang w:val="en-GB"/>
        </w:rPr>
        <w:t xml:space="preserve"> 2020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2E1E0B">
        <w:rPr>
          <w:lang w:val="en-GB"/>
        </w:rPr>
        <w:t>less</w:t>
      </w:r>
      <w:r w:rsidR="00AD1492" w:rsidRPr="004829B9">
        <w:rPr>
          <w:lang w:val="en-GB"/>
        </w:rPr>
        <w:t xml:space="preserve"> dwellings completed than the year before. </w:t>
      </w:r>
      <w:r w:rsidR="00095A18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for which permits have been granted or which have been registered with a construction project </w:t>
      </w:r>
      <w:r w:rsidR="002E1E0B">
        <w:rPr>
          <w:lang w:val="en-GB"/>
        </w:rPr>
        <w:t xml:space="preserve">and </w:t>
      </w:r>
      <w:r w:rsidR="003C0487" w:rsidRPr="004829B9">
        <w:rPr>
          <w:lang w:val="en-GB"/>
        </w:rPr>
        <w:t xml:space="preserve">the number of dwellings </w:t>
      </w:r>
      <w:r w:rsidR="00EF3597" w:rsidRPr="004829B9">
        <w:rPr>
          <w:lang w:val="en-GB"/>
        </w:rPr>
        <w:t xml:space="preserve"> i</w:t>
      </w:r>
      <w:r w:rsidR="002E1E0B">
        <w:rPr>
          <w:lang w:val="en-GB"/>
        </w:rPr>
        <w:t>n which construction has begun also decreased.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77777777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77777777" w:rsidR="00C733A3" w:rsidRPr="004829B9" w:rsidRDefault="00B407E7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0C27F2EF">
                <wp:simplePos x="0" y="0"/>
                <wp:positionH relativeFrom="page">
                  <wp:posOffset>5689600</wp:posOffset>
                </wp:positionH>
                <wp:positionV relativeFrom="paragraph">
                  <wp:posOffset>105410</wp:posOffset>
                </wp:positionV>
                <wp:extent cx="1809115" cy="990600"/>
                <wp:effectExtent l="0" t="0" r="0" b="0"/>
                <wp:wrapTight wrapText="bothSides">
                  <wp:wrapPolygon edited="0">
                    <wp:start x="682" y="0"/>
                    <wp:lineTo x="682" y="21185"/>
                    <wp:lineTo x="20698" y="21185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0173C2C8" w:rsidR="003A7E95" w:rsidRPr="00AD1492" w:rsidRDefault="00C625B8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65.1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% of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total number of dwellings, i.e.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A11B23">
                              <w:rPr>
                                <w:lang w:val="en-US"/>
                              </w:rPr>
                              <w:t>2.9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 percentage points more than in </w:t>
                            </w:r>
                            <w:r w:rsidR="00954AC7">
                              <w:rPr>
                                <w:lang w:val="en-US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448pt;margin-top:8.3pt;width:142.4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" filled="f" stroked="f">
                <v:textbox>
                  <w:txbxContent>
                    <w:p w14:paraId="55217834" w14:textId="0173C2C8" w:rsidR="003A7E95" w:rsidRPr="00AD1492" w:rsidRDefault="00C625B8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65.1</w:t>
                      </w:r>
                      <w:r w:rsidR="003A7E95">
                        <w:rPr>
                          <w:lang w:val="en-US"/>
                        </w:rPr>
                        <w:t xml:space="preserve">% of </w:t>
                      </w:r>
                      <w:r w:rsidR="000348CC">
                        <w:rPr>
                          <w:lang w:val="en-US"/>
                        </w:rPr>
                        <w:t xml:space="preserve">the </w:t>
                      </w:r>
                      <w:r w:rsidR="003A7E95">
                        <w:rPr>
                          <w:lang w:val="en-US"/>
                        </w:rPr>
                        <w:t xml:space="preserve">total number of dwellings, i.e. </w:t>
                      </w:r>
                      <w:r w:rsidR="000348CC">
                        <w:rPr>
                          <w:lang w:val="en-US"/>
                        </w:rPr>
                        <w:t xml:space="preserve">by </w:t>
                      </w:r>
                      <w:r w:rsidR="00A11B23">
                        <w:rPr>
                          <w:lang w:val="en-US"/>
                        </w:rPr>
                        <w:t>2.9</w:t>
                      </w:r>
                      <w:r w:rsidR="003A7E95">
                        <w:rPr>
                          <w:lang w:val="en-US"/>
                        </w:rPr>
                        <w:t xml:space="preserve"> percentage points more than in </w:t>
                      </w:r>
                      <w:r w:rsidR="00954AC7">
                        <w:rPr>
                          <w:lang w:val="en-US"/>
                        </w:rPr>
                        <w:t>the previous year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730AB3EE" w:rsidR="0042048D" w:rsidRPr="004829B9" w:rsidRDefault="0071658F" w:rsidP="00896EB9">
      <w:pPr>
        <w:rPr>
          <w:spacing w:val="-4"/>
          <w:shd w:val="clear" w:color="auto" w:fill="FFFFFF"/>
          <w:lang w:val="en-GB"/>
        </w:rPr>
      </w:pPr>
      <w:r w:rsidRPr="004829B9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9BEDD2C" wp14:editId="4A379895">
                <wp:simplePos x="0" y="0"/>
                <wp:positionH relativeFrom="page">
                  <wp:posOffset>5759753</wp:posOffset>
                </wp:positionH>
                <wp:positionV relativeFrom="paragraph">
                  <wp:posOffset>1181624</wp:posOffset>
                </wp:positionV>
                <wp:extent cx="1749425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B7E5D" w14:textId="58D6AB95" w:rsidR="003A7E95" w:rsidRPr="00AE3772" w:rsidRDefault="000348CC" w:rsidP="001C5029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The a</w:t>
                            </w:r>
                            <w:r w:rsidR="003A7E95"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verage useful floor </w:t>
                            </w:r>
                            <w:r w:rsidR="003A7E95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 w:rsidR="003A7E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 dwelling </w:t>
                            </w:r>
                            <w:r w:rsidR="009B636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completed in the</w:t>
                            </w:r>
                            <w:r w:rsidR="00C625B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period I-V 2020 was 88</w:t>
                            </w:r>
                            <w:r w:rsidR="009B636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.9</w:t>
                            </w:r>
                            <w:r w:rsidR="003A7E95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</w:t>
                            </w:r>
                            <w:r w:rsidR="002C751B" w:rsidRPr="002C75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GB" w:eastAsia="pl-P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EDD2C" id="_x0000_s1030" type="#_x0000_t202" style="position:absolute;margin-left:453.5pt;margin-top:93.05pt;width:137.75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" filled="f" stroked="f">
                <v:textbox>
                  <w:txbxContent>
                    <w:p w14:paraId="1A1B7E5D" w14:textId="58D6AB95" w:rsidR="003A7E95" w:rsidRPr="00AE3772" w:rsidRDefault="000348CC" w:rsidP="001C5029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The a</w:t>
                      </w:r>
                      <w:r w:rsidR="003A7E95"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verage useful floor </w:t>
                      </w:r>
                      <w:r w:rsidR="003A7E95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 w:rsidR="003A7E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 dwelling </w:t>
                      </w:r>
                      <w:r w:rsidR="009B636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completed in the</w:t>
                      </w:r>
                      <w:r w:rsidR="00C625B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period I-V 2020 was 88</w:t>
                      </w:r>
                      <w:r w:rsidR="009B636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.9</w:t>
                      </w:r>
                      <w:r w:rsidR="003A7E95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m</w:t>
                      </w:r>
                      <w:r w:rsidR="002C751B" w:rsidRPr="002C75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val="en-GB" w:eastAsia="pl-PL"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C625B8">
        <w:rPr>
          <w:spacing w:val="-4"/>
          <w:shd w:val="clear" w:color="auto" w:fill="FFFFFF"/>
          <w:lang w:val="en-GB"/>
        </w:rPr>
        <w:t>79.8</w:t>
      </w:r>
      <w:r w:rsidR="00EA20F6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>mpleted in</w:t>
      </w:r>
      <w:r w:rsidR="00F54505" w:rsidRPr="004829B9">
        <w:rPr>
          <w:spacing w:val="-4"/>
          <w:shd w:val="clear" w:color="auto" w:fill="FFFFFF"/>
          <w:lang w:val="en-GB"/>
        </w:rPr>
        <w:t xml:space="preserve"> </w:t>
      </w:r>
      <w:r w:rsidR="002B6593" w:rsidRPr="004829B9">
        <w:rPr>
          <w:spacing w:val="-4"/>
          <w:shd w:val="clear" w:color="auto" w:fill="FFFFFF"/>
          <w:lang w:val="en-GB"/>
        </w:rPr>
        <w:t xml:space="preserve">the period of </w:t>
      </w:r>
      <w:r w:rsidR="00F54505" w:rsidRPr="004829B9">
        <w:rPr>
          <w:spacing w:val="-4"/>
          <w:shd w:val="clear" w:color="auto" w:fill="FFFFFF"/>
          <w:lang w:val="en-GB"/>
        </w:rPr>
        <w:t>January</w:t>
      </w:r>
      <w:r w:rsidR="002E1E0B">
        <w:rPr>
          <w:spacing w:val="-4"/>
          <w:shd w:val="clear" w:color="auto" w:fill="FFFFFF"/>
          <w:lang w:val="en-GB"/>
        </w:rPr>
        <w:t>-</w:t>
      </w:r>
      <w:r w:rsidR="00B05C6B">
        <w:rPr>
          <w:spacing w:val="-4"/>
          <w:shd w:val="clear" w:color="auto" w:fill="FFFFFF"/>
          <w:lang w:val="en-GB"/>
        </w:rPr>
        <w:t>May</w:t>
      </w:r>
      <w:r w:rsidR="008B2394" w:rsidRPr="004829B9">
        <w:rPr>
          <w:spacing w:val="-4"/>
          <w:shd w:val="clear" w:color="auto" w:fill="FFFFFF"/>
          <w:lang w:val="en-GB"/>
        </w:rPr>
        <w:t xml:space="preserve"> 2020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C625B8">
        <w:rPr>
          <w:spacing w:val="-4"/>
          <w:shd w:val="clear" w:color="auto" w:fill="FFFFFF"/>
          <w:lang w:val="en-GB"/>
        </w:rPr>
        <w:t>0.3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2E1E0B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than a year ago.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C625B8">
        <w:rPr>
          <w:spacing w:val="-4"/>
          <w:shd w:val="clear" w:color="auto" w:fill="FFFFFF"/>
          <w:lang w:val="en-GB"/>
        </w:rPr>
        <w:t>52.0</w:t>
      </w:r>
      <w:r w:rsidR="00EA20F6" w:rsidRPr="004829B9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C625B8">
        <w:rPr>
          <w:spacing w:val="-4"/>
          <w:shd w:val="clear" w:color="auto" w:fill="FFFFFF"/>
          <w:lang w:val="en-GB"/>
        </w:rPr>
        <w:t>(4.4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26083F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58073C" w:rsidRPr="004829B9">
        <w:rPr>
          <w:spacing w:val="-4"/>
          <w:shd w:val="clear" w:color="auto" w:fill="FFFFFF"/>
          <w:lang w:val="en-GB"/>
        </w:rPr>
        <w:t>period</w:t>
      </w:r>
      <w:r w:rsidR="008B2394" w:rsidRPr="004829B9">
        <w:rPr>
          <w:spacing w:val="-4"/>
          <w:shd w:val="clear" w:color="auto" w:fill="FFFFFF"/>
          <w:lang w:val="en-GB"/>
        </w:rPr>
        <w:t xml:space="preserve"> of 2019</w:t>
      </w:r>
      <w:r w:rsidR="00C733A3" w:rsidRPr="004829B9">
        <w:rPr>
          <w:spacing w:val="-4"/>
          <w:shd w:val="clear" w:color="auto" w:fill="FFFFFF"/>
          <w:lang w:val="en-GB"/>
        </w:rPr>
        <w:t xml:space="preserve">),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C625B8">
        <w:rPr>
          <w:spacing w:val="-4"/>
          <w:shd w:val="clear" w:color="auto" w:fill="FFFFFF"/>
          <w:lang w:val="en-GB"/>
        </w:rPr>
        <w:t>26.5</w:t>
      </w:r>
      <w:r w:rsidR="00B036BF" w:rsidRPr="004829B9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C625B8">
        <w:rPr>
          <w:spacing w:val="-4"/>
          <w:shd w:val="clear" w:color="auto" w:fill="FFFFFF"/>
          <w:lang w:val="en-GB"/>
        </w:rPr>
        <w:t>6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C625B8">
        <w:rPr>
          <w:spacing w:val="-4"/>
          <w:shd w:val="clear" w:color="auto" w:fill="FFFFFF"/>
          <w:lang w:val="en-GB"/>
        </w:rPr>
        <w:t>4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2E1E0B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</w:t>
      </w:r>
      <w:r w:rsidR="00C94AC8" w:rsidRPr="004829B9">
        <w:rPr>
          <w:spacing w:val="-4"/>
          <w:shd w:val="clear" w:color="auto" w:fill="FFFFFF"/>
          <w:lang w:val="en-GB"/>
        </w:rPr>
        <w:t>2019</w:t>
      </w:r>
      <w:r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C94AC8" w:rsidRPr="004829B9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C625B8">
        <w:rPr>
          <w:spacing w:val="-4"/>
          <w:shd w:val="clear" w:color="auto" w:fill="FFFFFF"/>
          <w:lang w:val="en-GB"/>
        </w:rPr>
        <w:t>3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C625B8">
        <w:rPr>
          <w:spacing w:val="-4"/>
          <w:shd w:val="clear" w:color="auto" w:fill="FFFFFF"/>
          <w:lang w:val="en-GB"/>
        </w:rPr>
        <w:t xml:space="preserve"> (respectively 65.1% and 33.2</w:t>
      </w:r>
      <w:r w:rsidR="0058073C" w:rsidRPr="004829B9">
        <w:rPr>
          <w:spacing w:val="-4"/>
          <w:shd w:val="clear" w:color="auto" w:fill="FFFFFF"/>
          <w:lang w:val="en-GB"/>
        </w:rPr>
        <w:t>%)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EF3597" w:rsidRPr="004829B9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than a year ago were completed within </w:t>
      </w:r>
      <w:r w:rsidR="00C733A3" w:rsidRPr="004829B9">
        <w:rPr>
          <w:b/>
          <w:spacing w:val="-4"/>
          <w:shd w:val="clear" w:color="auto" w:fill="FFFFFF"/>
          <w:lang w:val="en-GB"/>
        </w:rPr>
        <w:t>cooperative</w:t>
      </w:r>
      <w:r w:rsidR="00C733A3" w:rsidRPr="004829B9">
        <w:rPr>
          <w:spacing w:val="-4"/>
          <w:shd w:val="clear" w:color="auto" w:fill="FFFFFF"/>
          <w:lang w:val="en-GB"/>
        </w:rPr>
        <w:t xml:space="preserve"> construction (</w:t>
      </w:r>
      <w:r w:rsidR="00C625B8">
        <w:rPr>
          <w:spacing w:val="-4"/>
          <w:shd w:val="clear" w:color="auto" w:fill="FFFFFF"/>
          <w:lang w:val="en-GB"/>
        </w:rPr>
        <w:t>496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compared to </w:t>
      </w:r>
      <w:r w:rsidR="00C625B8">
        <w:rPr>
          <w:spacing w:val="-4"/>
          <w:shd w:val="clear" w:color="auto" w:fill="FFFFFF"/>
          <w:lang w:val="en-GB"/>
        </w:rPr>
        <w:t>832</w:t>
      </w:r>
      <w:r w:rsidR="00BD7A45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dw</w:t>
      </w:r>
      <w:r w:rsidR="00FF795E" w:rsidRPr="004829B9">
        <w:rPr>
          <w:spacing w:val="-4"/>
          <w:shd w:val="clear" w:color="auto" w:fill="FFFFFF"/>
          <w:lang w:val="en-GB"/>
        </w:rPr>
        <w:t xml:space="preserve">ellings); </w:t>
      </w:r>
      <w:r w:rsidR="00FF795E" w:rsidRPr="004829B9">
        <w:rPr>
          <w:lang w:val="en-GB"/>
        </w:rPr>
        <w:t>i</w:t>
      </w:r>
      <w:r w:rsidR="003A358E" w:rsidRPr="004829B9">
        <w:rPr>
          <w:lang w:val="en-GB"/>
        </w:rPr>
        <w:t>n</w:t>
      </w:r>
      <w:r w:rsidR="00FF795E" w:rsidRPr="004829B9">
        <w:rPr>
          <w:lang w:val="en-GB"/>
        </w:rPr>
        <w:t> </w:t>
      </w:r>
      <w:r w:rsidR="003A358E" w:rsidRPr="004829B9">
        <w:rPr>
          <w:b/>
          <w:lang w:val="en-GB"/>
        </w:rPr>
        <w:t>other</w:t>
      </w:r>
      <w:r w:rsidR="003A358E" w:rsidRPr="004829B9">
        <w:rPr>
          <w:b/>
          <w:spacing w:val="-4"/>
          <w:shd w:val="clear" w:color="auto" w:fill="FFFFFF"/>
          <w:lang w:val="en-GB"/>
        </w:rPr>
        <w:t xml:space="preserve"> forms</w:t>
      </w:r>
      <w:r w:rsidR="003A358E" w:rsidRPr="004829B9">
        <w:rPr>
          <w:spacing w:val="-4"/>
          <w:shd w:val="clear" w:color="auto" w:fill="FFFFFF"/>
          <w:lang w:val="en-GB"/>
        </w:rPr>
        <w:t xml:space="preserve"> of </w:t>
      </w:r>
      <w:r w:rsidR="00C733A3" w:rsidRPr="004829B9">
        <w:rPr>
          <w:spacing w:val="-4"/>
          <w:shd w:val="clear" w:color="auto" w:fill="FFFFFF"/>
          <w:lang w:val="en-GB"/>
        </w:rPr>
        <w:t>construction (municipal</w:t>
      </w:r>
      <w:r w:rsidR="0042048D" w:rsidRPr="004829B9">
        <w:rPr>
          <w:spacing w:val="-4"/>
          <w:shd w:val="clear" w:color="auto" w:fill="FFFFFF"/>
          <w:lang w:val="en-GB"/>
        </w:rPr>
        <w:t xml:space="preserve">, public building society </w:t>
      </w:r>
      <w:r w:rsidR="002B1FCD" w:rsidRPr="004829B9">
        <w:rPr>
          <w:spacing w:val="-4"/>
          <w:shd w:val="clear" w:color="auto" w:fill="FFFFFF"/>
          <w:lang w:val="en-GB"/>
        </w:rPr>
        <w:t>and company construction)</w:t>
      </w:r>
      <w:r w:rsidR="004829B9">
        <w:rPr>
          <w:spacing w:val="-4"/>
          <w:shd w:val="clear" w:color="auto" w:fill="FFFFFF"/>
          <w:lang w:val="en-GB"/>
        </w:rPr>
        <w:t>,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625B8">
        <w:rPr>
          <w:spacing w:val="-4"/>
          <w:shd w:val="clear" w:color="auto" w:fill="FFFFFF"/>
          <w:lang w:val="en-GB"/>
        </w:rPr>
        <w:t>837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dwellings were complete</w:t>
      </w:r>
      <w:r w:rsidR="0043577A" w:rsidRPr="004829B9">
        <w:rPr>
          <w:spacing w:val="-4"/>
          <w:shd w:val="clear" w:color="auto" w:fill="FFFFFF"/>
          <w:lang w:val="en-GB"/>
        </w:rPr>
        <w:t>d</w:t>
      </w:r>
      <w:r w:rsidR="00C733A3" w:rsidRPr="004829B9">
        <w:rPr>
          <w:spacing w:val="-4"/>
          <w:shd w:val="clear" w:color="auto" w:fill="FFFFFF"/>
          <w:lang w:val="en-GB"/>
        </w:rPr>
        <w:t xml:space="preserve"> in total</w:t>
      </w:r>
      <w:r w:rsidR="00C94AC8" w:rsidRPr="004829B9">
        <w:rPr>
          <w:spacing w:val="-4"/>
          <w:shd w:val="clear" w:color="auto" w:fill="FFFFFF"/>
          <w:lang w:val="en-GB"/>
        </w:rPr>
        <w:t xml:space="preserve"> (compared to </w:t>
      </w:r>
      <w:r w:rsidR="00C625B8">
        <w:rPr>
          <w:spacing w:val="-4"/>
          <w:shd w:val="clear" w:color="auto" w:fill="FFFFFF"/>
          <w:lang w:val="en-GB"/>
        </w:rPr>
        <w:t>1 106</w:t>
      </w:r>
      <w:r w:rsidR="00C94AC8" w:rsidRPr="004829B9">
        <w:rPr>
          <w:spacing w:val="-4"/>
          <w:shd w:val="clear" w:color="auto" w:fill="FFFFFF"/>
          <w:lang w:val="en-GB"/>
        </w:rPr>
        <w:t xml:space="preserve"> in the previous year)</w:t>
      </w:r>
      <w:r w:rsidR="0042048D" w:rsidRPr="004829B9">
        <w:rPr>
          <w:spacing w:val="-4"/>
          <w:shd w:val="clear" w:color="auto" w:fill="FFFFFF"/>
          <w:lang w:val="en-GB"/>
        </w:rPr>
        <w:t>.</w:t>
      </w:r>
    </w:p>
    <w:p w14:paraId="6DA771CF" w14:textId="265AEA0F" w:rsidR="00054314" w:rsidRPr="004829B9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 xml:space="preserve">otal useful floor area of dwellings completed in </w:t>
      </w:r>
      <w:r w:rsidR="0058073C" w:rsidRPr="004829B9">
        <w:rPr>
          <w:shd w:val="clear" w:color="auto" w:fill="FFFFFF"/>
          <w:lang w:val="en-GB"/>
        </w:rPr>
        <w:t>the period of January-</w:t>
      </w:r>
      <w:r w:rsidR="00C625B8">
        <w:rPr>
          <w:shd w:val="clear" w:color="auto" w:fill="FFFFFF"/>
          <w:lang w:val="en-GB"/>
        </w:rPr>
        <w:t>May</w:t>
      </w:r>
      <w:r w:rsidR="00C94AC8" w:rsidRPr="004829B9">
        <w:rPr>
          <w:shd w:val="clear" w:color="auto" w:fill="FFFFFF"/>
          <w:lang w:val="en-GB"/>
        </w:rPr>
        <w:t xml:space="preserve"> 2020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C625B8">
        <w:rPr>
          <w:shd w:val="clear" w:color="auto" w:fill="FFFFFF"/>
          <w:lang w:val="en-GB"/>
        </w:rPr>
        <w:t>7</w:t>
      </w:r>
      <w:r w:rsidR="00837231" w:rsidRPr="004829B9">
        <w:rPr>
          <w:shd w:val="clear" w:color="auto" w:fill="FFFFFF"/>
          <w:lang w:val="en-GB"/>
        </w:rPr>
        <w:t>.</w:t>
      </w:r>
      <w:r w:rsidR="00C625B8">
        <w:rPr>
          <w:shd w:val="clear" w:color="auto" w:fill="FFFFFF"/>
          <w:lang w:val="en-GB"/>
        </w:rPr>
        <w:t>1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2C751B">
        <w:rPr>
          <w:shd w:val="clear" w:color="auto" w:fill="FFFFFF"/>
          <w:lang w:val="en-GB"/>
        </w:rPr>
        <w:t xml:space="preserve"> 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C625B8">
        <w:rPr>
          <w:shd w:val="clear" w:color="auto" w:fill="FFFFFF"/>
          <w:lang w:val="en-GB"/>
        </w:rPr>
        <w:t>1</w:t>
      </w:r>
      <w:r w:rsidR="00837231" w:rsidRPr="004829B9">
        <w:rPr>
          <w:shd w:val="clear" w:color="auto" w:fill="FFFFFF"/>
          <w:lang w:val="en-GB"/>
        </w:rPr>
        <w:t>.</w:t>
      </w:r>
      <w:r w:rsidR="00C625B8">
        <w:rPr>
          <w:shd w:val="clear" w:color="auto" w:fill="FFFFFF"/>
          <w:lang w:val="en-GB"/>
        </w:rPr>
        <w:t>8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2E1E0B">
        <w:rPr>
          <w:shd w:val="clear" w:color="auto" w:fill="FFFFFF"/>
          <w:lang w:val="en-GB"/>
        </w:rPr>
        <w:t>less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in the corresponding </w:t>
      </w:r>
      <w:r w:rsidR="0058073C" w:rsidRPr="004829B9">
        <w:rPr>
          <w:shd w:val="clear" w:color="auto" w:fill="FFFFFF"/>
          <w:lang w:val="en-GB"/>
        </w:rPr>
        <w:t>period</w:t>
      </w:r>
      <w:r w:rsidRPr="004829B9">
        <w:rPr>
          <w:shd w:val="clear" w:color="auto" w:fill="FFFFFF"/>
          <w:lang w:val="en-GB"/>
        </w:rPr>
        <w:t xml:space="preserve"> of </w:t>
      </w:r>
      <w:r w:rsidR="00CE0F21" w:rsidRPr="004829B9">
        <w:rPr>
          <w:shd w:val="clear" w:color="auto" w:fill="FFFFFF"/>
          <w:lang w:val="en-GB"/>
        </w:rPr>
        <w:t xml:space="preserve">the </w:t>
      </w:r>
      <w:r w:rsidRPr="004829B9">
        <w:rPr>
          <w:shd w:val="clear" w:color="auto" w:fill="FFFFFF"/>
          <w:lang w:val="en-GB"/>
        </w:rPr>
        <w:t>previous year.</w:t>
      </w:r>
      <w:r w:rsidR="00C94AC8" w:rsidRPr="004829B9">
        <w:rPr>
          <w:shd w:val="clear" w:color="auto" w:fill="FFFFFF"/>
          <w:lang w:val="en-GB"/>
        </w:rPr>
        <w:t xml:space="preserve"> Compared to the </w:t>
      </w:r>
      <w:r w:rsidR="0058073C" w:rsidRPr="004829B9">
        <w:rPr>
          <w:shd w:val="clear" w:color="auto" w:fill="FFFFFF"/>
          <w:lang w:val="en-GB"/>
        </w:rPr>
        <w:t>period</w:t>
      </w:r>
      <w:r w:rsidR="000348CC">
        <w:rPr>
          <w:shd w:val="clear" w:color="auto" w:fill="FFFFFF"/>
          <w:lang w:val="en-GB"/>
        </w:rPr>
        <w:t xml:space="preserve"> of</w:t>
      </w:r>
      <w:r w:rsidR="0058073C" w:rsidRPr="004829B9">
        <w:rPr>
          <w:shd w:val="clear" w:color="auto" w:fill="FFFFFF"/>
          <w:lang w:val="en-GB"/>
        </w:rPr>
        <w:t xml:space="preserve"> January-</w:t>
      </w:r>
      <w:r w:rsidR="00B05C6B">
        <w:rPr>
          <w:shd w:val="clear" w:color="auto" w:fill="FFFFFF"/>
          <w:lang w:val="en-GB"/>
        </w:rPr>
        <w:t>May</w:t>
      </w:r>
      <w:r w:rsidR="00C94AC8" w:rsidRPr="004829B9">
        <w:rPr>
          <w:shd w:val="clear" w:color="auto" w:fill="FFFFFF"/>
          <w:lang w:val="en-GB"/>
        </w:rPr>
        <w:t xml:space="preserve"> 2019</w:t>
      </w:r>
      <w:r w:rsidR="000348CC">
        <w:rPr>
          <w:shd w:val="clear" w:color="auto" w:fill="FFFFFF"/>
          <w:lang w:val="en-GB"/>
        </w:rPr>
        <w:t>,</w:t>
      </w:r>
      <w:r w:rsidRPr="004829B9">
        <w:rPr>
          <w:shd w:val="clear" w:color="auto" w:fill="FFFFFF"/>
          <w:lang w:val="en-GB"/>
        </w:rPr>
        <w:t xml:space="preserve"> 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>dwelling de</w:t>
      </w:r>
      <w:r w:rsidR="00837231" w:rsidRPr="004829B9">
        <w:rPr>
          <w:shd w:val="clear" w:color="auto" w:fill="FFFFFF"/>
          <w:lang w:val="en-GB"/>
        </w:rPr>
        <w:t xml:space="preserve">creased by </w:t>
      </w:r>
      <w:r w:rsidR="00C625B8">
        <w:rPr>
          <w:shd w:val="clear" w:color="auto" w:fill="FFFFFF"/>
          <w:lang w:val="en-GB"/>
        </w:rPr>
        <w:t>1</w:t>
      </w:r>
      <w:r w:rsidR="00837231" w:rsidRPr="004829B9">
        <w:rPr>
          <w:shd w:val="clear" w:color="auto" w:fill="FFFFFF"/>
          <w:lang w:val="en-GB"/>
        </w:rPr>
        <w:t>.</w:t>
      </w:r>
      <w:r w:rsidR="00C625B8">
        <w:rPr>
          <w:shd w:val="clear" w:color="auto" w:fill="FFFFFF"/>
          <w:lang w:val="en-GB"/>
        </w:rPr>
        <w:t>3</w:t>
      </w:r>
      <w:r w:rsidRPr="004829B9">
        <w:rPr>
          <w:shd w:val="clear" w:color="auto" w:fill="FFFFFF"/>
          <w:lang w:val="en-GB"/>
        </w:rPr>
        <w:t xml:space="preserve"> </w:t>
      </w:r>
      <w:r w:rsidR="003460DF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3460DF" w:rsidRPr="004829B9">
        <w:rPr>
          <w:shd w:val="clear" w:color="auto" w:fill="FFFFFF"/>
          <w:lang w:val="en-GB"/>
        </w:rPr>
        <w:t xml:space="preserve"> to the level of </w:t>
      </w:r>
      <w:r w:rsidR="00C625B8">
        <w:rPr>
          <w:shd w:val="clear" w:color="auto" w:fill="FFFFFF"/>
          <w:lang w:val="en-GB"/>
        </w:rPr>
        <w:t>88</w:t>
      </w:r>
      <w:r w:rsidR="005D25AB" w:rsidRPr="004829B9">
        <w:rPr>
          <w:shd w:val="clear" w:color="auto" w:fill="FFFFFF"/>
          <w:lang w:val="en-GB"/>
        </w:rPr>
        <w:t>.</w:t>
      </w:r>
      <w:r w:rsidR="009B6361">
        <w:rPr>
          <w:shd w:val="clear" w:color="auto" w:fill="FFFFFF"/>
          <w:lang w:val="en-GB"/>
        </w:rPr>
        <w:t>9</w:t>
      </w:r>
      <w:r w:rsidRPr="004829B9">
        <w:rPr>
          <w:shd w:val="clear" w:color="auto" w:fill="FFFFFF"/>
          <w:lang w:val="en-GB"/>
        </w:rPr>
        <w:t xml:space="preserve"> 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8073C" w:rsidRPr="004829B9" w14:paraId="6FC114B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544933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2CFFA46" w14:textId="77777777" w:rsidR="0058073C" w:rsidRPr="004829B9" w:rsidRDefault="0058073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8073C" w:rsidRPr="004829B9" w14:paraId="3F9B3FE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D45712C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C138F02" w14:textId="51041C64" w:rsidR="0058073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25621A64" w14:textId="21E5A6BC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</w:p>
        </w:tc>
      </w:tr>
      <w:tr w:rsidR="0058073C" w:rsidRPr="004829B9" w14:paraId="22FC7A49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1F0398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7DB75AA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3DC622" w14:textId="023A2E4D" w:rsidR="0058073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1E6FC37" w14:textId="6E5B18E1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A11B23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566992E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C0F5353" w14:textId="34DE1CE0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A11B23" w:rsidRPr="004829B9" w14:paraId="233056DD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AEC01FC" w14:textId="77777777" w:rsidR="00A11B23" w:rsidRPr="004829B9" w:rsidRDefault="00A11B23" w:rsidP="00A11B23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B14F49D" w14:textId="6C430EEB" w:rsidR="00A11B23" w:rsidRPr="004829B9" w:rsidRDefault="00A11B23" w:rsidP="00A11B2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16 486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DF92398" w14:textId="165722F7" w:rsidR="00A11B23" w:rsidRPr="004829B9" w:rsidRDefault="00A11B23" w:rsidP="00A11B2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110,1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9D76205" w14:textId="1A984701" w:rsidR="00A11B23" w:rsidRPr="004829B9" w:rsidRDefault="00A11B23" w:rsidP="00A11B2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120,1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6D857ED" w14:textId="215897A1" w:rsidR="00A11B23" w:rsidRPr="004829B9" w:rsidRDefault="00A11B23" w:rsidP="00A11B2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79 832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4B1C71C" w14:textId="2FA5D79E" w:rsidR="00A11B23" w:rsidRPr="004829B9" w:rsidRDefault="00A11B23" w:rsidP="00A11B2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99,7</w:t>
            </w:r>
          </w:p>
        </w:tc>
      </w:tr>
      <w:tr w:rsidR="00A11B23" w:rsidRPr="004829B9" w14:paraId="0E21E3C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812006" w14:textId="77777777" w:rsidR="00A11B23" w:rsidRPr="004829B9" w:rsidRDefault="00A11B23" w:rsidP="00A11B2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4B64173" w14:textId="22C38D73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5 010</w:t>
            </w:r>
          </w:p>
        </w:tc>
        <w:tc>
          <w:tcPr>
            <w:tcW w:w="1206" w:type="dxa"/>
            <w:vAlign w:val="center"/>
          </w:tcPr>
          <w:p w14:paraId="1EF9A641" w14:textId="4774505C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93,1</w:t>
            </w:r>
          </w:p>
        </w:tc>
        <w:tc>
          <w:tcPr>
            <w:tcW w:w="1206" w:type="dxa"/>
            <w:vAlign w:val="center"/>
          </w:tcPr>
          <w:p w14:paraId="6A6BDE68" w14:textId="0F5C19E8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139,6</w:t>
            </w:r>
          </w:p>
        </w:tc>
        <w:tc>
          <w:tcPr>
            <w:tcW w:w="1206" w:type="dxa"/>
            <w:vAlign w:val="center"/>
          </w:tcPr>
          <w:p w14:paraId="474030F8" w14:textId="3BD9A005" w:rsidR="00A11B23" w:rsidRPr="0026083F" w:rsidRDefault="00A11B23" w:rsidP="0026083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083F">
              <w:rPr>
                <w:rFonts w:cs="Arial"/>
                <w:color w:val="000000" w:themeColor="text1"/>
                <w:sz w:val="16"/>
                <w:szCs w:val="16"/>
              </w:rPr>
              <w:t>26 548</w:t>
            </w:r>
          </w:p>
        </w:tc>
        <w:tc>
          <w:tcPr>
            <w:tcW w:w="1207" w:type="dxa"/>
            <w:vAlign w:val="center"/>
          </w:tcPr>
          <w:p w14:paraId="04A3773C" w14:textId="7C1BDB97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93,6</w:t>
            </w:r>
          </w:p>
        </w:tc>
      </w:tr>
      <w:tr w:rsidR="00A11B23" w:rsidRPr="004829B9" w14:paraId="3503250B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52D39B7" w14:textId="77777777" w:rsidR="00A11B23" w:rsidRPr="004829B9" w:rsidRDefault="00A11B23" w:rsidP="00A11B2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730C0030" w14:textId="25D0FF84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11 180</w:t>
            </w:r>
          </w:p>
        </w:tc>
        <w:tc>
          <w:tcPr>
            <w:tcW w:w="1206" w:type="dxa"/>
            <w:vAlign w:val="center"/>
          </w:tcPr>
          <w:p w14:paraId="2E70220E" w14:textId="07DD443F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121,2</w:t>
            </w:r>
          </w:p>
        </w:tc>
        <w:tc>
          <w:tcPr>
            <w:tcW w:w="1206" w:type="dxa"/>
            <w:vAlign w:val="center"/>
          </w:tcPr>
          <w:p w14:paraId="1ED74D3A" w14:textId="009A0BE2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111,8</w:t>
            </w:r>
          </w:p>
        </w:tc>
        <w:tc>
          <w:tcPr>
            <w:tcW w:w="1206" w:type="dxa"/>
            <w:vAlign w:val="center"/>
          </w:tcPr>
          <w:p w14:paraId="44BA7141" w14:textId="4AF902B5" w:rsidR="00A11B23" w:rsidRPr="0026083F" w:rsidRDefault="00A11B23" w:rsidP="0026083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083F">
              <w:rPr>
                <w:rFonts w:cs="Arial"/>
                <w:color w:val="000000" w:themeColor="text1"/>
                <w:sz w:val="16"/>
                <w:szCs w:val="16"/>
              </w:rPr>
              <w:t>51 951</w:t>
            </w:r>
          </w:p>
        </w:tc>
        <w:tc>
          <w:tcPr>
            <w:tcW w:w="1207" w:type="dxa"/>
            <w:vAlign w:val="center"/>
          </w:tcPr>
          <w:p w14:paraId="3F979385" w14:textId="1B4C3C64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</w:tr>
      <w:tr w:rsidR="00A11B23" w:rsidRPr="004829B9" w14:paraId="157C331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4B0D4A9" w14:textId="77777777" w:rsidR="00A11B23" w:rsidRPr="004829B9" w:rsidRDefault="00A11B23" w:rsidP="00A11B23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1EDB440B" w14:textId="0F8E6F25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206" w:type="dxa"/>
            <w:vAlign w:val="center"/>
          </w:tcPr>
          <w:p w14:paraId="5CCE1C02" w14:textId="54B8C275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30,9</w:t>
            </w:r>
          </w:p>
        </w:tc>
        <w:tc>
          <w:tcPr>
            <w:tcW w:w="1206" w:type="dxa"/>
            <w:vAlign w:val="center"/>
          </w:tcPr>
          <w:p w14:paraId="6A15538A" w14:textId="23B499BA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39,0</w:t>
            </w:r>
          </w:p>
        </w:tc>
        <w:tc>
          <w:tcPr>
            <w:tcW w:w="1206" w:type="dxa"/>
            <w:vAlign w:val="center"/>
          </w:tcPr>
          <w:p w14:paraId="4F32B4AA" w14:textId="05EE888C" w:rsidR="00A11B23" w:rsidRPr="0026083F" w:rsidRDefault="00A11B23" w:rsidP="0026083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083F">
              <w:rPr>
                <w:rFonts w:cs="Arial"/>
                <w:color w:val="000000" w:themeColor="text1"/>
                <w:sz w:val="16"/>
                <w:szCs w:val="16"/>
              </w:rPr>
              <w:t>606</w:t>
            </w:r>
          </w:p>
        </w:tc>
        <w:tc>
          <w:tcPr>
            <w:tcW w:w="1207" w:type="dxa"/>
            <w:vAlign w:val="center"/>
          </w:tcPr>
          <w:p w14:paraId="6749CE4C" w14:textId="33B4D211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71,5</w:t>
            </w:r>
          </w:p>
        </w:tc>
      </w:tr>
      <w:tr w:rsidR="00A11B23" w:rsidRPr="004829B9" w14:paraId="4775506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8BFFDDF" w14:textId="77777777" w:rsidR="00A11B23" w:rsidRPr="004829B9" w:rsidRDefault="00A11B23" w:rsidP="00A11B2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87B4707" w14:textId="7D176EC7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206" w:type="dxa"/>
            <w:vAlign w:val="center"/>
          </w:tcPr>
          <w:p w14:paraId="0C60AA6B" w14:textId="6C472CEE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32,6</w:t>
            </w:r>
          </w:p>
        </w:tc>
        <w:tc>
          <w:tcPr>
            <w:tcW w:w="1206" w:type="dxa"/>
            <w:vAlign w:val="center"/>
          </w:tcPr>
          <w:p w14:paraId="73767A4C" w14:textId="171788D2" w:rsidR="00A11B23" w:rsidRPr="004829B9" w:rsidRDefault="00A11B23" w:rsidP="00A11B2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84,0</w:t>
            </w:r>
          </w:p>
        </w:tc>
        <w:tc>
          <w:tcPr>
            <w:tcW w:w="1206" w:type="dxa"/>
            <w:vAlign w:val="center"/>
          </w:tcPr>
          <w:p w14:paraId="233EB4FD" w14:textId="05E9104C" w:rsidR="00A11B23" w:rsidRPr="0026083F" w:rsidRDefault="00A11B23" w:rsidP="0026083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083F">
              <w:rPr>
                <w:rFonts w:cs="Arial"/>
                <w:color w:val="000000" w:themeColor="text1"/>
                <w:sz w:val="16"/>
                <w:szCs w:val="16"/>
              </w:rPr>
              <w:t>496</w:t>
            </w:r>
          </w:p>
        </w:tc>
        <w:tc>
          <w:tcPr>
            <w:tcW w:w="1207" w:type="dxa"/>
            <w:vAlign w:val="center"/>
          </w:tcPr>
          <w:p w14:paraId="37B21FA8" w14:textId="2AB1CC8C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59,6</w:t>
            </w:r>
          </w:p>
        </w:tc>
      </w:tr>
      <w:tr w:rsidR="00A11B23" w:rsidRPr="004829B9" w14:paraId="1480E1F5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A99D66E" w14:textId="77777777" w:rsidR="00A11B23" w:rsidRPr="004829B9" w:rsidRDefault="00A11B23" w:rsidP="00A11B2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7AC42C73" w14:textId="749588F2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206" w:type="dxa"/>
            <w:vAlign w:val="center"/>
          </w:tcPr>
          <w:p w14:paraId="52EA2698" w14:textId="2F584C2F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1206" w:type="dxa"/>
            <w:vAlign w:val="center"/>
          </w:tcPr>
          <w:p w14:paraId="7BD787EE" w14:textId="72B7A4F3" w:rsidR="00A11B23" w:rsidRPr="004829B9" w:rsidRDefault="00A11B23" w:rsidP="00A11B2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234,4</w:t>
            </w:r>
          </w:p>
        </w:tc>
        <w:tc>
          <w:tcPr>
            <w:tcW w:w="1206" w:type="dxa"/>
            <w:vAlign w:val="center"/>
          </w:tcPr>
          <w:p w14:paraId="1686B930" w14:textId="50F08A70" w:rsidR="00A11B23" w:rsidRPr="004829B9" w:rsidRDefault="00A11B23" w:rsidP="00A11B2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379</w:t>
            </w:r>
          </w:p>
        </w:tc>
        <w:tc>
          <w:tcPr>
            <w:tcW w:w="1207" w:type="dxa"/>
            <w:vAlign w:val="center"/>
          </w:tcPr>
          <w:p w14:paraId="497B2680" w14:textId="7372E36E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68,0</w:t>
            </w:r>
          </w:p>
        </w:tc>
      </w:tr>
      <w:tr w:rsidR="00A11B23" w:rsidRPr="004829B9" w14:paraId="5AF09ED3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F69253C" w14:textId="77777777" w:rsidR="00A11B23" w:rsidRPr="004829B9" w:rsidRDefault="00A11B23" w:rsidP="00A11B2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6FC62F3C" w14:textId="24A3F5FB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06" w:type="dxa"/>
            <w:vAlign w:val="center"/>
          </w:tcPr>
          <w:p w14:paraId="210EF2BB" w14:textId="13228CF4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128,2</w:t>
            </w:r>
          </w:p>
        </w:tc>
        <w:tc>
          <w:tcPr>
            <w:tcW w:w="1206" w:type="dxa"/>
            <w:vAlign w:val="center"/>
          </w:tcPr>
          <w:p w14:paraId="4873C618" w14:textId="5D8AB962" w:rsidR="00A11B23" w:rsidRPr="00330AAE" w:rsidRDefault="00A11B23" w:rsidP="00A11B2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</w:t>
            </w:r>
          </w:p>
          <w:p w14:paraId="5582B2FE" w14:textId="4BC34C1A" w:rsidR="00A11B23" w:rsidRPr="004829B9" w:rsidRDefault="00A11B23" w:rsidP="00A11B2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330AAE">
              <w:rPr>
                <w:rFonts w:cs="Arial"/>
                <w:sz w:val="16"/>
                <w:szCs w:val="16"/>
              </w:rPr>
              <w:t>6-</w:t>
            </w:r>
            <w:r>
              <w:rPr>
                <w:rFonts w:cs="Arial"/>
                <w:sz w:val="16"/>
                <w:szCs w:val="16"/>
              </w:rPr>
              <w:t>fold</w:t>
            </w:r>
            <w:r w:rsidRPr="00330AA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more</w:t>
            </w:r>
          </w:p>
        </w:tc>
        <w:tc>
          <w:tcPr>
            <w:tcW w:w="1206" w:type="dxa"/>
            <w:vAlign w:val="center"/>
          </w:tcPr>
          <w:p w14:paraId="1219A9EB" w14:textId="5F64BE14" w:rsidR="00A11B23" w:rsidRPr="004829B9" w:rsidRDefault="00A11B23" w:rsidP="00A11B2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439</w:t>
            </w:r>
          </w:p>
        </w:tc>
        <w:tc>
          <w:tcPr>
            <w:tcW w:w="1207" w:type="dxa"/>
            <w:vAlign w:val="center"/>
          </w:tcPr>
          <w:p w14:paraId="7D986892" w14:textId="532B57AF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96,7</w:t>
            </w:r>
          </w:p>
        </w:tc>
      </w:tr>
      <w:tr w:rsidR="00A11B23" w:rsidRPr="004829B9" w14:paraId="5F654D2E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5C09F32C" w14:textId="77777777" w:rsidR="00A11B23" w:rsidRPr="004829B9" w:rsidRDefault="00A11B23" w:rsidP="00A11B2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04C2B5C1" w14:textId="7E50FCEA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14:paraId="3CC36DA1" w14:textId="16321AB7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14,8</w:t>
            </w:r>
          </w:p>
        </w:tc>
        <w:tc>
          <w:tcPr>
            <w:tcW w:w="1206" w:type="dxa"/>
            <w:vAlign w:val="center"/>
          </w:tcPr>
          <w:p w14:paraId="30517C07" w14:textId="41D82848" w:rsidR="00A11B23" w:rsidRPr="004829B9" w:rsidRDefault="00A11B23" w:rsidP="00A11B2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10FD768" w14:textId="16DB748F" w:rsidR="00A11B23" w:rsidRPr="004829B9" w:rsidRDefault="00A11B23" w:rsidP="00A11B2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207" w:type="dxa"/>
            <w:vAlign w:val="center"/>
          </w:tcPr>
          <w:p w14:paraId="17C799D5" w14:textId="0CB9BCFC" w:rsidR="00A11B23" w:rsidRPr="004829B9" w:rsidRDefault="00A11B23" w:rsidP="00A11B2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20,0</w:t>
            </w:r>
          </w:p>
        </w:tc>
      </w:tr>
    </w:tbl>
    <w:p w14:paraId="4C4EBE85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1FED3B6A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6B0D1C36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71002120" w14:textId="77777777" w:rsidR="009829F8" w:rsidRPr="004829B9" w:rsidRDefault="009829F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77777777" w:rsidR="00896EB9" w:rsidRPr="004829B9" w:rsidRDefault="006E5F0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673DFB82">
                <wp:simplePos x="0" y="0"/>
                <wp:positionH relativeFrom="page">
                  <wp:posOffset>5704619</wp:posOffset>
                </wp:positionH>
                <wp:positionV relativeFrom="paragraph">
                  <wp:posOffset>258058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775070B3" w:rsidR="003A7E95" w:rsidRPr="00AD1492" w:rsidRDefault="000348CC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</w:t>
                            </w:r>
                            <w:r w:rsidR="003A7E95">
                              <w:rPr>
                                <w:lang w:val="en-US"/>
                              </w:rPr>
                              <w:t>umber of d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de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A11B23">
                              <w:rPr>
                                <w:lang w:val="en-US"/>
                              </w:rPr>
                              <w:t>in the period of I-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V 2020 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A11B23">
                              <w:rPr>
                                <w:lang w:val="en-US"/>
                              </w:rPr>
                              <w:t>10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>.</w:t>
                            </w:r>
                            <w:r w:rsidR="00A11B23">
                              <w:rPr>
                                <w:lang w:val="en-US"/>
                              </w:rPr>
                              <w:t>7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31" type="#_x0000_t202" style="position:absolute;margin-left:449.2pt;margin-top:20.3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" filled="f" stroked="f" strokeweight=".5pt">
                <v:textbox>
                  <w:txbxContent>
                    <w:p w14:paraId="35DCCB4E" w14:textId="775070B3" w:rsidR="003A7E95" w:rsidRPr="00AD1492" w:rsidRDefault="000348CC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</w:t>
                      </w:r>
                      <w:r w:rsidR="003A7E95">
                        <w:rPr>
                          <w:lang w:val="en-US"/>
                        </w:rPr>
                        <w:t>umber of d</w:t>
                      </w:r>
                      <w:r w:rsidR="003A7E95" w:rsidRPr="004C57EC">
                        <w:rPr>
                          <w:lang w:val="en-US"/>
                        </w:rPr>
                        <w:t>wellings for which permits have been grante</w:t>
                      </w:r>
                      <w:r w:rsidR="003A7E95">
                        <w:rPr>
                          <w:lang w:val="en-US"/>
                        </w:rPr>
                        <w:t xml:space="preserve">d or which have been registered </w:t>
                      </w:r>
                      <w:r w:rsidR="003A7E95" w:rsidRPr="004C57EC">
                        <w:rPr>
                          <w:lang w:val="en-US"/>
                        </w:rPr>
                        <w:t>with a construction project</w:t>
                      </w:r>
                      <w:r w:rsidR="00843B16">
                        <w:rPr>
                          <w:lang w:val="en-US"/>
                        </w:rPr>
                        <w:t xml:space="preserve"> de</w:t>
                      </w:r>
                      <w:r w:rsidR="003A7E95" w:rsidRPr="00AD1492">
                        <w:rPr>
                          <w:lang w:val="en-US"/>
                        </w:rPr>
                        <w:t xml:space="preserve">creased </w:t>
                      </w:r>
                      <w:r w:rsidR="00A11B23">
                        <w:rPr>
                          <w:lang w:val="en-US"/>
                        </w:rPr>
                        <w:t>in the period of I-</w:t>
                      </w:r>
                      <w:r w:rsidR="00843B16">
                        <w:rPr>
                          <w:lang w:val="en-US"/>
                        </w:rPr>
                        <w:t xml:space="preserve">V 2020 </w:t>
                      </w:r>
                      <w:r w:rsidR="003A7E95" w:rsidRPr="00AD1492">
                        <w:rPr>
                          <w:lang w:val="en-US"/>
                        </w:rPr>
                        <w:t xml:space="preserve">by </w:t>
                      </w:r>
                      <w:r w:rsidR="00A11B23">
                        <w:rPr>
                          <w:lang w:val="en-US"/>
                        </w:rPr>
                        <w:t>10</w:t>
                      </w:r>
                      <w:r w:rsidR="003A7E95" w:rsidRPr="00AD1492">
                        <w:rPr>
                          <w:lang w:val="en-US"/>
                        </w:rPr>
                        <w:t>.</w:t>
                      </w:r>
                      <w:r w:rsidR="00A11B23">
                        <w:rPr>
                          <w:lang w:val="en-US"/>
                        </w:rPr>
                        <w:t>7</w:t>
                      </w:r>
                      <w:r w:rsidR="003A7E95"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6EB9"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444D43F6" w:rsidR="00C47CE4" w:rsidRPr="004829B9" w:rsidRDefault="00BD1D77" w:rsidP="00896EB9">
      <w:pPr>
        <w:rPr>
          <w:b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t xml:space="preserve">In </w:t>
      </w:r>
      <w:r w:rsidR="0058073C" w:rsidRPr="004829B9">
        <w:rPr>
          <w:szCs w:val="19"/>
          <w:shd w:val="clear" w:color="auto" w:fill="FFFFFF"/>
          <w:lang w:val="en-GB"/>
        </w:rPr>
        <w:t xml:space="preserve">the first </w:t>
      </w:r>
      <w:r w:rsidR="00A11B23">
        <w:rPr>
          <w:szCs w:val="19"/>
          <w:shd w:val="clear" w:color="auto" w:fill="FFFFFF"/>
          <w:lang w:val="en-GB"/>
        </w:rPr>
        <w:t>five</w:t>
      </w:r>
      <w:r w:rsidR="0058073C" w:rsidRPr="004829B9">
        <w:rPr>
          <w:szCs w:val="19"/>
          <w:shd w:val="clear" w:color="auto" w:fill="FFFFFF"/>
          <w:lang w:val="en-GB"/>
        </w:rPr>
        <w:t xml:space="preserve"> months of</w:t>
      </w:r>
      <w:r w:rsidR="0044258C" w:rsidRPr="004829B9">
        <w:rPr>
          <w:szCs w:val="19"/>
          <w:shd w:val="clear" w:color="auto" w:fill="FFFFFF"/>
          <w:lang w:val="en-GB"/>
        </w:rPr>
        <w:t xml:space="preserve"> 2020</w:t>
      </w:r>
      <w:r w:rsidR="000348CC">
        <w:rPr>
          <w:szCs w:val="19"/>
          <w:shd w:val="clear" w:color="auto" w:fill="FFFFFF"/>
          <w:lang w:val="en-GB"/>
        </w:rPr>
        <w:t>,</w:t>
      </w:r>
      <w:r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permits and registrations have been granted for construction of </w:t>
      </w:r>
      <w:r w:rsidR="00A11B23">
        <w:rPr>
          <w:shd w:val="clear" w:color="auto" w:fill="FFFFFF"/>
          <w:lang w:val="en-GB"/>
        </w:rPr>
        <w:t>95</w:t>
      </w:r>
      <w:r w:rsidR="00F06543" w:rsidRPr="004829B9">
        <w:rPr>
          <w:shd w:val="clear" w:color="auto" w:fill="FFFFFF"/>
          <w:lang w:val="en-GB"/>
        </w:rPr>
        <w:t>.</w:t>
      </w:r>
      <w:r w:rsidR="00A11B23">
        <w:rPr>
          <w:shd w:val="clear" w:color="auto" w:fill="FFFFFF"/>
          <w:lang w:val="en-GB"/>
        </w:rPr>
        <w:t>5</w:t>
      </w:r>
      <w:r w:rsidR="00086F9F" w:rsidRPr="004829B9">
        <w:rPr>
          <w:shd w:val="clear" w:color="auto" w:fill="FFFFFF"/>
          <w:lang w:val="en-GB"/>
        </w:rPr>
        <w:t xml:space="preserve"> 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A11B23">
        <w:rPr>
          <w:shd w:val="clear" w:color="auto" w:fill="FFFFFF"/>
          <w:lang w:val="en-GB"/>
        </w:rPr>
        <w:t>10</w:t>
      </w:r>
      <w:r w:rsidR="00E245E1" w:rsidRPr="004829B9">
        <w:rPr>
          <w:shd w:val="clear" w:color="auto" w:fill="FFFFFF"/>
          <w:lang w:val="en-GB"/>
        </w:rPr>
        <w:t>.</w:t>
      </w:r>
      <w:r w:rsidR="00A11B23">
        <w:rPr>
          <w:shd w:val="clear" w:color="auto" w:fill="FFFFFF"/>
          <w:lang w:val="en-GB"/>
        </w:rPr>
        <w:t>7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11391E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than in the corres</w:t>
      </w:r>
      <w:r w:rsidR="00856FE3" w:rsidRPr="004829B9">
        <w:rPr>
          <w:shd w:val="clear" w:color="auto" w:fill="FFFFFF"/>
          <w:lang w:val="en-GB"/>
        </w:rPr>
        <w:t xml:space="preserve">ponding </w:t>
      </w:r>
      <w:r w:rsidR="0058073C" w:rsidRPr="004829B9">
        <w:rPr>
          <w:shd w:val="clear" w:color="auto" w:fill="FFFFFF"/>
          <w:lang w:val="en-GB"/>
        </w:rPr>
        <w:t>period</w:t>
      </w:r>
      <w:r w:rsidR="00856FE3" w:rsidRPr="004829B9">
        <w:rPr>
          <w:shd w:val="clear" w:color="auto" w:fill="FFFFFF"/>
          <w:lang w:val="en-GB"/>
        </w:rPr>
        <w:t xml:space="preserve"> of</w:t>
      </w:r>
      <w:r w:rsidR="0044258C" w:rsidRPr="004829B9">
        <w:rPr>
          <w:shd w:val="clear" w:color="auto" w:fill="FFFFFF"/>
          <w:lang w:val="en-GB"/>
        </w:rPr>
        <w:t xml:space="preserve"> 2019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Pr="004829B9">
        <w:rPr>
          <w:shd w:val="clear" w:color="auto" w:fill="FFFFFF"/>
          <w:lang w:val="en-GB"/>
        </w:rPr>
        <w:t>(</w:t>
      </w:r>
      <w:r w:rsidR="00A11B23">
        <w:rPr>
          <w:shd w:val="clear" w:color="auto" w:fill="FFFFFF"/>
          <w:lang w:val="en-GB"/>
        </w:rPr>
        <w:t>57</w:t>
      </w:r>
      <w:r w:rsidR="0011391E">
        <w:rPr>
          <w:shd w:val="clear" w:color="auto" w:fill="FFFFFF"/>
          <w:lang w:val="en-GB"/>
        </w:rPr>
        <w:t>.5</w:t>
      </w:r>
      <w:r w:rsidR="000E65E1" w:rsidRPr="004829B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Pr="004829B9">
        <w:rPr>
          <w:shd w:val="clear" w:color="auto" w:fill="FFFFFF"/>
          <w:lang w:val="en-GB"/>
        </w:rPr>
        <w:t xml:space="preserve"> (</w:t>
      </w:r>
      <w:r w:rsidR="00A11B23">
        <w:rPr>
          <w:shd w:val="clear" w:color="auto" w:fill="FFFFFF"/>
          <w:lang w:val="en-GB"/>
        </w:rPr>
        <w:t>37.1</w:t>
      </w:r>
      <w:r w:rsidR="00086F9F" w:rsidRPr="004829B9">
        <w:rPr>
          <w:shd w:val="clear" w:color="auto" w:fill="FFFFFF"/>
          <w:lang w:val="en-GB"/>
        </w:rPr>
        <w:t xml:space="preserve"> thous</w:t>
      </w:r>
      <w:r w:rsidR="000348CC">
        <w:rPr>
          <w:shd w:val="clear" w:color="auto" w:fill="FFFFFF"/>
          <w:lang w:val="en-GB"/>
        </w:rPr>
        <w:t>and</w:t>
      </w:r>
      <w:r w:rsidRPr="004829B9">
        <w:rPr>
          <w:shd w:val="clear" w:color="auto" w:fill="FFFFFF"/>
          <w:lang w:val="en-GB"/>
        </w:rPr>
        <w:t>)</w:t>
      </w:r>
      <w:r w:rsidR="003A358E" w:rsidRPr="004829B9">
        <w:rPr>
          <w:shd w:val="clear" w:color="auto" w:fill="FFFFFF"/>
          <w:lang w:val="en-GB"/>
        </w:rPr>
        <w:t xml:space="preserve">, i.e. </w:t>
      </w:r>
      <w:r w:rsidR="000D348A" w:rsidRPr="004829B9">
        <w:rPr>
          <w:shd w:val="clear" w:color="auto" w:fill="FFFFFF"/>
          <w:lang w:val="en-GB"/>
        </w:rPr>
        <w:t xml:space="preserve">respectively </w:t>
      </w:r>
      <w:r w:rsidR="00495B6E" w:rsidRPr="004829B9">
        <w:rPr>
          <w:shd w:val="clear" w:color="auto" w:fill="FFFFFF"/>
          <w:lang w:val="en-GB"/>
        </w:rPr>
        <w:t xml:space="preserve">by </w:t>
      </w:r>
      <w:r w:rsidR="00A11B23">
        <w:rPr>
          <w:shd w:val="clear" w:color="auto" w:fill="FFFFFF"/>
          <w:lang w:val="en-GB"/>
        </w:rPr>
        <w:t>11.1</w:t>
      </w:r>
      <w:r w:rsidR="000D348A" w:rsidRPr="004829B9">
        <w:rPr>
          <w:shd w:val="clear" w:color="auto" w:fill="FFFFFF"/>
          <w:lang w:val="en-GB"/>
        </w:rPr>
        <w:t xml:space="preserve">% </w:t>
      </w:r>
      <w:r w:rsidR="00A11B23">
        <w:rPr>
          <w:shd w:val="clear" w:color="auto" w:fill="FFFFFF"/>
          <w:lang w:val="en-GB"/>
        </w:rPr>
        <w:t>and 7.6</w:t>
      </w:r>
      <w:r w:rsidR="000D348A" w:rsidRPr="004829B9">
        <w:rPr>
          <w:shd w:val="clear" w:color="auto" w:fill="FFFFFF"/>
          <w:lang w:val="en-GB"/>
        </w:rPr>
        <w:t>%</w:t>
      </w:r>
      <w:r w:rsidR="006E5F08" w:rsidRPr="004829B9">
        <w:rPr>
          <w:shd w:val="clear" w:color="auto" w:fill="FFFFFF"/>
          <w:lang w:val="en-GB"/>
        </w:rPr>
        <w:t xml:space="preserve"> </w:t>
      </w:r>
      <w:r w:rsidR="00843B16">
        <w:rPr>
          <w:shd w:val="clear" w:color="auto" w:fill="FFFFFF"/>
          <w:lang w:val="en-GB"/>
        </w:rPr>
        <w:t>less</w:t>
      </w:r>
      <w:r w:rsidR="003A358E" w:rsidRPr="004829B9">
        <w:rPr>
          <w:shd w:val="clear" w:color="auto" w:fill="FFFFFF"/>
          <w:lang w:val="en-GB"/>
        </w:rPr>
        <w:t xml:space="preserve"> than </w:t>
      </w:r>
      <w:r w:rsidR="0058073C" w:rsidRPr="004829B9">
        <w:rPr>
          <w:shd w:val="clear" w:color="auto" w:fill="FFFFFF"/>
          <w:lang w:val="en-GB"/>
        </w:rPr>
        <w:t xml:space="preserve">in the period </w:t>
      </w:r>
      <w:r w:rsidR="00527B0C" w:rsidRPr="004829B9">
        <w:rPr>
          <w:shd w:val="clear" w:color="auto" w:fill="FFFFFF"/>
          <w:lang w:val="en-GB"/>
        </w:rPr>
        <w:t xml:space="preserve">of </w:t>
      </w:r>
      <w:r w:rsidR="0058073C" w:rsidRPr="004829B9">
        <w:rPr>
          <w:shd w:val="clear" w:color="auto" w:fill="FFFFFF"/>
          <w:lang w:val="en-GB"/>
        </w:rPr>
        <w:t>January-</w:t>
      </w:r>
      <w:r w:rsidR="00A11B23">
        <w:rPr>
          <w:shd w:val="clear" w:color="auto" w:fill="FFFFFF"/>
          <w:lang w:val="en-GB"/>
        </w:rPr>
        <w:t>May</w:t>
      </w:r>
      <w:r w:rsidR="0058073C" w:rsidRPr="004829B9">
        <w:rPr>
          <w:shd w:val="clear" w:color="auto" w:fill="FFFFFF"/>
          <w:lang w:val="en-GB"/>
        </w:rPr>
        <w:t xml:space="preserve"> </w:t>
      </w:r>
      <w:r w:rsidR="0044258C" w:rsidRPr="004829B9">
        <w:rPr>
          <w:shd w:val="clear" w:color="auto" w:fill="FFFFFF"/>
          <w:lang w:val="en-GB"/>
        </w:rPr>
        <w:t>2019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7C88" w:rsidRPr="004829B9">
        <w:rPr>
          <w:shd w:val="clear" w:color="auto" w:fill="FFFFFF"/>
          <w:lang w:val="en-GB"/>
        </w:rPr>
        <w:t>Altogether</w:t>
      </w:r>
      <w:r w:rsidR="000348CC">
        <w:rPr>
          <w:shd w:val="clear" w:color="auto" w:fill="FFFFFF"/>
          <w:lang w:val="en-GB"/>
        </w:rPr>
        <w:t>,</w:t>
      </w:r>
      <w:r w:rsidR="000A7C88" w:rsidRPr="004829B9">
        <w:rPr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the share </w:t>
      </w:r>
      <w:r w:rsidR="00CD44F1" w:rsidRPr="004829B9">
        <w:rPr>
          <w:shd w:val="clear" w:color="auto" w:fill="FFFFFF"/>
          <w:lang w:val="en-GB"/>
        </w:rPr>
        <w:t>of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44258C" w:rsidRPr="004829B9">
        <w:rPr>
          <w:shd w:val="clear" w:color="auto" w:fill="FFFFFF"/>
          <w:lang w:val="en-GB"/>
        </w:rPr>
        <w:t>of construction amounted to 99</w:t>
      </w:r>
      <w:r w:rsidR="001A1F89" w:rsidRPr="004829B9">
        <w:rPr>
          <w:shd w:val="clear" w:color="auto" w:fill="FFFFFF"/>
          <w:lang w:val="en-GB"/>
        </w:rPr>
        <w:t>.</w:t>
      </w:r>
      <w:r w:rsidR="00A11B23">
        <w:rPr>
          <w:shd w:val="clear" w:color="auto" w:fill="FFFFFF"/>
          <w:lang w:val="en-GB"/>
        </w:rPr>
        <w:t>1</w:t>
      </w:r>
      <w:r w:rsidR="000A7C88" w:rsidRPr="004829B9">
        <w:rPr>
          <w:shd w:val="clear" w:color="auto" w:fill="FFFFFF"/>
          <w:lang w:val="en-GB"/>
        </w:rPr>
        <w:t xml:space="preserve">% of </w:t>
      </w:r>
      <w:r w:rsidR="008B64BD">
        <w:rPr>
          <w:shd w:val="clear" w:color="auto" w:fill="FFFFFF"/>
          <w:lang w:val="en-GB"/>
        </w:rPr>
        <w:t>the</w:t>
      </w:r>
      <w:r w:rsidR="00B30E2E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>total number of dwellings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D30D2" w:rsidRPr="004829B9">
        <w:rPr>
          <w:shd w:val="clear" w:color="auto" w:fill="FFFFFF"/>
          <w:lang w:val="en-GB"/>
        </w:rPr>
        <w:t>Less</w:t>
      </w:r>
      <w:r w:rsidR="00507D43" w:rsidRPr="004829B9">
        <w:rPr>
          <w:shd w:val="clear" w:color="auto" w:fill="FFFFFF"/>
          <w:lang w:val="en-GB"/>
        </w:rPr>
        <w:t xml:space="preserve"> dwellings</w:t>
      </w:r>
      <w:r w:rsidR="00507D43" w:rsidRPr="004829B9">
        <w:rPr>
          <w:lang w:val="en-GB"/>
        </w:rPr>
        <w:t xml:space="preserve"> </w:t>
      </w:r>
      <w:r w:rsidR="00CE0F21" w:rsidRPr="004829B9">
        <w:rPr>
          <w:lang w:val="en-GB"/>
        </w:rPr>
        <w:t xml:space="preserve">than in </w:t>
      </w:r>
      <w:r w:rsidR="00527B0C" w:rsidRPr="004829B9">
        <w:rPr>
          <w:lang w:val="en-GB"/>
        </w:rPr>
        <w:t>the</w:t>
      </w:r>
      <w:r w:rsidR="00CE0F21" w:rsidRPr="004829B9">
        <w:rPr>
          <w:lang w:val="en-GB"/>
        </w:rPr>
        <w:t xml:space="preserve"> </w:t>
      </w:r>
      <w:r w:rsidR="00527B0C" w:rsidRPr="004829B9">
        <w:rPr>
          <w:lang w:val="en-GB"/>
        </w:rPr>
        <w:t>corresponding period of 2019</w:t>
      </w:r>
      <w:r w:rsidR="00CE0F21" w:rsidRPr="004829B9">
        <w:rPr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 xml:space="preserve">ed </w:t>
      </w:r>
      <w:r w:rsidR="006A0E22" w:rsidRPr="004829B9">
        <w:rPr>
          <w:shd w:val="clear" w:color="auto" w:fill="FFFFFF"/>
          <w:lang w:val="en-GB"/>
        </w:rPr>
        <w:t xml:space="preserve">in </w:t>
      </w:r>
      <w:r w:rsidR="00BD601A" w:rsidRPr="004829B9">
        <w:rPr>
          <w:shd w:val="clear" w:color="auto" w:fill="FFFFFF"/>
          <w:lang w:val="en-GB"/>
        </w:rPr>
        <w:t>the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BD601A" w:rsidRPr="004829B9">
        <w:rPr>
          <w:b/>
          <w:shd w:val="clear" w:color="auto" w:fill="FFFFFF"/>
          <w:lang w:val="en-GB"/>
        </w:rPr>
        <w:t xml:space="preserve">cooperative </w:t>
      </w:r>
      <w:r w:rsidR="00BD601A" w:rsidRPr="004829B9">
        <w:rPr>
          <w:shd w:val="clear" w:color="auto" w:fill="FFFFFF"/>
          <w:lang w:val="en-GB"/>
        </w:rPr>
        <w:t>construction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983BE8" w:rsidRPr="004829B9">
        <w:rPr>
          <w:shd w:val="clear" w:color="auto" w:fill="FFFFFF"/>
          <w:lang w:val="en-GB"/>
        </w:rPr>
        <w:t>(</w:t>
      </w:r>
      <w:r w:rsidR="00A11B23">
        <w:rPr>
          <w:shd w:val="clear" w:color="auto" w:fill="FFFFFF"/>
          <w:lang w:val="en-GB"/>
        </w:rPr>
        <w:t>357</w:t>
      </w:r>
      <w:r w:rsidR="00F06543" w:rsidRPr="004829B9">
        <w:rPr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dwellings </w:t>
      </w:r>
      <w:r w:rsidR="00C47CE4" w:rsidRPr="004829B9">
        <w:rPr>
          <w:shd w:val="clear" w:color="auto" w:fill="FFFFFF"/>
          <w:lang w:val="en-GB"/>
        </w:rPr>
        <w:t xml:space="preserve">against </w:t>
      </w:r>
      <w:r w:rsidR="00A11B23">
        <w:rPr>
          <w:shd w:val="clear" w:color="auto" w:fill="FFFFFF"/>
          <w:lang w:val="en-GB"/>
        </w:rPr>
        <w:t>767</w:t>
      </w:r>
      <w:r w:rsidR="00AD30D2" w:rsidRPr="004829B9">
        <w:rPr>
          <w:shd w:val="clear" w:color="auto" w:fill="FFFFFF"/>
          <w:lang w:val="en-GB"/>
        </w:rPr>
        <w:t>) and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in </w:t>
      </w:r>
      <w:r w:rsidR="00704521" w:rsidRPr="004829B9">
        <w:rPr>
          <w:b/>
          <w:shd w:val="clear" w:color="auto" w:fill="FFFFFF"/>
          <w:lang w:val="en-GB"/>
        </w:rPr>
        <w:t xml:space="preserve">other forms </w:t>
      </w:r>
      <w:r w:rsidR="00704521" w:rsidRPr="004829B9">
        <w:rPr>
          <w:shd w:val="clear" w:color="auto" w:fill="FFFFFF"/>
          <w:lang w:val="en-GB"/>
        </w:rPr>
        <w:t>of</w:t>
      </w:r>
      <w:r w:rsidR="00704521" w:rsidRPr="004829B9">
        <w:rPr>
          <w:b/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construction </w:t>
      </w:r>
      <w:r w:rsidR="00616583" w:rsidRPr="004829B9">
        <w:rPr>
          <w:shd w:val="clear" w:color="auto" w:fill="FFFFFF"/>
          <w:lang w:val="en-GB"/>
        </w:rPr>
        <w:t>(</w:t>
      </w:r>
      <w:r w:rsidR="00A11B23">
        <w:rPr>
          <w:shd w:val="clear" w:color="auto" w:fill="FFFFFF"/>
          <w:lang w:val="en-GB"/>
        </w:rPr>
        <w:t>506</w:t>
      </w:r>
      <w:r w:rsidR="00843B16" w:rsidRPr="00843B16">
        <w:rPr>
          <w:shd w:val="clear" w:color="auto" w:fill="FFFFFF"/>
          <w:lang w:val="en-GB"/>
        </w:rPr>
        <w:t> </w:t>
      </w:r>
      <w:r w:rsidR="00616583" w:rsidRPr="004829B9">
        <w:rPr>
          <w:shd w:val="clear" w:color="auto" w:fill="FFFFFF"/>
          <w:lang w:val="en-GB"/>
        </w:rPr>
        <w:t>dwellings</w:t>
      </w:r>
      <w:r w:rsidR="00611CFA" w:rsidRPr="004829B9">
        <w:rPr>
          <w:shd w:val="clear" w:color="auto" w:fill="FFFFFF"/>
          <w:lang w:val="en-GB"/>
        </w:rPr>
        <w:t xml:space="preserve"> against </w:t>
      </w:r>
      <w:r w:rsidR="00A11B23">
        <w:rPr>
          <w:shd w:val="clear" w:color="auto" w:fill="FFFFFF"/>
          <w:lang w:val="en-GB"/>
        </w:rPr>
        <w:t>1 347</w:t>
      </w:r>
      <w:r w:rsidR="00616583" w:rsidRPr="004829B9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1C5029">
      <w:pPr>
        <w:pStyle w:val="tytuwykresu"/>
        <w:ind w:left="851" w:hanging="851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27B0C" w:rsidRPr="004829B9" w14:paraId="6C27979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1761131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297E44F1" w14:textId="77777777" w:rsidR="00527B0C" w:rsidRPr="004829B9" w:rsidRDefault="00527B0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27B0C" w:rsidRPr="004829B9" w14:paraId="7CB3A9F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5F01AA5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73AFB71" w14:textId="640080FB" w:rsidR="00527B0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CCCED2D" w14:textId="7D06933A" w:rsidR="00527B0C" w:rsidRPr="004829B9" w:rsidRDefault="00B05C6B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</w:p>
        </w:tc>
      </w:tr>
      <w:tr w:rsidR="00527B0C" w:rsidRPr="004829B9" w14:paraId="3B47338A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38D5C87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236635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14DDD0" w14:textId="02610410" w:rsidR="00527B0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98E573E" w14:textId="42DF5900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A11B23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4B5C7D4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BFF5D9" w14:textId="2983F727" w:rsidR="00527B0C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5B5EB4" w:rsidRPr="004829B9" w14:paraId="6C403ECE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910755" w14:textId="77777777" w:rsidR="005B5EB4" w:rsidRPr="004829B9" w:rsidRDefault="005B5EB4" w:rsidP="005B5EB4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7D30553" w14:textId="51994718" w:rsidR="005B5EB4" w:rsidRPr="004829B9" w:rsidRDefault="005B5EB4" w:rsidP="005B5EB4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19 338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57FF288" w14:textId="13361ADC" w:rsidR="005B5EB4" w:rsidRPr="004829B9" w:rsidRDefault="005B5EB4" w:rsidP="005B5EB4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71,7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88819C7" w14:textId="2F88092C" w:rsidR="005B5EB4" w:rsidRPr="004829B9" w:rsidRDefault="005B5EB4" w:rsidP="005B5EB4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115,4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851E758" w14:textId="497CA516" w:rsidR="005B5EB4" w:rsidRPr="004829B9" w:rsidRDefault="005B5EB4" w:rsidP="005B5EB4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95 508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09250512" w14:textId="289B8209" w:rsidR="005B5EB4" w:rsidRPr="004829B9" w:rsidRDefault="005B5EB4" w:rsidP="005B5EB4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83,9</w:t>
            </w:r>
          </w:p>
        </w:tc>
      </w:tr>
      <w:tr w:rsidR="005B5EB4" w:rsidRPr="004829B9" w14:paraId="24875DB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7B658AC" w14:textId="77777777" w:rsidR="005B5EB4" w:rsidRPr="004829B9" w:rsidRDefault="005B5EB4" w:rsidP="005B5EB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2974B7CC" w14:textId="38A82AD0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8 299</w:t>
            </w:r>
          </w:p>
        </w:tc>
        <w:tc>
          <w:tcPr>
            <w:tcW w:w="1206" w:type="dxa"/>
            <w:vAlign w:val="center"/>
          </w:tcPr>
          <w:p w14:paraId="7DBBC394" w14:textId="798D26FD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87,0</w:t>
            </w:r>
          </w:p>
        </w:tc>
        <w:tc>
          <w:tcPr>
            <w:tcW w:w="1206" w:type="dxa"/>
            <w:vAlign w:val="center"/>
          </w:tcPr>
          <w:p w14:paraId="274B06FE" w14:textId="0655EE84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120,4</w:t>
            </w:r>
          </w:p>
        </w:tc>
        <w:tc>
          <w:tcPr>
            <w:tcW w:w="1206" w:type="dxa"/>
            <w:vAlign w:val="center"/>
          </w:tcPr>
          <w:p w14:paraId="04580C6D" w14:textId="43D2C0B6" w:rsidR="005B5EB4" w:rsidRPr="004829B9" w:rsidRDefault="005B5EB4" w:rsidP="005B5EB4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37 103</w:t>
            </w:r>
          </w:p>
        </w:tc>
        <w:tc>
          <w:tcPr>
            <w:tcW w:w="1207" w:type="dxa"/>
            <w:vAlign w:val="center"/>
          </w:tcPr>
          <w:p w14:paraId="40E17662" w14:textId="05CE2939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92,4</w:t>
            </w:r>
          </w:p>
        </w:tc>
      </w:tr>
      <w:tr w:rsidR="005B5EB4" w:rsidRPr="004829B9" w14:paraId="5C22900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8227C88" w14:textId="77777777" w:rsidR="005B5EB4" w:rsidRPr="004829B9" w:rsidRDefault="005B5EB4" w:rsidP="005B5EB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5E106BCF" w14:textId="72D4F73C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10 722</w:t>
            </w:r>
          </w:p>
        </w:tc>
        <w:tc>
          <w:tcPr>
            <w:tcW w:w="1206" w:type="dxa"/>
            <w:vAlign w:val="center"/>
          </w:tcPr>
          <w:p w14:paraId="3704CE86" w14:textId="61AB2E31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64,0</w:t>
            </w:r>
          </w:p>
        </w:tc>
        <w:tc>
          <w:tcPr>
            <w:tcW w:w="1206" w:type="dxa"/>
            <w:vAlign w:val="center"/>
          </w:tcPr>
          <w:p w14:paraId="4E73BADA" w14:textId="55DBB0B2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1206" w:type="dxa"/>
            <w:vAlign w:val="center"/>
          </w:tcPr>
          <w:p w14:paraId="48D424AC" w14:textId="3F8B1305" w:rsidR="005B5EB4" w:rsidRPr="004829B9" w:rsidRDefault="005B5EB4" w:rsidP="005B5EB4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57 542</w:t>
            </w:r>
          </w:p>
        </w:tc>
        <w:tc>
          <w:tcPr>
            <w:tcW w:w="1207" w:type="dxa"/>
            <w:vAlign w:val="center"/>
          </w:tcPr>
          <w:p w14:paraId="0D8FAE68" w14:textId="32223D69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88,9</w:t>
            </w:r>
          </w:p>
        </w:tc>
      </w:tr>
      <w:tr w:rsidR="005B5EB4" w:rsidRPr="004829B9" w14:paraId="0BA3DFD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4FCBBAE" w14:textId="77777777" w:rsidR="005B5EB4" w:rsidRPr="004829B9" w:rsidRDefault="005B5EB4" w:rsidP="005B5EB4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B8D933" w14:textId="591F20E8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7471754E" w14:textId="64FE0D99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1916C83A" w14:textId="5894546B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1A0C182A" w14:textId="78DFEEEC" w:rsidR="005B5EB4" w:rsidRPr="004829B9" w:rsidRDefault="005B5EB4" w:rsidP="005B5EB4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357</w:t>
            </w:r>
          </w:p>
        </w:tc>
        <w:tc>
          <w:tcPr>
            <w:tcW w:w="1207" w:type="dxa"/>
            <w:vAlign w:val="center"/>
          </w:tcPr>
          <w:p w14:paraId="5D07B47C" w14:textId="75355A13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46,5</w:t>
            </w:r>
          </w:p>
        </w:tc>
      </w:tr>
      <w:tr w:rsidR="005B5EB4" w:rsidRPr="004829B9" w14:paraId="628C62B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8CF69C4" w14:textId="77777777" w:rsidR="005B5EB4" w:rsidRPr="004829B9" w:rsidRDefault="005B5EB4" w:rsidP="005B5EB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38194731" w14:textId="57591F6B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1206" w:type="dxa"/>
            <w:vAlign w:val="center"/>
          </w:tcPr>
          <w:p w14:paraId="3CCCE51D" w14:textId="417B985D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37,0</w:t>
            </w:r>
          </w:p>
        </w:tc>
        <w:tc>
          <w:tcPr>
            <w:tcW w:w="1206" w:type="dxa"/>
            <w:vAlign w:val="center"/>
          </w:tcPr>
          <w:p w14:paraId="1B7E59DC" w14:textId="00F4F1E9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387,5</w:t>
            </w:r>
          </w:p>
        </w:tc>
        <w:tc>
          <w:tcPr>
            <w:tcW w:w="1206" w:type="dxa"/>
            <w:vAlign w:val="center"/>
          </w:tcPr>
          <w:p w14:paraId="594A1BF8" w14:textId="71EAB79D" w:rsidR="005B5EB4" w:rsidRPr="004829B9" w:rsidRDefault="005B5EB4" w:rsidP="005B5EB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1207" w:type="dxa"/>
            <w:vAlign w:val="center"/>
          </w:tcPr>
          <w:p w14:paraId="0B1FEB23" w14:textId="24F804DC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32,9</w:t>
            </w:r>
          </w:p>
        </w:tc>
      </w:tr>
      <w:tr w:rsidR="005B5EB4" w:rsidRPr="004829B9" w14:paraId="4A55058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EB43836" w14:textId="77777777" w:rsidR="005B5EB4" w:rsidRPr="004829B9" w:rsidRDefault="005B5EB4" w:rsidP="005B5EB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22DD43C4" w14:textId="630E97D5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193</w:t>
            </w:r>
          </w:p>
        </w:tc>
        <w:tc>
          <w:tcPr>
            <w:tcW w:w="1206" w:type="dxa"/>
            <w:vAlign w:val="center"/>
          </w:tcPr>
          <w:p w14:paraId="1D7D6902" w14:textId="5D2259E2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 xml:space="preserve">over </w:t>
            </w:r>
            <w:r>
              <w:rPr>
                <w:rFonts w:cs="Arial"/>
                <w:sz w:val="16"/>
                <w:szCs w:val="16"/>
              </w:rPr>
              <w:br/>
              <w:t>8-fold more</w:t>
            </w:r>
          </w:p>
        </w:tc>
        <w:tc>
          <w:tcPr>
            <w:tcW w:w="1206" w:type="dxa"/>
            <w:vAlign w:val="center"/>
          </w:tcPr>
          <w:p w14:paraId="6F322B0B" w14:textId="3FA78C66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over</w:t>
            </w:r>
            <w:r>
              <w:rPr>
                <w:rFonts w:cs="Arial"/>
                <w:sz w:val="16"/>
                <w:szCs w:val="16"/>
              </w:rPr>
              <w:br/>
              <w:t>6-fold more</w:t>
            </w:r>
          </w:p>
        </w:tc>
        <w:tc>
          <w:tcPr>
            <w:tcW w:w="1206" w:type="dxa"/>
            <w:vAlign w:val="center"/>
          </w:tcPr>
          <w:p w14:paraId="72AA4379" w14:textId="05DF253F" w:rsidR="005B5EB4" w:rsidRPr="004829B9" w:rsidRDefault="005B5EB4" w:rsidP="005B5EB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207" w:type="dxa"/>
            <w:vAlign w:val="center"/>
          </w:tcPr>
          <w:p w14:paraId="08EB6A2D" w14:textId="312840C7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71,7</w:t>
            </w:r>
          </w:p>
        </w:tc>
      </w:tr>
      <w:tr w:rsidR="005B5EB4" w:rsidRPr="004829B9" w14:paraId="1119B49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3AC118CE" w14:textId="77777777" w:rsidR="005B5EB4" w:rsidRPr="004829B9" w:rsidRDefault="005B5EB4" w:rsidP="005B5EB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1CE162BE" w14:textId="5C9BE10D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0D95C694" w14:textId="4ED4CDC2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5EFCE0B" w14:textId="2420393D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1BC05144" w14:textId="6379202C" w:rsidR="005B5EB4" w:rsidRPr="004829B9" w:rsidRDefault="005B5EB4" w:rsidP="005B5EB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14:paraId="3BFA6C4E" w14:textId="3BFEA5D8" w:rsidR="005B5EB4" w:rsidRPr="004829B9" w:rsidRDefault="005B5EB4" w:rsidP="005B5EB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1,1</w:t>
            </w:r>
          </w:p>
        </w:tc>
      </w:tr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27764452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527B0C" w:rsidRPr="004829B9">
        <w:rPr>
          <w:b w:val="0"/>
          <w:sz w:val="19"/>
          <w:szCs w:val="19"/>
          <w:shd w:val="clear" w:color="auto" w:fill="FFFFFF"/>
          <w:lang w:val="en-GB"/>
        </w:rPr>
        <w:t>the period of January-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May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 xml:space="preserve"> 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81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.2</w:t>
      </w:r>
      <w:r w:rsidR="00A3375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15.8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2019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44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2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21.1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% less than in 2019)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35</w:t>
      </w:r>
      <w:r w:rsidR="00C57EF3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4</w:t>
      </w:r>
      <w:r w:rsidR="00885F42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7.6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y/y)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6590" w:rsidRPr="004829B9">
        <w:rPr>
          <w:b w:val="0"/>
          <w:sz w:val="19"/>
          <w:szCs w:val="19"/>
          <w:shd w:val="clear" w:color="auto" w:fill="FFFFFF"/>
          <w:lang w:val="en-GB"/>
        </w:rPr>
        <w:t xml:space="preserve">i.e.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altogether 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98</w:t>
      </w:r>
      <w:r w:rsidR="00983BE8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1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 w:rsidRPr="004829B9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 w:rsidRPr="004829B9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862</w:t>
      </w:r>
      <w:r w:rsidR="000E65E1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1 027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7E1643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as well as 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704</w:t>
      </w:r>
      <w:r w:rsidR="00115574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1 052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).</w:t>
      </w:r>
    </w:p>
    <w:p w14:paraId="49780DA7" w14:textId="77777777" w:rsidR="00B4601E" w:rsidRPr="004829B9" w:rsidRDefault="00B4601E" w:rsidP="00CF36C5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0013A9" w:rsidRPr="004829B9" w14:paraId="581AD620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1DB08E6C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954750B" w14:textId="77777777" w:rsidR="000013A9" w:rsidRPr="004829B9" w:rsidRDefault="000013A9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0013A9" w:rsidRPr="004829B9" w14:paraId="3F568F15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8956D22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7886D38" w14:textId="68839581" w:rsidR="000013A9" w:rsidRPr="004829B9" w:rsidRDefault="009F200F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7D2DC35" w14:textId="1CA9F64E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9F200F">
              <w:rPr>
                <w:color w:val="000000" w:themeColor="text1"/>
                <w:sz w:val="16"/>
                <w:szCs w:val="16"/>
                <w:lang w:val="en-GB"/>
              </w:rPr>
              <w:t>V</w:t>
            </w:r>
          </w:p>
        </w:tc>
      </w:tr>
      <w:tr w:rsidR="000013A9" w:rsidRPr="004829B9" w14:paraId="03089097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BBEA73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1E251B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8242DD" w14:textId="3F5AD6A4" w:rsidR="000013A9" w:rsidRPr="004829B9" w:rsidRDefault="009F200F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54C121F" w14:textId="55288A4C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B5EB4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5FF03A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558FA70D" w14:textId="7FD446CA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9F200F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E87A8F" w:rsidRPr="004829B9" w14:paraId="6FDD4EF7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9FB5C9" w14:textId="77777777" w:rsidR="00E87A8F" w:rsidRPr="004829B9" w:rsidRDefault="00E87A8F" w:rsidP="00E87A8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C0DE46B" w14:textId="004F0D8D" w:rsidR="00E87A8F" w:rsidRPr="004829B9" w:rsidRDefault="00E87A8F" w:rsidP="00E87A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15 012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C00CC24" w14:textId="466C220B" w:rsidR="00E87A8F" w:rsidRPr="004829B9" w:rsidRDefault="00E87A8F" w:rsidP="00E87A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72,9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A450CD" w14:textId="11B6962A" w:rsidR="00E87A8F" w:rsidRPr="004829B9" w:rsidRDefault="00E87A8F" w:rsidP="00E87A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BBCAC80" w14:textId="601C9E24" w:rsidR="00E87A8F" w:rsidRPr="004829B9" w:rsidRDefault="00E87A8F" w:rsidP="00E87A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81 202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40329725" w14:textId="236CABA4" w:rsidR="00E87A8F" w:rsidRPr="004829B9" w:rsidRDefault="00E87A8F" w:rsidP="00E87A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84,2</w:t>
            </w:r>
          </w:p>
        </w:tc>
      </w:tr>
      <w:tr w:rsidR="00E87A8F" w:rsidRPr="004829B9" w14:paraId="02B9960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2B427C" w14:textId="77777777" w:rsidR="00E87A8F" w:rsidRPr="004829B9" w:rsidRDefault="00E87A8F" w:rsidP="00E87A8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EA24020" w14:textId="252FB9A6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8 722</w:t>
            </w:r>
          </w:p>
        </w:tc>
        <w:tc>
          <w:tcPr>
            <w:tcW w:w="1206" w:type="dxa"/>
            <w:vAlign w:val="center"/>
          </w:tcPr>
          <w:p w14:paraId="4182E47D" w14:textId="03F20CD4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96,7</w:t>
            </w:r>
          </w:p>
        </w:tc>
        <w:tc>
          <w:tcPr>
            <w:tcW w:w="1206" w:type="dxa"/>
            <w:vAlign w:val="center"/>
          </w:tcPr>
          <w:p w14:paraId="55847995" w14:textId="530D424F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123,3</w:t>
            </w:r>
          </w:p>
        </w:tc>
        <w:tc>
          <w:tcPr>
            <w:tcW w:w="1206" w:type="dxa"/>
            <w:vAlign w:val="center"/>
          </w:tcPr>
          <w:p w14:paraId="563931BA" w14:textId="5A7340C5" w:rsidR="00E87A8F" w:rsidRPr="004829B9" w:rsidRDefault="00E87A8F" w:rsidP="00E87A8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35 420</w:t>
            </w:r>
          </w:p>
        </w:tc>
        <w:tc>
          <w:tcPr>
            <w:tcW w:w="1207" w:type="dxa"/>
            <w:vAlign w:val="center"/>
          </w:tcPr>
          <w:p w14:paraId="6B359C49" w14:textId="1F15E1EB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92,4</w:t>
            </w:r>
          </w:p>
        </w:tc>
      </w:tr>
      <w:tr w:rsidR="00E87A8F" w:rsidRPr="004829B9" w14:paraId="16E631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4BE628A" w14:textId="77777777" w:rsidR="00E87A8F" w:rsidRPr="004829B9" w:rsidRDefault="00E87A8F" w:rsidP="00E87A8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36D71E9A" w14:textId="0BC64604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6 188</w:t>
            </w:r>
          </w:p>
        </w:tc>
        <w:tc>
          <w:tcPr>
            <w:tcW w:w="1206" w:type="dxa"/>
            <w:vAlign w:val="center"/>
          </w:tcPr>
          <w:p w14:paraId="75BDDBF3" w14:textId="45F5281C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55,4</w:t>
            </w:r>
          </w:p>
        </w:tc>
        <w:tc>
          <w:tcPr>
            <w:tcW w:w="1206" w:type="dxa"/>
            <w:vAlign w:val="center"/>
          </w:tcPr>
          <w:p w14:paraId="0FABE999" w14:textId="3E60EDDD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206" w:type="dxa"/>
            <w:vAlign w:val="center"/>
          </w:tcPr>
          <w:p w14:paraId="512D50D9" w14:textId="279CA1D6" w:rsidR="00E87A8F" w:rsidRPr="004829B9" w:rsidRDefault="00E87A8F" w:rsidP="00E87A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44 216</w:t>
            </w:r>
          </w:p>
        </w:tc>
        <w:tc>
          <w:tcPr>
            <w:tcW w:w="1207" w:type="dxa"/>
            <w:vAlign w:val="center"/>
          </w:tcPr>
          <w:p w14:paraId="52836C7F" w14:textId="7E878C51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78,9</w:t>
            </w:r>
          </w:p>
        </w:tc>
      </w:tr>
      <w:tr w:rsidR="00E87A8F" w:rsidRPr="004829B9" w14:paraId="435A7676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156F18" w14:textId="77777777" w:rsidR="00E87A8F" w:rsidRPr="004829B9" w:rsidRDefault="00E87A8F" w:rsidP="00E87A8F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0953AF15" w14:textId="0F35BEBC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06" w:type="dxa"/>
            <w:vAlign w:val="center"/>
          </w:tcPr>
          <w:p w14:paraId="6A70776B" w14:textId="6D55EEEA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16,0</w:t>
            </w:r>
          </w:p>
        </w:tc>
        <w:tc>
          <w:tcPr>
            <w:tcW w:w="1206" w:type="dxa"/>
            <w:vAlign w:val="center"/>
          </w:tcPr>
          <w:p w14:paraId="77A225F3" w14:textId="77592A4B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1206" w:type="dxa"/>
            <w:vAlign w:val="center"/>
          </w:tcPr>
          <w:p w14:paraId="2296D291" w14:textId="6826F151" w:rsidR="00E87A8F" w:rsidRPr="004829B9" w:rsidRDefault="00E87A8F" w:rsidP="00E87A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303</w:t>
            </w:r>
          </w:p>
        </w:tc>
        <w:tc>
          <w:tcPr>
            <w:tcW w:w="1207" w:type="dxa"/>
            <w:vAlign w:val="center"/>
          </w:tcPr>
          <w:p w14:paraId="0F18BEC0" w14:textId="01442155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86,1</w:t>
            </w:r>
          </w:p>
        </w:tc>
      </w:tr>
      <w:tr w:rsidR="00E87A8F" w:rsidRPr="004829B9" w14:paraId="57DDA71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07F54E1" w14:textId="77777777" w:rsidR="00E87A8F" w:rsidRPr="004829B9" w:rsidRDefault="00E87A8F" w:rsidP="00E87A8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2FE7DE35" w14:textId="231DF5E2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206" w:type="dxa"/>
            <w:vAlign w:val="center"/>
          </w:tcPr>
          <w:p w14:paraId="6D446002" w14:textId="604BF5C0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37,5</w:t>
            </w:r>
          </w:p>
        </w:tc>
        <w:tc>
          <w:tcPr>
            <w:tcW w:w="1206" w:type="dxa"/>
            <w:vAlign w:val="center"/>
          </w:tcPr>
          <w:p w14:paraId="73242060" w14:textId="23D61635" w:rsidR="00E87A8F" w:rsidRPr="004829B9" w:rsidRDefault="00E87A8F" w:rsidP="00E87A8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27,5</w:t>
            </w:r>
          </w:p>
        </w:tc>
        <w:tc>
          <w:tcPr>
            <w:tcW w:w="1206" w:type="dxa"/>
            <w:vAlign w:val="center"/>
          </w:tcPr>
          <w:p w14:paraId="4BFAFDD5" w14:textId="1FFEF2F5" w:rsidR="00E87A8F" w:rsidRPr="004829B9" w:rsidRDefault="00E87A8F" w:rsidP="00E87A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1207" w:type="dxa"/>
            <w:vAlign w:val="center"/>
          </w:tcPr>
          <w:p w14:paraId="76E8B110" w14:textId="3AAFC14F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83,9</w:t>
            </w:r>
          </w:p>
        </w:tc>
      </w:tr>
      <w:tr w:rsidR="00E87A8F" w:rsidRPr="004829B9" w14:paraId="6A70347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6066AF" w14:textId="77777777" w:rsidR="00E87A8F" w:rsidRPr="004829B9" w:rsidRDefault="00E87A8F" w:rsidP="00E87A8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26504A67" w14:textId="70FFE0F3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206" w:type="dxa"/>
            <w:vAlign w:val="center"/>
          </w:tcPr>
          <w:p w14:paraId="71430A96" w14:textId="11AE52AD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27,5</w:t>
            </w:r>
          </w:p>
        </w:tc>
        <w:tc>
          <w:tcPr>
            <w:tcW w:w="1206" w:type="dxa"/>
            <w:vAlign w:val="center"/>
          </w:tcPr>
          <w:p w14:paraId="33FA0D09" w14:textId="7504F26F" w:rsidR="00E87A8F" w:rsidRPr="004829B9" w:rsidRDefault="00E87A8F" w:rsidP="00E87A8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157,9</w:t>
            </w:r>
          </w:p>
        </w:tc>
        <w:tc>
          <w:tcPr>
            <w:tcW w:w="1206" w:type="dxa"/>
            <w:vAlign w:val="center"/>
          </w:tcPr>
          <w:p w14:paraId="1AD2E584" w14:textId="7137C04E" w:rsidR="00E87A8F" w:rsidRPr="004829B9" w:rsidRDefault="00E87A8F" w:rsidP="00E87A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1207" w:type="dxa"/>
            <w:vAlign w:val="center"/>
          </w:tcPr>
          <w:p w14:paraId="27BBCB3A" w14:textId="6AC7CF90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31,2</w:t>
            </w:r>
          </w:p>
        </w:tc>
      </w:tr>
      <w:tr w:rsidR="00E87A8F" w:rsidRPr="004829B9" w14:paraId="2C92CBE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9A264D" w14:textId="77777777" w:rsidR="00E87A8F" w:rsidRPr="004829B9" w:rsidRDefault="00E87A8F" w:rsidP="00E87A8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4DBC4D16" w14:textId="648819C3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4BE61B3C" w14:textId="4A465A8B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55AFA942" w14:textId="5F5CA374" w:rsidR="00E87A8F" w:rsidRPr="004829B9" w:rsidRDefault="00E87A8F" w:rsidP="00E87A8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EFD285C" w14:textId="55CE98A7" w:rsidR="00E87A8F" w:rsidRPr="004829B9" w:rsidRDefault="00E87A8F" w:rsidP="00E87A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524</w:t>
            </w:r>
          </w:p>
        </w:tc>
        <w:tc>
          <w:tcPr>
            <w:tcW w:w="1207" w:type="dxa"/>
            <w:vAlign w:val="center"/>
          </w:tcPr>
          <w:p w14:paraId="61023407" w14:textId="65F474DC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80,9</w:t>
            </w:r>
          </w:p>
        </w:tc>
      </w:tr>
      <w:tr w:rsidR="00E87A8F" w:rsidRPr="004829B9" w14:paraId="0EA887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16A460B1" w14:textId="77777777" w:rsidR="00E87A8F" w:rsidRPr="004829B9" w:rsidRDefault="00E87A8F" w:rsidP="00E87A8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3B1E13A2" w14:textId="5E44DF06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0BE40393" w14:textId="377BE5E7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569CA16" w14:textId="697E36C0" w:rsidR="00E87A8F" w:rsidRPr="004829B9" w:rsidRDefault="00E87A8F" w:rsidP="00E87A8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067A83DD" w14:textId="776766C2" w:rsidR="00E87A8F" w:rsidRPr="004829B9" w:rsidRDefault="00E87A8F" w:rsidP="00E87A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07" w:type="dxa"/>
            <w:vAlign w:val="center"/>
          </w:tcPr>
          <w:p w14:paraId="25216EE8" w14:textId="69843A5A" w:rsidR="00E87A8F" w:rsidRPr="004829B9" w:rsidRDefault="00E87A8F" w:rsidP="00E87A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7272B003" w14:textId="77777777" w:rsidR="009609A1" w:rsidRPr="004829B9" w:rsidRDefault="009609A1" w:rsidP="00467EFF">
      <w:pPr>
        <w:rPr>
          <w:shd w:val="clear" w:color="auto" w:fill="FFFFFF"/>
          <w:lang w:val="en-GB"/>
        </w:rPr>
      </w:pPr>
    </w:p>
    <w:p w14:paraId="26C5CCAE" w14:textId="77777777" w:rsidR="00A00C56" w:rsidRDefault="00A00C56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4D75009" w14:textId="0ABE9C3C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E87A8F">
        <w:rPr>
          <w:b w:val="0"/>
          <w:sz w:val="19"/>
          <w:szCs w:val="19"/>
          <w:shd w:val="clear" w:color="auto" w:fill="FFFFFF"/>
          <w:lang w:val="en-GB"/>
        </w:rPr>
        <w:t>May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F3F3D" w:rsidRPr="004829B9">
        <w:rPr>
          <w:b w:val="0"/>
          <w:sz w:val="19"/>
          <w:szCs w:val="19"/>
          <w:shd w:val="clear" w:color="auto" w:fill="FFFFFF"/>
          <w:lang w:val="en-GB"/>
        </w:rPr>
        <w:t>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E87A8F">
        <w:rPr>
          <w:b w:val="0"/>
          <w:sz w:val="19"/>
          <w:szCs w:val="19"/>
          <w:shd w:val="clear" w:color="auto" w:fill="FFFFFF"/>
          <w:lang w:val="en-GB"/>
        </w:rPr>
        <w:t xml:space="preserve"> there were 826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E87A8F">
        <w:rPr>
          <w:b w:val="0"/>
          <w:sz w:val="19"/>
          <w:szCs w:val="19"/>
          <w:shd w:val="clear" w:color="auto" w:fill="FFFFFF"/>
          <w:lang w:val="en-GB"/>
        </w:rPr>
        <w:t>9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</w:t>
      </w:r>
      <w:bookmarkStart w:id="0" w:name="_GoBack"/>
      <w:bookmarkEnd w:id="0"/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struction, i.e. by </w:t>
      </w:r>
      <w:r w:rsidR="00E87A8F">
        <w:rPr>
          <w:b w:val="0"/>
          <w:sz w:val="19"/>
          <w:szCs w:val="19"/>
          <w:shd w:val="clear" w:color="auto" w:fill="FFFFFF"/>
          <w:lang w:val="en-GB"/>
        </w:rPr>
        <w:t>1.8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in the corresponding period of 2019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7AFA1BBF" w:rsidR="005D23AA" w:rsidRPr="004829B9" w:rsidRDefault="005D23AA" w:rsidP="007207E6">
      <w:pPr>
        <w:pStyle w:val="tytuwykresu"/>
        <w:rPr>
          <w:lang w:val="en-GB"/>
        </w:rPr>
      </w:pPr>
    </w:p>
    <w:p w14:paraId="2E8A539A" w14:textId="3007975C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631FF680" w14:textId="5F014E5F" w:rsidR="000271FB" w:rsidRPr="004829B9" w:rsidRDefault="00A00C56" w:rsidP="003A7E95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46DD489B">
                <wp:simplePos x="0" y="0"/>
                <wp:positionH relativeFrom="page">
                  <wp:posOffset>5756910</wp:posOffset>
                </wp:positionH>
                <wp:positionV relativeFrom="paragraph">
                  <wp:posOffset>83820</wp:posOffset>
                </wp:positionV>
                <wp:extent cx="1760855" cy="214503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1B537E49" w:rsidR="003A7E95" w:rsidRPr="00AC3185" w:rsidRDefault="003A7E95" w:rsidP="00AC3185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E87A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May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EF60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EF60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 (by </w:t>
                            </w:r>
                            <w:r w:rsidR="00EF60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 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as well as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for which permits have been granted or wh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ich have been registered with a 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construction project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BD7A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EF60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15.4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 and</w:t>
                            </w:r>
                            <w:r w:rsidRPr="00681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number of dwellings in which construction has begun</w:t>
                            </w:r>
                            <w:r w:rsidRPr="00681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(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EF60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10.0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36E1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53.3pt;margin-top:6.6pt;width:138.65pt;height:168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" filled="f" stroked="f">
                <v:textbox>
                  <w:txbxContent>
                    <w:p w14:paraId="58FBF1C9" w14:textId="1B537E49" w:rsidR="003A7E95" w:rsidRPr="00AC3185" w:rsidRDefault="003A7E95" w:rsidP="00AC3185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E87A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May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EF60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EF60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 (by </w:t>
                      </w:r>
                      <w:r w:rsidR="00EF60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 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as well as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for which permits have been granted or wh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ich have been registered with a 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construction project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BD7A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EF60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15.4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 and</w:t>
                      </w:r>
                      <w:r w:rsidRPr="00681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number of dwellings in which construction has begun</w:t>
                      </w:r>
                      <w:r w:rsidRPr="00681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(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EF60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10.0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05C6B">
        <w:rPr>
          <w:noProof/>
        </w:rPr>
        <w:drawing>
          <wp:inline distT="0" distB="0" distL="0" distR="0" wp14:anchorId="1EEA23AB" wp14:editId="3BABF0B3">
            <wp:extent cx="5122545" cy="2181225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4E47249" w14:textId="15410AED" w:rsidR="00BD7A45" w:rsidRDefault="00BD7A45" w:rsidP="00CB6084">
      <w:pPr>
        <w:rPr>
          <w:szCs w:val="19"/>
          <w:shd w:val="clear" w:color="auto" w:fill="FFFFFF"/>
          <w:lang w:val="en-GB"/>
        </w:rPr>
      </w:pPr>
    </w:p>
    <w:p w14:paraId="6B2C5EA1" w14:textId="58708CBC" w:rsidR="00CB6084" w:rsidRPr="004829B9" w:rsidRDefault="00980EA5" w:rsidP="00CB6084">
      <w:pPr>
        <w:rPr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t xml:space="preserve">The biggest number </w:t>
      </w:r>
      <w:r w:rsidR="00CB6084" w:rsidRPr="004829B9">
        <w:rPr>
          <w:szCs w:val="19"/>
          <w:shd w:val="clear" w:color="auto" w:fill="FFFFFF"/>
          <w:lang w:val="en-GB"/>
        </w:rPr>
        <w:t>of dwellings</w:t>
      </w:r>
      <w:r w:rsidR="00EF6032" w:rsidRPr="00EF6032">
        <w:rPr>
          <w:lang w:val="en-GB"/>
        </w:rPr>
        <w:t xml:space="preserve"> </w:t>
      </w:r>
      <w:r w:rsidR="00EF6032" w:rsidRPr="00EF6032">
        <w:rPr>
          <w:szCs w:val="19"/>
          <w:shd w:val="clear" w:color="auto" w:fill="FFFFFF"/>
          <w:lang w:val="en-GB"/>
        </w:rPr>
        <w:t>completed, in the period of January-</w:t>
      </w:r>
      <w:r w:rsidR="00EF6032">
        <w:rPr>
          <w:szCs w:val="19"/>
          <w:shd w:val="clear" w:color="auto" w:fill="FFFFFF"/>
          <w:lang w:val="en-GB"/>
        </w:rPr>
        <w:t>May</w:t>
      </w:r>
      <w:r w:rsidR="00EF6032" w:rsidRPr="00EF6032">
        <w:rPr>
          <w:szCs w:val="19"/>
          <w:shd w:val="clear" w:color="auto" w:fill="FFFFFF"/>
          <w:lang w:val="en-GB"/>
        </w:rPr>
        <w:t xml:space="preserve"> 2020, was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(14,8 thousand), Wielkopolskie (8.4 thousand)</w:t>
      </w:r>
      <w:r w:rsidR="00CB6084" w:rsidRPr="004829B9">
        <w:rPr>
          <w:szCs w:val="19"/>
          <w:shd w:val="clear" w:color="auto" w:fill="FFFFFF"/>
          <w:lang w:val="en-GB"/>
        </w:rPr>
        <w:t xml:space="preserve"> </w:t>
      </w:r>
      <w:r w:rsidR="00E97E48">
        <w:rPr>
          <w:szCs w:val="19"/>
          <w:shd w:val="clear" w:color="auto" w:fill="FFFFFF"/>
          <w:lang w:val="en-GB"/>
        </w:rPr>
        <w:t xml:space="preserve">and Dolnośląskie (8.2 thousand). Regarding dwellings </w:t>
      </w:r>
      <w:r w:rsidR="00CB6084" w:rsidRPr="004829B9">
        <w:rPr>
          <w:szCs w:val="19"/>
          <w:shd w:val="clear" w:color="auto" w:fill="FFFFFF"/>
          <w:lang w:val="en-GB"/>
        </w:rPr>
        <w:t>for which permits have been granted or which have been registe</w:t>
      </w:r>
      <w:r w:rsidR="00E97E48">
        <w:rPr>
          <w:szCs w:val="19"/>
          <w:shd w:val="clear" w:color="auto" w:fill="FFFFFF"/>
          <w:lang w:val="en-GB"/>
        </w:rPr>
        <w:t xml:space="preserve">red with a construction project, the biggest amount was noted in Mazowieckie voivodship (15.9 thousand), Dolnośląskie and Wielkopolskie (both 10,1 thousand), whereas the biggest number of dwellings </w:t>
      </w:r>
      <w:r w:rsidR="00CB6084" w:rsidRPr="004829B9">
        <w:rPr>
          <w:szCs w:val="19"/>
          <w:shd w:val="clear" w:color="auto" w:fill="FFFFFF"/>
          <w:lang w:val="en-GB"/>
        </w:rPr>
        <w:t>in which construction has begun</w:t>
      </w:r>
      <w:r w:rsidR="002C1E44">
        <w:rPr>
          <w:szCs w:val="19"/>
          <w:shd w:val="clear" w:color="auto" w:fill="FFFFFF"/>
          <w:lang w:val="en-GB"/>
        </w:rPr>
        <w:t xml:space="preserve"> </w:t>
      </w:r>
      <w:r w:rsidR="00E97E48">
        <w:rPr>
          <w:szCs w:val="19"/>
          <w:shd w:val="clear" w:color="auto" w:fill="FFFFFF"/>
          <w:lang w:val="en-GB"/>
        </w:rPr>
        <w:t xml:space="preserve">was recorded in Mazowieckie </w:t>
      </w:r>
      <w:r w:rsidR="00257306">
        <w:rPr>
          <w:szCs w:val="19"/>
          <w:shd w:val="clear" w:color="auto" w:fill="FFFFFF"/>
          <w:lang w:val="en-GB"/>
        </w:rPr>
        <w:t xml:space="preserve">voivodship </w:t>
      </w:r>
      <w:r w:rsidR="006D5A05" w:rsidRPr="004829B9">
        <w:rPr>
          <w:szCs w:val="19"/>
          <w:shd w:val="clear" w:color="auto" w:fill="FFFFFF"/>
          <w:lang w:val="en-GB"/>
        </w:rPr>
        <w:t>(</w:t>
      </w:r>
      <w:r w:rsidR="00E97E48">
        <w:rPr>
          <w:szCs w:val="19"/>
          <w:shd w:val="clear" w:color="auto" w:fill="FFFFFF"/>
          <w:lang w:val="en-GB"/>
        </w:rPr>
        <w:t>15.3</w:t>
      </w:r>
      <w:r w:rsidR="002C1E44" w:rsidRPr="002C1E44">
        <w:rPr>
          <w:szCs w:val="19"/>
          <w:shd w:val="clear" w:color="auto" w:fill="FFFFFF"/>
          <w:lang w:val="en-GB"/>
        </w:rPr>
        <w:t xml:space="preserve"> thousand</w:t>
      </w:r>
      <w:r w:rsidR="00E873C8" w:rsidRPr="004829B9">
        <w:rPr>
          <w:szCs w:val="19"/>
          <w:shd w:val="clear" w:color="auto" w:fill="FFFFFF"/>
          <w:lang w:val="en-GB"/>
        </w:rPr>
        <w:t>)</w:t>
      </w:r>
      <w:r w:rsidR="00E97E48">
        <w:rPr>
          <w:szCs w:val="19"/>
          <w:shd w:val="clear" w:color="auto" w:fill="FFFFFF"/>
          <w:lang w:val="en-GB"/>
        </w:rPr>
        <w:t>,</w:t>
      </w:r>
      <w:r w:rsidR="000401D6" w:rsidRPr="004829B9">
        <w:rPr>
          <w:szCs w:val="19"/>
          <w:shd w:val="clear" w:color="auto" w:fill="FFFFFF"/>
          <w:lang w:val="en-GB"/>
        </w:rPr>
        <w:t xml:space="preserve"> </w:t>
      </w:r>
      <w:r w:rsidR="00244842" w:rsidRPr="004829B9">
        <w:rPr>
          <w:szCs w:val="19"/>
          <w:shd w:val="clear" w:color="auto" w:fill="FFFFFF"/>
          <w:lang w:val="en-GB"/>
        </w:rPr>
        <w:t>Wielkopolskie (</w:t>
      </w:r>
      <w:r w:rsidR="00E97E48">
        <w:rPr>
          <w:szCs w:val="19"/>
          <w:shd w:val="clear" w:color="auto" w:fill="FFFFFF"/>
          <w:lang w:val="en-GB"/>
        </w:rPr>
        <w:t>8.7</w:t>
      </w:r>
      <w:r w:rsidR="00273A1F">
        <w:rPr>
          <w:szCs w:val="19"/>
          <w:shd w:val="clear" w:color="auto" w:fill="FFFFFF"/>
          <w:lang w:val="en-GB"/>
        </w:rPr>
        <w:t> </w:t>
      </w:r>
      <w:r w:rsidR="00681EA6"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="000401D6" w:rsidRPr="004829B9">
        <w:rPr>
          <w:szCs w:val="19"/>
          <w:shd w:val="clear" w:color="auto" w:fill="FFFFFF"/>
          <w:lang w:val="en-GB"/>
        </w:rPr>
        <w:t>)</w:t>
      </w:r>
      <w:r w:rsidR="00E97E48">
        <w:rPr>
          <w:szCs w:val="19"/>
          <w:shd w:val="clear" w:color="auto" w:fill="FFFFFF"/>
          <w:lang w:val="en-GB"/>
        </w:rPr>
        <w:t xml:space="preserve"> and Pomorskie (7.0 thousand).</w:t>
      </w:r>
    </w:p>
    <w:p w14:paraId="20372666" w14:textId="1678E0B4" w:rsidR="00C60835" w:rsidRPr="004829B9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F95941" w:rsidRPr="004829B9">
        <w:rPr>
          <w:color w:val="auto"/>
          <w:sz w:val="18"/>
          <w:szCs w:val="18"/>
          <w:lang w:val="en-GB"/>
        </w:rPr>
        <w:t>-</w:t>
      </w:r>
      <w:r w:rsidR="00E97E48">
        <w:rPr>
          <w:color w:val="auto"/>
          <w:sz w:val="18"/>
          <w:szCs w:val="18"/>
          <w:lang w:val="en-GB"/>
        </w:rPr>
        <w:t>May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0401D6" w:rsidRPr="004829B9">
        <w:rPr>
          <w:color w:val="auto"/>
          <w:sz w:val="18"/>
          <w:szCs w:val="18"/>
          <w:lang w:val="en-GB"/>
        </w:rPr>
        <w:t>2020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7EC8DDB5" w14:textId="36510899" w:rsidR="00010A4A" w:rsidRPr="004829B9" w:rsidRDefault="00257306" w:rsidP="00010A4A">
      <w:pPr>
        <w:rPr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80096" behindDoc="0" locked="0" layoutInCell="1" allowOverlap="1" wp14:anchorId="16B36958" wp14:editId="1BEBCD6E">
            <wp:simplePos x="0" y="0"/>
            <wp:positionH relativeFrom="column">
              <wp:posOffset>-190500</wp:posOffset>
            </wp:positionH>
            <wp:positionV relativeFrom="paragraph">
              <wp:posOffset>46355</wp:posOffset>
            </wp:positionV>
            <wp:extent cx="5122545" cy="3419475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14:paraId="7AEE73F8" w14:textId="1E26FD98" w:rsidR="004231A6" w:rsidRPr="004829B9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28E3DDD1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8C163FB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E2571D8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D8D474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FF3760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A030C0E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1F2737E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D456CA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B66589A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7061D12D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73A2A541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1AA9CD5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94F78B6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8D6B616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01426E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02585F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A91665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70F087F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6C5A628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26083F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@StatPoland</w:t>
            </w:r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@GlownyUrzadStatystyczny</w:t>
            </w:r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3A7E95" w:rsidRDefault="003A7E9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3A7E95" w:rsidRDefault="003A7E95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3A7E95" w:rsidRPr="004E377B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3A7E95" w:rsidRPr="008235EC" w:rsidRDefault="003A7E95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2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3A7E95" w:rsidRPr="005C7839" w:rsidRDefault="00C3105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3A7E95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3A7E9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3A7E95" w:rsidRPr="0026083F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3A7E95" w:rsidRPr="0026083F" w:rsidRDefault="00C3105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3A7E95" w:rsidRDefault="00C3105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3A7E95" w:rsidRDefault="003A7E95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77777777" w:rsidR="003A7E95" w:rsidRPr="008235EC" w:rsidRDefault="00C3105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77777777" w:rsidR="003A7E95" w:rsidRPr="00F11843" w:rsidRDefault="00C3105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8" w:history="1"/>
                          </w:p>
                          <w:p w14:paraId="35275A7D" w14:textId="77777777" w:rsidR="003A7E95" w:rsidRPr="00F11843" w:rsidRDefault="00C3105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3A7E95" w:rsidRDefault="003A7E95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3A7E95" w:rsidRPr="003B6350" w:rsidRDefault="003A7E9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FDAC" id="_x0000_s1033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oK4N6D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3A7E95" w:rsidRDefault="003A7E95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3A7E95" w:rsidRDefault="003A7E95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3A7E95" w:rsidRPr="004E377B" w:rsidRDefault="003A7E95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3A7E95" w:rsidRPr="008235EC" w:rsidRDefault="003A7E95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0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3A7E95" w:rsidRPr="005C7839" w:rsidRDefault="002E462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3A7E95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3A7E9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3A7E95" w:rsidRPr="0026083F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  <w:bookmarkStart w:id="1" w:name="_GoBack"/>
                      <w:bookmarkEnd w:id="1"/>
                    </w:p>
                    <w:p w14:paraId="6E678369" w14:textId="0F342923" w:rsidR="003A7E95" w:rsidRPr="0026083F" w:rsidRDefault="002E462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</w:t>
                        </w:r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t</w:t>
                        </w:r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ion</w:t>
                        </w:r>
                      </w:hyperlink>
                    </w:p>
                    <w:p w14:paraId="14295646" w14:textId="77777777" w:rsidR="003A7E95" w:rsidRDefault="002E462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3A7E95" w:rsidRDefault="003A7E95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77777777" w:rsidR="003A7E95" w:rsidRPr="008235EC" w:rsidRDefault="002E462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14:paraId="2F539928" w14:textId="77777777" w:rsidR="003A7E95" w:rsidRPr="00F11843" w:rsidRDefault="002E462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6" w:history="1"/>
                    </w:p>
                    <w:p w14:paraId="35275A7D" w14:textId="77777777" w:rsidR="003A7E95" w:rsidRPr="00F11843" w:rsidRDefault="002E462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14:paraId="41C747C6" w14:textId="77777777" w:rsidR="003A7E95" w:rsidRDefault="003A7E95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3A7E95" w:rsidRPr="003B6350" w:rsidRDefault="003A7E9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02595CBB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77777777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4F200" w14:textId="77777777" w:rsidR="00C31051" w:rsidRDefault="00C31051" w:rsidP="000662E2">
      <w:pPr>
        <w:spacing w:after="0" w:line="240" w:lineRule="auto"/>
      </w:pPr>
      <w:r>
        <w:separator/>
      </w:r>
    </w:p>
  </w:endnote>
  <w:endnote w:type="continuationSeparator" w:id="0">
    <w:p w14:paraId="4E373B38" w14:textId="77777777" w:rsidR="00C31051" w:rsidRDefault="00C3105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3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E4E8CE" w14:textId="77777777" w:rsidR="003A7E95" w:rsidRPr="007B4F73" w:rsidRDefault="003A7E95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3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3A7E95" w:rsidRPr="00CC1C7C" w:rsidRDefault="003A7E95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04F8D" w14:textId="77777777" w:rsidR="00C31051" w:rsidRDefault="00C31051" w:rsidP="000662E2">
      <w:pPr>
        <w:spacing w:after="0" w:line="240" w:lineRule="auto"/>
      </w:pPr>
      <w:r>
        <w:separator/>
      </w:r>
    </w:p>
  </w:footnote>
  <w:footnote w:type="continuationSeparator" w:id="0">
    <w:p w14:paraId="34CACAA8" w14:textId="77777777" w:rsidR="00C31051" w:rsidRDefault="00C31051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3A7E95" w:rsidRPr="008C48C6" w:rsidRDefault="003A7E95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3A7E95" w:rsidRDefault="003A7E9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3A7E95" w:rsidRDefault="003A7E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3A7E95" w:rsidRDefault="003A7E9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127CC52E" w:rsidR="003A7E95" w:rsidRPr="00C97596" w:rsidRDefault="00C625B8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23.06</w:t>
                          </w:r>
                          <w:r w:rsidR="003A7E95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127CC52E" w:rsidR="003A7E95" w:rsidRPr="00C97596" w:rsidRDefault="00C625B8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23.06</w:t>
                    </w:r>
                    <w:r w:rsidR="003A7E95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23" name="Obraz 23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3A7E95" w:rsidRPr="003C6C8D" w:rsidRDefault="003A7E9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3A7E95" w:rsidRPr="003C6C8D" w:rsidRDefault="003A7E9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3A7E95" w:rsidRPr="00C97596" w:rsidRDefault="003A7E9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3A7E95" w:rsidRPr="00C97596" w:rsidRDefault="003A7E9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3A7E95" w:rsidRDefault="003A7E95">
    <w:pPr>
      <w:pStyle w:val="Nagwek"/>
    </w:pPr>
  </w:p>
  <w:p w14:paraId="77A82982" w14:textId="77777777" w:rsidR="003A7E95" w:rsidRDefault="003A7E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709F"/>
    <w:rsid w:val="00007996"/>
    <w:rsid w:val="00007BF9"/>
    <w:rsid w:val="00010800"/>
    <w:rsid w:val="000108B8"/>
    <w:rsid w:val="00010A4A"/>
    <w:rsid w:val="000111EC"/>
    <w:rsid w:val="00011E33"/>
    <w:rsid w:val="00013599"/>
    <w:rsid w:val="000152F5"/>
    <w:rsid w:val="000169EB"/>
    <w:rsid w:val="00024626"/>
    <w:rsid w:val="00024871"/>
    <w:rsid w:val="000271FB"/>
    <w:rsid w:val="0003236F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E65E1"/>
    <w:rsid w:val="000F1626"/>
    <w:rsid w:val="000F435D"/>
    <w:rsid w:val="000F445C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75380"/>
    <w:rsid w:val="0017779B"/>
    <w:rsid w:val="00177DD6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0AD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F1170"/>
    <w:rsid w:val="001F31BD"/>
    <w:rsid w:val="001F3686"/>
    <w:rsid w:val="001F5873"/>
    <w:rsid w:val="001F649C"/>
    <w:rsid w:val="00202E71"/>
    <w:rsid w:val="00207BF8"/>
    <w:rsid w:val="00211FA7"/>
    <w:rsid w:val="002123EA"/>
    <w:rsid w:val="00212787"/>
    <w:rsid w:val="00216F21"/>
    <w:rsid w:val="00217D5E"/>
    <w:rsid w:val="00224A09"/>
    <w:rsid w:val="00224D54"/>
    <w:rsid w:val="00237220"/>
    <w:rsid w:val="00237A99"/>
    <w:rsid w:val="00244842"/>
    <w:rsid w:val="002452B8"/>
    <w:rsid w:val="00246441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606C"/>
    <w:rsid w:val="00276811"/>
    <w:rsid w:val="0028261A"/>
    <w:rsid w:val="00282699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6140"/>
    <w:rsid w:val="002E6985"/>
    <w:rsid w:val="002E71B6"/>
    <w:rsid w:val="002E7AB0"/>
    <w:rsid w:val="002F1F42"/>
    <w:rsid w:val="002F2E8D"/>
    <w:rsid w:val="002F77C8"/>
    <w:rsid w:val="0030115B"/>
    <w:rsid w:val="00304F22"/>
    <w:rsid w:val="00306C7C"/>
    <w:rsid w:val="00313E16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46B3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A7E95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4F95"/>
    <w:rsid w:val="003D5465"/>
    <w:rsid w:val="003D5F42"/>
    <w:rsid w:val="003D60A9"/>
    <w:rsid w:val="003D6FE0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12461"/>
    <w:rsid w:val="004130B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F0C3C"/>
    <w:rsid w:val="004F4FCA"/>
    <w:rsid w:val="004F63FC"/>
    <w:rsid w:val="004F6903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5C63"/>
    <w:rsid w:val="005762A7"/>
    <w:rsid w:val="00577BDE"/>
    <w:rsid w:val="0058073C"/>
    <w:rsid w:val="00582224"/>
    <w:rsid w:val="00582ED4"/>
    <w:rsid w:val="005916AB"/>
    <w:rsid w:val="005916D7"/>
    <w:rsid w:val="005A30AB"/>
    <w:rsid w:val="005A4C6A"/>
    <w:rsid w:val="005A698C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187C"/>
    <w:rsid w:val="00621F5F"/>
    <w:rsid w:val="006262B3"/>
    <w:rsid w:val="006263DA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A0E22"/>
    <w:rsid w:val="006A1938"/>
    <w:rsid w:val="006A37E8"/>
    <w:rsid w:val="006A46FA"/>
    <w:rsid w:val="006B0E9E"/>
    <w:rsid w:val="006B5AE4"/>
    <w:rsid w:val="006B6187"/>
    <w:rsid w:val="006B6263"/>
    <w:rsid w:val="006B6D5F"/>
    <w:rsid w:val="006C645A"/>
    <w:rsid w:val="006D4054"/>
    <w:rsid w:val="006D5A05"/>
    <w:rsid w:val="006D5ABB"/>
    <w:rsid w:val="006D7F1E"/>
    <w:rsid w:val="006E02EC"/>
    <w:rsid w:val="006E4D66"/>
    <w:rsid w:val="006E5888"/>
    <w:rsid w:val="006E5F08"/>
    <w:rsid w:val="006E6053"/>
    <w:rsid w:val="006E6C7B"/>
    <w:rsid w:val="006F3F3D"/>
    <w:rsid w:val="006F5EF5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924"/>
    <w:rsid w:val="00741554"/>
    <w:rsid w:val="007418AC"/>
    <w:rsid w:val="00746187"/>
    <w:rsid w:val="0075636C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1643"/>
    <w:rsid w:val="007E3314"/>
    <w:rsid w:val="007E4B03"/>
    <w:rsid w:val="007E58A2"/>
    <w:rsid w:val="007E7CE3"/>
    <w:rsid w:val="007F0C1A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46F6"/>
    <w:rsid w:val="00905A67"/>
    <w:rsid w:val="00906857"/>
    <w:rsid w:val="00907546"/>
    <w:rsid w:val="009127BA"/>
    <w:rsid w:val="0091499D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AC7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6361"/>
    <w:rsid w:val="009B7341"/>
    <w:rsid w:val="009B7D46"/>
    <w:rsid w:val="009C0CCF"/>
    <w:rsid w:val="009C1335"/>
    <w:rsid w:val="009C1AB2"/>
    <w:rsid w:val="009C7251"/>
    <w:rsid w:val="009D2F59"/>
    <w:rsid w:val="009E13F6"/>
    <w:rsid w:val="009E1F94"/>
    <w:rsid w:val="009E2E91"/>
    <w:rsid w:val="009E3371"/>
    <w:rsid w:val="009E6202"/>
    <w:rsid w:val="009F0127"/>
    <w:rsid w:val="009F16E7"/>
    <w:rsid w:val="009F1C77"/>
    <w:rsid w:val="009F1CDB"/>
    <w:rsid w:val="009F200F"/>
    <w:rsid w:val="009F686F"/>
    <w:rsid w:val="00A00C56"/>
    <w:rsid w:val="00A01686"/>
    <w:rsid w:val="00A02ED8"/>
    <w:rsid w:val="00A05A3A"/>
    <w:rsid w:val="00A05EE7"/>
    <w:rsid w:val="00A11B23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21F6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A05AC"/>
    <w:rsid w:val="00AA087A"/>
    <w:rsid w:val="00AA22EE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36BF"/>
    <w:rsid w:val="00B0456F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601E"/>
    <w:rsid w:val="00B465A7"/>
    <w:rsid w:val="00B519FF"/>
    <w:rsid w:val="00B53935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6621"/>
    <w:rsid w:val="00B77EC9"/>
    <w:rsid w:val="00B82E2D"/>
    <w:rsid w:val="00B847C4"/>
    <w:rsid w:val="00B84896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C4AAD"/>
    <w:rsid w:val="00BC514E"/>
    <w:rsid w:val="00BC70F1"/>
    <w:rsid w:val="00BD1D77"/>
    <w:rsid w:val="00BD2577"/>
    <w:rsid w:val="00BD4E33"/>
    <w:rsid w:val="00BD5740"/>
    <w:rsid w:val="00BD5F7F"/>
    <w:rsid w:val="00BD601A"/>
    <w:rsid w:val="00BD6924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5C8B"/>
    <w:rsid w:val="00C16ABB"/>
    <w:rsid w:val="00C175B6"/>
    <w:rsid w:val="00C202E0"/>
    <w:rsid w:val="00C20CA7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7820"/>
    <w:rsid w:val="00C47CE4"/>
    <w:rsid w:val="00C52C74"/>
    <w:rsid w:val="00C5434F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8094E"/>
    <w:rsid w:val="00C82362"/>
    <w:rsid w:val="00C84740"/>
    <w:rsid w:val="00C84D08"/>
    <w:rsid w:val="00C91687"/>
    <w:rsid w:val="00C924A8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E124B"/>
    <w:rsid w:val="00CE66F6"/>
    <w:rsid w:val="00CF0172"/>
    <w:rsid w:val="00CF140B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D1D64"/>
    <w:rsid w:val="00DD20E2"/>
    <w:rsid w:val="00DD21A2"/>
    <w:rsid w:val="00DE4176"/>
    <w:rsid w:val="00DE6865"/>
    <w:rsid w:val="00DE7D23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3337"/>
    <w:rsid w:val="00E245E1"/>
    <w:rsid w:val="00E24F07"/>
    <w:rsid w:val="00E24FC4"/>
    <w:rsid w:val="00E259EA"/>
    <w:rsid w:val="00E27154"/>
    <w:rsid w:val="00E31232"/>
    <w:rsid w:val="00E32061"/>
    <w:rsid w:val="00E322C8"/>
    <w:rsid w:val="00E34610"/>
    <w:rsid w:val="00E3705B"/>
    <w:rsid w:val="00E42FF9"/>
    <w:rsid w:val="00E43169"/>
    <w:rsid w:val="00E457ED"/>
    <w:rsid w:val="00E4714C"/>
    <w:rsid w:val="00E51AEB"/>
    <w:rsid w:val="00E522A7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73C8"/>
    <w:rsid w:val="00E87A8F"/>
    <w:rsid w:val="00E90AC0"/>
    <w:rsid w:val="00E928D6"/>
    <w:rsid w:val="00E94640"/>
    <w:rsid w:val="00E97E48"/>
    <w:rsid w:val="00EA20F6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C8F"/>
    <w:rsid w:val="00F300D6"/>
    <w:rsid w:val="00F32749"/>
    <w:rsid w:val="00F342E0"/>
    <w:rsid w:val="00F35AD5"/>
    <w:rsid w:val="00F37172"/>
    <w:rsid w:val="00F37480"/>
    <w:rsid w:val="00F374DC"/>
    <w:rsid w:val="00F43757"/>
    <w:rsid w:val="00F4477E"/>
    <w:rsid w:val="00F46B76"/>
    <w:rsid w:val="00F52D79"/>
    <w:rsid w:val="00F54505"/>
    <w:rsid w:val="00F55F41"/>
    <w:rsid w:val="00F56F73"/>
    <w:rsid w:val="00F57745"/>
    <w:rsid w:val="00F6158E"/>
    <w:rsid w:val="00F64AC1"/>
    <w:rsid w:val="00F67D8F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5941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D0C2F"/>
    <w:rsid w:val="00FD1099"/>
    <w:rsid w:val="00FD5EA7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s/glossary/terms-used-in-official-statistics/3763,term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s/glossary/terms-used-in-official-statistics/3763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en/metainformations/glossary/terms-used-in-official-statistics/2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EN/Budownictwo_dashboards/Raporty_predefiniowane/RAP_DBD_BUD_7.aspx" TargetMode="External"/><Relationship Id="rId32" Type="http://schemas.openxmlformats.org/officeDocument/2006/relationships/hyperlink" Target="http://swaid.stat.gov.pl/EN/Budownictwo_dashboards/Raporty_predefiniowane/RAP_DBD_BUD_7.aspx" TargetMode="External"/><Relationship Id="rId37" Type="http://schemas.openxmlformats.org/officeDocument/2006/relationships/hyperlink" Target="http://stat.gov.pl/en/metainformations/glossary/terms-used-in-official-statistics/201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industry-construction-fixed-assets/construction/publikacja,1.html" TargetMode="External"/><Relationship Id="rId28" Type="http://schemas.openxmlformats.org/officeDocument/2006/relationships/hyperlink" Target="http://stat.gov.pl/en/metainformations/glossary/terms-used-in-official-statistics/945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other-studies/informations-on-socio-economic-situa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9.121072737194981E-2"/>
          <c:w val="0.8683723551868533"/>
          <c:h val="0.59555524991690445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Arkusz1!$B$2:$BB$3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Arkusz1!$B$4:$BB$4</c:f>
              <c:numCache>
                <c:formatCode>General</c:formatCode>
                <c:ptCount val="53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13722</c:v>
                </c:pt>
                <c:pt idx="52">
                  <c:v>16486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Arkusz1!$B$2:$BB$3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Arkusz1!$B$16:$BB$16</c:f>
              <c:numCache>
                <c:formatCode>General</c:formatCode>
                <c:ptCount val="53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>
                  <c:v>22122</c:v>
                </c:pt>
                <c:pt idx="51">
                  <c:v>16758</c:v>
                </c:pt>
                <c:pt idx="52">
                  <c:v>19338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Arkusz1!$B$2:$BB$3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Arkusz1!$B$10:$BB$10</c:f>
              <c:numCache>
                <c:formatCode>General</c:formatCode>
                <c:ptCount val="53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31595392"/>
        <c:axId val="-931587776"/>
      </c:lineChart>
      <c:catAx>
        <c:axId val="-93159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3158777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93158777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31595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0325230088597011"/>
          <c:w val="0.93624536241262901"/>
          <c:h val="0.196747699114029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1292</c:v>
                </c:pt>
                <c:pt idx="1">
                  <c:v>1439</c:v>
                </c:pt>
                <c:pt idx="2">
                  <c:v>2091</c:v>
                </c:pt>
                <c:pt idx="3">
                  <c:v>2870</c:v>
                </c:pt>
                <c:pt idx="4">
                  <c:v>2513</c:v>
                </c:pt>
                <c:pt idx="5">
                  <c:v>3587</c:v>
                </c:pt>
                <c:pt idx="6">
                  <c:v>4302</c:v>
                </c:pt>
                <c:pt idx="7">
                  <c:v>3324</c:v>
                </c:pt>
                <c:pt idx="8">
                  <c:v>4439</c:v>
                </c:pt>
                <c:pt idx="9">
                  <c:v>4479</c:v>
                </c:pt>
                <c:pt idx="10">
                  <c:v>5984</c:v>
                </c:pt>
                <c:pt idx="11">
                  <c:v>7031</c:v>
                </c:pt>
                <c:pt idx="12">
                  <c:v>6874</c:v>
                </c:pt>
                <c:pt idx="13">
                  <c:v>6998</c:v>
                </c:pt>
                <c:pt idx="14">
                  <c:v>8663</c:v>
                </c:pt>
                <c:pt idx="15">
                  <c:v>15316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1390</c:v>
                </c:pt>
                <c:pt idx="1">
                  <c:v>1747</c:v>
                </c:pt>
                <c:pt idx="2">
                  <c:v>2474</c:v>
                </c:pt>
                <c:pt idx="3">
                  <c:v>2719</c:v>
                </c:pt>
                <c:pt idx="4">
                  <c:v>2393</c:v>
                </c:pt>
                <c:pt idx="5">
                  <c:v>3542</c:v>
                </c:pt>
                <c:pt idx="6">
                  <c:v>4880</c:v>
                </c:pt>
                <c:pt idx="7">
                  <c:v>4654</c:v>
                </c:pt>
                <c:pt idx="8">
                  <c:v>5820</c:v>
                </c:pt>
                <c:pt idx="9">
                  <c:v>5664</c:v>
                </c:pt>
                <c:pt idx="10">
                  <c:v>7778</c:v>
                </c:pt>
                <c:pt idx="11">
                  <c:v>8665</c:v>
                </c:pt>
                <c:pt idx="12">
                  <c:v>7679</c:v>
                </c:pt>
                <c:pt idx="13">
                  <c:v>10126</c:v>
                </c:pt>
                <c:pt idx="14">
                  <c:v>10122</c:v>
                </c:pt>
                <c:pt idx="15">
                  <c:v>15855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922</c:v>
                </c:pt>
                <c:pt idx="1">
                  <c:v>1399</c:v>
                </c:pt>
                <c:pt idx="2">
                  <c:v>1986</c:v>
                </c:pt>
                <c:pt idx="3">
                  <c:v>2098</c:v>
                </c:pt>
                <c:pt idx="4">
                  <c:v>2616</c:v>
                </c:pt>
                <c:pt idx="5">
                  <c:v>2864</c:v>
                </c:pt>
                <c:pt idx="6">
                  <c:v>3061</c:v>
                </c:pt>
                <c:pt idx="7">
                  <c:v>3605</c:v>
                </c:pt>
                <c:pt idx="8">
                  <c:v>3713</c:v>
                </c:pt>
                <c:pt idx="9">
                  <c:v>4428</c:v>
                </c:pt>
                <c:pt idx="10">
                  <c:v>6829</c:v>
                </c:pt>
                <c:pt idx="11">
                  <c:v>6905</c:v>
                </c:pt>
                <c:pt idx="12">
                  <c:v>7945</c:v>
                </c:pt>
                <c:pt idx="13">
                  <c:v>8232</c:v>
                </c:pt>
                <c:pt idx="14">
                  <c:v>8433</c:v>
                </c:pt>
                <c:pt idx="15">
                  <c:v>14796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931585600"/>
        <c:axId val="-931585056"/>
      </c:barChart>
      <c:catAx>
        <c:axId val="-931585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31585056"/>
        <c:crosses val="autoZero"/>
        <c:auto val="1"/>
        <c:lblAlgn val="ctr"/>
        <c:lblOffset val="100"/>
        <c:noMultiLvlLbl val="0"/>
      </c:catAx>
      <c:valAx>
        <c:axId val="-931585056"/>
        <c:scaling>
          <c:orientation val="minMax"/>
          <c:max val="16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931585600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2908426501935895"/>
          <c:w val="0.83688211129506873"/>
          <c:h val="0.13559258131407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779777F6-6624-4CDF-9517-47893070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 2020</vt:lpstr>
    </vt:vector>
  </TitlesOfParts>
  <Company>Statistics Poland</Company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 2020</dc:title>
  <dc:subject>Residential construction in January 2020</dc:subject>
  <cp:keywords>dwellings completed; dwellings under construction; dwellings started; building permit; useful floor area</cp:keywords>
  <cp:lastPrinted>2020-06-19T07:15:00Z</cp:lastPrinted>
  <dcterms:created xsi:type="dcterms:W3CDTF">2020-06-19T07:15:00Z</dcterms:created>
  <dcterms:modified xsi:type="dcterms:W3CDTF">2020-06-19T07:15:00Z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