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1B4E3203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2E1E0B">
        <w:rPr>
          <w:szCs w:val="32"/>
          <w:lang w:val="en-GB"/>
        </w:rPr>
        <w:t>I-IV</w:t>
      </w:r>
      <w:r w:rsidR="001F1170" w:rsidRPr="004829B9">
        <w:rPr>
          <w:szCs w:val="32"/>
          <w:lang w:val="en-GB"/>
        </w:rPr>
        <w:t xml:space="preserve"> </w:t>
      </w:r>
      <w:r w:rsidR="008B2394" w:rsidRPr="004829B9">
        <w:rPr>
          <w:szCs w:val="32"/>
          <w:shd w:val="clear" w:color="auto" w:fill="FFFFFF"/>
          <w:lang w:val="en-GB"/>
        </w:rPr>
        <w:t>2020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3A7E95" w:rsidRPr="004466B1" w:rsidRDefault="003A7E95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3A7E95" w:rsidRPr="004466B1" w:rsidRDefault="003A7E95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1E6FDB50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3A7E95" w:rsidRPr="00612A93" w:rsidRDefault="003A7E9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3A7E95" w:rsidRPr="00F64AC1" w:rsidRDefault="003A7E9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3A7E95" w:rsidRPr="00612A93" w:rsidRDefault="003A7E9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3A7E95" w:rsidRPr="00F64AC1" w:rsidRDefault="003A7E9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09F107E3" w:rsidR="003A7E95" w:rsidRPr="002C751B" w:rsidRDefault="002E1E0B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FFB387E" wp14:editId="03B2EF0D">
                                  <wp:extent cx="335280" cy="335280"/>
                                  <wp:effectExtent l="0" t="0" r="7620" b="7620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97,2</w:t>
                            </w:r>
                          </w:p>
                          <w:p w14:paraId="4A535B62" w14:textId="2AEDB9F7" w:rsidR="003A7E95" w:rsidRPr="002C751B" w:rsidRDefault="003A7E95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 w:rsidR="002E1E0B"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D5740"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  <w:r w:rsidR="00E063B9">
                              <w:rPr>
                                <w:lang w:val="en-US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CAA2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09F107E3" w:rsidR="003A7E95" w:rsidRPr="002C751B" w:rsidRDefault="002E1E0B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FFB387E" wp14:editId="03B2EF0D">
                            <wp:extent cx="335280" cy="335280"/>
                            <wp:effectExtent l="0" t="0" r="7620" b="7620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97,2</w:t>
                      </w:r>
                    </w:p>
                    <w:p w14:paraId="4A535B62" w14:textId="2AEDB9F7" w:rsidR="003A7E95" w:rsidRPr="002C751B" w:rsidRDefault="003A7E95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 w:rsidR="002E1E0B"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 w:rsidR="00BD5740"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  <w:r w:rsidR="00E063B9">
                        <w:rPr>
                          <w:lang w:val="en-US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2B6593" w:rsidRPr="004829B9">
        <w:rPr>
          <w:lang w:val="en-GB"/>
        </w:rPr>
        <w:t xml:space="preserve">the first </w:t>
      </w:r>
      <w:r w:rsidR="002E1E0B">
        <w:rPr>
          <w:lang w:val="en-GB"/>
        </w:rPr>
        <w:t>four</w:t>
      </w:r>
      <w:r w:rsidR="002B6593" w:rsidRPr="004829B9">
        <w:rPr>
          <w:lang w:val="en-GB"/>
        </w:rPr>
        <w:t xml:space="preserve"> month</w:t>
      </w:r>
      <w:r w:rsidR="00954AC7" w:rsidRPr="004829B9">
        <w:rPr>
          <w:lang w:val="en-GB"/>
        </w:rPr>
        <w:t>s</w:t>
      </w:r>
      <w:r w:rsidR="002B6593" w:rsidRPr="004829B9">
        <w:rPr>
          <w:lang w:val="en-GB"/>
        </w:rPr>
        <w:t xml:space="preserve"> of</w:t>
      </w:r>
      <w:r w:rsidR="008B2394" w:rsidRPr="004829B9">
        <w:rPr>
          <w:lang w:val="en-GB"/>
        </w:rPr>
        <w:t xml:space="preserve"> 2020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2E1E0B">
        <w:rPr>
          <w:lang w:val="en-GB"/>
        </w:rPr>
        <w:t>less</w:t>
      </w:r>
      <w:r w:rsidR="00AD1492" w:rsidRPr="004829B9">
        <w:rPr>
          <w:lang w:val="en-GB"/>
        </w:rPr>
        <w:t xml:space="preserve"> dwellings completed than the year before. </w:t>
      </w:r>
      <w:r w:rsidR="00095A18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for which permits have been granted or which have been registered with a construction project </w:t>
      </w:r>
      <w:r w:rsidR="002E1E0B">
        <w:rPr>
          <w:lang w:val="en-GB"/>
        </w:rPr>
        <w:t xml:space="preserve">and </w:t>
      </w:r>
      <w:r w:rsidR="003C0487" w:rsidRPr="004829B9">
        <w:rPr>
          <w:lang w:val="en-GB"/>
        </w:rPr>
        <w:t xml:space="preserve">the number of dwellings </w:t>
      </w:r>
      <w:r w:rsidR="00EF3597" w:rsidRPr="004829B9">
        <w:rPr>
          <w:lang w:val="en-GB"/>
        </w:rPr>
        <w:t xml:space="preserve"> i</w:t>
      </w:r>
      <w:r w:rsidR="002E1E0B">
        <w:rPr>
          <w:lang w:val="en-GB"/>
        </w:rPr>
        <w:t>n which construction has begun also decreased.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77777777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77777777" w:rsidR="00C733A3" w:rsidRPr="004829B9" w:rsidRDefault="00B407E7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0C27F2EF">
                <wp:simplePos x="0" y="0"/>
                <wp:positionH relativeFrom="page">
                  <wp:posOffset>5689600</wp:posOffset>
                </wp:positionH>
                <wp:positionV relativeFrom="paragraph">
                  <wp:posOffset>105410</wp:posOffset>
                </wp:positionV>
                <wp:extent cx="1809115" cy="990600"/>
                <wp:effectExtent l="0" t="0" r="0" b="0"/>
                <wp:wrapTight wrapText="bothSides">
                  <wp:wrapPolygon edited="0">
                    <wp:start x="682" y="0"/>
                    <wp:lineTo x="682" y="21185"/>
                    <wp:lineTo x="20698" y="21185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6328401B" w:rsidR="003A7E95" w:rsidRPr="00AD1492" w:rsidRDefault="009B6361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63.9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% of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total number of dwellings, i.e.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by </w:t>
                            </w:r>
                            <w:r>
                              <w:rPr>
                                <w:lang w:val="en-US"/>
                              </w:rPr>
                              <w:t>1.6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 percentage points more than in </w:t>
                            </w:r>
                            <w:r w:rsidR="00954AC7">
                              <w:rPr>
                                <w:lang w:val="en-US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448pt;margin-top:8.3pt;width:142.4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" filled="f" stroked="f">
                <v:textbox>
                  <w:txbxContent>
                    <w:p w14:paraId="55217834" w14:textId="6328401B" w:rsidR="003A7E95" w:rsidRPr="00AD1492" w:rsidRDefault="009B6361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63.9</w:t>
                      </w:r>
                      <w:r w:rsidR="003A7E95">
                        <w:rPr>
                          <w:lang w:val="en-US"/>
                        </w:rPr>
                        <w:t xml:space="preserve">% of </w:t>
                      </w:r>
                      <w:r w:rsidR="000348CC">
                        <w:rPr>
                          <w:lang w:val="en-US"/>
                        </w:rPr>
                        <w:t xml:space="preserve">the </w:t>
                      </w:r>
                      <w:r w:rsidR="003A7E95">
                        <w:rPr>
                          <w:lang w:val="en-US"/>
                        </w:rPr>
                        <w:t xml:space="preserve">total number of dwellings, i.e. </w:t>
                      </w:r>
                      <w:r w:rsidR="000348CC">
                        <w:rPr>
                          <w:lang w:val="en-US"/>
                        </w:rPr>
                        <w:t xml:space="preserve">by </w:t>
                      </w:r>
                      <w:r>
                        <w:rPr>
                          <w:lang w:val="en-US"/>
                        </w:rPr>
                        <w:t>1.6</w:t>
                      </w:r>
                      <w:r w:rsidR="003A7E95">
                        <w:rPr>
                          <w:lang w:val="en-US"/>
                        </w:rPr>
                        <w:t xml:space="preserve"> percentage points more than in </w:t>
                      </w:r>
                      <w:r w:rsidR="00954AC7">
                        <w:rPr>
                          <w:lang w:val="en-US"/>
                        </w:rPr>
                        <w:t>the previous year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7234F68C" w:rsidR="0042048D" w:rsidRPr="004829B9" w:rsidRDefault="0071658F" w:rsidP="00896EB9">
      <w:pPr>
        <w:rPr>
          <w:spacing w:val="-4"/>
          <w:shd w:val="clear" w:color="auto" w:fill="FFFFFF"/>
          <w:lang w:val="en-GB"/>
        </w:rPr>
      </w:pPr>
      <w:r w:rsidRPr="004829B9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9BEDD2C" wp14:editId="4A379895">
                <wp:simplePos x="0" y="0"/>
                <wp:positionH relativeFrom="page">
                  <wp:posOffset>5759753</wp:posOffset>
                </wp:positionH>
                <wp:positionV relativeFrom="paragraph">
                  <wp:posOffset>1181624</wp:posOffset>
                </wp:positionV>
                <wp:extent cx="1749425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B7E5D" w14:textId="7A931BD9" w:rsidR="003A7E95" w:rsidRPr="00AE3772" w:rsidRDefault="000348CC" w:rsidP="001C5029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The a</w:t>
                            </w:r>
                            <w:r w:rsidR="003A7E95"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verage useful floor </w:t>
                            </w:r>
                            <w:r w:rsidR="003A7E95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 w:rsidR="003A7E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 dwelling </w:t>
                            </w:r>
                            <w:r w:rsidR="009B636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completed in the period I-IV 2020 was 89.9</w:t>
                            </w:r>
                            <w:r w:rsidR="003A7E95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</w:t>
                            </w:r>
                            <w:r w:rsidR="002C751B" w:rsidRPr="002C75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GB" w:eastAsia="pl-P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EDD2C" id="_x0000_s1030" type="#_x0000_t202" style="position:absolute;margin-left:453.5pt;margin-top:93.05pt;width:137.75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" filled="f" stroked="f">
                <v:textbox>
                  <w:txbxContent>
                    <w:p w14:paraId="1A1B7E5D" w14:textId="7A931BD9" w:rsidR="003A7E95" w:rsidRPr="00AE3772" w:rsidRDefault="000348CC" w:rsidP="001C5029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The a</w:t>
                      </w:r>
                      <w:r w:rsidR="003A7E95"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verage useful floor </w:t>
                      </w:r>
                      <w:r w:rsidR="003A7E95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 w:rsidR="003A7E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 dwelling </w:t>
                      </w:r>
                      <w:r w:rsidR="009B636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completed in the period I-IV 2020 was 89.9</w:t>
                      </w:r>
                      <w:r w:rsidR="003A7E95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m</w:t>
                      </w:r>
                      <w:r w:rsidR="002C751B" w:rsidRPr="002C75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val="en-GB" w:eastAsia="pl-PL"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2E1E0B">
        <w:rPr>
          <w:spacing w:val="-4"/>
          <w:shd w:val="clear" w:color="auto" w:fill="FFFFFF"/>
          <w:lang w:val="en-GB"/>
        </w:rPr>
        <w:t>63.2</w:t>
      </w:r>
      <w:r w:rsidR="00EA20F6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>mpleted in</w:t>
      </w:r>
      <w:r w:rsidR="00F54505" w:rsidRPr="004829B9">
        <w:rPr>
          <w:spacing w:val="-4"/>
          <w:shd w:val="clear" w:color="auto" w:fill="FFFFFF"/>
          <w:lang w:val="en-GB"/>
        </w:rPr>
        <w:t xml:space="preserve"> </w:t>
      </w:r>
      <w:r w:rsidR="002B6593" w:rsidRPr="004829B9">
        <w:rPr>
          <w:spacing w:val="-4"/>
          <w:shd w:val="clear" w:color="auto" w:fill="FFFFFF"/>
          <w:lang w:val="en-GB"/>
        </w:rPr>
        <w:t xml:space="preserve">the period of </w:t>
      </w:r>
      <w:r w:rsidR="00F54505" w:rsidRPr="004829B9">
        <w:rPr>
          <w:spacing w:val="-4"/>
          <w:shd w:val="clear" w:color="auto" w:fill="FFFFFF"/>
          <w:lang w:val="en-GB"/>
        </w:rPr>
        <w:t>January</w:t>
      </w:r>
      <w:r w:rsidR="002E1E0B">
        <w:rPr>
          <w:spacing w:val="-4"/>
          <w:shd w:val="clear" w:color="auto" w:fill="FFFFFF"/>
          <w:lang w:val="en-GB"/>
        </w:rPr>
        <w:t>-April</w:t>
      </w:r>
      <w:r w:rsidR="008B2394" w:rsidRPr="004829B9">
        <w:rPr>
          <w:spacing w:val="-4"/>
          <w:shd w:val="clear" w:color="auto" w:fill="FFFFFF"/>
          <w:lang w:val="en-GB"/>
        </w:rPr>
        <w:t xml:space="preserve"> 2020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2E1E0B">
        <w:rPr>
          <w:spacing w:val="-4"/>
          <w:shd w:val="clear" w:color="auto" w:fill="FFFFFF"/>
          <w:lang w:val="en-GB"/>
        </w:rPr>
        <w:t>2.8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2E1E0B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than a year ago.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2E1E0B">
        <w:rPr>
          <w:spacing w:val="-4"/>
          <w:shd w:val="clear" w:color="auto" w:fill="FFFFFF"/>
          <w:lang w:val="en-GB"/>
        </w:rPr>
        <w:t>40</w:t>
      </w:r>
      <w:r w:rsidR="00EA20F6" w:rsidRPr="004829B9">
        <w:rPr>
          <w:spacing w:val="-4"/>
          <w:shd w:val="clear" w:color="auto" w:fill="FFFFFF"/>
          <w:lang w:val="en-GB"/>
        </w:rPr>
        <w:t xml:space="preserve">.4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E1E0B">
        <w:rPr>
          <w:spacing w:val="-4"/>
          <w:shd w:val="clear" w:color="auto" w:fill="FFFFFF"/>
          <w:lang w:val="en-GB"/>
        </w:rPr>
        <w:t>(0.3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2E1E0B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58073C" w:rsidRPr="004829B9">
        <w:rPr>
          <w:spacing w:val="-4"/>
          <w:shd w:val="clear" w:color="auto" w:fill="FFFFFF"/>
          <w:lang w:val="en-GB"/>
        </w:rPr>
        <w:t>period</w:t>
      </w:r>
      <w:r w:rsidR="008B2394" w:rsidRPr="004829B9">
        <w:rPr>
          <w:spacing w:val="-4"/>
          <w:shd w:val="clear" w:color="auto" w:fill="FFFFFF"/>
          <w:lang w:val="en-GB"/>
        </w:rPr>
        <w:t xml:space="preserve"> of 2019</w:t>
      </w:r>
      <w:r w:rsidR="00C733A3" w:rsidRPr="004829B9">
        <w:rPr>
          <w:spacing w:val="-4"/>
          <w:shd w:val="clear" w:color="auto" w:fill="FFFFFF"/>
          <w:lang w:val="en-GB"/>
        </w:rPr>
        <w:t xml:space="preserve">),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2E1E0B">
        <w:rPr>
          <w:spacing w:val="-4"/>
          <w:shd w:val="clear" w:color="auto" w:fill="FFFFFF"/>
          <w:lang w:val="en-GB"/>
        </w:rPr>
        <w:t>21.8</w:t>
      </w:r>
      <w:r w:rsidR="00B036BF" w:rsidRPr="004829B9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EA20F6" w:rsidRPr="004829B9">
        <w:rPr>
          <w:spacing w:val="-4"/>
          <w:shd w:val="clear" w:color="auto" w:fill="FFFFFF"/>
          <w:lang w:val="en-GB"/>
        </w:rPr>
        <w:t>5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2E1E0B">
        <w:rPr>
          <w:spacing w:val="-4"/>
          <w:shd w:val="clear" w:color="auto" w:fill="FFFFFF"/>
          <w:lang w:val="en-GB"/>
        </w:rPr>
        <w:t>2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2E1E0B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</w:t>
      </w:r>
      <w:r w:rsidR="00C94AC8" w:rsidRPr="004829B9">
        <w:rPr>
          <w:spacing w:val="-4"/>
          <w:shd w:val="clear" w:color="auto" w:fill="FFFFFF"/>
          <w:lang w:val="en-GB"/>
        </w:rPr>
        <w:t>2019</w:t>
      </w:r>
      <w:r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C94AC8" w:rsidRPr="004829B9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2E1E0B">
        <w:rPr>
          <w:spacing w:val="-4"/>
          <w:shd w:val="clear" w:color="auto" w:fill="FFFFFF"/>
          <w:lang w:val="en-GB"/>
        </w:rPr>
        <w:t>4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2E1E0B">
        <w:rPr>
          <w:spacing w:val="-4"/>
          <w:shd w:val="clear" w:color="auto" w:fill="FFFFFF"/>
          <w:lang w:val="en-GB"/>
        </w:rPr>
        <w:t xml:space="preserve"> (respectively 63.9% and 34.5</w:t>
      </w:r>
      <w:r w:rsidR="0058073C" w:rsidRPr="004829B9">
        <w:rPr>
          <w:spacing w:val="-4"/>
          <w:shd w:val="clear" w:color="auto" w:fill="FFFFFF"/>
          <w:lang w:val="en-GB"/>
        </w:rPr>
        <w:t>%)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EF3597" w:rsidRPr="004829B9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than a year ago were completed within </w:t>
      </w:r>
      <w:r w:rsidR="00C733A3" w:rsidRPr="004829B9">
        <w:rPr>
          <w:b/>
          <w:spacing w:val="-4"/>
          <w:shd w:val="clear" w:color="auto" w:fill="FFFFFF"/>
          <w:lang w:val="en-GB"/>
        </w:rPr>
        <w:t>cooperative</w:t>
      </w:r>
      <w:r w:rsidR="00C733A3" w:rsidRPr="004829B9">
        <w:rPr>
          <w:spacing w:val="-4"/>
          <w:shd w:val="clear" w:color="auto" w:fill="FFFFFF"/>
          <w:lang w:val="en-GB"/>
        </w:rPr>
        <w:t xml:space="preserve"> construction (</w:t>
      </w:r>
      <w:r w:rsidR="002E1E0B">
        <w:rPr>
          <w:spacing w:val="-4"/>
          <w:shd w:val="clear" w:color="auto" w:fill="FFFFFF"/>
          <w:lang w:val="en-GB"/>
        </w:rPr>
        <w:t>454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compared to </w:t>
      </w:r>
      <w:r w:rsidR="002E1E0B">
        <w:rPr>
          <w:spacing w:val="-4"/>
          <w:shd w:val="clear" w:color="auto" w:fill="FFFFFF"/>
          <w:lang w:val="en-GB"/>
        </w:rPr>
        <w:t>703</w:t>
      </w:r>
      <w:r w:rsidR="00BD7A45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dw</w:t>
      </w:r>
      <w:r w:rsidR="00FF795E" w:rsidRPr="004829B9">
        <w:rPr>
          <w:spacing w:val="-4"/>
          <w:shd w:val="clear" w:color="auto" w:fill="FFFFFF"/>
          <w:lang w:val="en-GB"/>
        </w:rPr>
        <w:t xml:space="preserve">ellings); </w:t>
      </w:r>
      <w:r w:rsidR="00FF795E" w:rsidRPr="004829B9">
        <w:rPr>
          <w:lang w:val="en-GB"/>
        </w:rPr>
        <w:t>i</w:t>
      </w:r>
      <w:r w:rsidR="003A358E" w:rsidRPr="004829B9">
        <w:rPr>
          <w:lang w:val="en-GB"/>
        </w:rPr>
        <w:t>n</w:t>
      </w:r>
      <w:r w:rsidR="00FF795E" w:rsidRPr="004829B9">
        <w:rPr>
          <w:lang w:val="en-GB"/>
        </w:rPr>
        <w:t> </w:t>
      </w:r>
      <w:r w:rsidR="003A358E" w:rsidRPr="004829B9">
        <w:rPr>
          <w:b/>
          <w:lang w:val="en-GB"/>
        </w:rPr>
        <w:t>other</w:t>
      </w:r>
      <w:r w:rsidR="003A358E" w:rsidRPr="004829B9">
        <w:rPr>
          <w:b/>
          <w:spacing w:val="-4"/>
          <w:shd w:val="clear" w:color="auto" w:fill="FFFFFF"/>
          <w:lang w:val="en-GB"/>
        </w:rPr>
        <w:t xml:space="preserve"> forms</w:t>
      </w:r>
      <w:r w:rsidR="003A358E" w:rsidRPr="004829B9">
        <w:rPr>
          <w:spacing w:val="-4"/>
          <w:shd w:val="clear" w:color="auto" w:fill="FFFFFF"/>
          <w:lang w:val="en-GB"/>
        </w:rPr>
        <w:t xml:space="preserve"> of </w:t>
      </w:r>
      <w:r w:rsidR="00C733A3" w:rsidRPr="004829B9">
        <w:rPr>
          <w:spacing w:val="-4"/>
          <w:shd w:val="clear" w:color="auto" w:fill="FFFFFF"/>
          <w:lang w:val="en-GB"/>
        </w:rPr>
        <w:t>construction (municipal</w:t>
      </w:r>
      <w:r w:rsidR="0042048D" w:rsidRPr="004829B9">
        <w:rPr>
          <w:spacing w:val="-4"/>
          <w:shd w:val="clear" w:color="auto" w:fill="FFFFFF"/>
          <w:lang w:val="en-GB"/>
        </w:rPr>
        <w:t xml:space="preserve">, public building society </w:t>
      </w:r>
      <w:r w:rsidR="002B1FCD" w:rsidRPr="004829B9">
        <w:rPr>
          <w:spacing w:val="-4"/>
          <w:shd w:val="clear" w:color="auto" w:fill="FFFFFF"/>
          <w:lang w:val="en-GB"/>
        </w:rPr>
        <w:t>and company construction)</w:t>
      </w:r>
      <w:r w:rsidR="004829B9">
        <w:rPr>
          <w:spacing w:val="-4"/>
          <w:shd w:val="clear" w:color="auto" w:fill="FFFFFF"/>
          <w:lang w:val="en-GB"/>
        </w:rPr>
        <w:t>,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2E1E0B">
        <w:rPr>
          <w:spacing w:val="-4"/>
          <w:shd w:val="clear" w:color="auto" w:fill="FFFFFF"/>
          <w:lang w:val="en-GB"/>
        </w:rPr>
        <w:t>563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dwellings were complete</w:t>
      </w:r>
      <w:r w:rsidR="0043577A" w:rsidRPr="004829B9">
        <w:rPr>
          <w:spacing w:val="-4"/>
          <w:shd w:val="clear" w:color="auto" w:fill="FFFFFF"/>
          <w:lang w:val="en-GB"/>
        </w:rPr>
        <w:t>d</w:t>
      </w:r>
      <w:r w:rsidR="00C733A3" w:rsidRPr="004829B9">
        <w:rPr>
          <w:spacing w:val="-4"/>
          <w:shd w:val="clear" w:color="auto" w:fill="FFFFFF"/>
          <w:lang w:val="en-GB"/>
        </w:rPr>
        <w:t xml:space="preserve"> in total</w:t>
      </w:r>
      <w:r w:rsidR="00C94AC8" w:rsidRPr="004829B9">
        <w:rPr>
          <w:spacing w:val="-4"/>
          <w:shd w:val="clear" w:color="auto" w:fill="FFFFFF"/>
          <w:lang w:val="en-GB"/>
        </w:rPr>
        <w:t xml:space="preserve"> (compared to </w:t>
      </w:r>
      <w:r w:rsidR="002E1E0B">
        <w:rPr>
          <w:spacing w:val="-4"/>
          <w:shd w:val="clear" w:color="auto" w:fill="FFFFFF"/>
          <w:lang w:val="en-GB"/>
        </w:rPr>
        <w:t>861</w:t>
      </w:r>
      <w:r w:rsidR="00C94AC8" w:rsidRPr="004829B9">
        <w:rPr>
          <w:spacing w:val="-4"/>
          <w:shd w:val="clear" w:color="auto" w:fill="FFFFFF"/>
          <w:lang w:val="en-GB"/>
        </w:rPr>
        <w:t xml:space="preserve"> in the previous year)</w:t>
      </w:r>
      <w:r w:rsidR="0042048D" w:rsidRPr="004829B9">
        <w:rPr>
          <w:spacing w:val="-4"/>
          <w:shd w:val="clear" w:color="auto" w:fill="FFFFFF"/>
          <w:lang w:val="en-GB"/>
        </w:rPr>
        <w:t>.</w:t>
      </w:r>
    </w:p>
    <w:p w14:paraId="6DA771CF" w14:textId="5F6FD789" w:rsidR="00054314" w:rsidRPr="004829B9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 xml:space="preserve">otal useful floor area of dwellings completed in </w:t>
      </w:r>
      <w:r w:rsidR="0058073C" w:rsidRPr="004829B9">
        <w:rPr>
          <w:shd w:val="clear" w:color="auto" w:fill="FFFFFF"/>
          <w:lang w:val="en-GB"/>
        </w:rPr>
        <w:t>the period of January-</w:t>
      </w:r>
      <w:r w:rsidR="002E1E0B">
        <w:rPr>
          <w:shd w:val="clear" w:color="auto" w:fill="FFFFFF"/>
          <w:lang w:val="en-GB"/>
        </w:rPr>
        <w:t>April</w:t>
      </w:r>
      <w:r w:rsidR="00C94AC8" w:rsidRPr="004829B9">
        <w:rPr>
          <w:shd w:val="clear" w:color="auto" w:fill="FFFFFF"/>
          <w:lang w:val="en-GB"/>
        </w:rPr>
        <w:t xml:space="preserve"> 2020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2E1E0B">
        <w:rPr>
          <w:shd w:val="clear" w:color="auto" w:fill="FFFFFF"/>
          <w:lang w:val="en-GB"/>
        </w:rPr>
        <w:t>5</w:t>
      </w:r>
      <w:r w:rsidR="00837231" w:rsidRPr="004829B9">
        <w:rPr>
          <w:shd w:val="clear" w:color="auto" w:fill="FFFFFF"/>
          <w:lang w:val="en-GB"/>
        </w:rPr>
        <w:t>.</w:t>
      </w:r>
      <w:r w:rsidR="002E1E0B">
        <w:rPr>
          <w:shd w:val="clear" w:color="auto" w:fill="FFFFFF"/>
          <w:lang w:val="en-GB"/>
        </w:rPr>
        <w:t>7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2C751B">
        <w:rPr>
          <w:shd w:val="clear" w:color="auto" w:fill="FFFFFF"/>
          <w:lang w:val="en-GB"/>
        </w:rPr>
        <w:t xml:space="preserve"> 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2E1E0B">
        <w:rPr>
          <w:shd w:val="clear" w:color="auto" w:fill="FFFFFF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>.</w:t>
      </w:r>
      <w:r w:rsidR="002E1E0B">
        <w:rPr>
          <w:shd w:val="clear" w:color="auto" w:fill="FFFFFF"/>
          <w:lang w:val="en-GB"/>
        </w:rPr>
        <w:t>7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2E1E0B">
        <w:rPr>
          <w:shd w:val="clear" w:color="auto" w:fill="FFFFFF"/>
          <w:lang w:val="en-GB"/>
        </w:rPr>
        <w:t>less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in the corresponding </w:t>
      </w:r>
      <w:r w:rsidR="0058073C" w:rsidRPr="004829B9">
        <w:rPr>
          <w:shd w:val="clear" w:color="auto" w:fill="FFFFFF"/>
          <w:lang w:val="en-GB"/>
        </w:rPr>
        <w:t>period</w:t>
      </w:r>
      <w:r w:rsidRPr="004829B9">
        <w:rPr>
          <w:shd w:val="clear" w:color="auto" w:fill="FFFFFF"/>
          <w:lang w:val="en-GB"/>
        </w:rPr>
        <w:t xml:space="preserve"> of </w:t>
      </w:r>
      <w:r w:rsidR="00CE0F21" w:rsidRPr="004829B9">
        <w:rPr>
          <w:shd w:val="clear" w:color="auto" w:fill="FFFFFF"/>
          <w:lang w:val="en-GB"/>
        </w:rPr>
        <w:t xml:space="preserve">the </w:t>
      </w:r>
      <w:r w:rsidRPr="004829B9">
        <w:rPr>
          <w:shd w:val="clear" w:color="auto" w:fill="FFFFFF"/>
          <w:lang w:val="en-GB"/>
        </w:rPr>
        <w:t>previous year.</w:t>
      </w:r>
      <w:r w:rsidR="00C94AC8" w:rsidRPr="004829B9">
        <w:rPr>
          <w:shd w:val="clear" w:color="auto" w:fill="FFFFFF"/>
          <w:lang w:val="en-GB"/>
        </w:rPr>
        <w:t xml:space="preserve"> Compared to the </w:t>
      </w:r>
      <w:r w:rsidR="0058073C" w:rsidRPr="004829B9">
        <w:rPr>
          <w:shd w:val="clear" w:color="auto" w:fill="FFFFFF"/>
          <w:lang w:val="en-GB"/>
        </w:rPr>
        <w:t>period</w:t>
      </w:r>
      <w:r w:rsidR="000348CC">
        <w:rPr>
          <w:shd w:val="clear" w:color="auto" w:fill="FFFFFF"/>
          <w:lang w:val="en-GB"/>
        </w:rPr>
        <w:t xml:space="preserve"> of</w:t>
      </w:r>
      <w:r w:rsidR="0058073C" w:rsidRPr="004829B9">
        <w:rPr>
          <w:shd w:val="clear" w:color="auto" w:fill="FFFFFF"/>
          <w:lang w:val="en-GB"/>
        </w:rPr>
        <w:t xml:space="preserve"> January-</w:t>
      </w:r>
      <w:r w:rsidR="009B6361">
        <w:rPr>
          <w:shd w:val="clear" w:color="auto" w:fill="FFFFFF"/>
          <w:lang w:val="en-GB"/>
        </w:rPr>
        <w:t>April</w:t>
      </w:r>
      <w:r w:rsidR="00C94AC8" w:rsidRPr="004829B9">
        <w:rPr>
          <w:shd w:val="clear" w:color="auto" w:fill="FFFFFF"/>
          <w:lang w:val="en-GB"/>
        </w:rPr>
        <w:t xml:space="preserve"> 2019</w:t>
      </w:r>
      <w:r w:rsidR="000348CC">
        <w:rPr>
          <w:shd w:val="clear" w:color="auto" w:fill="FFFFFF"/>
          <w:lang w:val="en-GB"/>
        </w:rPr>
        <w:t>,</w:t>
      </w:r>
      <w:r w:rsidRPr="004829B9">
        <w:rPr>
          <w:shd w:val="clear" w:color="auto" w:fill="FFFFFF"/>
          <w:lang w:val="en-GB"/>
        </w:rPr>
        <w:t xml:space="preserve"> 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94AC8" w:rsidRPr="004829B9">
        <w:rPr>
          <w:shd w:val="clear" w:color="auto" w:fill="FFFFFF"/>
          <w:lang w:val="en-GB"/>
        </w:rPr>
        <w:t>dwelling in</w:t>
      </w:r>
      <w:r w:rsidR="00837231" w:rsidRPr="004829B9">
        <w:rPr>
          <w:shd w:val="clear" w:color="auto" w:fill="FFFFFF"/>
          <w:lang w:val="en-GB"/>
        </w:rPr>
        <w:t xml:space="preserve">creased by </w:t>
      </w:r>
      <w:r w:rsidR="009B6361">
        <w:rPr>
          <w:shd w:val="clear" w:color="auto" w:fill="FFFFFF"/>
          <w:lang w:val="en-GB"/>
        </w:rPr>
        <w:t>0</w:t>
      </w:r>
      <w:r w:rsidR="00837231" w:rsidRPr="004829B9">
        <w:rPr>
          <w:shd w:val="clear" w:color="auto" w:fill="FFFFFF"/>
          <w:lang w:val="en-GB"/>
        </w:rPr>
        <w:t>.</w:t>
      </w:r>
      <w:r w:rsidR="009B6361">
        <w:rPr>
          <w:shd w:val="clear" w:color="auto" w:fill="FFFFFF"/>
          <w:lang w:val="en-GB"/>
        </w:rPr>
        <w:t>1</w:t>
      </w:r>
      <w:r w:rsidRPr="004829B9">
        <w:rPr>
          <w:shd w:val="clear" w:color="auto" w:fill="FFFFFF"/>
          <w:lang w:val="en-GB"/>
        </w:rPr>
        <w:t xml:space="preserve"> </w:t>
      </w:r>
      <w:r w:rsidR="003460DF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3460DF" w:rsidRPr="004829B9">
        <w:rPr>
          <w:shd w:val="clear" w:color="auto" w:fill="FFFFFF"/>
          <w:lang w:val="en-GB"/>
        </w:rPr>
        <w:t xml:space="preserve"> to the level of </w:t>
      </w:r>
      <w:r w:rsidR="009B6361">
        <w:rPr>
          <w:shd w:val="clear" w:color="auto" w:fill="FFFFFF"/>
          <w:lang w:val="en-GB"/>
        </w:rPr>
        <w:t>89</w:t>
      </w:r>
      <w:r w:rsidR="005D25AB" w:rsidRPr="004829B9">
        <w:rPr>
          <w:shd w:val="clear" w:color="auto" w:fill="FFFFFF"/>
          <w:lang w:val="en-GB"/>
        </w:rPr>
        <w:t>.</w:t>
      </w:r>
      <w:r w:rsidR="009B6361">
        <w:rPr>
          <w:shd w:val="clear" w:color="auto" w:fill="FFFFFF"/>
          <w:lang w:val="en-GB"/>
        </w:rPr>
        <w:t>9</w:t>
      </w:r>
      <w:r w:rsidRPr="004829B9">
        <w:rPr>
          <w:shd w:val="clear" w:color="auto" w:fill="FFFFFF"/>
          <w:lang w:val="en-GB"/>
        </w:rPr>
        <w:t xml:space="preserve"> 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8073C" w:rsidRPr="004829B9" w14:paraId="6FC114B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544933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2CFFA46" w14:textId="77777777" w:rsidR="0058073C" w:rsidRPr="004829B9" w:rsidRDefault="0058073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8073C" w:rsidRPr="004829B9" w14:paraId="3F9B3FE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D45712C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C138F02" w14:textId="537748CC" w:rsidR="0058073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25621A64" w14:textId="6AFA195F" w:rsidR="0058073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I-IV</w:t>
            </w:r>
          </w:p>
        </w:tc>
      </w:tr>
      <w:tr w:rsidR="0058073C" w:rsidRPr="004829B9" w14:paraId="22FC7A49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1F0398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7DB75AA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3DC622" w14:textId="6D9018DD" w:rsidR="0058073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IV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1E6FC37" w14:textId="4C16D12B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EF3597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566992E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C0F5353" w14:textId="5EC9FA8C" w:rsidR="0058073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I-IV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11391E" w:rsidRPr="004829B9" w14:paraId="233056DD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AEC01FC" w14:textId="77777777" w:rsidR="0011391E" w:rsidRPr="004829B9" w:rsidRDefault="0011391E" w:rsidP="0011391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B14F49D" w14:textId="1DBBACA7" w:rsidR="0011391E" w:rsidRPr="004829B9" w:rsidRDefault="0011391E" w:rsidP="0011391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13 722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DF92398" w14:textId="3A37FAB1" w:rsidR="0011391E" w:rsidRPr="004829B9" w:rsidRDefault="0011391E" w:rsidP="0011391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77.6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9D76205" w14:textId="3342C8E2" w:rsidR="0011391E" w:rsidRPr="004829B9" w:rsidRDefault="0011391E" w:rsidP="0011391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85.4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6D857ED" w14:textId="3B70D7B2" w:rsidR="0011391E" w:rsidRPr="004829B9" w:rsidRDefault="0011391E" w:rsidP="0011391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63 245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4B1C71C" w14:textId="55A8B5DA" w:rsidR="0011391E" w:rsidRPr="004829B9" w:rsidRDefault="0011391E" w:rsidP="0011391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97.2</w:t>
            </w:r>
          </w:p>
        </w:tc>
      </w:tr>
      <w:tr w:rsidR="0011391E" w:rsidRPr="004829B9" w14:paraId="0E21E3C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812006" w14:textId="77777777" w:rsidR="0011391E" w:rsidRPr="004829B9" w:rsidRDefault="0011391E" w:rsidP="0011391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4B64173" w14:textId="67F522F8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3 589</w:t>
            </w:r>
          </w:p>
        </w:tc>
        <w:tc>
          <w:tcPr>
            <w:tcW w:w="1206" w:type="dxa"/>
            <w:vAlign w:val="center"/>
          </w:tcPr>
          <w:p w14:paraId="1EF9A641" w14:textId="606A5DA5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62.6</w:t>
            </w:r>
          </w:p>
        </w:tc>
        <w:tc>
          <w:tcPr>
            <w:tcW w:w="1206" w:type="dxa"/>
            <w:vAlign w:val="center"/>
          </w:tcPr>
          <w:p w14:paraId="6A6BDE68" w14:textId="301CAA35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66.2</w:t>
            </w:r>
          </w:p>
        </w:tc>
        <w:tc>
          <w:tcPr>
            <w:tcW w:w="1206" w:type="dxa"/>
            <w:vAlign w:val="center"/>
          </w:tcPr>
          <w:p w14:paraId="474030F8" w14:textId="43BC286C" w:rsidR="0011391E" w:rsidRPr="004829B9" w:rsidRDefault="0011391E" w:rsidP="0011391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21 803</w:t>
            </w:r>
          </w:p>
        </w:tc>
        <w:tc>
          <w:tcPr>
            <w:tcW w:w="1207" w:type="dxa"/>
            <w:vAlign w:val="center"/>
          </w:tcPr>
          <w:p w14:paraId="04A3773C" w14:textId="190D3AAF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94.8</w:t>
            </w:r>
          </w:p>
        </w:tc>
      </w:tr>
      <w:tr w:rsidR="0011391E" w:rsidRPr="004829B9" w14:paraId="3503250B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52D39B7" w14:textId="77777777" w:rsidR="0011391E" w:rsidRPr="004829B9" w:rsidRDefault="0011391E" w:rsidP="0011391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730C0030" w14:textId="4F4F87B8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10 003</w:t>
            </w:r>
          </w:p>
        </w:tc>
        <w:tc>
          <w:tcPr>
            <w:tcW w:w="1206" w:type="dxa"/>
            <w:vAlign w:val="center"/>
          </w:tcPr>
          <w:p w14:paraId="2E70220E" w14:textId="2B2ADB2C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85.0</w:t>
            </w:r>
          </w:p>
        </w:tc>
        <w:tc>
          <w:tcPr>
            <w:tcW w:w="1206" w:type="dxa"/>
            <w:vAlign w:val="center"/>
          </w:tcPr>
          <w:p w14:paraId="1ED74D3A" w14:textId="49E6CFE1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96.0</w:t>
            </w:r>
          </w:p>
        </w:tc>
        <w:tc>
          <w:tcPr>
            <w:tcW w:w="1206" w:type="dxa"/>
            <w:vAlign w:val="center"/>
          </w:tcPr>
          <w:p w14:paraId="44BA7141" w14:textId="3F1574FC" w:rsidR="0011391E" w:rsidRPr="004829B9" w:rsidRDefault="0011391E" w:rsidP="0011391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40 425</w:t>
            </w:r>
          </w:p>
        </w:tc>
        <w:tc>
          <w:tcPr>
            <w:tcW w:w="1207" w:type="dxa"/>
            <w:vAlign w:val="center"/>
          </w:tcPr>
          <w:p w14:paraId="3F979385" w14:textId="73BAF138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99.7</w:t>
            </w:r>
          </w:p>
        </w:tc>
      </w:tr>
      <w:tr w:rsidR="0011391E" w:rsidRPr="004829B9" w14:paraId="157C331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4B0D4A9" w14:textId="77777777" w:rsidR="0011391E" w:rsidRPr="004829B9" w:rsidRDefault="0011391E" w:rsidP="0011391E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1EDB440B" w14:textId="5A8BE122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1206" w:type="dxa"/>
            <w:vAlign w:val="center"/>
          </w:tcPr>
          <w:p w14:paraId="5CCE1C02" w14:textId="3E101616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162.5</w:t>
            </w:r>
          </w:p>
        </w:tc>
        <w:tc>
          <w:tcPr>
            <w:tcW w:w="1206" w:type="dxa"/>
            <w:vAlign w:val="center"/>
          </w:tcPr>
          <w:p w14:paraId="6A15538A" w14:textId="4248F751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169.6</w:t>
            </w:r>
          </w:p>
        </w:tc>
        <w:tc>
          <w:tcPr>
            <w:tcW w:w="1206" w:type="dxa"/>
            <w:vAlign w:val="center"/>
          </w:tcPr>
          <w:p w14:paraId="4F32B4AA" w14:textId="10E80C80" w:rsidR="0011391E" w:rsidRPr="004829B9" w:rsidRDefault="0011391E" w:rsidP="0011391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478</w:t>
            </w:r>
          </w:p>
        </w:tc>
        <w:tc>
          <w:tcPr>
            <w:tcW w:w="1207" w:type="dxa"/>
            <w:vAlign w:val="center"/>
          </w:tcPr>
          <w:p w14:paraId="6749CE4C" w14:textId="50538F85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79.4</w:t>
            </w:r>
          </w:p>
        </w:tc>
      </w:tr>
      <w:tr w:rsidR="0011391E" w:rsidRPr="004829B9" w14:paraId="4775506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8BFFDDF" w14:textId="77777777" w:rsidR="0011391E" w:rsidRPr="004829B9" w:rsidRDefault="0011391E" w:rsidP="0011391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87B4707" w14:textId="46798668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06" w:type="dxa"/>
            <w:vAlign w:val="center"/>
          </w:tcPr>
          <w:p w14:paraId="0C60AA6B" w14:textId="5C729C83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138.9</w:t>
            </w:r>
          </w:p>
        </w:tc>
        <w:tc>
          <w:tcPr>
            <w:tcW w:w="1206" w:type="dxa"/>
            <w:vAlign w:val="center"/>
          </w:tcPr>
          <w:p w14:paraId="73767A4C" w14:textId="5C944C68" w:rsidR="0011391E" w:rsidRPr="004829B9" w:rsidRDefault="0011391E" w:rsidP="0011391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65.8</w:t>
            </w:r>
          </w:p>
        </w:tc>
        <w:tc>
          <w:tcPr>
            <w:tcW w:w="1206" w:type="dxa"/>
            <w:vAlign w:val="center"/>
          </w:tcPr>
          <w:p w14:paraId="233EB4FD" w14:textId="17C27FD5" w:rsidR="0011391E" w:rsidRPr="004829B9" w:rsidRDefault="0011391E" w:rsidP="0011391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454</w:t>
            </w:r>
          </w:p>
        </w:tc>
        <w:tc>
          <w:tcPr>
            <w:tcW w:w="1207" w:type="dxa"/>
            <w:vAlign w:val="center"/>
          </w:tcPr>
          <w:p w14:paraId="37B21FA8" w14:textId="45A62D0A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64.6</w:t>
            </w:r>
          </w:p>
        </w:tc>
      </w:tr>
      <w:tr w:rsidR="0011391E" w:rsidRPr="004829B9" w14:paraId="1480E1F5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A99D66E" w14:textId="77777777" w:rsidR="0011391E" w:rsidRPr="004829B9" w:rsidRDefault="0011391E" w:rsidP="0011391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7AC42C73" w14:textId="2503CFEC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06" w:type="dxa"/>
            <w:vAlign w:val="center"/>
          </w:tcPr>
          <w:p w14:paraId="52EA2698" w14:textId="61D85BA9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220.7</w:t>
            </w:r>
          </w:p>
        </w:tc>
        <w:tc>
          <w:tcPr>
            <w:tcW w:w="1206" w:type="dxa"/>
            <w:vAlign w:val="center"/>
          </w:tcPr>
          <w:p w14:paraId="7BD787EE" w14:textId="2312E41C" w:rsidR="0011391E" w:rsidRPr="004829B9" w:rsidRDefault="00A00C56" w:rsidP="0011391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almost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13-</w:t>
            </w:r>
            <w:r w:rsidR="0011391E">
              <w:rPr>
                <w:rFonts w:cs="Arial"/>
                <w:sz w:val="16"/>
                <w:szCs w:val="16"/>
              </w:rPr>
              <w:t xml:space="preserve">fold </w:t>
            </w:r>
            <w:proofErr w:type="spellStart"/>
            <w:r w:rsidR="0011391E">
              <w:rPr>
                <w:rFonts w:cs="Arial"/>
                <w:sz w:val="16"/>
                <w:szCs w:val="16"/>
              </w:rPr>
              <w:t>more</w:t>
            </w:r>
            <w:proofErr w:type="spellEnd"/>
            <w:r w:rsidR="0011391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686B930" w14:textId="41C3AC8A" w:rsidR="0011391E" w:rsidRPr="004829B9" w:rsidRDefault="0011391E" w:rsidP="0011391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214</w:t>
            </w:r>
          </w:p>
        </w:tc>
        <w:tc>
          <w:tcPr>
            <w:tcW w:w="1207" w:type="dxa"/>
            <w:vAlign w:val="center"/>
          </w:tcPr>
          <w:p w14:paraId="497B2680" w14:textId="05039DB0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51.3</w:t>
            </w:r>
          </w:p>
        </w:tc>
      </w:tr>
      <w:tr w:rsidR="0011391E" w:rsidRPr="004829B9" w14:paraId="5AF09ED3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F69253C" w14:textId="77777777" w:rsidR="0011391E" w:rsidRPr="004829B9" w:rsidRDefault="0011391E" w:rsidP="0011391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6FC62F3C" w14:textId="5717E1F3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06" w:type="dxa"/>
            <w:vAlign w:val="center"/>
          </w:tcPr>
          <w:p w14:paraId="210EF2BB" w14:textId="1B031E2C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16.0</w:t>
            </w:r>
          </w:p>
        </w:tc>
        <w:tc>
          <w:tcPr>
            <w:tcW w:w="1206" w:type="dxa"/>
            <w:vAlign w:val="center"/>
          </w:tcPr>
          <w:p w14:paraId="5582B2FE" w14:textId="0FB7CAD5" w:rsidR="0011391E" w:rsidRPr="004829B9" w:rsidRDefault="0011391E" w:rsidP="0011391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1206" w:type="dxa"/>
            <w:vAlign w:val="center"/>
          </w:tcPr>
          <w:p w14:paraId="1219A9EB" w14:textId="4DC19C36" w:rsidR="0011391E" w:rsidRPr="004829B9" w:rsidRDefault="0011391E" w:rsidP="0011391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338</w:t>
            </w:r>
          </w:p>
        </w:tc>
        <w:tc>
          <w:tcPr>
            <w:tcW w:w="1207" w:type="dxa"/>
            <w:vAlign w:val="center"/>
          </w:tcPr>
          <w:p w14:paraId="7D986892" w14:textId="057DA20D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89.9</w:t>
            </w:r>
          </w:p>
        </w:tc>
      </w:tr>
      <w:tr w:rsidR="0011391E" w:rsidRPr="004829B9" w14:paraId="5F654D2E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5C09F32C" w14:textId="77777777" w:rsidR="0011391E" w:rsidRPr="004829B9" w:rsidRDefault="0011391E" w:rsidP="0011391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04C2B5C1" w14:textId="261716A1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3CC36DA1" w14:textId="51F420D5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30517C07" w14:textId="16E9243B" w:rsidR="0011391E" w:rsidRPr="004829B9" w:rsidRDefault="0011391E" w:rsidP="0011391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10FD768" w14:textId="1DA73C3E" w:rsidR="0011391E" w:rsidRPr="004829B9" w:rsidRDefault="0011391E" w:rsidP="0011391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07" w:type="dxa"/>
            <w:vAlign w:val="center"/>
          </w:tcPr>
          <w:p w14:paraId="17C799D5" w14:textId="0A0F78CA" w:rsidR="0011391E" w:rsidRPr="004829B9" w:rsidRDefault="0011391E" w:rsidP="001139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16.2</w:t>
            </w:r>
          </w:p>
        </w:tc>
      </w:tr>
    </w:tbl>
    <w:p w14:paraId="4C4EBE85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1FED3B6A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6B0D1C36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71002120" w14:textId="77777777" w:rsidR="009829F8" w:rsidRPr="004829B9" w:rsidRDefault="009829F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77777777" w:rsidR="00896EB9" w:rsidRPr="004829B9" w:rsidRDefault="006E5F0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673DFB82">
                <wp:simplePos x="0" y="0"/>
                <wp:positionH relativeFrom="page">
                  <wp:posOffset>5704619</wp:posOffset>
                </wp:positionH>
                <wp:positionV relativeFrom="paragraph">
                  <wp:posOffset>258058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7C74D25C" w:rsidR="003A7E95" w:rsidRPr="00AD1492" w:rsidRDefault="000348CC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</w:t>
                            </w:r>
                            <w:r w:rsidR="003A7E95">
                              <w:rPr>
                                <w:lang w:val="en-US"/>
                              </w:rPr>
                              <w:t>umber of d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de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in the period of I-IV 2020 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843B16">
                              <w:rPr>
                                <w:lang w:val="en-US"/>
                              </w:rPr>
                              <w:t>5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>.</w:t>
                            </w:r>
                            <w:r w:rsidR="00843B16">
                              <w:rPr>
                                <w:lang w:val="en-US"/>
                              </w:rPr>
                              <w:t>2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31" type="#_x0000_t202" style="position:absolute;margin-left:449.2pt;margin-top:20.3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" filled="f" stroked="f" strokeweight=".5pt">
                <v:textbox>
                  <w:txbxContent>
                    <w:p w14:paraId="35DCCB4E" w14:textId="7C74D25C" w:rsidR="003A7E95" w:rsidRPr="00AD1492" w:rsidRDefault="000348CC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</w:t>
                      </w:r>
                      <w:r w:rsidR="003A7E95">
                        <w:rPr>
                          <w:lang w:val="en-US"/>
                        </w:rPr>
                        <w:t>umber of d</w:t>
                      </w:r>
                      <w:r w:rsidR="003A7E95" w:rsidRPr="004C57EC">
                        <w:rPr>
                          <w:lang w:val="en-US"/>
                        </w:rPr>
                        <w:t>wellings for which permits have been grante</w:t>
                      </w:r>
                      <w:r w:rsidR="003A7E95">
                        <w:rPr>
                          <w:lang w:val="en-US"/>
                        </w:rPr>
                        <w:t xml:space="preserve">d or which have been registered </w:t>
                      </w:r>
                      <w:r w:rsidR="003A7E95" w:rsidRPr="004C57EC">
                        <w:rPr>
                          <w:lang w:val="en-US"/>
                        </w:rPr>
                        <w:t>with a construction project</w:t>
                      </w:r>
                      <w:r w:rsidR="00843B16">
                        <w:rPr>
                          <w:lang w:val="en-US"/>
                        </w:rPr>
                        <w:t xml:space="preserve"> de</w:t>
                      </w:r>
                      <w:r w:rsidR="003A7E95" w:rsidRPr="00AD1492">
                        <w:rPr>
                          <w:lang w:val="en-US"/>
                        </w:rPr>
                        <w:t xml:space="preserve">creased </w:t>
                      </w:r>
                      <w:r w:rsidR="00843B16">
                        <w:rPr>
                          <w:lang w:val="en-US"/>
                        </w:rPr>
                        <w:t xml:space="preserve">in the period of I-IV 2020 </w:t>
                      </w:r>
                      <w:r w:rsidR="003A7E95" w:rsidRPr="00AD1492">
                        <w:rPr>
                          <w:lang w:val="en-US"/>
                        </w:rPr>
                        <w:t xml:space="preserve">by </w:t>
                      </w:r>
                      <w:r w:rsidR="00843B16">
                        <w:rPr>
                          <w:lang w:val="en-US"/>
                        </w:rPr>
                        <w:t>5</w:t>
                      </w:r>
                      <w:r w:rsidR="003A7E95" w:rsidRPr="00AD1492">
                        <w:rPr>
                          <w:lang w:val="en-US"/>
                        </w:rPr>
                        <w:t>.</w:t>
                      </w:r>
                      <w:r w:rsidR="00843B16">
                        <w:rPr>
                          <w:lang w:val="en-US"/>
                        </w:rPr>
                        <w:t>2</w:t>
                      </w:r>
                      <w:r w:rsidR="003A7E95"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6EB9"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4F1C20BC" w:rsidR="00C47CE4" w:rsidRPr="004829B9" w:rsidRDefault="00BD1D77" w:rsidP="00896EB9">
      <w:pPr>
        <w:rPr>
          <w:b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t xml:space="preserve">In </w:t>
      </w:r>
      <w:r w:rsidR="0058073C" w:rsidRPr="004829B9">
        <w:rPr>
          <w:szCs w:val="19"/>
          <w:shd w:val="clear" w:color="auto" w:fill="FFFFFF"/>
          <w:lang w:val="en-GB"/>
        </w:rPr>
        <w:t xml:space="preserve">the first </w:t>
      </w:r>
      <w:r w:rsidR="0011391E">
        <w:rPr>
          <w:szCs w:val="19"/>
          <w:shd w:val="clear" w:color="auto" w:fill="FFFFFF"/>
          <w:lang w:val="en-GB"/>
        </w:rPr>
        <w:t>four</w:t>
      </w:r>
      <w:r w:rsidR="0058073C" w:rsidRPr="004829B9">
        <w:rPr>
          <w:szCs w:val="19"/>
          <w:shd w:val="clear" w:color="auto" w:fill="FFFFFF"/>
          <w:lang w:val="en-GB"/>
        </w:rPr>
        <w:t xml:space="preserve"> months of</w:t>
      </w:r>
      <w:r w:rsidR="0044258C" w:rsidRPr="004829B9">
        <w:rPr>
          <w:szCs w:val="19"/>
          <w:shd w:val="clear" w:color="auto" w:fill="FFFFFF"/>
          <w:lang w:val="en-GB"/>
        </w:rPr>
        <w:t xml:space="preserve"> 2020</w:t>
      </w:r>
      <w:r w:rsidR="000348CC">
        <w:rPr>
          <w:szCs w:val="19"/>
          <w:shd w:val="clear" w:color="auto" w:fill="FFFFFF"/>
          <w:lang w:val="en-GB"/>
        </w:rPr>
        <w:t>,</w:t>
      </w:r>
      <w:r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permits and registrations have been granted for construction of </w:t>
      </w:r>
      <w:r w:rsidR="0011391E">
        <w:rPr>
          <w:shd w:val="clear" w:color="auto" w:fill="FFFFFF"/>
          <w:lang w:val="en-GB"/>
        </w:rPr>
        <w:t>75</w:t>
      </w:r>
      <w:r w:rsidR="00F06543" w:rsidRPr="004829B9">
        <w:rPr>
          <w:shd w:val="clear" w:color="auto" w:fill="FFFFFF"/>
          <w:lang w:val="en-GB"/>
        </w:rPr>
        <w:t>.</w:t>
      </w:r>
      <w:r w:rsidR="0011391E">
        <w:rPr>
          <w:shd w:val="clear" w:color="auto" w:fill="FFFFFF"/>
          <w:lang w:val="en-GB"/>
        </w:rPr>
        <w:t>9</w:t>
      </w:r>
      <w:r w:rsidR="00086F9F" w:rsidRPr="004829B9">
        <w:rPr>
          <w:shd w:val="clear" w:color="auto" w:fill="FFFFFF"/>
          <w:lang w:val="en-GB"/>
        </w:rPr>
        <w:t xml:space="preserve"> 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11391E">
        <w:rPr>
          <w:shd w:val="clear" w:color="auto" w:fill="FFFFFF"/>
          <w:lang w:val="en-GB"/>
        </w:rPr>
        <w:t>5</w:t>
      </w:r>
      <w:r w:rsidR="00E245E1" w:rsidRPr="004829B9">
        <w:rPr>
          <w:shd w:val="clear" w:color="auto" w:fill="FFFFFF"/>
          <w:lang w:val="en-GB"/>
        </w:rPr>
        <w:t>.</w:t>
      </w:r>
      <w:r w:rsidR="0011391E">
        <w:rPr>
          <w:shd w:val="clear" w:color="auto" w:fill="FFFFFF"/>
          <w:lang w:val="en-GB"/>
        </w:rPr>
        <w:t>2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11391E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than in the corres</w:t>
      </w:r>
      <w:r w:rsidR="00856FE3" w:rsidRPr="004829B9">
        <w:rPr>
          <w:shd w:val="clear" w:color="auto" w:fill="FFFFFF"/>
          <w:lang w:val="en-GB"/>
        </w:rPr>
        <w:t xml:space="preserve">ponding </w:t>
      </w:r>
      <w:r w:rsidR="0058073C" w:rsidRPr="004829B9">
        <w:rPr>
          <w:shd w:val="clear" w:color="auto" w:fill="FFFFFF"/>
          <w:lang w:val="en-GB"/>
        </w:rPr>
        <w:t>period</w:t>
      </w:r>
      <w:r w:rsidR="00856FE3" w:rsidRPr="004829B9">
        <w:rPr>
          <w:shd w:val="clear" w:color="auto" w:fill="FFFFFF"/>
          <w:lang w:val="en-GB"/>
        </w:rPr>
        <w:t xml:space="preserve"> of</w:t>
      </w:r>
      <w:r w:rsidR="0044258C" w:rsidRPr="004829B9">
        <w:rPr>
          <w:shd w:val="clear" w:color="auto" w:fill="FFFFFF"/>
          <w:lang w:val="en-GB"/>
        </w:rPr>
        <w:t xml:space="preserve"> 2019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Pr="004829B9">
        <w:rPr>
          <w:shd w:val="clear" w:color="auto" w:fill="FFFFFF"/>
          <w:lang w:val="en-GB"/>
        </w:rPr>
        <w:t>(</w:t>
      </w:r>
      <w:r w:rsidR="0011391E">
        <w:rPr>
          <w:shd w:val="clear" w:color="auto" w:fill="FFFFFF"/>
          <w:lang w:val="en-GB"/>
        </w:rPr>
        <w:t>46.5</w:t>
      </w:r>
      <w:r w:rsidR="000E65E1" w:rsidRPr="004829B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Pr="004829B9">
        <w:rPr>
          <w:shd w:val="clear" w:color="auto" w:fill="FFFFFF"/>
          <w:lang w:val="en-GB"/>
        </w:rPr>
        <w:t xml:space="preserve"> (</w:t>
      </w:r>
      <w:r w:rsidR="0011391E">
        <w:rPr>
          <w:shd w:val="clear" w:color="auto" w:fill="FFFFFF"/>
          <w:lang w:val="en-GB"/>
        </w:rPr>
        <w:t>28.8</w:t>
      </w:r>
      <w:r w:rsidR="00086F9F" w:rsidRPr="004829B9">
        <w:rPr>
          <w:shd w:val="clear" w:color="auto" w:fill="FFFFFF"/>
          <w:lang w:val="en-GB"/>
        </w:rPr>
        <w:t xml:space="preserve"> thous</w:t>
      </w:r>
      <w:r w:rsidR="000348CC">
        <w:rPr>
          <w:shd w:val="clear" w:color="auto" w:fill="FFFFFF"/>
          <w:lang w:val="en-GB"/>
        </w:rPr>
        <w:t>and</w:t>
      </w:r>
      <w:r w:rsidRPr="004829B9">
        <w:rPr>
          <w:shd w:val="clear" w:color="auto" w:fill="FFFFFF"/>
          <w:lang w:val="en-GB"/>
        </w:rPr>
        <w:t>)</w:t>
      </w:r>
      <w:r w:rsidR="003A358E" w:rsidRPr="004829B9">
        <w:rPr>
          <w:shd w:val="clear" w:color="auto" w:fill="FFFFFF"/>
          <w:lang w:val="en-GB"/>
        </w:rPr>
        <w:t xml:space="preserve">, i.e. </w:t>
      </w:r>
      <w:r w:rsidR="000D348A" w:rsidRPr="004829B9">
        <w:rPr>
          <w:shd w:val="clear" w:color="auto" w:fill="FFFFFF"/>
          <w:lang w:val="en-GB"/>
        </w:rPr>
        <w:t xml:space="preserve">respectively </w:t>
      </w:r>
      <w:r w:rsidR="00495B6E" w:rsidRPr="004829B9">
        <w:rPr>
          <w:shd w:val="clear" w:color="auto" w:fill="FFFFFF"/>
          <w:lang w:val="en-GB"/>
        </w:rPr>
        <w:t xml:space="preserve">by </w:t>
      </w:r>
      <w:r w:rsidR="0011391E">
        <w:rPr>
          <w:shd w:val="clear" w:color="auto" w:fill="FFFFFF"/>
          <w:lang w:val="en-GB"/>
        </w:rPr>
        <w:t>3.2</w:t>
      </w:r>
      <w:r w:rsidR="000D348A" w:rsidRPr="004829B9">
        <w:rPr>
          <w:shd w:val="clear" w:color="auto" w:fill="FFFFFF"/>
          <w:lang w:val="en-GB"/>
        </w:rPr>
        <w:t xml:space="preserve">% </w:t>
      </w:r>
      <w:r w:rsidR="00843B16">
        <w:rPr>
          <w:shd w:val="clear" w:color="auto" w:fill="FFFFFF"/>
          <w:lang w:val="en-GB"/>
        </w:rPr>
        <w:t>and 5.7</w:t>
      </w:r>
      <w:r w:rsidR="000D348A" w:rsidRPr="004829B9">
        <w:rPr>
          <w:shd w:val="clear" w:color="auto" w:fill="FFFFFF"/>
          <w:lang w:val="en-GB"/>
        </w:rPr>
        <w:t>%</w:t>
      </w:r>
      <w:r w:rsidR="006E5F08" w:rsidRPr="004829B9">
        <w:rPr>
          <w:shd w:val="clear" w:color="auto" w:fill="FFFFFF"/>
          <w:lang w:val="en-GB"/>
        </w:rPr>
        <w:t xml:space="preserve"> </w:t>
      </w:r>
      <w:r w:rsidR="00843B16">
        <w:rPr>
          <w:shd w:val="clear" w:color="auto" w:fill="FFFFFF"/>
          <w:lang w:val="en-GB"/>
        </w:rPr>
        <w:t>less</w:t>
      </w:r>
      <w:r w:rsidR="003A358E" w:rsidRPr="004829B9">
        <w:rPr>
          <w:shd w:val="clear" w:color="auto" w:fill="FFFFFF"/>
          <w:lang w:val="en-GB"/>
        </w:rPr>
        <w:t xml:space="preserve"> than </w:t>
      </w:r>
      <w:r w:rsidR="0058073C" w:rsidRPr="004829B9">
        <w:rPr>
          <w:shd w:val="clear" w:color="auto" w:fill="FFFFFF"/>
          <w:lang w:val="en-GB"/>
        </w:rPr>
        <w:t xml:space="preserve">in the period </w:t>
      </w:r>
      <w:r w:rsidR="00527B0C" w:rsidRPr="004829B9">
        <w:rPr>
          <w:shd w:val="clear" w:color="auto" w:fill="FFFFFF"/>
          <w:lang w:val="en-GB"/>
        </w:rPr>
        <w:t xml:space="preserve">of </w:t>
      </w:r>
      <w:r w:rsidR="0058073C" w:rsidRPr="004829B9">
        <w:rPr>
          <w:shd w:val="clear" w:color="auto" w:fill="FFFFFF"/>
          <w:lang w:val="en-GB"/>
        </w:rPr>
        <w:t>January-</w:t>
      </w:r>
      <w:r w:rsidR="0011391E">
        <w:rPr>
          <w:shd w:val="clear" w:color="auto" w:fill="FFFFFF"/>
          <w:lang w:val="en-GB"/>
        </w:rPr>
        <w:t>April</w:t>
      </w:r>
      <w:r w:rsidR="0058073C" w:rsidRPr="004829B9">
        <w:rPr>
          <w:shd w:val="clear" w:color="auto" w:fill="FFFFFF"/>
          <w:lang w:val="en-GB"/>
        </w:rPr>
        <w:t xml:space="preserve"> </w:t>
      </w:r>
      <w:r w:rsidR="0044258C" w:rsidRPr="004829B9">
        <w:rPr>
          <w:shd w:val="clear" w:color="auto" w:fill="FFFFFF"/>
          <w:lang w:val="en-GB"/>
        </w:rPr>
        <w:t>2019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7C88" w:rsidRPr="004829B9">
        <w:rPr>
          <w:shd w:val="clear" w:color="auto" w:fill="FFFFFF"/>
          <w:lang w:val="en-GB"/>
        </w:rPr>
        <w:t>Altogether</w:t>
      </w:r>
      <w:r w:rsidR="000348CC">
        <w:rPr>
          <w:shd w:val="clear" w:color="auto" w:fill="FFFFFF"/>
          <w:lang w:val="en-GB"/>
        </w:rPr>
        <w:t>,</w:t>
      </w:r>
      <w:r w:rsidR="000A7C88" w:rsidRPr="004829B9">
        <w:rPr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the share </w:t>
      </w:r>
      <w:r w:rsidR="00CD44F1" w:rsidRPr="004829B9">
        <w:rPr>
          <w:shd w:val="clear" w:color="auto" w:fill="FFFFFF"/>
          <w:lang w:val="en-GB"/>
        </w:rPr>
        <w:t>of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44258C" w:rsidRPr="004829B9">
        <w:rPr>
          <w:shd w:val="clear" w:color="auto" w:fill="FFFFFF"/>
          <w:lang w:val="en-GB"/>
        </w:rPr>
        <w:t>of construction amounted to 99</w:t>
      </w:r>
      <w:r w:rsidR="001A1F89" w:rsidRPr="004829B9">
        <w:rPr>
          <w:shd w:val="clear" w:color="auto" w:fill="FFFFFF"/>
          <w:lang w:val="en-GB"/>
        </w:rPr>
        <w:t>.</w:t>
      </w:r>
      <w:r w:rsidR="00843B16">
        <w:rPr>
          <w:shd w:val="clear" w:color="auto" w:fill="FFFFFF"/>
          <w:lang w:val="en-GB"/>
        </w:rPr>
        <w:t>3</w:t>
      </w:r>
      <w:r w:rsidR="000A7C88" w:rsidRPr="004829B9">
        <w:rPr>
          <w:shd w:val="clear" w:color="auto" w:fill="FFFFFF"/>
          <w:lang w:val="en-GB"/>
        </w:rPr>
        <w:t xml:space="preserve">% of </w:t>
      </w:r>
      <w:r w:rsidR="008B64BD">
        <w:rPr>
          <w:shd w:val="clear" w:color="auto" w:fill="FFFFFF"/>
          <w:lang w:val="en-GB"/>
        </w:rPr>
        <w:t>the</w:t>
      </w:r>
      <w:r w:rsidR="00B30E2E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>total number of dwellings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D30D2" w:rsidRPr="004829B9">
        <w:rPr>
          <w:shd w:val="clear" w:color="auto" w:fill="FFFFFF"/>
          <w:lang w:val="en-GB"/>
        </w:rPr>
        <w:t>Less</w:t>
      </w:r>
      <w:r w:rsidR="00507D43" w:rsidRPr="004829B9">
        <w:rPr>
          <w:shd w:val="clear" w:color="auto" w:fill="FFFFFF"/>
          <w:lang w:val="en-GB"/>
        </w:rPr>
        <w:t xml:space="preserve"> dwellings</w:t>
      </w:r>
      <w:r w:rsidR="00507D43" w:rsidRPr="004829B9">
        <w:rPr>
          <w:lang w:val="en-GB"/>
        </w:rPr>
        <w:t xml:space="preserve"> </w:t>
      </w:r>
      <w:r w:rsidR="00CE0F21" w:rsidRPr="004829B9">
        <w:rPr>
          <w:lang w:val="en-GB"/>
        </w:rPr>
        <w:t xml:space="preserve">than in </w:t>
      </w:r>
      <w:r w:rsidR="00527B0C" w:rsidRPr="004829B9">
        <w:rPr>
          <w:lang w:val="en-GB"/>
        </w:rPr>
        <w:t>the</w:t>
      </w:r>
      <w:r w:rsidR="00CE0F21" w:rsidRPr="004829B9">
        <w:rPr>
          <w:lang w:val="en-GB"/>
        </w:rPr>
        <w:t xml:space="preserve"> </w:t>
      </w:r>
      <w:r w:rsidR="00527B0C" w:rsidRPr="004829B9">
        <w:rPr>
          <w:lang w:val="en-GB"/>
        </w:rPr>
        <w:t>corresponding period of 2019</w:t>
      </w:r>
      <w:r w:rsidR="00CE0F21" w:rsidRPr="004829B9">
        <w:rPr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 xml:space="preserve">ed </w:t>
      </w:r>
      <w:r w:rsidR="006A0E22" w:rsidRPr="004829B9">
        <w:rPr>
          <w:shd w:val="clear" w:color="auto" w:fill="FFFFFF"/>
          <w:lang w:val="en-GB"/>
        </w:rPr>
        <w:t xml:space="preserve">in </w:t>
      </w:r>
      <w:r w:rsidR="00BD601A" w:rsidRPr="004829B9">
        <w:rPr>
          <w:shd w:val="clear" w:color="auto" w:fill="FFFFFF"/>
          <w:lang w:val="en-GB"/>
        </w:rPr>
        <w:t>the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BD601A" w:rsidRPr="004829B9">
        <w:rPr>
          <w:b/>
          <w:shd w:val="clear" w:color="auto" w:fill="FFFFFF"/>
          <w:lang w:val="en-GB"/>
        </w:rPr>
        <w:t xml:space="preserve">cooperative </w:t>
      </w:r>
      <w:r w:rsidR="00BD601A" w:rsidRPr="004829B9">
        <w:rPr>
          <w:shd w:val="clear" w:color="auto" w:fill="FFFFFF"/>
          <w:lang w:val="en-GB"/>
        </w:rPr>
        <w:t>construction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983BE8" w:rsidRPr="004829B9">
        <w:rPr>
          <w:shd w:val="clear" w:color="auto" w:fill="FFFFFF"/>
          <w:lang w:val="en-GB"/>
        </w:rPr>
        <w:t>(</w:t>
      </w:r>
      <w:r w:rsidR="0011391E">
        <w:rPr>
          <w:shd w:val="clear" w:color="auto" w:fill="FFFFFF"/>
          <w:lang w:val="en-GB"/>
        </w:rPr>
        <w:t>358</w:t>
      </w:r>
      <w:r w:rsidR="00F06543" w:rsidRPr="004829B9">
        <w:rPr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dwellings </w:t>
      </w:r>
      <w:r w:rsidR="00C47CE4" w:rsidRPr="004829B9">
        <w:rPr>
          <w:shd w:val="clear" w:color="auto" w:fill="FFFFFF"/>
          <w:lang w:val="en-GB"/>
        </w:rPr>
        <w:t xml:space="preserve">against </w:t>
      </w:r>
      <w:r w:rsidR="00843B16">
        <w:rPr>
          <w:shd w:val="clear" w:color="auto" w:fill="FFFFFF"/>
          <w:lang w:val="en-GB"/>
        </w:rPr>
        <w:t>520</w:t>
      </w:r>
      <w:r w:rsidR="00AD30D2" w:rsidRPr="004829B9">
        <w:rPr>
          <w:shd w:val="clear" w:color="auto" w:fill="FFFFFF"/>
          <w:lang w:val="en-GB"/>
        </w:rPr>
        <w:t>) and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in </w:t>
      </w:r>
      <w:r w:rsidR="00704521" w:rsidRPr="004829B9">
        <w:rPr>
          <w:b/>
          <w:shd w:val="clear" w:color="auto" w:fill="FFFFFF"/>
          <w:lang w:val="en-GB"/>
        </w:rPr>
        <w:t xml:space="preserve">other forms </w:t>
      </w:r>
      <w:r w:rsidR="00704521" w:rsidRPr="004829B9">
        <w:rPr>
          <w:shd w:val="clear" w:color="auto" w:fill="FFFFFF"/>
          <w:lang w:val="en-GB"/>
        </w:rPr>
        <w:t>of</w:t>
      </w:r>
      <w:r w:rsidR="00704521" w:rsidRPr="004829B9">
        <w:rPr>
          <w:b/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construction </w:t>
      </w:r>
      <w:r w:rsidR="00616583" w:rsidRPr="004829B9">
        <w:rPr>
          <w:shd w:val="clear" w:color="auto" w:fill="FFFFFF"/>
          <w:lang w:val="en-GB"/>
        </w:rPr>
        <w:t>(</w:t>
      </w:r>
      <w:r w:rsidR="00843B16" w:rsidRPr="00843B16">
        <w:rPr>
          <w:shd w:val="clear" w:color="auto" w:fill="FFFFFF"/>
          <w:lang w:val="en-GB"/>
        </w:rPr>
        <w:t>189 </w:t>
      </w:r>
      <w:r w:rsidR="00616583" w:rsidRPr="004829B9">
        <w:rPr>
          <w:shd w:val="clear" w:color="auto" w:fill="FFFFFF"/>
          <w:lang w:val="en-GB"/>
        </w:rPr>
        <w:t>dwellings</w:t>
      </w:r>
      <w:r w:rsidR="00611CFA" w:rsidRPr="004829B9">
        <w:rPr>
          <w:shd w:val="clear" w:color="auto" w:fill="FFFFFF"/>
          <w:lang w:val="en-GB"/>
        </w:rPr>
        <w:t xml:space="preserve"> against </w:t>
      </w:r>
      <w:r w:rsidR="00843B16" w:rsidRPr="00843B16">
        <w:rPr>
          <w:shd w:val="clear" w:color="auto" w:fill="FFFFFF"/>
          <w:lang w:val="en-GB"/>
        </w:rPr>
        <w:t>918</w:t>
      </w:r>
      <w:r w:rsidR="00616583" w:rsidRPr="004829B9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1C5029">
      <w:pPr>
        <w:pStyle w:val="tytuwykresu"/>
        <w:ind w:left="851" w:hanging="851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27B0C" w:rsidRPr="004829B9" w14:paraId="6C27979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1761131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297E44F1" w14:textId="77777777" w:rsidR="00527B0C" w:rsidRPr="004829B9" w:rsidRDefault="00527B0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27B0C" w:rsidRPr="004829B9" w14:paraId="7CB3A9F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5F01AA5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73AFB71" w14:textId="6775F457" w:rsidR="00527B0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CCCED2D" w14:textId="59B057D0" w:rsidR="00527B0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I-IV</w:t>
            </w:r>
          </w:p>
        </w:tc>
      </w:tr>
      <w:tr w:rsidR="00527B0C" w:rsidRPr="004829B9" w14:paraId="3B47338A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38D5C87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236635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14DDD0" w14:textId="011FE4A5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98E573E" w14:textId="3F933FC5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EB69AF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4B5C7D4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BFF5D9" w14:textId="08018B36" w:rsidR="00527B0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I-IV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843B16" w:rsidRPr="004829B9" w14:paraId="6C403ECE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910755" w14:textId="77777777" w:rsidR="00843B16" w:rsidRPr="004829B9" w:rsidRDefault="00843B16" w:rsidP="00843B16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7D30553" w14:textId="3AAB35D5" w:rsidR="00843B16" w:rsidRPr="004829B9" w:rsidRDefault="00843B16" w:rsidP="00843B16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16 758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57FF288" w14:textId="1C8CAA2E" w:rsidR="00843B16" w:rsidRPr="004829B9" w:rsidRDefault="00843B16" w:rsidP="00843B16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73.4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88819C7" w14:textId="6BA58064" w:rsidR="00843B16" w:rsidRPr="004829B9" w:rsidRDefault="00843B16" w:rsidP="00843B16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76.9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851E758" w14:textId="6CA2D69D" w:rsidR="00843B16" w:rsidRPr="004829B9" w:rsidRDefault="00843B16" w:rsidP="00843B16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75 850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09250512" w14:textId="0315BB42" w:rsidR="00843B16" w:rsidRPr="004829B9" w:rsidRDefault="00843B16" w:rsidP="00843B16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94.8</w:t>
            </w:r>
          </w:p>
        </w:tc>
      </w:tr>
      <w:tr w:rsidR="00843B16" w:rsidRPr="004829B9" w14:paraId="24875DB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7B658AC" w14:textId="77777777" w:rsidR="00843B16" w:rsidRPr="004829B9" w:rsidRDefault="00843B16" w:rsidP="00843B1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2974B7CC" w14:textId="30D851BF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6 893</w:t>
            </w:r>
          </w:p>
        </w:tc>
        <w:tc>
          <w:tcPr>
            <w:tcW w:w="1206" w:type="dxa"/>
            <w:vAlign w:val="center"/>
          </w:tcPr>
          <w:p w14:paraId="7DBBC394" w14:textId="752E442A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72.8</w:t>
            </w:r>
          </w:p>
        </w:tc>
        <w:tc>
          <w:tcPr>
            <w:tcW w:w="1206" w:type="dxa"/>
            <w:vAlign w:val="center"/>
          </w:tcPr>
          <w:p w14:paraId="274B06FE" w14:textId="4C87A8CC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85.0</w:t>
            </w:r>
          </w:p>
        </w:tc>
        <w:tc>
          <w:tcPr>
            <w:tcW w:w="1206" w:type="dxa"/>
            <w:vAlign w:val="center"/>
          </w:tcPr>
          <w:p w14:paraId="04580C6D" w14:textId="7AD21B00" w:rsidR="00843B16" w:rsidRPr="004829B9" w:rsidRDefault="00843B16" w:rsidP="00843B16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28 841</w:t>
            </w:r>
          </w:p>
        </w:tc>
        <w:tc>
          <w:tcPr>
            <w:tcW w:w="1207" w:type="dxa"/>
            <w:vAlign w:val="center"/>
          </w:tcPr>
          <w:p w14:paraId="40E17662" w14:textId="4B0F4877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94.3</w:t>
            </w:r>
          </w:p>
        </w:tc>
      </w:tr>
      <w:tr w:rsidR="00843B16" w:rsidRPr="004829B9" w14:paraId="5C22900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8227C88" w14:textId="77777777" w:rsidR="00843B16" w:rsidRPr="004829B9" w:rsidRDefault="00843B16" w:rsidP="00843B1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5E106BCF" w14:textId="22E7088D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9 647</w:t>
            </w:r>
          </w:p>
        </w:tc>
        <w:tc>
          <w:tcPr>
            <w:tcW w:w="1206" w:type="dxa"/>
            <w:vAlign w:val="center"/>
          </w:tcPr>
          <w:p w14:paraId="3704CE86" w14:textId="334E891A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73.3</w:t>
            </w:r>
          </w:p>
        </w:tc>
        <w:tc>
          <w:tcPr>
            <w:tcW w:w="1206" w:type="dxa"/>
            <w:vAlign w:val="center"/>
          </w:tcPr>
          <w:p w14:paraId="4E73BADA" w14:textId="000272DC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71.4</w:t>
            </w:r>
          </w:p>
        </w:tc>
        <w:tc>
          <w:tcPr>
            <w:tcW w:w="1206" w:type="dxa"/>
            <w:vAlign w:val="center"/>
          </w:tcPr>
          <w:p w14:paraId="48D424AC" w14:textId="7D90CEB3" w:rsidR="00843B16" w:rsidRPr="004829B9" w:rsidRDefault="00843B16" w:rsidP="00843B1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46 462</w:t>
            </w:r>
          </w:p>
        </w:tc>
        <w:tc>
          <w:tcPr>
            <w:tcW w:w="1207" w:type="dxa"/>
            <w:vAlign w:val="center"/>
          </w:tcPr>
          <w:p w14:paraId="0D8FAE68" w14:textId="756A3BC6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96.8</w:t>
            </w:r>
          </w:p>
        </w:tc>
      </w:tr>
      <w:tr w:rsidR="00843B16" w:rsidRPr="004829B9" w14:paraId="0BA3DFD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4FCBBAE" w14:textId="77777777" w:rsidR="00843B16" w:rsidRPr="004829B9" w:rsidRDefault="00843B16" w:rsidP="00843B16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B8D933" w14:textId="720EEE71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1206" w:type="dxa"/>
            <w:vAlign w:val="center"/>
          </w:tcPr>
          <w:p w14:paraId="7471754E" w14:textId="6513F02F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270.2</w:t>
            </w:r>
          </w:p>
        </w:tc>
        <w:tc>
          <w:tcPr>
            <w:tcW w:w="1206" w:type="dxa"/>
            <w:vAlign w:val="center"/>
          </w:tcPr>
          <w:p w14:paraId="1916C83A" w14:textId="2152CE69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87.0</w:t>
            </w:r>
          </w:p>
        </w:tc>
        <w:tc>
          <w:tcPr>
            <w:tcW w:w="1206" w:type="dxa"/>
            <w:vAlign w:val="center"/>
          </w:tcPr>
          <w:p w14:paraId="1A0C182A" w14:textId="696FBFC4" w:rsidR="00843B16" w:rsidRPr="004829B9" w:rsidRDefault="00843B16" w:rsidP="00843B1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358</w:t>
            </w:r>
          </w:p>
        </w:tc>
        <w:tc>
          <w:tcPr>
            <w:tcW w:w="1207" w:type="dxa"/>
            <w:vAlign w:val="center"/>
          </w:tcPr>
          <w:p w14:paraId="5D07B47C" w14:textId="6F825695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68.8</w:t>
            </w:r>
          </w:p>
        </w:tc>
      </w:tr>
      <w:tr w:rsidR="00843B16" w:rsidRPr="004829B9" w14:paraId="628C62B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8CF69C4" w14:textId="77777777" w:rsidR="00843B16" w:rsidRPr="004829B9" w:rsidRDefault="00843B16" w:rsidP="00843B1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38194731" w14:textId="07BD1224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1206" w:type="dxa"/>
            <w:vAlign w:val="center"/>
          </w:tcPr>
          <w:p w14:paraId="3CCCE51D" w14:textId="0D6EE046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31.4</w:t>
            </w:r>
          </w:p>
        </w:tc>
        <w:tc>
          <w:tcPr>
            <w:tcW w:w="1206" w:type="dxa"/>
            <w:vAlign w:val="center"/>
          </w:tcPr>
          <w:p w14:paraId="1B7E59DC" w14:textId="2AECA0CA" w:rsidR="00843B16" w:rsidRPr="004829B9" w:rsidRDefault="00A00C5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over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5</w:t>
            </w:r>
            <w:r w:rsidR="00843B16">
              <w:rPr>
                <w:rFonts w:cs="Arial"/>
                <w:sz w:val="16"/>
                <w:szCs w:val="16"/>
              </w:rPr>
              <w:t xml:space="preserve">-fold </w:t>
            </w:r>
            <w:proofErr w:type="spellStart"/>
            <w:r w:rsidR="00843B16">
              <w:rPr>
                <w:rFonts w:cs="Arial"/>
                <w:sz w:val="16"/>
                <w:szCs w:val="16"/>
              </w:rPr>
              <w:t>more</w:t>
            </w:r>
            <w:proofErr w:type="spellEnd"/>
          </w:p>
        </w:tc>
        <w:tc>
          <w:tcPr>
            <w:tcW w:w="1206" w:type="dxa"/>
            <w:vAlign w:val="center"/>
          </w:tcPr>
          <w:p w14:paraId="594A1BF8" w14:textId="4A0C5723" w:rsidR="00843B16" w:rsidRPr="004829B9" w:rsidRDefault="00843B16" w:rsidP="00843B1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207" w:type="dxa"/>
            <w:vAlign w:val="center"/>
          </w:tcPr>
          <w:p w14:paraId="0B1FEB23" w14:textId="24494F13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30.3</w:t>
            </w:r>
          </w:p>
        </w:tc>
      </w:tr>
      <w:tr w:rsidR="00843B16" w:rsidRPr="004829B9" w14:paraId="4A55058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EB43836" w14:textId="77777777" w:rsidR="00843B16" w:rsidRPr="004829B9" w:rsidRDefault="00843B16" w:rsidP="00843B1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22DD43C4" w14:textId="24186BCF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1206" w:type="dxa"/>
            <w:vAlign w:val="center"/>
          </w:tcPr>
          <w:p w14:paraId="1D7D6902" w14:textId="2E0A30EA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6F322B0B" w14:textId="0F7CB9A7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72AA4379" w14:textId="54CB7CC9" w:rsidR="00843B16" w:rsidRPr="004829B9" w:rsidRDefault="00843B16" w:rsidP="00843B1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07" w:type="dxa"/>
            <w:vAlign w:val="center"/>
          </w:tcPr>
          <w:p w14:paraId="08EB6A2D" w14:textId="51CEFFD5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11.0</w:t>
            </w:r>
          </w:p>
        </w:tc>
      </w:tr>
      <w:tr w:rsidR="00843B16" w:rsidRPr="004829B9" w14:paraId="1119B49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3AC118CE" w14:textId="77777777" w:rsidR="00843B16" w:rsidRPr="004829B9" w:rsidRDefault="00843B16" w:rsidP="00843B1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1CE162BE" w14:textId="5D7AE96D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0D95C694" w14:textId="468203FA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5EFCE0B" w14:textId="0A05CB28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1BC05144" w14:textId="5125319B" w:rsidR="00843B16" w:rsidRPr="004829B9" w:rsidRDefault="00843B16" w:rsidP="00843B1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14:paraId="3BFA6C4E" w14:textId="70D2A1D2" w:rsidR="00843B16" w:rsidRPr="004829B9" w:rsidRDefault="00843B16" w:rsidP="00843B16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1.7</w:t>
            </w:r>
          </w:p>
        </w:tc>
      </w:tr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0520A371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527B0C" w:rsidRPr="004829B9">
        <w:rPr>
          <w:b w:val="0"/>
          <w:sz w:val="19"/>
          <w:szCs w:val="19"/>
          <w:shd w:val="clear" w:color="auto" w:fill="FFFFFF"/>
          <w:lang w:val="en-GB"/>
        </w:rPr>
        <w:t>the period of January-</w:t>
      </w:r>
      <w:r w:rsidR="00843B16">
        <w:rPr>
          <w:b w:val="0"/>
          <w:sz w:val="19"/>
          <w:szCs w:val="19"/>
          <w:shd w:val="clear" w:color="auto" w:fill="FFFFFF"/>
          <w:lang w:val="en-GB"/>
        </w:rPr>
        <w:t>April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 xml:space="preserve"> 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66.2</w:t>
      </w:r>
      <w:r w:rsidR="00A3375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12.7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2019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38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0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15.2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% less than in 2019)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26</w:t>
      </w:r>
      <w:r w:rsidR="00C57EF3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7</w:t>
      </w:r>
      <w:r w:rsidR="00885F42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8.9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y/y)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6590" w:rsidRPr="004829B9">
        <w:rPr>
          <w:b w:val="0"/>
          <w:sz w:val="19"/>
          <w:szCs w:val="19"/>
          <w:shd w:val="clear" w:color="auto" w:fill="FFFFFF"/>
          <w:lang w:val="en-GB"/>
        </w:rPr>
        <w:t xml:space="preserve">i.e.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altogether 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97</w:t>
      </w:r>
      <w:r w:rsidR="00983BE8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8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 w:rsidRPr="004829B9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 w:rsidRPr="004829B9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790</w:t>
      </w:r>
      <w:r w:rsidR="000E65E1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835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7E1643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as well as 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674</w:t>
      </w:r>
      <w:r w:rsidR="00115574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833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).</w:t>
      </w:r>
    </w:p>
    <w:p w14:paraId="49780DA7" w14:textId="77777777" w:rsidR="00B4601E" w:rsidRPr="004829B9" w:rsidRDefault="00B4601E" w:rsidP="00CF36C5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0013A9" w:rsidRPr="004829B9" w14:paraId="581AD620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1DB08E6C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954750B" w14:textId="77777777" w:rsidR="000013A9" w:rsidRPr="004829B9" w:rsidRDefault="000013A9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0013A9" w:rsidRPr="004829B9" w14:paraId="3F568F15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8956D22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7886D38" w14:textId="7052CC1F" w:rsidR="000013A9" w:rsidRPr="004829B9" w:rsidRDefault="009F200F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7D2DC35" w14:textId="4D1C9093" w:rsidR="000013A9" w:rsidRPr="004829B9" w:rsidRDefault="009F200F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I-IV</w:t>
            </w:r>
          </w:p>
        </w:tc>
      </w:tr>
      <w:tr w:rsidR="000013A9" w:rsidRPr="004829B9" w14:paraId="03089097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BBEA73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1E251B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8242DD" w14:textId="37C6B2DD" w:rsidR="000013A9" w:rsidRPr="004829B9" w:rsidRDefault="009F200F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IV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54C121F" w14:textId="5CC89576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46238A" w:rsidRPr="004829B9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9F200F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5FF03A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558FA70D" w14:textId="0D2D5D77" w:rsidR="000013A9" w:rsidRPr="004829B9" w:rsidRDefault="009F200F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I-IV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9F200F" w:rsidRPr="004829B9" w14:paraId="6FDD4EF7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9FB5C9" w14:textId="77777777" w:rsidR="009F200F" w:rsidRPr="004829B9" w:rsidRDefault="009F200F" w:rsidP="009F200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C0DE46B" w14:textId="6A361966" w:rsidR="009F200F" w:rsidRPr="004829B9" w:rsidRDefault="009F200F" w:rsidP="009F200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13 647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C00CC24" w14:textId="198DB022" w:rsidR="009F200F" w:rsidRPr="004829B9" w:rsidRDefault="009F200F" w:rsidP="009F200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62.2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A450CD" w14:textId="732958B5" w:rsidR="009F200F" w:rsidRPr="004829B9" w:rsidRDefault="009F200F" w:rsidP="009F200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72.7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BBCAC80" w14:textId="0C74CE88" w:rsidR="009F200F" w:rsidRPr="004829B9" w:rsidRDefault="009F200F" w:rsidP="009F200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66 190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40329725" w14:textId="335A03D5" w:rsidR="009F200F" w:rsidRPr="004829B9" w:rsidRDefault="009F200F" w:rsidP="009F200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87.3</w:t>
            </w:r>
          </w:p>
        </w:tc>
      </w:tr>
      <w:tr w:rsidR="009F200F" w:rsidRPr="004829B9" w14:paraId="02B9960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2B427C" w14:textId="77777777" w:rsidR="009F200F" w:rsidRPr="004829B9" w:rsidRDefault="009F200F" w:rsidP="009F200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EA24020" w14:textId="6359A8CC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7 073</w:t>
            </w:r>
          </w:p>
        </w:tc>
        <w:tc>
          <w:tcPr>
            <w:tcW w:w="1206" w:type="dxa"/>
            <w:vAlign w:val="center"/>
          </w:tcPr>
          <w:p w14:paraId="4182E47D" w14:textId="12DD0432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69.5</w:t>
            </w:r>
          </w:p>
        </w:tc>
        <w:tc>
          <w:tcPr>
            <w:tcW w:w="1206" w:type="dxa"/>
            <w:vAlign w:val="center"/>
          </w:tcPr>
          <w:p w14:paraId="55847995" w14:textId="024C37B0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96.1</w:t>
            </w:r>
          </w:p>
        </w:tc>
        <w:tc>
          <w:tcPr>
            <w:tcW w:w="1206" w:type="dxa"/>
            <w:vAlign w:val="center"/>
          </w:tcPr>
          <w:p w14:paraId="563931BA" w14:textId="1BDA201C" w:rsidR="009F200F" w:rsidRPr="004829B9" w:rsidRDefault="009F200F" w:rsidP="009F200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26 698</w:t>
            </w:r>
          </w:p>
        </w:tc>
        <w:tc>
          <w:tcPr>
            <w:tcW w:w="1207" w:type="dxa"/>
            <w:vAlign w:val="center"/>
          </w:tcPr>
          <w:p w14:paraId="6B359C49" w14:textId="22466458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91.1</w:t>
            </w:r>
          </w:p>
        </w:tc>
      </w:tr>
      <w:tr w:rsidR="009F200F" w:rsidRPr="004829B9" w14:paraId="16E631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4BE628A" w14:textId="77777777" w:rsidR="009F200F" w:rsidRPr="004829B9" w:rsidRDefault="009F200F" w:rsidP="009F200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36D71E9A" w14:textId="1033F6D5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6 181</w:t>
            </w:r>
          </w:p>
        </w:tc>
        <w:tc>
          <w:tcPr>
            <w:tcW w:w="1206" w:type="dxa"/>
            <w:vAlign w:val="center"/>
          </w:tcPr>
          <w:p w14:paraId="75BDDBF3" w14:textId="69348B20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53.8</w:t>
            </w:r>
          </w:p>
        </w:tc>
        <w:tc>
          <w:tcPr>
            <w:tcW w:w="1206" w:type="dxa"/>
            <w:vAlign w:val="center"/>
          </w:tcPr>
          <w:p w14:paraId="0FABE999" w14:textId="63084DDC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55.2</w:t>
            </w:r>
          </w:p>
        </w:tc>
        <w:tc>
          <w:tcPr>
            <w:tcW w:w="1206" w:type="dxa"/>
            <w:vAlign w:val="center"/>
          </w:tcPr>
          <w:p w14:paraId="512D50D9" w14:textId="43E7285B" w:rsidR="009F200F" w:rsidRPr="004829B9" w:rsidRDefault="009F200F" w:rsidP="009F200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38 028</w:t>
            </w:r>
          </w:p>
        </w:tc>
        <w:tc>
          <w:tcPr>
            <w:tcW w:w="1207" w:type="dxa"/>
            <w:vAlign w:val="center"/>
          </w:tcPr>
          <w:p w14:paraId="52836C7F" w14:textId="4D9CA50B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84.8</w:t>
            </w:r>
          </w:p>
        </w:tc>
      </w:tr>
      <w:tr w:rsidR="009F200F" w:rsidRPr="004829B9" w14:paraId="435A7676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156F18" w14:textId="77777777" w:rsidR="009F200F" w:rsidRPr="004829B9" w:rsidRDefault="009F200F" w:rsidP="009F200F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0953AF15" w14:textId="490F5DF4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06" w:type="dxa"/>
            <w:vAlign w:val="center"/>
          </w:tcPr>
          <w:p w14:paraId="6A70776B" w14:textId="2D35893E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19.4</w:t>
            </w:r>
          </w:p>
        </w:tc>
        <w:tc>
          <w:tcPr>
            <w:tcW w:w="1206" w:type="dxa"/>
            <w:vAlign w:val="center"/>
          </w:tcPr>
          <w:p w14:paraId="77A225F3" w14:textId="1D8E6860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34.1</w:t>
            </w:r>
          </w:p>
        </w:tc>
        <w:tc>
          <w:tcPr>
            <w:tcW w:w="1206" w:type="dxa"/>
            <w:vAlign w:val="center"/>
          </w:tcPr>
          <w:p w14:paraId="2296D291" w14:textId="066D5641" w:rsidR="009F200F" w:rsidRPr="004829B9" w:rsidRDefault="009F200F" w:rsidP="009F200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288</w:t>
            </w:r>
          </w:p>
        </w:tc>
        <w:tc>
          <w:tcPr>
            <w:tcW w:w="1207" w:type="dxa"/>
            <w:vAlign w:val="center"/>
          </w:tcPr>
          <w:p w14:paraId="0F18BEC0" w14:textId="48BD4BFF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111.6</w:t>
            </w:r>
          </w:p>
        </w:tc>
      </w:tr>
      <w:tr w:rsidR="009F200F" w:rsidRPr="004829B9" w14:paraId="57DDA71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07F54E1" w14:textId="77777777" w:rsidR="009F200F" w:rsidRPr="004829B9" w:rsidRDefault="009F200F" w:rsidP="009F200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2FE7DE35" w14:textId="68527B5C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262</w:t>
            </w:r>
          </w:p>
        </w:tc>
        <w:tc>
          <w:tcPr>
            <w:tcW w:w="1206" w:type="dxa"/>
            <w:vAlign w:val="center"/>
          </w:tcPr>
          <w:p w14:paraId="6D446002" w14:textId="762A37C9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163.8</w:t>
            </w:r>
          </w:p>
        </w:tc>
        <w:tc>
          <w:tcPr>
            <w:tcW w:w="1206" w:type="dxa"/>
            <w:vAlign w:val="center"/>
          </w:tcPr>
          <w:p w14:paraId="73242060" w14:textId="6BF78FE5" w:rsidR="009F200F" w:rsidRPr="004829B9" w:rsidRDefault="009F200F" w:rsidP="009F200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459.6</w:t>
            </w:r>
          </w:p>
        </w:tc>
        <w:tc>
          <w:tcPr>
            <w:tcW w:w="1206" w:type="dxa"/>
            <w:vAlign w:val="center"/>
          </w:tcPr>
          <w:p w14:paraId="4BFAFDD5" w14:textId="4A1A5120" w:rsidR="009F200F" w:rsidRPr="004829B9" w:rsidRDefault="009F200F" w:rsidP="009F200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790</w:t>
            </w:r>
          </w:p>
        </w:tc>
        <w:tc>
          <w:tcPr>
            <w:tcW w:w="1207" w:type="dxa"/>
            <w:vAlign w:val="center"/>
          </w:tcPr>
          <w:p w14:paraId="76E8B110" w14:textId="6397A6A7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94.6</w:t>
            </w:r>
          </w:p>
        </w:tc>
      </w:tr>
      <w:tr w:rsidR="009F200F" w:rsidRPr="004829B9" w14:paraId="6A70347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6066AF" w14:textId="77777777" w:rsidR="009F200F" w:rsidRPr="004829B9" w:rsidRDefault="009F200F" w:rsidP="009F200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26504A67" w14:textId="32D4C0A0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206" w:type="dxa"/>
            <w:vAlign w:val="center"/>
          </w:tcPr>
          <w:p w14:paraId="71430A96" w14:textId="578D7752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18.3</w:t>
            </w:r>
          </w:p>
        </w:tc>
        <w:tc>
          <w:tcPr>
            <w:tcW w:w="1206" w:type="dxa"/>
            <w:vAlign w:val="center"/>
          </w:tcPr>
          <w:p w14:paraId="33FA0D09" w14:textId="7A58D2D1" w:rsidR="009F200F" w:rsidRPr="004829B9" w:rsidRDefault="005B0979" w:rsidP="009F200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  <w:r w:rsidR="009F200F">
              <w:rPr>
                <w:rFonts w:cs="Arial"/>
                <w:sz w:val="16"/>
                <w:szCs w:val="16"/>
              </w:rPr>
              <w:t xml:space="preserve">-fold </w:t>
            </w:r>
            <w:proofErr w:type="spellStart"/>
            <w:r w:rsidR="009F200F">
              <w:rPr>
                <w:rFonts w:cs="Arial"/>
                <w:sz w:val="16"/>
                <w:szCs w:val="16"/>
              </w:rPr>
              <w:t>more</w:t>
            </w:r>
            <w:proofErr w:type="spellEnd"/>
            <w:r w:rsidR="009F20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AD2E584" w14:textId="6659387C" w:rsidR="009F200F" w:rsidRPr="004829B9" w:rsidRDefault="009F200F" w:rsidP="009F200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207" w:type="dxa"/>
            <w:vAlign w:val="center"/>
          </w:tcPr>
          <w:p w14:paraId="27BBCB3A" w14:textId="1CEC72EC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32.5</w:t>
            </w:r>
          </w:p>
        </w:tc>
      </w:tr>
      <w:tr w:rsidR="009F200F" w:rsidRPr="004829B9" w14:paraId="2C92CBE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9A264D" w14:textId="77777777" w:rsidR="009F200F" w:rsidRPr="004829B9" w:rsidRDefault="009F200F" w:rsidP="009F200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4DBC4D16" w14:textId="2335394C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206" w:type="dxa"/>
            <w:vAlign w:val="center"/>
          </w:tcPr>
          <w:p w14:paraId="4BE61B3C" w14:textId="270FB088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361.3</w:t>
            </w:r>
          </w:p>
        </w:tc>
        <w:tc>
          <w:tcPr>
            <w:tcW w:w="1206" w:type="dxa"/>
            <w:vAlign w:val="center"/>
          </w:tcPr>
          <w:p w14:paraId="55AFA942" w14:textId="3A843C9D" w:rsidR="009F200F" w:rsidRPr="004829B9" w:rsidRDefault="009F200F" w:rsidP="009F200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71.8</w:t>
            </w:r>
          </w:p>
        </w:tc>
        <w:tc>
          <w:tcPr>
            <w:tcW w:w="1206" w:type="dxa"/>
            <w:vAlign w:val="center"/>
          </w:tcPr>
          <w:p w14:paraId="4EFD285C" w14:textId="4C1292FA" w:rsidR="009F200F" w:rsidRPr="004829B9" w:rsidRDefault="009F200F" w:rsidP="009F200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524</w:t>
            </w:r>
          </w:p>
        </w:tc>
        <w:tc>
          <w:tcPr>
            <w:tcW w:w="1207" w:type="dxa"/>
            <w:vAlign w:val="center"/>
          </w:tcPr>
          <w:p w14:paraId="61023407" w14:textId="72A6EF5D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97.4</w:t>
            </w:r>
          </w:p>
        </w:tc>
      </w:tr>
      <w:tr w:rsidR="009F200F" w:rsidRPr="004829B9" w14:paraId="0EA887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16A460B1" w14:textId="77777777" w:rsidR="009F200F" w:rsidRPr="004829B9" w:rsidRDefault="009F200F" w:rsidP="009F200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3B1E13A2" w14:textId="75960973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0BE40393" w14:textId="40ACAB91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569CA16" w14:textId="71A467AA" w:rsidR="009F200F" w:rsidRPr="004829B9" w:rsidRDefault="009F200F" w:rsidP="009F200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067A83DD" w14:textId="1CFA5477" w:rsidR="009F200F" w:rsidRPr="004829B9" w:rsidRDefault="009F200F" w:rsidP="009F200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07" w:type="dxa"/>
            <w:vAlign w:val="center"/>
          </w:tcPr>
          <w:p w14:paraId="25216EE8" w14:textId="3B9A5AEF" w:rsidR="009F200F" w:rsidRPr="004829B9" w:rsidRDefault="009F200F" w:rsidP="009F20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7272B003" w14:textId="77777777" w:rsidR="009609A1" w:rsidRPr="004829B9" w:rsidRDefault="009609A1" w:rsidP="00467EFF">
      <w:pPr>
        <w:rPr>
          <w:shd w:val="clear" w:color="auto" w:fill="FFFFFF"/>
          <w:lang w:val="en-GB"/>
        </w:rPr>
      </w:pPr>
    </w:p>
    <w:p w14:paraId="26C5CCAE" w14:textId="77777777" w:rsidR="00A00C56" w:rsidRDefault="00A00C56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4D75009" w14:textId="502AE30B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April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F3F3D" w:rsidRPr="004829B9">
        <w:rPr>
          <w:b w:val="0"/>
          <w:sz w:val="19"/>
          <w:szCs w:val="19"/>
          <w:shd w:val="clear" w:color="auto" w:fill="FFFFFF"/>
          <w:lang w:val="en-GB"/>
        </w:rPr>
        <w:t>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81EA6" w:rsidRPr="004829B9">
        <w:rPr>
          <w:b w:val="0"/>
          <w:sz w:val="19"/>
          <w:szCs w:val="19"/>
          <w:shd w:val="clear" w:color="auto" w:fill="FFFFFF"/>
          <w:lang w:val="en-GB"/>
        </w:rPr>
        <w:t xml:space="preserve"> there were 828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681EA6" w:rsidRPr="004829B9">
        <w:rPr>
          <w:b w:val="0"/>
          <w:sz w:val="19"/>
          <w:szCs w:val="19"/>
          <w:shd w:val="clear" w:color="auto" w:fill="FFFFFF"/>
          <w:lang w:val="en-GB"/>
        </w:rPr>
        <w:t>5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2.7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in the corresponding period of 2019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7AFA1BBF" w:rsidR="005D23AA" w:rsidRPr="004829B9" w:rsidRDefault="005D23AA" w:rsidP="007207E6">
      <w:pPr>
        <w:pStyle w:val="tytuwykresu"/>
        <w:rPr>
          <w:lang w:val="en-GB"/>
        </w:rPr>
      </w:pPr>
    </w:p>
    <w:p w14:paraId="2E8A539A" w14:textId="3007975C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0BB613BD" w14:textId="76CF859F" w:rsidR="00632DF8" w:rsidRPr="004829B9" w:rsidRDefault="0051287F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 w:rsidRPr="004829B9">
        <w:rPr>
          <w:noProof/>
          <w:lang w:val="en-GB" w:eastAsia="pl-PL"/>
        </w:rPr>
        <w:t xml:space="preserve"> </w:t>
      </w:r>
    </w:p>
    <w:p w14:paraId="631FF680" w14:textId="739EFFBA" w:rsidR="000271FB" w:rsidRPr="004829B9" w:rsidRDefault="00A00C56" w:rsidP="003A7E95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2BDDF09D">
                <wp:simplePos x="0" y="0"/>
                <wp:positionH relativeFrom="page">
                  <wp:posOffset>5728611</wp:posOffset>
                </wp:positionH>
                <wp:positionV relativeFrom="paragraph">
                  <wp:posOffset>188788</wp:posOffset>
                </wp:positionV>
                <wp:extent cx="1760855" cy="214503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105485CB" w:rsidR="003A7E95" w:rsidRPr="00AC3185" w:rsidRDefault="003A7E95" w:rsidP="00AC3185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2C1E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April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2C1E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2C1E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de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 (by </w:t>
                            </w:r>
                            <w:r w:rsidR="002C1E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14.6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 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as well as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for which permits have been granted or wh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ich have been registered with a 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construction project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BD7A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2C1E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23.1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 and</w:t>
                            </w:r>
                            <w:r w:rsidRPr="00681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number of dwellings in which construction has begun</w:t>
                            </w:r>
                            <w:r w:rsidRPr="00681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(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2C1E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27.3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36E1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51.05pt;margin-top:14.85pt;width:138.65pt;height:168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" filled="f" stroked="f">
                <v:textbox>
                  <w:txbxContent>
                    <w:p w14:paraId="58FBF1C9" w14:textId="105485CB" w:rsidR="003A7E95" w:rsidRPr="00AC3185" w:rsidRDefault="003A7E95" w:rsidP="00AC3185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2C1E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April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2C1E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2C1E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de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 (by </w:t>
                      </w:r>
                      <w:r w:rsidR="002C1E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14.6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 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as well as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for which permits have been granted or wh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ich have been registered with a 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construction project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BD7A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2C1E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23.1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 and</w:t>
                      </w:r>
                      <w:r w:rsidRPr="00681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number of dwellings in which construction has begun</w:t>
                      </w:r>
                      <w:r w:rsidRPr="00681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(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2C1E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27.3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A6781">
        <w:rPr>
          <w:noProof/>
        </w:rPr>
        <w:drawing>
          <wp:inline distT="0" distB="0" distL="0" distR="0" wp14:anchorId="552FDAE1" wp14:editId="08D923FA">
            <wp:extent cx="5122545" cy="2289975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8A6781" w:rsidRPr="00273A1F">
        <w:rPr>
          <w:b/>
          <w:noProof/>
          <w:spacing w:val="-4"/>
          <w:shd w:val="clear" w:color="auto" w:fill="FFFFFF"/>
          <w:lang w:val="en-GB"/>
        </w:rPr>
        <w:t xml:space="preserve"> </w:t>
      </w:r>
    </w:p>
    <w:p w14:paraId="24E47249" w14:textId="3235ABC0" w:rsidR="00BD7A45" w:rsidRDefault="00BD7A45" w:rsidP="00CB6084">
      <w:pPr>
        <w:rPr>
          <w:szCs w:val="19"/>
          <w:shd w:val="clear" w:color="auto" w:fill="FFFFFF"/>
          <w:lang w:val="en-GB"/>
        </w:rPr>
      </w:pPr>
    </w:p>
    <w:p w14:paraId="6B2C5EA1" w14:textId="63E065FA" w:rsidR="00CB6084" w:rsidRPr="004829B9" w:rsidRDefault="00980EA5" w:rsidP="00CB6084">
      <w:pPr>
        <w:rPr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t xml:space="preserve">The biggest number </w:t>
      </w:r>
      <w:r w:rsidR="00CB6084" w:rsidRPr="004829B9">
        <w:rPr>
          <w:szCs w:val="19"/>
          <w:shd w:val="clear" w:color="auto" w:fill="FFFFFF"/>
          <w:lang w:val="en-GB"/>
        </w:rPr>
        <w:t>of dwellings for which permits have been granted or which have been registered with a construction project and in which construction has begun</w:t>
      </w:r>
      <w:r w:rsidR="002C1E44">
        <w:rPr>
          <w:szCs w:val="19"/>
          <w:shd w:val="clear" w:color="auto" w:fill="FFFFFF"/>
          <w:lang w:val="en-GB"/>
        </w:rPr>
        <w:t xml:space="preserve"> as well as</w:t>
      </w:r>
      <w:r w:rsidR="0028261A">
        <w:rPr>
          <w:szCs w:val="19"/>
          <w:shd w:val="clear" w:color="auto" w:fill="FFFFFF"/>
          <w:lang w:val="en-GB"/>
        </w:rPr>
        <w:t xml:space="preserve"> dwellings</w:t>
      </w:r>
      <w:r w:rsidR="002C1E44">
        <w:rPr>
          <w:szCs w:val="19"/>
          <w:shd w:val="clear" w:color="auto" w:fill="FFFFFF"/>
          <w:lang w:val="en-GB"/>
        </w:rPr>
        <w:t xml:space="preserve"> completed,</w:t>
      </w:r>
      <w:r w:rsidR="00CB6084" w:rsidRPr="004829B9">
        <w:rPr>
          <w:szCs w:val="19"/>
          <w:shd w:val="clear" w:color="auto" w:fill="FFFFFF"/>
          <w:lang w:val="en-GB"/>
        </w:rPr>
        <w:t xml:space="preserve"> in </w:t>
      </w:r>
      <w:r w:rsidR="00F342E0" w:rsidRPr="004829B9">
        <w:rPr>
          <w:szCs w:val="19"/>
          <w:shd w:val="clear" w:color="auto" w:fill="FFFFFF"/>
          <w:lang w:val="en-GB"/>
        </w:rPr>
        <w:t>the period of </w:t>
      </w:r>
      <w:r w:rsidR="00B4601E" w:rsidRPr="004829B9">
        <w:rPr>
          <w:szCs w:val="19"/>
          <w:shd w:val="clear" w:color="auto" w:fill="FFFFFF"/>
          <w:lang w:val="en-GB"/>
        </w:rPr>
        <w:t>January</w:t>
      </w:r>
      <w:r w:rsidR="00F75655" w:rsidRPr="004829B9">
        <w:rPr>
          <w:szCs w:val="19"/>
          <w:shd w:val="clear" w:color="auto" w:fill="FFFFFF"/>
          <w:lang w:val="en-GB"/>
        </w:rPr>
        <w:t>-</w:t>
      </w:r>
      <w:r w:rsidR="002C1E44">
        <w:rPr>
          <w:szCs w:val="19"/>
          <w:shd w:val="clear" w:color="auto" w:fill="FFFFFF"/>
          <w:lang w:val="en-GB"/>
        </w:rPr>
        <w:t>April</w:t>
      </w:r>
      <w:r w:rsidR="00A84818" w:rsidRPr="004829B9">
        <w:rPr>
          <w:szCs w:val="19"/>
          <w:shd w:val="clear" w:color="auto" w:fill="FFFFFF"/>
          <w:lang w:val="en-GB"/>
        </w:rPr>
        <w:t xml:space="preserve"> </w:t>
      </w:r>
      <w:r w:rsidR="00B4601E" w:rsidRPr="004829B9">
        <w:rPr>
          <w:szCs w:val="19"/>
          <w:shd w:val="clear" w:color="auto" w:fill="FFFFFF"/>
          <w:lang w:val="en-GB"/>
        </w:rPr>
        <w:t>2020</w:t>
      </w:r>
      <w:r w:rsidR="002C1E44">
        <w:rPr>
          <w:szCs w:val="19"/>
          <w:shd w:val="clear" w:color="auto" w:fill="FFFFFF"/>
          <w:lang w:val="en-GB"/>
        </w:rPr>
        <w:t>,</w:t>
      </w:r>
      <w:r w:rsidR="00CB6084" w:rsidRPr="004829B9">
        <w:rPr>
          <w:szCs w:val="19"/>
          <w:shd w:val="clear" w:color="auto" w:fill="FFFFFF"/>
          <w:lang w:val="en-GB"/>
        </w:rPr>
        <w:t xml:space="preserve"> was recorded </w:t>
      </w:r>
      <w:r w:rsidR="003A358E" w:rsidRPr="004829B9">
        <w:rPr>
          <w:szCs w:val="19"/>
          <w:shd w:val="clear" w:color="auto" w:fill="FFFFFF"/>
          <w:lang w:val="en-GB"/>
        </w:rPr>
        <w:t xml:space="preserve">in </w:t>
      </w:r>
      <w:proofErr w:type="spellStart"/>
      <w:r w:rsidR="003A358E" w:rsidRPr="004829B9">
        <w:rPr>
          <w:szCs w:val="19"/>
          <w:shd w:val="clear" w:color="auto" w:fill="FFFFFF"/>
          <w:lang w:val="en-GB"/>
        </w:rPr>
        <w:t>M</w:t>
      </w:r>
      <w:r w:rsidR="00CB6084" w:rsidRPr="004829B9">
        <w:rPr>
          <w:szCs w:val="19"/>
          <w:shd w:val="clear" w:color="auto" w:fill="FFFFFF"/>
          <w:lang w:val="en-GB"/>
        </w:rPr>
        <w:t>azowieckie</w:t>
      </w:r>
      <w:proofErr w:type="spellEnd"/>
      <w:r w:rsidR="006D5A05" w:rsidRPr="004829B9">
        <w:rPr>
          <w:szCs w:val="19"/>
          <w:shd w:val="clear" w:color="auto" w:fill="FFFFFF"/>
          <w:lang w:val="en-GB"/>
        </w:rPr>
        <w:t xml:space="preserve"> voivodship (</w:t>
      </w:r>
      <w:r w:rsidR="002C1E44">
        <w:rPr>
          <w:szCs w:val="19"/>
          <w:shd w:val="clear" w:color="auto" w:fill="FFFFFF"/>
          <w:lang w:val="en-GB"/>
        </w:rPr>
        <w:t>respectively</w:t>
      </w:r>
      <w:r w:rsidR="00133F23">
        <w:rPr>
          <w:szCs w:val="19"/>
          <w:shd w:val="clear" w:color="auto" w:fill="FFFFFF"/>
          <w:lang w:val="en-GB"/>
        </w:rPr>
        <w:t xml:space="preserve"> </w:t>
      </w:r>
      <w:r w:rsidR="002C1E44">
        <w:rPr>
          <w:szCs w:val="19"/>
          <w:shd w:val="clear" w:color="auto" w:fill="FFFFFF"/>
          <w:lang w:val="en-GB"/>
        </w:rPr>
        <w:t>13.1</w:t>
      </w:r>
      <w:r w:rsidR="00A84818" w:rsidRPr="004829B9">
        <w:rPr>
          <w:szCs w:val="19"/>
          <w:shd w:val="clear" w:color="auto" w:fill="FFFFFF"/>
          <w:lang w:val="en-GB"/>
        </w:rPr>
        <w:t xml:space="preserve"> thous</w:t>
      </w:r>
      <w:r w:rsidR="00133F23">
        <w:rPr>
          <w:szCs w:val="19"/>
          <w:shd w:val="clear" w:color="auto" w:fill="FFFFFF"/>
          <w:lang w:val="en-GB"/>
        </w:rPr>
        <w:t>and</w:t>
      </w:r>
      <w:r w:rsidR="002C1E44">
        <w:rPr>
          <w:szCs w:val="19"/>
          <w:shd w:val="clear" w:color="auto" w:fill="FFFFFF"/>
          <w:lang w:val="en-GB"/>
        </w:rPr>
        <w:t>, 13.0</w:t>
      </w:r>
      <w:r w:rsidR="002C1E44" w:rsidRPr="002C1E44">
        <w:rPr>
          <w:szCs w:val="19"/>
          <w:shd w:val="clear" w:color="auto" w:fill="FFFFFF"/>
          <w:lang w:val="en-GB"/>
        </w:rPr>
        <w:t xml:space="preserve"> thousand</w:t>
      </w:r>
      <w:r w:rsidR="002C1E44">
        <w:rPr>
          <w:szCs w:val="19"/>
          <w:shd w:val="clear" w:color="auto" w:fill="FFFFFF"/>
          <w:lang w:val="en-GB"/>
        </w:rPr>
        <w:t xml:space="preserve"> and 12.0 </w:t>
      </w:r>
      <w:r w:rsidR="002C1E44" w:rsidRPr="002C1E44">
        <w:rPr>
          <w:szCs w:val="19"/>
          <w:shd w:val="clear" w:color="auto" w:fill="FFFFFF"/>
          <w:lang w:val="en-GB"/>
        </w:rPr>
        <w:t>thousand</w:t>
      </w:r>
      <w:r w:rsidR="00E873C8" w:rsidRPr="004829B9">
        <w:rPr>
          <w:szCs w:val="19"/>
          <w:shd w:val="clear" w:color="auto" w:fill="FFFFFF"/>
          <w:lang w:val="en-GB"/>
        </w:rPr>
        <w:t>)</w:t>
      </w:r>
      <w:r w:rsidR="000401D6" w:rsidRPr="004829B9">
        <w:rPr>
          <w:szCs w:val="19"/>
          <w:shd w:val="clear" w:color="auto" w:fill="FFFFFF"/>
          <w:lang w:val="en-GB"/>
        </w:rPr>
        <w:t xml:space="preserve"> and </w:t>
      </w:r>
      <w:proofErr w:type="spellStart"/>
      <w:r w:rsidR="00244842" w:rsidRPr="004829B9">
        <w:rPr>
          <w:szCs w:val="19"/>
          <w:shd w:val="clear" w:color="auto" w:fill="FFFFFF"/>
          <w:lang w:val="en-GB"/>
        </w:rPr>
        <w:t>Wielkopolskie</w:t>
      </w:r>
      <w:proofErr w:type="spellEnd"/>
      <w:r w:rsidR="00244842" w:rsidRPr="004829B9">
        <w:rPr>
          <w:szCs w:val="19"/>
          <w:shd w:val="clear" w:color="auto" w:fill="FFFFFF"/>
          <w:lang w:val="en-GB"/>
        </w:rPr>
        <w:t xml:space="preserve"> voivodship (</w:t>
      </w:r>
      <w:r w:rsidR="002C1E44">
        <w:rPr>
          <w:szCs w:val="19"/>
          <w:shd w:val="clear" w:color="auto" w:fill="FFFFFF"/>
          <w:lang w:val="en-GB"/>
        </w:rPr>
        <w:t>8.2</w:t>
      </w:r>
      <w:r w:rsidR="00273A1F">
        <w:rPr>
          <w:szCs w:val="19"/>
          <w:shd w:val="clear" w:color="auto" w:fill="FFFFFF"/>
          <w:lang w:val="en-GB"/>
        </w:rPr>
        <w:t> </w:t>
      </w:r>
      <w:r w:rsidR="00681EA6"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="002C1E44">
        <w:rPr>
          <w:szCs w:val="19"/>
          <w:shd w:val="clear" w:color="auto" w:fill="FFFFFF"/>
          <w:lang w:val="en-GB"/>
        </w:rPr>
        <w:t>, 7.4</w:t>
      </w:r>
      <w:r w:rsidR="00244842" w:rsidRPr="004829B9">
        <w:rPr>
          <w:szCs w:val="19"/>
          <w:shd w:val="clear" w:color="auto" w:fill="FFFFFF"/>
          <w:lang w:val="en-GB"/>
        </w:rPr>
        <w:t xml:space="preserve"> thous</w:t>
      </w:r>
      <w:r w:rsidR="00133F23">
        <w:rPr>
          <w:szCs w:val="19"/>
          <w:shd w:val="clear" w:color="auto" w:fill="FFFFFF"/>
          <w:lang w:val="en-GB"/>
        </w:rPr>
        <w:t>and</w:t>
      </w:r>
      <w:r w:rsidR="002C1E44">
        <w:rPr>
          <w:szCs w:val="19"/>
          <w:shd w:val="clear" w:color="auto" w:fill="FFFFFF"/>
          <w:lang w:val="en-GB"/>
        </w:rPr>
        <w:t xml:space="preserve"> and 7.0 </w:t>
      </w:r>
      <w:r w:rsidR="002C1E44" w:rsidRPr="002C1E44">
        <w:rPr>
          <w:szCs w:val="19"/>
          <w:shd w:val="clear" w:color="auto" w:fill="FFFFFF"/>
          <w:lang w:val="en-GB"/>
        </w:rPr>
        <w:t>thousand</w:t>
      </w:r>
      <w:r w:rsidR="000401D6" w:rsidRPr="004829B9">
        <w:rPr>
          <w:szCs w:val="19"/>
          <w:shd w:val="clear" w:color="auto" w:fill="FFFFFF"/>
          <w:lang w:val="en-GB"/>
        </w:rPr>
        <w:t>)</w:t>
      </w:r>
      <w:r w:rsidR="002C1E44">
        <w:rPr>
          <w:szCs w:val="19"/>
          <w:shd w:val="clear" w:color="auto" w:fill="FFFFFF"/>
          <w:lang w:val="en-GB"/>
        </w:rPr>
        <w:t>.</w:t>
      </w:r>
    </w:p>
    <w:p w14:paraId="20372666" w14:textId="34897D39" w:rsidR="00C60835" w:rsidRPr="004829B9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F95941" w:rsidRPr="004829B9">
        <w:rPr>
          <w:color w:val="auto"/>
          <w:sz w:val="18"/>
          <w:szCs w:val="18"/>
          <w:lang w:val="en-GB"/>
        </w:rPr>
        <w:t>-</w:t>
      </w:r>
      <w:r w:rsidR="00C6337B">
        <w:rPr>
          <w:color w:val="auto"/>
          <w:sz w:val="18"/>
          <w:szCs w:val="18"/>
          <w:lang w:val="en-GB"/>
        </w:rPr>
        <w:t>April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0401D6" w:rsidRPr="004829B9">
        <w:rPr>
          <w:color w:val="auto"/>
          <w:sz w:val="18"/>
          <w:szCs w:val="18"/>
          <w:lang w:val="en-GB"/>
        </w:rPr>
        <w:t>2020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7EC8DDB5" w14:textId="1995C9BA" w:rsidR="00010A4A" w:rsidRPr="004829B9" w:rsidRDefault="00C6337B" w:rsidP="00010A4A">
      <w:pPr>
        <w:rPr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80096" behindDoc="0" locked="0" layoutInCell="1" allowOverlap="1" wp14:anchorId="061E3380" wp14:editId="542A2B82">
            <wp:simplePos x="0" y="0"/>
            <wp:positionH relativeFrom="margin">
              <wp:align>right</wp:align>
            </wp:positionH>
            <wp:positionV relativeFrom="paragraph">
              <wp:posOffset>39949</wp:posOffset>
            </wp:positionV>
            <wp:extent cx="5122545" cy="352171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7AEE73F8" w14:textId="77777777" w:rsidR="004231A6" w:rsidRPr="004829B9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28E3DDD1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8C163FB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E2571D8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D8D474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FF3760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A030C0E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1F2737E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D456CA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B66589A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7061D12D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73A2A541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1AA9CD5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94F78B6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8D6B616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01426E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02585F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A91665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70F087F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6C5A628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7844B4F" w14:textId="77777777" w:rsidR="00694AF0" w:rsidRPr="004829B9" w:rsidRDefault="00694AF0" w:rsidP="0046503D">
      <w:pPr>
        <w:rPr>
          <w:sz w:val="12"/>
          <w:szCs w:val="12"/>
          <w:lang w:val="en-GB"/>
        </w:rPr>
        <w:sectPr w:rsidR="00694AF0" w:rsidRPr="004829B9" w:rsidSect="00A05A3A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Mobile: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D46532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9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  <w:bookmarkStart w:id="0" w:name="_GoBack"/>
            <w:bookmarkEnd w:id="0"/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3A7E95" w:rsidRDefault="003A7E9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3A7E95" w:rsidRDefault="003A7E95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3A7E95" w:rsidRPr="004E377B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3A7E95" w:rsidRPr="008235EC" w:rsidRDefault="003A7E95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3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3A7E95" w:rsidRPr="005C7839" w:rsidRDefault="0002487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3A7E95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3A7E9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3A7E95" w:rsidRDefault="003A7E95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77777777" w:rsidR="003A7E95" w:rsidRPr="008235EC" w:rsidRDefault="0002487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5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3A7E95" w:rsidRDefault="0002487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3A7E95" w:rsidRDefault="003A7E95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77777777" w:rsidR="003A7E95" w:rsidRPr="008235EC" w:rsidRDefault="0002487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7" w:history="1">
                              <w:r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77777777" w:rsidR="003A7E95" w:rsidRPr="00F11843" w:rsidRDefault="0002487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r>
                              <w:fldChar w:fldCharType="begin"/>
                            </w:r>
                            <w:r w:rsidRPr="00D46532">
                              <w:rPr>
                                <w:lang w:val="en-US"/>
                              </w:rPr>
                              <w:instrText xml:space="preserve"> HYPERLINK "http://stat.gov.pl/en/metainformations/glossary/terms-used-in-official-statistics/945,term.html"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  <w:p w14:paraId="35275A7D" w14:textId="77777777" w:rsidR="003A7E95" w:rsidRPr="00F11843" w:rsidRDefault="0002487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3A7E95" w:rsidRDefault="003A7E95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3A7E95" w:rsidRPr="003B6350" w:rsidRDefault="003A7E9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FDAC" id="_x0000_s1033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oK4N6D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3A7E95" w:rsidRDefault="003A7E95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3A7E95" w:rsidRDefault="003A7E95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3A7E95" w:rsidRPr="004E377B" w:rsidRDefault="003A7E95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3A7E95" w:rsidRPr="008235EC" w:rsidRDefault="003A7E95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0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3A7E95" w:rsidRPr="005C7839" w:rsidRDefault="001C30A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3A7E95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3A7E9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3A7E95" w:rsidRDefault="003A7E95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6E678369" w14:textId="77777777" w:rsidR="003A7E95" w:rsidRPr="008235EC" w:rsidRDefault="001C30A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2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14:paraId="14295646" w14:textId="77777777" w:rsidR="003A7E95" w:rsidRDefault="001C30A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3A7E95" w:rsidRDefault="003A7E95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77777777" w:rsidR="003A7E95" w:rsidRPr="008235EC" w:rsidRDefault="001C30A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14:paraId="2F539928" w14:textId="77777777" w:rsidR="003A7E95" w:rsidRPr="00F11843" w:rsidRDefault="001C30A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6" w:history="1"/>
                    </w:p>
                    <w:p w14:paraId="35275A7D" w14:textId="77777777" w:rsidR="003A7E95" w:rsidRPr="00F11843" w:rsidRDefault="001C30AD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14:paraId="41C747C6" w14:textId="77777777" w:rsidR="003A7E95" w:rsidRDefault="003A7E95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3A7E95" w:rsidRPr="003B6350" w:rsidRDefault="003A7E9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02595CBB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77777777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C436E" w14:textId="77777777" w:rsidR="00024871" w:rsidRDefault="00024871" w:rsidP="000662E2">
      <w:pPr>
        <w:spacing w:after="0" w:line="240" w:lineRule="auto"/>
      </w:pPr>
      <w:r>
        <w:separator/>
      </w:r>
    </w:p>
  </w:endnote>
  <w:endnote w:type="continuationSeparator" w:id="0">
    <w:p w14:paraId="713F635F" w14:textId="77777777" w:rsidR="00024871" w:rsidRDefault="0002487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5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3A7E95" w:rsidRPr="007B4F73" w:rsidRDefault="003A7E95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5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3A7E95" w:rsidRPr="00CC1C7C" w:rsidRDefault="003A7E95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13ECA" w14:textId="77777777" w:rsidR="00024871" w:rsidRDefault="00024871" w:rsidP="000662E2">
      <w:pPr>
        <w:spacing w:after="0" w:line="240" w:lineRule="auto"/>
      </w:pPr>
      <w:r>
        <w:separator/>
      </w:r>
    </w:p>
  </w:footnote>
  <w:footnote w:type="continuationSeparator" w:id="0">
    <w:p w14:paraId="55AFF553" w14:textId="77777777" w:rsidR="00024871" w:rsidRDefault="00024871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3A7E95" w:rsidRPr="008C48C6" w:rsidRDefault="003A7E95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3A7E95" w:rsidRDefault="003A7E9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3A7E95" w:rsidRDefault="003A7E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3A7E95" w:rsidRDefault="003A7E9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66636CEE" w:rsidR="003A7E95" w:rsidRPr="00C97596" w:rsidRDefault="002E1E0B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22.05</w:t>
                          </w:r>
                          <w:r w:rsidR="003A7E95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66636CEE" w:rsidR="003A7E95" w:rsidRPr="00C97596" w:rsidRDefault="002E1E0B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22.05</w:t>
                    </w:r>
                    <w:r w:rsidR="003A7E95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23" name="Obraz 23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3A7E95" w:rsidRPr="003C6C8D" w:rsidRDefault="003A7E9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3A7E95" w:rsidRPr="003C6C8D" w:rsidRDefault="003A7E9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3A7E95" w:rsidRPr="00C97596" w:rsidRDefault="003A7E9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3A7E95" w:rsidRPr="00C97596" w:rsidRDefault="003A7E9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3A7E95" w:rsidRDefault="003A7E95">
    <w:pPr>
      <w:pStyle w:val="Nagwek"/>
    </w:pPr>
  </w:p>
  <w:p w14:paraId="77A82982" w14:textId="77777777" w:rsidR="003A7E95" w:rsidRDefault="003A7E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709F"/>
    <w:rsid w:val="00007996"/>
    <w:rsid w:val="00007BF9"/>
    <w:rsid w:val="00010800"/>
    <w:rsid w:val="000108B8"/>
    <w:rsid w:val="00010A4A"/>
    <w:rsid w:val="000111EC"/>
    <w:rsid w:val="00011E33"/>
    <w:rsid w:val="00013599"/>
    <w:rsid w:val="000152F5"/>
    <w:rsid w:val="000169EB"/>
    <w:rsid w:val="00024626"/>
    <w:rsid w:val="00024871"/>
    <w:rsid w:val="000271FB"/>
    <w:rsid w:val="0003236F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E65E1"/>
    <w:rsid w:val="000F1626"/>
    <w:rsid w:val="000F435D"/>
    <w:rsid w:val="000F445C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75380"/>
    <w:rsid w:val="0017779B"/>
    <w:rsid w:val="00177DD6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0AD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F1170"/>
    <w:rsid w:val="001F31BD"/>
    <w:rsid w:val="001F3686"/>
    <w:rsid w:val="001F5873"/>
    <w:rsid w:val="001F649C"/>
    <w:rsid w:val="00202E71"/>
    <w:rsid w:val="00207BF8"/>
    <w:rsid w:val="00211FA7"/>
    <w:rsid w:val="002123EA"/>
    <w:rsid w:val="00212787"/>
    <w:rsid w:val="00216F21"/>
    <w:rsid w:val="00217D5E"/>
    <w:rsid w:val="00224A09"/>
    <w:rsid w:val="00224D54"/>
    <w:rsid w:val="00237220"/>
    <w:rsid w:val="00237A99"/>
    <w:rsid w:val="00244842"/>
    <w:rsid w:val="002452B8"/>
    <w:rsid w:val="00246441"/>
    <w:rsid w:val="00254D71"/>
    <w:rsid w:val="0025542F"/>
    <w:rsid w:val="00256AD9"/>
    <w:rsid w:val="002574F9"/>
    <w:rsid w:val="00257AA4"/>
    <w:rsid w:val="002615C6"/>
    <w:rsid w:val="00261B24"/>
    <w:rsid w:val="0026524A"/>
    <w:rsid w:val="00270874"/>
    <w:rsid w:val="0027193F"/>
    <w:rsid w:val="002722B3"/>
    <w:rsid w:val="00273A1F"/>
    <w:rsid w:val="0027483D"/>
    <w:rsid w:val="0027606C"/>
    <w:rsid w:val="00276811"/>
    <w:rsid w:val="0028261A"/>
    <w:rsid w:val="00282699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6140"/>
    <w:rsid w:val="002E6985"/>
    <w:rsid w:val="002E71B6"/>
    <w:rsid w:val="002E7AB0"/>
    <w:rsid w:val="002F1F42"/>
    <w:rsid w:val="002F2E8D"/>
    <w:rsid w:val="002F77C8"/>
    <w:rsid w:val="0030115B"/>
    <w:rsid w:val="00304F22"/>
    <w:rsid w:val="00306C7C"/>
    <w:rsid w:val="00313E16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46B3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A7E95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4F95"/>
    <w:rsid w:val="003D5465"/>
    <w:rsid w:val="003D5F42"/>
    <w:rsid w:val="003D60A9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12461"/>
    <w:rsid w:val="004130B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F0C3C"/>
    <w:rsid w:val="004F4FCA"/>
    <w:rsid w:val="004F63FC"/>
    <w:rsid w:val="004F6903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5C63"/>
    <w:rsid w:val="005762A7"/>
    <w:rsid w:val="00577BDE"/>
    <w:rsid w:val="0058073C"/>
    <w:rsid w:val="00582224"/>
    <w:rsid w:val="00582ED4"/>
    <w:rsid w:val="005916AB"/>
    <w:rsid w:val="005916D7"/>
    <w:rsid w:val="005A30AB"/>
    <w:rsid w:val="005A4C6A"/>
    <w:rsid w:val="005A698C"/>
    <w:rsid w:val="005B0979"/>
    <w:rsid w:val="005B2080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187C"/>
    <w:rsid w:val="00621F5F"/>
    <w:rsid w:val="006262B3"/>
    <w:rsid w:val="006263DA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A0E22"/>
    <w:rsid w:val="006A1938"/>
    <w:rsid w:val="006A37E8"/>
    <w:rsid w:val="006A46FA"/>
    <w:rsid w:val="006B0E9E"/>
    <w:rsid w:val="006B5AE4"/>
    <w:rsid w:val="006B6187"/>
    <w:rsid w:val="006B6263"/>
    <w:rsid w:val="006B6D5F"/>
    <w:rsid w:val="006C645A"/>
    <w:rsid w:val="006D4054"/>
    <w:rsid w:val="006D5A05"/>
    <w:rsid w:val="006D5ABB"/>
    <w:rsid w:val="006D7F1E"/>
    <w:rsid w:val="006E02EC"/>
    <w:rsid w:val="006E4D66"/>
    <w:rsid w:val="006E5888"/>
    <w:rsid w:val="006E5F08"/>
    <w:rsid w:val="006E6053"/>
    <w:rsid w:val="006E6C7B"/>
    <w:rsid w:val="006F3F3D"/>
    <w:rsid w:val="006F5EF5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924"/>
    <w:rsid w:val="00741554"/>
    <w:rsid w:val="007418AC"/>
    <w:rsid w:val="00746187"/>
    <w:rsid w:val="0075636C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DC1"/>
    <w:rsid w:val="007A7D7B"/>
    <w:rsid w:val="007B0D5E"/>
    <w:rsid w:val="007B0E35"/>
    <w:rsid w:val="007B3C3F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1643"/>
    <w:rsid w:val="007E3314"/>
    <w:rsid w:val="007E4B03"/>
    <w:rsid w:val="007E58A2"/>
    <w:rsid w:val="007E7CE3"/>
    <w:rsid w:val="007F0C1A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F70"/>
    <w:rsid w:val="00891CF0"/>
    <w:rsid w:val="00893B4E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46F6"/>
    <w:rsid w:val="00905A67"/>
    <w:rsid w:val="00906857"/>
    <w:rsid w:val="00907546"/>
    <w:rsid w:val="009127BA"/>
    <w:rsid w:val="0091499D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AC7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6361"/>
    <w:rsid w:val="009B7341"/>
    <w:rsid w:val="009B7D46"/>
    <w:rsid w:val="009C0CCF"/>
    <w:rsid w:val="009C1335"/>
    <w:rsid w:val="009C1AB2"/>
    <w:rsid w:val="009C7251"/>
    <w:rsid w:val="009D2F59"/>
    <w:rsid w:val="009E13F6"/>
    <w:rsid w:val="009E1F94"/>
    <w:rsid w:val="009E2E91"/>
    <w:rsid w:val="009E3371"/>
    <w:rsid w:val="009E6202"/>
    <w:rsid w:val="009F0127"/>
    <w:rsid w:val="009F16E7"/>
    <w:rsid w:val="009F1C77"/>
    <w:rsid w:val="009F1CDB"/>
    <w:rsid w:val="009F200F"/>
    <w:rsid w:val="009F686F"/>
    <w:rsid w:val="00A00C56"/>
    <w:rsid w:val="00A01686"/>
    <w:rsid w:val="00A02ED8"/>
    <w:rsid w:val="00A05A3A"/>
    <w:rsid w:val="00A05EE7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21F6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A05AC"/>
    <w:rsid w:val="00AA087A"/>
    <w:rsid w:val="00AA22EE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36BF"/>
    <w:rsid w:val="00B0456F"/>
    <w:rsid w:val="00B106B0"/>
    <w:rsid w:val="00B11740"/>
    <w:rsid w:val="00B130CA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601E"/>
    <w:rsid w:val="00B465A7"/>
    <w:rsid w:val="00B519FF"/>
    <w:rsid w:val="00B53935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C4AAD"/>
    <w:rsid w:val="00BC514E"/>
    <w:rsid w:val="00BC70F1"/>
    <w:rsid w:val="00BD1D77"/>
    <w:rsid w:val="00BD2577"/>
    <w:rsid w:val="00BD4E33"/>
    <w:rsid w:val="00BD5740"/>
    <w:rsid w:val="00BD5F7F"/>
    <w:rsid w:val="00BD601A"/>
    <w:rsid w:val="00BD6924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5C8B"/>
    <w:rsid w:val="00C16ABB"/>
    <w:rsid w:val="00C175B6"/>
    <w:rsid w:val="00C202E0"/>
    <w:rsid w:val="00C20CA7"/>
    <w:rsid w:val="00C21FA8"/>
    <w:rsid w:val="00C22105"/>
    <w:rsid w:val="00C22EA2"/>
    <w:rsid w:val="00C230EE"/>
    <w:rsid w:val="00C244B6"/>
    <w:rsid w:val="00C35DEE"/>
    <w:rsid w:val="00C3702F"/>
    <w:rsid w:val="00C40F4B"/>
    <w:rsid w:val="00C41764"/>
    <w:rsid w:val="00C45997"/>
    <w:rsid w:val="00C47820"/>
    <w:rsid w:val="00C47CE4"/>
    <w:rsid w:val="00C52C74"/>
    <w:rsid w:val="00C5434F"/>
    <w:rsid w:val="00C57EF3"/>
    <w:rsid w:val="00C60835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8094E"/>
    <w:rsid w:val="00C82362"/>
    <w:rsid w:val="00C84740"/>
    <w:rsid w:val="00C84D08"/>
    <w:rsid w:val="00C91687"/>
    <w:rsid w:val="00C924A8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E124B"/>
    <w:rsid w:val="00CE66F6"/>
    <w:rsid w:val="00CF0172"/>
    <w:rsid w:val="00CF140B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D1D64"/>
    <w:rsid w:val="00DD20E2"/>
    <w:rsid w:val="00DD21A2"/>
    <w:rsid w:val="00DE4176"/>
    <w:rsid w:val="00DE6865"/>
    <w:rsid w:val="00DE7D23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3337"/>
    <w:rsid w:val="00E245E1"/>
    <w:rsid w:val="00E24F07"/>
    <w:rsid w:val="00E24FC4"/>
    <w:rsid w:val="00E259EA"/>
    <w:rsid w:val="00E27154"/>
    <w:rsid w:val="00E31232"/>
    <w:rsid w:val="00E32061"/>
    <w:rsid w:val="00E322C8"/>
    <w:rsid w:val="00E34610"/>
    <w:rsid w:val="00E3705B"/>
    <w:rsid w:val="00E42FF9"/>
    <w:rsid w:val="00E43169"/>
    <w:rsid w:val="00E457ED"/>
    <w:rsid w:val="00E4714C"/>
    <w:rsid w:val="00E51AEB"/>
    <w:rsid w:val="00E522A7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73C8"/>
    <w:rsid w:val="00E90AC0"/>
    <w:rsid w:val="00E928D6"/>
    <w:rsid w:val="00E94640"/>
    <w:rsid w:val="00EA20F6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55C0"/>
    <w:rsid w:val="00ED682B"/>
    <w:rsid w:val="00ED7983"/>
    <w:rsid w:val="00EE373E"/>
    <w:rsid w:val="00EE41D5"/>
    <w:rsid w:val="00EF3597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C8F"/>
    <w:rsid w:val="00F300D6"/>
    <w:rsid w:val="00F32749"/>
    <w:rsid w:val="00F342E0"/>
    <w:rsid w:val="00F35AD5"/>
    <w:rsid w:val="00F37172"/>
    <w:rsid w:val="00F37480"/>
    <w:rsid w:val="00F374DC"/>
    <w:rsid w:val="00F43757"/>
    <w:rsid w:val="00F4477E"/>
    <w:rsid w:val="00F46B76"/>
    <w:rsid w:val="00F52D79"/>
    <w:rsid w:val="00F54505"/>
    <w:rsid w:val="00F55F41"/>
    <w:rsid w:val="00F56F73"/>
    <w:rsid w:val="00F57745"/>
    <w:rsid w:val="00F6158E"/>
    <w:rsid w:val="00F64AC1"/>
    <w:rsid w:val="00F67D8F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5941"/>
    <w:rsid w:val="00FA3953"/>
    <w:rsid w:val="00FA5128"/>
    <w:rsid w:val="00FA544B"/>
    <w:rsid w:val="00FA54FD"/>
    <w:rsid w:val="00FA6239"/>
    <w:rsid w:val="00FA68FD"/>
    <w:rsid w:val="00FB0592"/>
    <w:rsid w:val="00FB4188"/>
    <w:rsid w:val="00FB42D4"/>
    <w:rsid w:val="00FB58A3"/>
    <w:rsid w:val="00FB5906"/>
    <w:rsid w:val="00FB762F"/>
    <w:rsid w:val="00FC2AED"/>
    <w:rsid w:val="00FD0C2F"/>
    <w:rsid w:val="00FD1099"/>
    <w:rsid w:val="00FD5EA7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start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s://stat.gov.pl/en/metainformations/glossary/terms-used-in-official-statistics/3763,term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1.emf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Budownictwo.aspx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2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topics/industry-construction-fixed-assets/construction/publikacja,1.html" TargetMode="External"/><Relationship Id="rId32" Type="http://schemas.openxmlformats.org/officeDocument/2006/relationships/hyperlink" Target="http://swaid.stat.gov.pl/EN/SitePagesDBW/Budownictwo.aspx" TargetMode="External"/><Relationship Id="rId37" Type="http://schemas.openxmlformats.org/officeDocument/2006/relationships/hyperlink" Target="http://stat.gov.pl/en/metainformations/glossary/terms-used-in-official-statistics/201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publikacja,1.html" TargetMode="External"/><Relationship Id="rId28" Type="http://schemas.openxmlformats.org/officeDocument/2006/relationships/hyperlink" Target="http://stat.gov.pl/en/metainformations/glossary/terms-used-in-official-statistics/945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stat.gov.pl/en/metainformations/glossary/terms-used-in-official-statistics/3763,term.html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0613457011717133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Arkusz1!$B$2:$BA$3</c:f>
              <c:multiLvlStrCache>
                <c:ptCount val="5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Arkusz1!$B$4:$BA$4</c:f>
              <c:numCache>
                <c:formatCode>General</c:formatCode>
                <c:ptCount val="52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17409</c:v>
                </c:pt>
                <c:pt idx="49">
                  <c:v>16050</c:v>
                </c:pt>
                <c:pt idx="50">
                  <c:v>16064</c:v>
                </c:pt>
                <c:pt idx="51">
                  <c:v>13722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Arkusz1!$B$2:$BA$3</c:f>
              <c:multiLvlStrCache>
                <c:ptCount val="5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Arkusz1!$B$16:$BA$16</c:f>
              <c:numCache>
                <c:formatCode>General</c:formatCode>
                <c:ptCount val="52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>
                  <c:v>21802</c:v>
                </c:pt>
                <c:pt idx="51">
                  <c:v>16758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Arkusz1!$B$2:$BA$3</c:f>
              <c:multiLvlStrCache>
                <c:ptCount val="5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Arkusz1!$B$10:$BA$10</c:f>
              <c:numCache>
                <c:formatCode>General</c:formatCode>
                <c:ptCount val="52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09303440"/>
        <c:axId val="-709308336"/>
      </c:lineChart>
      <c:catAx>
        <c:axId val="-70930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930833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70930833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9303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4792363951902812E-3"/>
          <c:y val="0.78057568095169472"/>
          <c:w val="0.91641147125110667"/>
          <c:h val="0.176833012346002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1095</c:v>
                </c:pt>
                <c:pt idx="1">
                  <c:v>1134</c:v>
                </c:pt>
                <c:pt idx="2">
                  <c:v>1444</c:v>
                </c:pt>
                <c:pt idx="3">
                  <c:v>2457</c:v>
                </c:pt>
                <c:pt idx="4">
                  <c:v>2000</c:v>
                </c:pt>
                <c:pt idx="5">
                  <c:v>2788</c:v>
                </c:pt>
                <c:pt idx="6">
                  <c:v>3430</c:v>
                </c:pt>
                <c:pt idx="7">
                  <c:v>3794</c:v>
                </c:pt>
                <c:pt idx="8">
                  <c:v>2784</c:v>
                </c:pt>
                <c:pt idx="9">
                  <c:v>3765</c:v>
                </c:pt>
                <c:pt idx="10">
                  <c:v>5832</c:v>
                </c:pt>
                <c:pt idx="11">
                  <c:v>4341</c:v>
                </c:pt>
                <c:pt idx="12">
                  <c:v>5541</c:v>
                </c:pt>
                <c:pt idx="13">
                  <c:v>5430</c:v>
                </c:pt>
                <c:pt idx="14">
                  <c:v>7375</c:v>
                </c:pt>
                <c:pt idx="15">
                  <c:v>12980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1188</c:v>
                </c:pt>
                <c:pt idx="1">
                  <c:v>1465</c:v>
                </c:pt>
                <c:pt idx="2">
                  <c:v>2035</c:v>
                </c:pt>
                <c:pt idx="3">
                  <c:v>2375</c:v>
                </c:pt>
                <c:pt idx="4">
                  <c:v>1960</c:v>
                </c:pt>
                <c:pt idx="5">
                  <c:v>2467</c:v>
                </c:pt>
                <c:pt idx="6">
                  <c:v>3569</c:v>
                </c:pt>
                <c:pt idx="7">
                  <c:v>4727</c:v>
                </c:pt>
                <c:pt idx="8">
                  <c:v>3738</c:v>
                </c:pt>
                <c:pt idx="9">
                  <c:v>4399</c:v>
                </c:pt>
                <c:pt idx="10">
                  <c:v>6460</c:v>
                </c:pt>
                <c:pt idx="11">
                  <c:v>6463</c:v>
                </c:pt>
                <c:pt idx="12">
                  <c:v>7692</c:v>
                </c:pt>
                <c:pt idx="13">
                  <c:v>6036</c:v>
                </c:pt>
                <c:pt idx="14">
                  <c:v>8225</c:v>
                </c:pt>
                <c:pt idx="15">
                  <c:v>13051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784</c:v>
                </c:pt>
                <c:pt idx="1">
                  <c:v>1100</c:v>
                </c:pt>
                <c:pt idx="2">
                  <c:v>1371</c:v>
                </c:pt>
                <c:pt idx="3">
                  <c:v>1713</c:v>
                </c:pt>
                <c:pt idx="4">
                  <c:v>1988</c:v>
                </c:pt>
                <c:pt idx="5">
                  <c:v>2312</c:v>
                </c:pt>
                <c:pt idx="6">
                  <c:v>2455</c:v>
                </c:pt>
                <c:pt idx="7">
                  <c:v>2740</c:v>
                </c:pt>
                <c:pt idx="8">
                  <c:v>2944</c:v>
                </c:pt>
                <c:pt idx="9">
                  <c:v>3509</c:v>
                </c:pt>
                <c:pt idx="10">
                  <c:v>4949</c:v>
                </c:pt>
                <c:pt idx="11">
                  <c:v>5392</c:v>
                </c:pt>
                <c:pt idx="12">
                  <c:v>6433</c:v>
                </c:pt>
                <c:pt idx="13">
                  <c:v>6640</c:v>
                </c:pt>
                <c:pt idx="14">
                  <c:v>6964</c:v>
                </c:pt>
                <c:pt idx="15">
                  <c:v>11951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709306704"/>
        <c:axId val="-709310512"/>
      </c:barChart>
      <c:catAx>
        <c:axId val="-7093067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709310512"/>
        <c:crosses val="autoZero"/>
        <c:auto val="1"/>
        <c:lblAlgn val="ctr"/>
        <c:lblOffset val="100"/>
        <c:noMultiLvlLbl val="0"/>
      </c:catAx>
      <c:valAx>
        <c:axId val="-709310512"/>
        <c:scaling>
          <c:orientation val="minMax"/>
          <c:max val="14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709306704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07612719849216"/>
          <c:y val="0.83253646665966252"/>
          <c:w val="0.83688211129506873"/>
          <c:h val="0.139738081784133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F622FFD9-91C9-4512-A791-B692D83F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 2020</vt:lpstr>
    </vt:vector>
  </TitlesOfParts>
  <Company>Statistics Poland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 2020</dc:title>
  <dc:subject>Residential construction in January 2020</dc:subject>
  <cp:keywords>dwellings completed; dwellings under construction; dwellings started; building permit; useful floor area</cp:keywords>
  <cp:lastPrinted>2020-04-22T08:53:00Z</cp:lastPrinted>
  <dcterms:created xsi:type="dcterms:W3CDTF">2020-05-21T07:23:00Z</dcterms:created>
  <dcterms:modified xsi:type="dcterms:W3CDTF">2020-05-21T09:55:00Z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