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77777777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2B6593" w:rsidRPr="004829B9">
        <w:rPr>
          <w:szCs w:val="32"/>
          <w:lang w:val="en-GB"/>
        </w:rPr>
        <w:t>I-II</w:t>
      </w:r>
      <w:r w:rsidR="00EF3597" w:rsidRPr="004829B9">
        <w:rPr>
          <w:szCs w:val="32"/>
          <w:lang w:val="en-GB"/>
        </w:rPr>
        <w:t>I</w:t>
      </w:r>
      <w:r w:rsidR="001F1170" w:rsidRPr="004829B9">
        <w:rPr>
          <w:szCs w:val="32"/>
          <w:lang w:val="en-GB"/>
        </w:rPr>
        <w:t xml:space="preserve"> </w:t>
      </w:r>
      <w:r w:rsidR="008B2394" w:rsidRPr="004829B9">
        <w:rPr>
          <w:szCs w:val="32"/>
          <w:shd w:val="clear" w:color="auto" w:fill="FFFFFF"/>
          <w:lang w:val="en-GB"/>
        </w:rPr>
        <w:t>2020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3A7E95" w:rsidRPr="004466B1" w:rsidRDefault="003A7E95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3A7E95" w:rsidRPr="004466B1" w:rsidRDefault="003A7E95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1F17AFBF" w:rsidR="00095A18" w:rsidRPr="004829B9" w:rsidRDefault="005F302D" w:rsidP="00896EB9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3A7E95" w:rsidRPr="00612A93" w:rsidRDefault="003A7E9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3A7E95" w:rsidRPr="00F64AC1" w:rsidRDefault="003A7E9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3A7E95" w:rsidRPr="00612A93" w:rsidRDefault="003A7E9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="003A7E95" w:rsidRPr="00F64AC1" w:rsidRDefault="003A7E9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77777777" w:rsidR="003A7E95" w:rsidRPr="002C751B" w:rsidRDefault="003A7E95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3FE3E93" wp14:editId="2BB3801E">
                                  <wp:extent cx="420897" cy="384838"/>
                                  <wp:effectExtent l="19050" t="19050" r="0" b="0"/>
                                  <wp:docPr id="2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C751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104.4</w:t>
                            </w:r>
                          </w:p>
                          <w:p w14:paraId="4A535B62" w14:textId="01E52BCE" w:rsidR="003A7E95" w:rsidRPr="002C751B" w:rsidRDefault="003A7E95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number of 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  <w:r w:rsidR="00E063B9">
                              <w:rPr>
                                <w:lang w:val="en-US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CAA2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77777777" w:rsidR="003A7E95" w:rsidRPr="002C751B" w:rsidRDefault="003A7E95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3FE3E93" wp14:editId="2BB3801E">
                            <wp:extent cx="420897" cy="384838"/>
                            <wp:effectExtent l="19050" t="19050" r="0" b="0"/>
                            <wp:docPr id="2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C751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104.4</w:t>
                      </w:r>
                    </w:p>
                    <w:p w14:paraId="4A535B62" w14:textId="01E52BCE" w:rsidR="003A7E95" w:rsidRPr="002C751B" w:rsidRDefault="003A7E95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number of 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  <w:r w:rsidR="00E063B9">
                        <w:rPr>
                          <w:lang w:val="en-US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4829B9">
        <w:rPr>
          <w:lang w:val="en-GB"/>
        </w:rPr>
        <w:t xml:space="preserve">In </w:t>
      </w:r>
      <w:r w:rsidR="002B6593" w:rsidRPr="004829B9">
        <w:rPr>
          <w:lang w:val="en-GB"/>
        </w:rPr>
        <w:t xml:space="preserve">the first </w:t>
      </w:r>
      <w:r w:rsidR="00EF3597" w:rsidRPr="004829B9">
        <w:rPr>
          <w:lang w:val="en-GB"/>
        </w:rPr>
        <w:t>three</w:t>
      </w:r>
      <w:r w:rsidR="002B6593" w:rsidRPr="004829B9">
        <w:rPr>
          <w:lang w:val="en-GB"/>
        </w:rPr>
        <w:t xml:space="preserve"> month</w:t>
      </w:r>
      <w:r w:rsidR="00954AC7" w:rsidRPr="004829B9">
        <w:rPr>
          <w:lang w:val="en-GB"/>
        </w:rPr>
        <w:t>s</w:t>
      </w:r>
      <w:r w:rsidR="002B6593" w:rsidRPr="004829B9">
        <w:rPr>
          <w:lang w:val="en-GB"/>
        </w:rPr>
        <w:t xml:space="preserve"> of</w:t>
      </w:r>
      <w:r w:rsidR="008B2394" w:rsidRPr="004829B9">
        <w:rPr>
          <w:lang w:val="en-GB"/>
        </w:rPr>
        <w:t xml:space="preserve"> 2020</w:t>
      </w:r>
      <w:r w:rsidR="004829B9">
        <w:rPr>
          <w:lang w:val="en-GB"/>
        </w:rPr>
        <w:t>,</w:t>
      </w:r>
      <w:r w:rsidR="00AD1492" w:rsidRPr="004829B9">
        <w:rPr>
          <w:lang w:val="en-GB"/>
        </w:rPr>
        <w:t xml:space="preserve"> there were more dwellings completed than the year before. </w:t>
      </w:r>
      <w:r w:rsidR="00095A18" w:rsidRPr="004829B9">
        <w:rPr>
          <w:lang w:val="en-GB"/>
        </w:rPr>
        <w:t>The number of dwellings</w:t>
      </w:r>
      <w:r w:rsidR="00EF3597" w:rsidRPr="004829B9">
        <w:rPr>
          <w:lang w:val="en-GB"/>
        </w:rPr>
        <w:t xml:space="preserve"> for which permits have been granted or which have been registered with a construction project also increased</w:t>
      </w:r>
      <w:r w:rsidR="008B2394" w:rsidRPr="004829B9">
        <w:rPr>
          <w:lang w:val="en-GB"/>
        </w:rPr>
        <w:t xml:space="preserve">, whereas </w:t>
      </w:r>
      <w:r w:rsidR="003C0487" w:rsidRPr="004829B9">
        <w:rPr>
          <w:lang w:val="en-GB"/>
        </w:rPr>
        <w:t xml:space="preserve">the number of dwellings </w:t>
      </w:r>
      <w:r w:rsidR="00EF3597" w:rsidRPr="004829B9">
        <w:rPr>
          <w:lang w:val="en-GB"/>
        </w:rPr>
        <w:t xml:space="preserve"> in which construction has begun d</w:t>
      </w:r>
      <w:r w:rsidR="008B2394" w:rsidRPr="004829B9">
        <w:rPr>
          <w:lang w:val="en-GB"/>
        </w:rPr>
        <w:t>e</w:t>
      </w:r>
      <w:r w:rsidR="003C0487" w:rsidRPr="004829B9">
        <w:rPr>
          <w:lang w:val="en-GB"/>
        </w:rPr>
        <w:t>creased</w:t>
      </w:r>
      <w:r w:rsidR="003C0487" w:rsidRPr="004829B9">
        <w:rPr>
          <w:spacing w:val="-4"/>
          <w:shd w:val="clear" w:color="auto" w:fill="FFFFFF"/>
          <w:lang w:val="en-GB"/>
        </w:rPr>
        <w:t>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77777777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77777777" w:rsidR="00C733A3" w:rsidRPr="004829B9" w:rsidRDefault="00B407E7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0C27F2EF">
                <wp:simplePos x="0" y="0"/>
                <wp:positionH relativeFrom="page">
                  <wp:posOffset>5689600</wp:posOffset>
                </wp:positionH>
                <wp:positionV relativeFrom="paragraph">
                  <wp:posOffset>105410</wp:posOffset>
                </wp:positionV>
                <wp:extent cx="1809115" cy="990600"/>
                <wp:effectExtent l="0" t="0" r="0" b="0"/>
                <wp:wrapTight wrapText="bothSides">
                  <wp:wrapPolygon edited="0">
                    <wp:start x="682" y="0"/>
                    <wp:lineTo x="682" y="21185"/>
                    <wp:lineTo x="20698" y="21185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69E04139" w:rsidR="003A7E95" w:rsidRPr="00AD1492" w:rsidRDefault="003A7E95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completed 61.4% of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lang w:val="en-US"/>
                              </w:rPr>
                              <w:t xml:space="preserve">total number of dwellings, i.e.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by </w:t>
                            </w:r>
                            <w:r>
                              <w:rPr>
                                <w:lang w:val="en-US"/>
                              </w:rPr>
                              <w:t xml:space="preserve">0.7 percentage points more than in </w:t>
                            </w:r>
                            <w:r w:rsidR="00954AC7">
                              <w:rPr>
                                <w:lang w:val="en-US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9" type="#_x0000_t202" style="position:absolute;left:0;text-align:left;margin-left:448pt;margin-top:8.3pt;width:142.4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" filled="f" stroked="f">
                <v:textbox>
                  <w:txbxContent>
                    <w:p w14:paraId="55217834" w14:textId="69E04139" w:rsidR="003A7E95" w:rsidRPr="00AD1492" w:rsidRDefault="003A7E95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completed 61.4% of </w:t>
                      </w:r>
                      <w:r w:rsidR="000348CC">
                        <w:rPr>
                          <w:lang w:val="en-US"/>
                        </w:rPr>
                        <w:t xml:space="preserve">the </w:t>
                      </w:r>
                      <w:r>
                        <w:rPr>
                          <w:lang w:val="en-US"/>
                        </w:rPr>
                        <w:t xml:space="preserve">total number of dwellings, i.e. </w:t>
                      </w:r>
                      <w:r w:rsidR="000348CC">
                        <w:rPr>
                          <w:lang w:val="en-US"/>
                        </w:rPr>
                        <w:t xml:space="preserve">by </w:t>
                      </w:r>
                      <w:r>
                        <w:rPr>
                          <w:lang w:val="en-US"/>
                        </w:rPr>
                        <w:t xml:space="preserve">0.7 percentage points more than in </w:t>
                      </w:r>
                      <w:r w:rsidR="00954AC7">
                        <w:rPr>
                          <w:lang w:val="en-US"/>
                        </w:rPr>
                        <w:t>the previous year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4E28D099" w:rsidR="0042048D" w:rsidRPr="004829B9" w:rsidRDefault="0071658F" w:rsidP="00896EB9">
      <w:pPr>
        <w:rPr>
          <w:spacing w:val="-4"/>
          <w:shd w:val="clear" w:color="auto" w:fill="FFFFFF"/>
          <w:lang w:val="en-GB"/>
        </w:rPr>
      </w:pPr>
      <w:r w:rsidRPr="004829B9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9BEDD2C" wp14:editId="4A379895">
                <wp:simplePos x="0" y="0"/>
                <wp:positionH relativeFrom="page">
                  <wp:posOffset>5759753</wp:posOffset>
                </wp:positionH>
                <wp:positionV relativeFrom="paragraph">
                  <wp:posOffset>1181624</wp:posOffset>
                </wp:positionV>
                <wp:extent cx="1749425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B7E5D" w14:textId="1304E863" w:rsidR="003A7E95" w:rsidRPr="00AE3772" w:rsidRDefault="000348CC" w:rsidP="001C5029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The a</w:t>
                            </w:r>
                            <w:r w:rsidR="003A7E95"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verage useful floor </w:t>
                            </w:r>
                            <w:r w:rsidR="003A7E95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 w:rsidR="003A7E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 dwelling completed in the period I-III 2020 was 91.6</w:t>
                            </w:r>
                            <w:r w:rsidR="003A7E95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m</w:t>
                            </w:r>
                            <w:r w:rsidR="002C751B" w:rsidRPr="002C75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GB" w:eastAsia="pl-P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EDD2C" id="_x0000_s1030" type="#_x0000_t202" style="position:absolute;margin-left:453.5pt;margin-top:93.05pt;width:137.75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" filled="f" stroked="f">
                <v:textbox>
                  <w:txbxContent>
                    <w:p w14:paraId="1A1B7E5D" w14:textId="1304E863" w:rsidR="003A7E95" w:rsidRPr="00AE3772" w:rsidRDefault="000348CC" w:rsidP="001C5029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The a</w:t>
                      </w:r>
                      <w:r w:rsidR="003A7E95"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verage useful floor </w:t>
                      </w:r>
                      <w:r w:rsidR="003A7E95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 w:rsidR="003A7E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 dwelling completed in the period I-III 2020 was 91.6</w:t>
                      </w:r>
                      <w:r w:rsidR="003A7E95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m</w:t>
                      </w:r>
                      <w:r w:rsidR="002C751B" w:rsidRPr="002C75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val="en-GB" w:eastAsia="pl-PL"/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EA20F6" w:rsidRPr="004829B9">
        <w:rPr>
          <w:spacing w:val="-4"/>
          <w:shd w:val="clear" w:color="auto" w:fill="FFFFFF"/>
          <w:lang w:val="en-GB"/>
        </w:rPr>
        <w:t xml:space="preserve">49.5 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>mpleted in</w:t>
      </w:r>
      <w:r w:rsidR="00F54505" w:rsidRPr="004829B9">
        <w:rPr>
          <w:spacing w:val="-4"/>
          <w:shd w:val="clear" w:color="auto" w:fill="FFFFFF"/>
          <w:lang w:val="en-GB"/>
        </w:rPr>
        <w:t xml:space="preserve"> </w:t>
      </w:r>
      <w:r w:rsidR="002B6593" w:rsidRPr="004829B9">
        <w:rPr>
          <w:spacing w:val="-4"/>
          <w:shd w:val="clear" w:color="auto" w:fill="FFFFFF"/>
          <w:lang w:val="en-GB"/>
        </w:rPr>
        <w:t xml:space="preserve">the period of </w:t>
      </w:r>
      <w:r w:rsidR="00F54505" w:rsidRPr="004829B9">
        <w:rPr>
          <w:spacing w:val="-4"/>
          <w:shd w:val="clear" w:color="auto" w:fill="FFFFFF"/>
          <w:lang w:val="en-GB"/>
        </w:rPr>
        <w:t>January</w:t>
      </w:r>
      <w:r w:rsidR="00EA20F6" w:rsidRPr="004829B9">
        <w:rPr>
          <w:spacing w:val="-4"/>
          <w:shd w:val="clear" w:color="auto" w:fill="FFFFFF"/>
          <w:lang w:val="en-GB"/>
        </w:rPr>
        <w:t>-March</w:t>
      </w:r>
      <w:r w:rsidR="008B2394" w:rsidRPr="004829B9">
        <w:rPr>
          <w:spacing w:val="-4"/>
          <w:shd w:val="clear" w:color="auto" w:fill="FFFFFF"/>
          <w:lang w:val="en-GB"/>
        </w:rPr>
        <w:t xml:space="preserve"> 2020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EA20F6" w:rsidRPr="004829B9">
        <w:rPr>
          <w:spacing w:val="-4"/>
          <w:shd w:val="clear" w:color="auto" w:fill="FFFFFF"/>
          <w:lang w:val="en-GB"/>
        </w:rPr>
        <w:t>4.4</w:t>
      </w:r>
      <w:r w:rsidR="00C733A3" w:rsidRPr="004829B9">
        <w:rPr>
          <w:spacing w:val="-4"/>
          <w:shd w:val="clear" w:color="auto" w:fill="FFFFFF"/>
          <w:lang w:val="en-GB"/>
        </w:rPr>
        <w:t xml:space="preserve">% more than a year ago.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EA20F6" w:rsidRPr="004829B9">
        <w:rPr>
          <w:spacing w:val="-4"/>
          <w:shd w:val="clear" w:color="auto" w:fill="FFFFFF"/>
          <w:lang w:val="en-GB"/>
        </w:rPr>
        <w:t xml:space="preserve">30.4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EA20F6" w:rsidRPr="004829B9">
        <w:rPr>
          <w:spacing w:val="-4"/>
          <w:shd w:val="clear" w:color="auto" w:fill="FFFFFF"/>
          <w:lang w:val="en-GB"/>
        </w:rPr>
        <w:t>(5.8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58073C" w:rsidRPr="004829B9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58073C" w:rsidRPr="004829B9">
        <w:rPr>
          <w:spacing w:val="-4"/>
          <w:shd w:val="clear" w:color="auto" w:fill="FFFFFF"/>
          <w:lang w:val="en-GB"/>
        </w:rPr>
        <w:t>period</w:t>
      </w:r>
      <w:r w:rsidR="008B2394" w:rsidRPr="004829B9">
        <w:rPr>
          <w:spacing w:val="-4"/>
          <w:shd w:val="clear" w:color="auto" w:fill="FFFFFF"/>
          <w:lang w:val="en-GB"/>
        </w:rPr>
        <w:t xml:space="preserve"> of 2019</w:t>
      </w:r>
      <w:r w:rsidR="00C733A3" w:rsidRPr="004829B9">
        <w:rPr>
          <w:spacing w:val="-4"/>
          <w:shd w:val="clear" w:color="auto" w:fill="FFFFFF"/>
          <w:lang w:val="en-GB"/>
        </w:rPr>
        <w:t xml:space="preserve">),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EA20F6" w:rsidRPr="004829B9">
        <w:rPr>
          <w:spacing w:val="-4"/>
          <w:shd w:val="clear" w:color="auto" w:fill="FFFFFF"/>
          <w:lang w:val="en-GB"/>
        </w:rPr>
        <w:t>18.2</w:t>
      </w:r>
      <w:r w:rsidR="00B036BF" w:rsidRPr="004829B9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EA20F6" w:rsidRPr="004829B9">
        <w:rPr>
          <w:spacing w:val="-4"/>
          <w:shd w:val="clear" w:color="auto" w:fill="FFFFFF"/>
          <w:lang w:val="en-GB"/>
        </w:rPr>
        <w:t>5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EA20F6" w:rsidRPr="004829B9">
        <w:rPr>
          <w:spacing w:val="-4"/>
          <w:shd w:val="clear" w:color="auto" w:fill="FFFFFF"/>
          <w:lang w:val="en-GB"/>
        </w:rPr>
        <w:t>5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E724BA" w:rsidRPr="004829B9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</w:t>
      </w:r>
      <w:r w:rsidR="00C94AC8" w:rsidRPr="004829B9">
        <w:rPr>
          <w:spacing w:val="-4"/>
          <w:shd w:val="clear" w:color="auto" w:fill="FFFFFF"/>
          <w:lang w:val="en-GB"/>
        </w:rPr>
        <w:t>2019</w:t>
      </w:r>
      <w:r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C94AC8" w:rsidRPr="004829B9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EA20F6" w:rsidRPr="004829B9">
        <w:rPr>
          <w:spacing w:val="-4"/>
          <w:shd w:val="clear" w:color="auto" w:fill="FFFFFF"/>
          <w:lang w:val="en-GB"/>
        </w:rPr>
        <w:t>2</w:t>
      </w:r>
      <w:r w:rsidR="00C94AC8" w:rsidRPr="004829B9">
        <w:rPr>
          <w:spacing w:val="-4"/>
          <w:shd w:val="clear" w:color="auto" w:fill="FFFFFF"/>
          <w:lang w:val="en-GB"/>
        </w:rPr>
        <w:t xml:space="preserve">% of a total number of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EA20F6" w:rsidRPr="004829B9">
        <w:rPr>
          <w:spacing w:val="-4"/>
          <w:shd w:val="clear" w:color="auto" w:fill="FFFFFF"/>
          <w:lang w:val="en-GB"/>
        </w:rPr>
        <w:t xml:space="preserve"> (respectively 61.4% and 36.8</w:t>
      </w:r>
      <w:r w:rsidR="0058073C" w:rsidRPr="004829B9">
        <w:rPr>
          <w:spacing w:val="-4"/>
          <w:shd w:val="clear" w:color="auto" w:fill="FFFFFF"/>
          <w:lang w:val="en-GB"/>
        </w:rPr>
        <w:t>%)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EF3597" w:rsidRPr="004829B9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than a year ago were completed within </w:t>
      </w:r>
      <w:r w:rsidR="00C733A3" w:rsidRPr="004829B9">
        <w:rPr>
          <w:b/>
          <w:spacing w:val="-4"/>
          <w:shd w:val="clear" w:color="auto" w:fill="FFFFFF"/>
          <w:lang w:val="en-GB"/>
        </w:rPr>
        <w:t>cooperative</w:t>
      </w:r>
      <w:r w:rsidR="00C733A3" w:rsidRPr="004829B9">
        <w:rPr>
          <w:spacing w:val="-4"/>
          <w:shd w:val="clear" w:color="auto" w:fill="FFFFFF"/>
          <w:lang w:val="en-GB"/>
        </w:rPr>
        <w:t xml:space="preserve"> construction (</w:t>
      </w:r>
      <w:r w:rsidR="00EF3597" w:rsidRPr="004829B9">
        <w:rPr>
          <w:spacing w:val="-4"/>
          <w:shd w:val="clear" w:color="auto" w:fill="FFFFFF"/>
          <w:lang w:val="en-GB"/>
        </w:rPr>
        <w:t>404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compared to </w:t>
      </w:r>
      <w:r w:rsidR="00EF3597" w:rsidRPr="004829B9">
        <w:rPr>
          <w:spacing w:val="-4"/>
          <w:shd w:val="clear" w:color="auto" w:fill="FFFFFF"/>
          <w:lang w:val="en-GB"/>
        </w:rPr>
        <w:t>667</w:t>
      </w:r>
      <w:r w:rsidR="00BD7A45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dw</w:t>
      </w:r>
      <w:r w:rsidR="00FF795E" w:rsidRPr="004829B9">
        <w:rPr>
          <w:spacing w:val="-4"/>
          <w:shd w:val="clear" w:color="auto" w:fill="FFFFFF"/>
          <w:lang w:val="en-GB"/>
        </w:rPr>
        <w:t xml:space="preserve">ellings); </w:t>
      </w:r>
      <w:r w:rsidR="00FF795E" w:rsidRPr="004829B9">
        <w:rPr>
          <w:lang w:val="en-GB"/>
        </w:rPr>
        <w:t>i</w:t>
      </w:r>
      <w:r w:rsidR="003A358E" w:rsidRPr="004829B9">
        <w:rPr>
          <w:lang w:val="en-GB"/>
        </w:rPr>
        <w:t>n</w:t>
      </w:r>
      <w:r w:rsidR="00FF795E" w:rsidRPr="004829B9">
        <w:rPr>
          <w:lang w:val="en-GB"/>
        </w:rPr>
        <w:t> </w:t>
      </w:r>
      <w:r w:rsidR="003A358E" w:rsidRPr="004829B9">
        <w:rPr>
          <w:b/>
          <w:lang w:val="en-GB"/>
        </w:rPr>
        <w:t>other</w:t>
      </w:r>
      <w:r w:rsidR="003A358E" w:rsidRPr="004829B9">
        <w:rPr>
          <w:b/>
          <w:spacing w:val="-4"/>
          <w:shd w:val="clear" w:color="auto" w:fill="FFFFFF"/>
          <w:lang w:val="en-GB"/>
        </w:rPr>
        <w:t xml:space="preserve"> forms</w:t>
      </w:r>
      <w:r w:rsidR="003A358E" w:rsidRPr="004829B9">
        <w:rPr>
          <w:spacing w:val="-4"/>
          <w:shd w:val="clear" w:color="auto" w:fill="FFFFFF"/>
          <w:lang w:val="en-GB"/>
        </w:rPr>
        <w:t xml:space="preserve"> of </w:t>
      </w:r>
      <w:r w:rsidR="00C733A3" w:rsidRPr="004829B9">
        <w:rPr>
          <w:spacing w:val="-4"/>
          <w:shd w:val="clear" w:color="auto" w:fill="FFFFFF"/>
          <w:lang w:val="en-GB"/>
        </w:rPr>
        <w:t>construction (municipal</w:t>
      </w:r>
      <w:r w:rsidR="0042048D" w:rsidRPr="004829B9">
        <w:rPr>
          <w:spacing w:val="-4"/>
          <w:shd w:val="clear" w:color="auto" w:fill="FFFFFF"/>
          <w:lang w:val="en-GB"/>
        </w:rPr>
        <w:t xml:space="preserve">, public building society </w:t>
      </w:r>
      <w:r w:rsidR="002B1FCD" w:rsidRPr="004829B9">
        <w:rPr>
          <w:spacing w:val="-4"/>
          <w:shd w:val="clear" w:color="auto" w:fill="FFFFFF"/>
          <w:lang w:val="en-GB"/>
        </w:rPr>
        <w:t>and company construction)</w:t>
      </w:r>
      <w:r w:rsidR="004829B9">
        <w:rPr>
          <w:spacing w:val="-4"/>
          <w:shd w:val="clear" w:color="auto" w:fill="FFFFFF"/>
          <w:lang w:val="en-GB"/>
        </w:rPr>
        <w:t>,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EF3597" w:rsidRPr="004829B9">
        <w:rPr>
          <w:spacing w:val="-4"/>
          <w:shd w:val="clear" w:color="auto" w:fill="FFFFFF"/>
          <w:lang w:val="en-GB"/>
        </w:rPr>
        <w:t>483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dwellings were complete</w:t>
      </w:r>
      <w:r w:rsidR="0043577A" w:rsidRPr="004829B9">
        <w:rPr>
          <w:spacing w:val="-4"/>
          <w:shd w:val="clear" w:color="auto" w:fill="FFFFFF"/>
          <w:lang w:val="en-GB"/>
        </w:rPr>
        <w:t>d</w:t>
      </w:r>
      <w:r w:rsidR="00C733A3" w:rsidRPr="004829B9">
        <w:rPr>
          <w:spacing w:val="-4"/>
          <w:shd w:val="clear" w:color="auto" w:fill="FFFFFF"/>
          <w:lang w:val="en-GB"/>
        </w:rPr>
        <w:t xml:space="preserve"> in total</w:t>
      </w:r>
      <w:r w:rsidR="00C94AC8" w:rsidRPr="004829B9">
        <w:rPr>
          <w:spacing w:val="-4"/>
          <w:shd w:val="clear" w:color="auto" w:fill="FFFFFF"/>
          <w:lang w:val="en-GB"/>
        </w:rPr>
        <w:t xml:space="preserve"> (compared to </w:t>
      </w:r>
      <w:r w:rsidR="00EF3597" w:rsidRPr="004829B9">
        <w:rPr>
          <w:spacing w:val="-4"/>
          <w:shd w:val="clear" w:color="auto" w:fill="FFFFFF"/>
          <w:lang w:val="en-GB"/>
        </w:rPr>
        <w:t>731</w:t>
      </w:r>
      <w:r w:rsidR="00C94AC8" w:rsidRPr="004829B9">
        <w:rPr>
          <w:spacing w:val="-4"/>
          <w:shd w:val="clear" w:color="auto" w:fill="FFFFFF"/>
          <w:lang w:val="en-GB"/>
        </w:rPr>
        <w:t xml:space="preserve"> in the previous year)</w:t>
      </w:r>
      <w:r w:rsidR="0042048D" w:rsidRPr="004829B9">
        <w:rPr>
          <w:spacing w:val="-4"/>
          <w:shd w:val="clear" w:color="auto" w:fill="FFFFFF"/>
          <w:lang w:val="en-GB"/>
        </w:rPr>
        <w:t>.</w:t>
      </w:r>
    </w:p>
    <w:p w14:paraId="6DA771CF" w14:textId="445E6625" w:rsidR="00054314" w:rsidRPr="004829B9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 xml:space="preserve">otal useful floor area of dwellings completed in </w:t>
      </w:r>
      <w:r w:rsidR="0058073C" w:rsidRPr="004829B9">
        <w:rPr>
          <w:shd w:val="clear" w:color="auto" w:fill="FFFFFF"/>
          <w:lang w:val="en-GB"/>
        </w:rPr>
        <w:t>the period of January-</w:t>
      </w:r>
      <w:r w:rsidR="00EF3597" w:rsidRPr="004829B9">
        <w:rPr>
          <w:shd w:val="clear" w:color="auto" w:fill="FFFFFF"/>
          <w:lang w:val="en-GB"/>
        </w:rPr>
        <w:t>March</w:t>
      </w:r>
      <w:r w:rsidR="00C94AC8" w:rsidRPr="004829B9">
        <w:rPr>
          <w:shd w:val="clear" w:color="auto" w:fill="FFFFFF"/>
          <w:lang w:val="en-GB"/>
        </w:rPr>
        <w:t xml:space="preserve"> 2020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EF3597" w:rsidRPr="004829B9">
        <w:rPr>
          <w:shd w:val="clear" w:color="auto" w:fill="FFFFFF"/>
          <w:lang w:val="en-GB"/>
        </w:rPr>
        <w:t>4</w:t>
      </w:r>
      <w:r w:rsidR="00837231" w:rsidRPr="004829B9">
        <w:rPr>
          <w:shd w:val="clear" w:color="auto" w:fill="FFFFFF"/>
          <w:lang w:val="en-GB"/>
        </w:rPr>
        <w:t>.</w:t>
      </w:r>
      <w:r w:rsidR="00EF3597" w:rsidRPr="004829B9">
        <w:rPr>
          <w:shd w:val="clear" w:color="auto" w:fill="FFFFFF"/>
          <w:lang w:val="en-GB"/>
        </w:rPr>
        <w:t>5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2C751B">
        <w:rPr>
          <w:shd w:val="clear" w:color="auto" w:fill="FFFFFF"/>
          <w:lang w:val="en-GB"/>
        </w:rPr>
        <w:t xml:space="preserve"> 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EF3597" w:rsidRPr="004829B9">
        <w:rPr>
          <w:shd w:val="clear" w:color="auto" w:fill="FFFFFF"/>
          <w:lang w:val="en-GB"/>
        </w:rPr>
        <w:t>5</w:t>
      </w:r>
      <w:r w:rsidR="00837231" w:rsidRPr="004829B9">
        <w:rPr>
          <w:shd w:val="clear" w:color="auto" w:fill="FFFFFF"/>
          <w:lang w:val="en-GB"/>
        </w:rPr>
        <w:t>.</w:t>
      </w:r>
      <w:r w:rsidR="00EF3597" w:rsidRPr="004829B9">
        <w:rPr>
          <w:shd w:val="clear" w:color="auto" w:fill="FFFFFF"/>
          <w:lang w:val="en-GB"/>
        </w:rPr>
        <w:t>8</w:t>
      </w:r>
      <w:r w:rsidR="00EF767E" w:rsidRPr="004829B9">
        <w:rPr>
          <w:shd w:val="clear" w:color="auto" w:fill="FFFFFF"/>
          <w:lang w:val="en-GB"/>
        </w:rPr>
        <w:t>% more tha</w:t>
      </w:r>
      <w:r w:rsidRPr="004829B9">
        <w:rPr>
          <w:shd w:val="clear" w:color="auto" w:fill="FFFFFF"/>
          <w:lang w:val="en-GB"/>
        </w:rPr>
        <w:t xml:space="preserve">n in the corresponding </w:t>
      </w:r>
      <w:r w:rsidR="0058073C" w:rsidRPr="004829B9">
        <w:rPr>
          <w:shd w:val="clear" w:color="auto" w:fill="FFFFFF"/>
          <w:lang w:val="en-GB"/>
        </w:rPr>
        <w:t>period</w:t>
      </w:r>
      <w:r w:rsidRPr="004829B9">
        <w:rPr>
          <w:shd w:val="clear" w:color="auto" w:fill="FFFFFF"/>
          <w:lang w:val="en-GB"/>
        </w:rPr>
        <w:t xml:space="preserve"> of </w:t>
      </w:r>
      <w:r w:rsidR="00CE0F21" w:rsidRPr="004829B9">
        <w:rPr>
          <w:shd w:val="clear" w:color="auto" w:fill="FFFFFF"/>
          <w:lang w:val="en-GB"/>
        </w:rPr>
        <w:t xml:space="preserve">the </w:t>
      </w:r>
      <w:r w:rsidRPr="004829B9">
        <w:rPr>
          <w:shd w:val="clear" w:color="auto" w:fill="FFFFFF"/>
          <w:lang w:val="en-GB"/>
        </w:rPr>
        <w:t>previous year.</w:t>
      </w:r>
      <w:r w:rsidR="00C94AC8" w:rsidRPr="004829B9">
        <w:rPr>
          <w:shd w:val="clear" w:color="auto" w:fill="FFFFFF"/>
          <w:lang w:val="en-GB"/>
        </w:rPr>
        <w:t xml:space="preserve"> Compared to the </w:t>
      </w:r>
      <w:r w:rsidR="0058073C" w:rsidRPr="004829B9">
        <w:rPr>
          <w:shd w:val="clear" w:color="auto" w:fill="FFFFFF"/>
          <w:lang w:val="en-GB"/>
        </w:rPr>
        <w:t>period</w:t>
      </w:r>
      <w:r w:rsidR="000348CC">
        <w:rPr>
          <w:shd w:val="clear" w:color="auto" w:fill="FFFFFF"/>
          <w:lang w:val="en-GB"/>
        </w:rPr>
        <w:t xml:space="preserve"> of</w:t>
      </w:r>
      <w:r w:rsidR="0058073C" w:rsidRPr="004829B9">
        <w:rPr>
          <w:shd w:val="clear" w:color="auto" w:fill="FFFFFF"/>
          <w:lang w:val="en-GB"/>
        </w:rPr>
        <w:t xml:space="preserve"> January-</w:t>
      </w:r>
      <w:r w:rsidR="00EF3597" w:rsidRPr="004829B9">
        <w:rPr>
          <w:shd w:val="clear" w:color="auto" w:fill="FFFFFF"/>
          <w:lang w:val="en-GB"/>
        </w:rPr>
        <w:t>March</w:t>
      </w:r>
      <w:r w:rsidR="00C94AC8" w:rsidRPr="004829B9">
        <w:rPr>
          <w:shd w:val="clear" w:color="auto" w:fill="FFFFFF"/>
          <w:lang w:val="en-GB"/>
        </w:rPr>
        <w:t xml:space="preserve"> 2019</w:t>
      </w:r>
      <w:r w:rsidR="000348CC">
        <w:rPr>
          <w:shd w:val="clear" w:color="auto" w:fill="FFFFFF"/>
          <w:lang w:val="en-GB"/>
        </w:rPr>
        <w:t>,</w:t>
      </w:r>
      <w:r w:rsidRPr="004829B9">
        <w:rPr>
          <w:shd w:val="clear" w:color="auto" w:fill="FFFFFF"/>
          <w:lang w:val="en-GB"/>
        </w:rPr>
        <w:t xml:space="preserve"> 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94AC8" w:rsidRPr="004829B9">
        <w:rPr>
          <w:shd w:val="clear" w:color="auto" w:fill="FFFFFF"/>
          <w:lang w:val="en-GB"/>
        </w:rPr>
        <w:t>dwelling in</w:t>
      </w:r>
      <w:r w:rsidR="00837231" w:rsidRPr="004829B9">
        <w:rPr>
          <w:shd w:val="clear" w:color="auto" w:fill="FFFFFF"/>
          <w:lang w:val="en-GB"/>
        </w:rPr>
        <w:t xml:space="preserve">creased by </w:t>
      </w:r>
      <w:r w:rsidR="00EF3597" w:rsidRPr="004829B9">
        <w:rPr>
          <w:shd w:val="clear" w:color="auto" w:fill="FFFFFF"/>
          <w:lang w:val="en-GB"/>
        </w:rPr>
        <w:t>1</w:t>
      </w:r>
      <w:r w:rsidR="00837231" w:rsidRPr="004829B9">
        <w:rPr>
          <w:shd w:val="clear" w:color="auto" w:fill="FFFFFF"/>
          <w:lang w:val="en-GB"/>
        </w:rPr>
        <w:t>.</w:t>
      </w:r>
      <w:r w:rsidR="00EF3597" w:rsidRPr="004829B9">
        <w:rPr>
          <w:shd w:val="clear" w:color="auto" w:fill="FFFFFF"/>
          <w:lang w:val="en-GB"/>
        </w:rPr>
        <w:t>2</w:t>
      </w:r>
      <w:r w:rsidRPr="004829B9">
        <w:rPr>
          <w:shd w:val="clear" w:color="auto" w:fill="FFFFFF"/>
          <w:lang w:val="en-GB"/>
        </w:rPr>
        <w:t xml:space="preserve"> </w:t>
      </w:r>
      <w:r w:rsidR="003460DF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3460DF" w:rsidRPr="004829B9">
        <w:rPr>
          <w:shd w:val="clear" w:color="auto" w:fill="FFFFFF"/>
          <w:lang w:val="en-GB"/>
        </w:rPr>
        <w:t xml:space="preserve"> to the level of </w:t>
      </w:r>
      <w:r w:rsidR="00EF3597" w:rsidRPr="004829B9">
        <w:rPr>
          <w:shd w:val="clear" w:color="auto" w:fill="FFFFFF"/>
          <w:lang w:val="en-GB"/>
        </w:rPr>
        <w:t>91</w:t>
      </w:r>
      <w:r w:rsidR="005D25AB" w:rsidRPr="004829B9">
        <w:rPr>
          <w:shd w:val="clear" w:color="auto" w:fill="FFFFFF"/>
          <w:lang w:val="en-GB"/>
        </w:rPr>
        <w:t>.</w:t>
      </w:r>
      <w:r w:rsidR="00EF3597" w:rsidRPr="004829B9">
        <w:rPr>
          <w:shd w:val="clear" w:color="auto" w:fill="FFFFFF"/>
          <w:lang w:val="en-GB"/>
        </w:rPr>
        <w:t>6</w:t>
      </w:r>
      <w:r w:rsidRPr="004829B9">
        <w:rPr>
          <w:shd w:val="clear" w:color="auto" w:fill="FFFFFF"/>
          <w:lang w:val="en-GB"/>
        </w:rPr>
        <w:t xml:space="preserve"> 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8073C" w:rsidRPr="004829B9" w14:paraId="6FC114B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544933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2CFFA46" w14:textId="77777777" w:rsidR="0058073C" w:rsidRPr="004829B9" w:rsidRDefault="0058073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8073C" w:rsidRPr="004829B9" w14:paraId="3F9B3FE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D45712C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C138F02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II</w:t>
            </w:r>
            <w:r w:rsidR="00EF3597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25621A64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I-II</w:t>
            </w:r>
            <w:r w:rsidR="00EF3597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58073C" w:rsidRPr="004829B9" w14:paraId="22FC7A49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1F0398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7DB75AA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3DC622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II</w:t>
            </w:r>
            <w:r w:rsidR="00EF3597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1E6FC37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EF3597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566992E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C0F5353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I-II</w:t>
            </w:r>
            <w:r w:rsidR="00EF3597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EF3597" w:rsidRPr="004829B9" w14:paraId="233056DD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AEC01FC" w14:textId="77777777" w:rsidR="00EF3597" w:rsidRPr="004829B9" w:rsidRDefault="00EF3597" w:rsidP="00EF3597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B14F49D" w14:textId="77777777" w:rsidR="00EF3597" w:rsidRPr="004829B9" w:rsidRDefault="00EF3597" w:rsidP="00EF359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16 064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DF92398" w14:textId="77777777" w:rsidR="00EF3597" w:rsidRPr="004829B9" w:rsidRDefault="00EF3597" w:rsidP="00DB65E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106</w:t>
            </w:r>
            <w:r w:rsidR="00DB65EA" w:rsidRPr="004829B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 w:rsidRPr="004829B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9D76205" w14:textId="77777777" w:rsidR="00EF3597" w:rsidRPr="004829B9" w:rsidRDefault="00EF3597" w:rsidP="00EF359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</w:t>
            </w:r>
            <w:r w:rsidR="00DB65EA" w:rsidRPr="004829B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00.</w:t>
            </w:r>
            <w:r w:rsidRPr="004829B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6D857ED" w14:textId="77777777" w:rsidR="00EF3597" w:rsidRPr="004829B9" w:rsidRDefault="00EF3597" w:rsidP="00EF359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49 523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4B1C71C" w14:textId="77777777" w:rsidR="00EF3597" w:rsidRPr="004829B9" w:rsidRDefault="00DB65EA" w:rsidP="00EF359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104.</w:t>
            </w:r>
            <w:r w:rsidR="00EF3597" w:rsidRPr="004829B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</w:tr>
      <w:tr w:rsidR="00EF3597" w:rsidRPr="004829B9" w14:paraId="0E21E3C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812006" w14:textId="77777777" w:rsidR="00EF3597" w:rsidRPr="004829B9" w:rsidRDefault="00EF3597" w:rsidP="00EF35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4B64173" w14:textId="77777777" w:rsidR="00EF3597" w:rsidRPr="004829B9" w:rsidRDefault="00EF3597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5 425</w:t>
            </w:r>
          </w:p>
        </w:tc>
        <w:tc>
          <w:tcPr>
            <w:tcW w:w="1206" w:type="dxa"/>
            <w:vAlign w:val="center"/>
          </w:tcPr>
          <w:p w14:paraId="1EF9A641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97.</w:t>
            </w:r>
            <w:r w:rsidR="00EF359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206" w:type="dxa"/>
            <w:vAlign w:val="center"/>
          </w:tcPr>
          <w:p w14:paraId="6A6BDE68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85.</w:t>
            </w:r>
            <w:r w:rsidR="00EF359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206" w:type="dxa"/>
            <w:vAlign w:val="center"/>
          </w:tcPr>
          <w:p w14:paraId="474030F8" w14:textId="77777777" w:rsidR="00EF3597" w:rsidRPr="004829B9" w:rsidRDefault="00EF3597" w:rsidP="00EF3597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18 214</w:t>
            </w:r>
          </w:p>
        </w:tc>
        <w:tc>
          <w:tcPr>
            <w:tcW w:w="1207" w:type="dxa"/>
            <w:vAlign w:val="center"/>
          </w:tcPr>
          <w:p w14:paraId="04A3773C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105.</w:t>
            </w:r>
            <w:r w:rsidR="00EF359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</w:tr>
      <w:tr w:rsidR="00EF3597" w:rsidRPr="004829B9" w14:paraId="3503250B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52D39B7" w14:textId="77777777" w:rsidR="00EF3597" w:rsidRPr="004829B9" w:rsidRDefault="00EF3597" w:rsidP="00EF35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730C0030" w14:textId="77777777" w:rsidR="00EF3597" w:rsidRPr="004829B9" w:rsidRDefault="00EF3597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10 419</w:t>
            </w:r>
          </w:p>
        </w:tc>
        <w:tc>
          <w:tcPr>
            <w:tcW w:w="1206" w:type="dxa"/>
            <w:vAlign w:val="center"/>
          </w:tcPr>
          <w:p w14:paraId="2E70220E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117.</w:t>
            </w:r>
            <w:r w:rsidR="00EF359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206" w:type="dxa"/>
            <w:vAlign w:val="center"/>
          </w:tcPr>
          <w:p w14:paraId="1ED74D3A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111.</w:t>
            </w:r>
            <w:r w:rsidR="00EF359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206" w:type="dxa"/>
            <w:vAlign w:val="center"/>
          </w:tcPr>
          <w:p w14:paraId="44BA7141" w14:textId="77777777" w:rsidR="00EF3597" w:rsidRPr="004829B9" w:rsidRDefault="00EF3597" w:rsidP="00EF3597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30 422</w:t>
            </w:r>
          </w:p>
        </w:tc>
        <w:tc>
          <w:tcPr>
            <w:tcW w:w="1207" w:type="dxa"/>
            <w:vAlign w:val="center"/>
          </w:tcPr>
          <w:p w14:paraId="3F979385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105.</w:t>
            </w:r>
            <w:r w:rsidR="00EF359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</w:tr>
      <w:tr w:rsidR="00EF3597" w:rsidRPr="004829B9" w14:paraId="157C331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4B0D4A9" w14:textId="77777777" w:rsidR="00EF3597" w:rsidRPr="004829B9" w:rsidRDefault="00EF3597" w:rsidP="00EF3597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1EDB440B" w14:textId="77777777" w:rsidR="00EF3597" w:rsidRPr="004829B9" w:rsidRDefault="00EF3597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115</w:t>
            </w:r>
          </w:p>
        </w:tc>
        <w:tc>
          <w:tcPr>
            <w:tcW w:w="1206" w:type="dxa"/>
            <w:vAlign w:val="center"/>
          </w:tcPr>
          <w:p w14:paraId="5CCE1C02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62.</w:t>
            </w:r>
            <w:r w:rsidR="00EF359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206" w:type="dxa"/>
            <w:vAlign w:val="center"/>
          </w:tcPr>
          <w:p w14:paraId="6A15538A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132.</w:t>
            </w:r>
            <w:r w:rsidR="00EF359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206" w:type="dxa"/>
            <w:vAlign w:val="center"/>
          </w:tcPr>
          <w:p w14:paraId="4F32B4AA" w14:textId="77777777" w:rsidR="00EF3597" w:rsidRPr="004829B9" w:rsidRDefault="00EF3597" w:rsidP="00EF3597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283</w:t>
            </w:r>
          </w:p>
        </w:tc>
        <w:tc>
          <w:tcPr>
            <w:tcW w:w="1207" w:type="dxa"/>
            <w:vAlign w:val="center"/>
          </w:tcPr>
          <w:p w14:paraId="6749CE4C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58.</w:t>
            </w:r>
            <w:r w:rsidR="00EF359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="00EF3597" w:rsidRPr="004829B9" w14:paraId="47755064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8BFFDDF" w14:textId="77777777" w:rsidR="00EF3597" w:rsidRPr="004829B9" w:rsidRDefault="00EF3597" w:rsidP="00EF359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87B4707" w14:textId="77777777" w:rsidR="00EF3597" w:rsidRPr="004829B9" w:rsidRDefault="00EF3597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76</w:t>
            </w:r>
          </w:p>
        </w:tc>
        <w:tc>
          <w:tcPr>
            <w:tcW w:w="1206" w:type="dxa"/>
            <w:vAlign w:val="center"/>
          </w:tcPr>
          <w:p w14:paraId="0C60AA6B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19.</w:t>
            </w:r>
            <w:r w:rsidR="00EF359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206" w:type="dxa"/>
            <w:vAlign w:val="center"/>
          </w:tcPr>
          <w:p w14:paraId="73767A4C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95.</w:t>
            </w:r>
            <w:r w:rsidR="00EF3597" w:rsidRPr="004829B9">
              <w:rPr>
                <w:rFonts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206" w:type="dxa"/>
            <w:vAlign w:val="center"/>
          </w:tcPr>
          <w:p w14:paraId="233EB4FD" w14:textId="77777777" w:rsidR="00EF3597" w:rsidRPr="004829B9" w:rsidRDefault="00EF3597" w:rsidP="00EF3597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404</w:t>
            </w:r>
          </w:p>
        </w:tc>
        <w:tc>
          <w:tcPr>
            <w:tcW w:w="1207" w:type="dxa"/>
            <w:vAlign w:val="center"/>
          </w:tcPr>
          <w:p w14:paraId="37B21FA8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60.</w:t>
            </w:r>
            <w:r w:rsidR="00EF359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</w:tr>
      <w:tr w:rsidR="00EF3597" w:rsidRPr="004829B9" w14:paraId="1480E1F5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A99D66E" w14:textId="77777777" w:rsidR="00EF3597" w:rsidRPr="004829B9" w:rsidRDefault="00EF3597" w:rsidP="00EF35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7AC42C73" w14:textId="77777777" w:rsidR="00EF3597" w:rsidRPr="004829B9" w:rsidRDefault="00EF3597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206" w:type="dxa"/>
            <w:vAlign w:val="center"/>
          </w:tcPr>
          <w:p w14:paraId="52EA2698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3.</w:t>
            </w:r>
            <w:r w:rsidR="00EF359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206" w:type="dxa"/>
            <w:vAlign w:val="center"/>
          </w:tcPr>
          <w:p w14:paraId="7BD787EE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3.</w:t>
            </w:r>
            <w:r w:rsidR="00EF3597" w:rsidRPr="004829B9">
              <w:rPr>
                <w:rFonts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1206" w:type="dxa"/>
            <w:vAlign w:val="center"/>
          </w:tcPr>
          <w:p w14:paraId="1686B930" w14:textId="77777777" w:rsidR="00EF3597" w:rsidRPr="004829B9" w:rsidRDefault="00EF3597" w:rsidP="00EF359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150</w:t>
            </w:r>
          </w:p>
        </w:tc>
        <w:tc>
          <w:tcPr>
            <w:tcW w:w="1207" w:type="dxa"/>
            <w:vAlign w:val="center"/>
          </w:tcPr>
          <w:p w14:paraId="497B2680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38.</w:t>
            </w:r>
            <w:r w:rsidR="00EF359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</w:tr>
      <w:tr w:rsidR="00EF3597" w:rsidRPr="004829B9" w14:paraId="5AF09ED3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F69253C" w14:textId="77777777" w:rsidR="00EF3597" w:rsidRPr="004829B9" w:rsidRDefault="00EF3597" w:rsidP="00EF35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6FC62F3C" w14:textId="77777777" w:rsidR="00EF3597" w:rsidRPr="004829B9" w:rsidRDefault="00EF3597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130</w:t>
            </w:r>
          </w:p>
        </w:tc>
        <w:tc>
          <w:tcPr>
            <w:tcW w:w="1206" w:type="dxa"/>
            <w:vAlign w:val="center"/>
          </w:tcPr>
          <w:p w14:paraId="210EF2BB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180.</w:t>
            </w:r>
            <w:r w:rsidR="00EF359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206" w:type="dxa"/>
            <w:vAlign w:val="center"/>
          </w:tcPr>
          <w:p w14:paraId="5582B2FE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127.</w:t>
            </w:r>
            <w:r w:rsidR="00EF3597" w:rsidRPr="004829B9">
              <w:rPr>
                <w:rFonts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206" w:type="dxa"/>
            <w:vAlign w:val="center"/>
          </w:tcPr>
          <w:p w14:paraId="1219A9EB" w14:textId="77777777" w:rsidR="00EF3597" w:rsidRPr="004829B9" w:rsidRDefault="00EF3597" w:rsidP="00EF359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322</w:t>
            </w:r>
          </w:p>
        </w:tc>
        <w:tc>
          <w:tcPr>
            <w:tcW w:w="1207" w:type="dxa"/>
            <w:vAlign w:val="center"/>
          </w:tcPr>
          <w:p w14:paraId="7D986892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116.</w:t>
            </w:r>
            <w:r w:rsidR="00EF359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</w:tr>
      <w:tr w:rsidR="00EF3597" w:rsidRPr="004829B9" w14:paraId="5F654D2E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5C09F32C" w14:textId="77777777" w:rsidR="00EF3597" w:rsidRPr="004829B9" w:rsidRDefault="00EF3597" w:rsidP="00EF35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04C2B5C1" w14:textId="77777777" w:rsidR="00EF3597" w:rsidRPr="004829B9" w:rsidRDefault="00EF3597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206" w:type="dxa"/>
            <w:vAlign w:val="center"/>
          </w:tcPr>
          <w:p w14:paraId="3CC36DA1" w14:textId="77777777" w:rsidR="00EF3597" w:rsidRPr="004829B9" w:rsidRDefault="00DB65EA" w:rsidP="00954AC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9-fold</w:t>
            </w:r>
            <w:r w:rsidR="00954AC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more</w:t>
            </w:r>
          </w:p>
        </w:tc>
        <w:tc>
          <w:tcPr>
            <w:tcW w:w="1206" w:type="dxa"/>
            <w:vAlign w:val="center"/>
          </w:tcPr>
          <w:p w14:paraId="30517C07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450.</w:t>
            </w:r>
            <w:r w:rsidR="00EF3597" w:rsidRPr="004829B9">
              <w:rPr>
                <w:rFonts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206" w:type="dxa"/>
            <w:vAlign w:val="center"/>
          </w:tcPr>
          <w:p w14:paraId="410FD768" w14:textId="77777777" w:rsidR="00EF3597" w:rsidRPr="004829B9" w:rsidRDefault="00EF3597" w:rsidP="00EF359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11</w:t>
            </w:r>
          </w:p>
        </w:tc>
        <w:tc>
          <w:tcPr>
            <w:tcW w:w="1207" w:type="dxa"/>
            <w:vAlign w:val="center"/>
          </w:tcPr>
          <w:p w14:paraId="17C799D5" w14:textId="77777777" w:rsidR="00EF3597" w:rsidRPr="004829B9" w:rsidRDefault="00DB65EA" w:rsidP="00EF35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16.</w:t>
            </w:r>
            <w:r w:rsidR="00EF3597"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</w:tr>
    </w:tbl>
    <w:p w14:paraId="4C4EBE85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1FED3B6A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6B0D1C36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71002120" w14:textId="77777777" w:rsidR="009829F8" w:rsidRPr="004829B9" w:rsidRDefault="009829F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77777777" w:rsidR="00896EB9" w:rsidRPr="004829B9" w:rsidRDefault="006E5F0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673DFB82">
                <wp:simplePos x="0" y="0"/>
                <wp:positionH relativeFrom="page">
                  <wp:posOffset>5704619</wp:posOffset>
                </wp:positionH>
                <wp:positionV relativeFrom="paragraph">
                  <wp:posOffset>258058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3E53C826" w:rsidR="003A7E95" w:rsidRPr="00AD1492" w:rsidRDefault="000348CC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</w:t>
                            </w:r>
                            <w:r w:rsidR="003A7E95">
                              <w:rPr>
                                <w:lang w:val="en-US"/>
                              </w:rPr>
                              <w:t>umber of d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 w:rsidR="003A7E95">
                              <w:rPr>
                                <w:lang w:val="en-US"/>
                              </w:rPr>
                              <w:t>3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>.</w:t>
                            </w:r>
                            <w:r w:rsidR="003A7E95">
                              <w:rPr>
                                <w:lang w:val="en-US"/>
                              </w:rPr>
                              <w:t>3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31" type="#_x0000_t202" style="position:absolute;margin-left:449.2pt;margin-top:20.3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" filled="f" stroked="f" strokeweight=".5pt">
                <v:textbox>
                  <w:txbxContent>
                    <w:p w14:paraId="35DCCB4E" w14:textId="3E53C826" w:rsidR="003A7E95" w:rsidRPr="00AD1492" w:rsidRDefault="000348CC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</w:t>
                      </w:r>
                      <w:r w:rsidR="003A7E95">
                        <w:rPr>
                          <w:lang w:val="en-US"/>
                        </w:rPr>
                        <w:t>umber of d</w:t>
                      </w:r>
                      <w:r w:rsidR="003A7E95" w:rsidRPr="004C57EC">
                        <w:rPr>
                          <w:lang w:val="en-US"/>
                        </w:rPr>
                        <w:t>wellings for which permits have been grante</w:t>
                      </w:r>
                      <w:r w:rsidR="003A7E95">
                        <w:rPr>
                          <w:lang w:val="en-US"/>
                        </w:rPr>
                        <w:t xml:space="preserve">d or which have been registered </w:t>
                      </w:r>
                      <w:r w:rsidR="003A7E95" w:rsidRPr="004C57EC">
                        <w:rPr>
                          <w:lang w:val="en-US"/>
                        </w:rPr>
                        <w:t>with a construction project</w:t>
                      </w:r>
                      <w:r w:rsidR="003A7E95">
                        <w:rPr>
                          <w:lang w:val="en-US"/>
                        </w:rPr>
                        <w:t xml:space="preserve"> in</w:t>
                      </w:r>
                      <w:r w:rsidR="003A7E95" w:rsidRPr="00AD1492">
                        <w:rPr>
                          <w:lang w:val="en-US"/>
                        </w:rPr>
                        <w:t xml:space="preserve">creased by </w:t>
                      </w:r>
                      <w:r w:rsidR="003A7E95">
                        <w:rPr>
                          <w:lang w:val="en-US"/>
                        </w:rPr>
                        <w:t>3</w:t>
                      </w:r>
                      <w:r w:rsidR="003A7E95" w:rsidRPr="00AD1492">
                        <w:rPr>
                          <w:lang w:val="en-US"/>
                        </w:rPr>
                        <w:t>.</w:t>
                      </w:r>
                      <w:r w:rsidR="003A7E95">
                        <w:rPr>
                          <w:lang w:val="en-US"/>
                        </w:rPr>
                        <w:t>3</w:t>
                      </w:r>
                      <w:r w:rsidR="003A7E95"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6EB9"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20FF41DF" w:rsidR="00C47CE4" w:rsidRPr="004829B9" w:rsidRDefault="00BD1D77" w:rsidP="00896EB9">
      <w:pPr>
        <w:rPr>
          <w:b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t xml:space="preserve">In </w:t>
      </w:r>
      <w:r w:rsidR="0058073C" w:rsidRPr="004829B9">
        <w:rPr>
          <w:szCs w:val="19"/>
          <w:shd w:val="clear" w:color="auto" w:fill="FFFFFF"/>
          <w:lang w:val="en-GB"/>
        </w:rPr>
        <w:t xml:space="preserve">the first </w:t>
      </w:r>
      <w:r w:rsidR="00DB65EA" w:rsidRPr="004829B9">
        <w:rPr>
          <w:szCs w:val="19"/>
          <w:shd w:val="clear" w:color="auto" w:fill="FFFFFF"/>
          <w:lang w:val="en-GB"/>
        </w:rPr>
        <w:t>three</w:t>
      </w:r>
      <w:r w:rsidR="0058073C" w:rsidRPr="004829B9">
        <w:rPr>
          <w:szCs w:val="19"/>
          <w:shd w:val="clear" w:color="auto" w:fill="FFFFFF"/>
          <w:lang w:val="en-GB"/>
        </w:rPr>
        <w:t xml:space="preserve"> months of</w:t>
      </w:r>
      <w:r w:rsidR="0044258C" w:rsidRPr="004829B9">
        <w:rPr>
          <w:szCs w:val="19"/>
          <w:shd w:val="clear" w:color="auto" w:fill="FFFFFF"/>
          <w:lang w:val="en-GB"/>
        </w:rPr>
        <w:t xml:space="preserve"> 2020</w:t>
      </w:r>
      <w:r w:rsidR="000348CC">
        <w:rPr>
          <w:szCs w:val="19"/>
          <w:shd w:val="clear" w:color="auto" w:fill="FFFFFF"/>
          <w:lang w:val="en-GB"/>
        </w:rPr>
        <w:t>,</w:t>
      </w:r>
      <w:r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permits and registrations have been granted for construction of </w:t>
      </w:r>
      <w:r w:rsidR="00DB65EA" w:rsidRPr="004829B9">
        <w:rPr>
          <w:shd w:val="clear" w:color="auto" w:fill="FFFFFF"/>
          <w:lang w:val="en-GB"/>
        </w:rPr>
        <w:t>59</w:t>
      </w:r>
      <w:r w:rsidR="00F06543" w:rsidRPr="004829B9">
        <w:rPr>
          <w:shd w:val="clear" w:color="auto" w:fill="FFFFFF"/>
          <w:lang w:val="en-GB"/>
        </w:rPr>
        <w:t>.</w:t>
      </w:r>
      <w:r w:rsidR="00DB65EA" w:rsidRPr="004829B9">
        <w:rPr>
          <w:shd w:val="clear" w:color="auto" w:fill="FFFFFF"/>
          <w:lang w:val="en-GB"/>
        </w:rPr>
        <w:t>1</w:t>
      </w:r>
      <w:r w:rsidR="00086F9F" w:rsidRPr="004829B9">
        <w:rPr>
          <w:shd w:val="clear" w:color="auto" w:fill="FFFFFF"/>
          <w:lang w:val="en-GB"/>
        </w:rPr>
        <w:t xml:space="preserve"> 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DB65EA" w:rsidRPr="004829B9">
        <w:rPr>
          <w:shd w:val="clear" w:color="auto" w:fill="FFFFFF"/>
          <w:lang w:val="en-GB"/>
        </w:rPr>
        <w:t>3</w:t>
      </w:r>
      <w:r w:rsidR="00E245E1" w:rsidRPr="004829B9">
        <w:rPr>
          <w:shd w:val="clear" w:color="auto" w:fill="FFFFFF"/>
          <w:lang w:val="en-GB"/>
        </w:rPr>
        <w:t>.</w:t>
      </w:r>
      <w:r w:rsidR="00DB65EA" w:rsidRPr="004829B9">
        <w:rPr>
          <w:shd w:val="clear" w:color="auto" w:fill="FFFFFF"/>
          <w:lang w:val="en-GB"/>
        </w:rPr>
        <w:t>3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DB65EA" w:rsidRPr="004829B9">
        <w:rPr>
          <w:shd w:val="clear" w:color="auto" w:fill="FFFFFF"/>
          <w:lang w:val="en-GB"/>
        </w:rPr>
        <w:t>more</w:t>
      </w:r>
      <w:r w:rsidR="00C47CE4" w:rsidRPr="004829B9">
        <w:rPr>
          <w:shd w:val="clear" w:color="auto" w:fill="FFFFFF"/>
          <w:lang w:val="en-GB"/>
        </w:rPr>
        <w:t xml:space="preserve"> than in the corres</w:t>
      </w:r>
      <w:r w:rsidR="00856FE3" w:rsidRPr="004829B9">
        <w:rPr>
          <w:shd w:val="clear" w:color="auto" w:fill="FFFFFF"/>
          <w:lang w:val="en-GB"/>
        </w:rPr>
        <w:t xml:space="preserve">ponding </w:t>
      </w:r>
      <w:r w:rsidR="0058073C" w:rsidRPr="004829B9">
        <w:rPr>
          <w:shd w:val="clear" w:color="auto" w:fill="FFFFFF"/>
          <w:lang w:val="en-GB"/>
        </w:rPr>
        <w:t>period</w:t>
      </w:r>
      <w:r w:rsidR="00856FE3" w:rsidRPr="004829B9">
        <w:rPr>
          <w:shd w:val="clear" w:color="auto" w:fill="FFFFFF"/>
          <w:lang w:val="en-GB"/>
        </w:rPr>
        <w:t xml:space="preserve"> of</w:t>
      </w:r>
      <w:r w:rsidR="0044258C" w:rsidRPr="004829B9">
        <w:rPr>
          <w:shd w:val="clear" w:color="auto" w:fill="FFFFFF"/>
          <w:lang w:val="en-GB"/>
        </w:rPr>
        <w:t xml:space="preserve"> 2019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Pr="004829B9">
        <w:rPr>
          <w:shd w:val="clear" w:color="auto" w:fill="FFFFFF"/>
          <w:lang w:val="en-GB"/>
        </w:rPr>
        <w:t>(</w:t>
      </w:r>
      <w:r w:rsidR="00DB65EA" w:rsidRPr="004829B9">
        <w:rPr>
          <w:shd w:val="clear" w:color="auto" w:fill="FFFFFF"/>
          <w:lang w:val="en-GB"/>
        </w:rPr>
        <w:t>36.8</w:t>
      </w:r>
      <w:r w:rsidR="000E65E1" w:rsidRPr="004829B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Pr="004829B9">
        <w:rPr>
          <w:shd w:val="clear" w:color="auto" w:fill="FFFFFF"/>
          <w:lang w:val="en-GB"/>
        </w:rPr>
        <w:t xml:space="preserve"> (</w:t>
      </w:r>
      <w:r w:rsidR="00DB65EA" w:rsidRPr="004829B9">
        <w:rPr>
          <w:shd w:val="clear" w:color="auto" w:fill="FFFFFF"/>
          <w:lang w:val="en-GB"/>
        </w:rPr>
        <w:t>21.9</w:t>
      </w:r>
      <w:r w:rsidR="00086F9F" w:rsidRPr="004829B9">
        <w:rPr>
          <w:shd w:val="clear" w:color="auto" w:fill="FFFFFF"/>
          <w:lang w:val="en-GB"/>
        </w:rPr>
        <w:t xml:space="preserve"> thous</w:t>
      </w:r>
      <w:r w:rsidR="000348CC">
        <w:rPr>
          <w:shd w:val="clear" w:color="auto" w:fill="FFFFFF"/>
          <w:lang w:val="en-GB"/>
        </w:rPr>
        <w:t>and</w:t>
      </w:r>
      <w:r w:rsidRPr="004829B9">
        <w:rPr>
          <w:shd w:val="clear" w:color="auto" w:fill="FFFFFF"/>
          <w:lang w:val="en-GB"/>
        </w:rPr>
        <w:t>)</w:t>
      </w:r>
      <w:r w:rsidR="003A358E" w:rsidRPr="004829B9">
        <w:rPr>
          <w:shd w:val="clear" w:color="auto" w:fill="FFFFFF"/>
          <w:lang w:val="en-GB"/>
        </w:rPr>
        <w:t xml:space="preserve">, i.e. </w:t>
      </w:r>
      <w:r w:rsidR="000D348A" w:rsidRPr="004829B9">
        <w:rPr>
          <w:shd w:val="clear" w:color="auto" w:fill="FFFFFF"/>
          <w:lang w:val="en-GB"/>
        </w:rPr>
        <w:t xml:space="preserve">respectively </w:t>
      </w:r>
      <w:r w:rsidR="00495B6E" w:rsidRPr="004829B9">
        <w:rPr>
          <w:shd w:val="clear" w:color="auto" w:fill="FFFFFF"/>
          <w:lang w:val="en-GB"/>
        </w:rPr>
        <w:t xml:space="preserve">by </w:t>
      </w:r>
      <w:r w:rsidR="00DB65EA" w:rsidRPr="004829B9">
        <w:rPr>
          <w:shd w:val="clear" w:color="auto" w:fill="FFFFFF"/>
          <w:lang w:val="en-GB"/>
        </w:rPr>
        <w:t>5.7</w:t>
      </w:r>
      <w:r w:rsidR="000D348A" w:rsidRPr="004829B9">
        <w:rPr>
          <w:shd w:val="clear" w:color="auto" w:fill="FFFFFF"/>
          <w:lang w:val="en-GB"/>
        </w:rPr>
        <w:t xml:space="preserve">% </w:t>
      </w:r>
      <w:r w:rsidR="00DB65EA" w:rsidRPr="004829B9">
        <w:rPr>
          <w:shd w:val="clear" w:color="auto" w:fill="FFFFFF"/>
          <w:lang w:val="en-GB"/>
        </w:rPr>
        <w:t>and 3.9</w:t>
      </w:r>
      <w:r w:rsidR="000D348A" w:rsidRPr="004829B9">
        <w:rPr>
          <w:shd w:val="clear" w:color="auto" w:fill="FFFFFF"/>
          <w:lang w:val="en-GB"/>
        </w:rPr>
        <w:t>%</w:t>
      </w:r>
      <w:r w:rsidR="006E5F08" w:rsidRPr="004829B9">
        <w:rPr>
          <w:shd w:val="clear" w:color="auto" w:fill="FFFFFF"/>
          <w:lang w:val="en-GB"/>
        </w:rPr>
        <w:t xml:space="preserve"> </w:t>
      </w:r>
      <w:r w:rsidR="000712A2" w:rsidRPr="004829B9">
        <w:rPr>
          <w:shd w:val="clear" w:color="auto" w:fill="FFFFFF"/>
          <w:lang w:val="en-GB"/>
        </w:rPr>
        <w:t>more</w:t>
      </w:r>
      <w:r w:rsidR="003A358E" w:rsidRPr="004829B9">
        <w:rPr>
          <w:shd w:val="clear" w:color="auto" w:fill="FFFFFF"/>
          <w:lang w:val="en-GB"/>
        </w:rPr>
        <w:t xml:space="preserve"> than </w:t>
      </w:r>
      <w:r w:rsidR="0058073C" w:rsidRPr="004829B9">
        <w:rPr>
          <w:shd w:val="clear" w:color="auto" w:fill="FFFFFF"/>
          <w:lang w:val="en-GB"/>
        </w:rPr>
        <w:t xml:space="preserve">in the period </w:t>
      </w:r>
      <w:r w:rsidR="00527B0C" w:rsidRPr="004829B9">
        <w:rPr>
          <w:shd w:val="clear" w:color="auto" w:fill="FFFFFF"/>
          <w:lang w:val="en-GB"/>
        </w:rPr>
        <w:t xml:space="preserve">of </w:t>
      </w:r>
      <w:r w:rsidR="0058073C" w:rsidRPr="004829B9">
        <w:rPr>
          <w:shd w:val="clear" w:color="auto" w:fill="FFFFFF"/>
          <w:lang w:val="en-GB"/>
        </w:rPr>
        <w:t>January-</w:t>
      </w:r>
      <w:r w:rsidR="00DB65EA" w:rsidRPr="004829B9">
        <w:rPr>
          <w:shd w:val="clear" w:color="auto" w:fill="FFFFFF"/>
          <w:lang w:val="en-GB"/>
        </w:rPr>
        <w:t>March</w:t>
      </w:r>
      <w:r w:rsidR="0058073C" w:rsidRPr="004829B9">
        <w:rPr>
          <w:shd w:val="clear" w:color="auto" w:fill="FFFFFF"/>
          <w:lang w:val="en-GB"/>
        </w:rPr>
        <w:t xml:space="preserve"> </w:t>
      </w:r>
      <w:r w:rsidR="0044258C" w:rsidRPr="004829B9">
        <w:rPr>
          <w:shd w:val="clear" w:color="auto" w:fill="FFFFFF"/>
          <w:lang w:val="en-GB"/>
        </w:rPr>
        <w:t>2019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7C88" w:rsidRPr="004829B9">
        <w:rPr>
          <w:shd w:val="clear" w:color="auto" w:fill="FFFFFF"/>
          <w:lang w:val="en-GB"/>
        </w:rPr>
        <w:t>Altogether</w:t>
      </w:r>
      <w:r w:rsidR="000348CC">
        <w:rPr>
          <w:shd w:val="clear" w:color="auto" w:fill="FFFFFF"/>
          <w:lang w:val="en-GB"/>
        </w:rPr>
        <w:t>,</w:t>
      </w:r>
      <w:r w:rsidR="000A7C88" w:rsidRPr="004829B9">
        <w:rPr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the share </w:t>
      </w:r>
      <w:r w:rsidR="00CD44F1" w:rsidRPr="004829B9">
        <w:rPr>
          <w:shd w:val="clear" w:color="auto" w:fill="FFFFFF"/>
          <w:lang w:val="en-GB"/>
        </w:rPr>
        <w:t>of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44258C" w:rsidRPr="004829B9">
        <w:rPr>
          <w:shd w:val="clear" w:color="auto" w:fill="FFFFFF"/>
          <w:lang w:val="en-GB"/>
        </w:rPr>
        <w:t>of construction amounted to 99</w:t>
      </w:r>
      <w:r w:rsidR="001A1F89" w:rsidRPr="004829B9">
        <w:rPr>
          <w:shd w:val="clear" w:color="auto" w:fill="FFFFFF"/>
          <w:lang w:val="en-GB"/>
        </w:rPr>
        <w:t>.</w:t>
      </w:r>
      <w:r w:rsidR="00DB65EA" w:rsidRPr="004829B9">
        <w:rPr>
          <w:shd w:val="clear" w:color="auto" w:fill="FFFFFF"/>
          <w:lang w:val="en-GB"/>
        </w:rPr>
        <w:t>4</w:t>
      </w:r>
      <w:r w:rsidR="000A7C88" w:rsidRPr="004829B9">
        <w:rPr>
          <w:shd w:val="clear" w:color="auto" w:fill="FFFFFF"/>
          <w:lang w:val="en-GB"/>
        </w:rPr>
        <w:t xml:space="preserve">% of </w:t>
      </w:r>
      <w:r w:rsidR="00B30E2E" w:rsidRPr="004829B9">
        <w:rPr>
          <w:shd w:val="clear" w:color="auto" w:fill="FFFFFF"/>
          <w:lang w:val="en-GB"/>
        </w:rPr>
        <w:t xml:space="preserve">a </w:t>
      </w:r>
      <w:r w:rsidR="000A7C88" w:rsidRPr="004829B9">
        <w:rPr>
          <w:shd w:val="clear" w:color="auto" w:fill="FFFFFF"/>
          <w:lang w:val="en-GB"/>
        </w:rPr>
        <w:t>total number of dwellings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D30D2" w:rsidRPr="004829B9">
        <w:rPr>
          <w:shd w:val="clear" w:color="auto" w:fill="FFFFFF"/>
          <w:lang w:val="en-GB"/>
        </w:rPr>
        <w:t>Less</w:t>
      </w:r>
      <w:r w:rsidR="00507D43" w:rsidRPr="004829B9">
        <w:rPr>
          <w:shd w:val="clear" w:color="auto" w:fill="FFFFFF"/>
          <w:lang w:val="en-GB"/>
        </w:rPr>
        <w:t xml:space="preserve"> dwellings</w:t>
      </w:r>
      <w:r w:rsidR="00507D43" w:rsidRPr="004829B9">
        <w:rPr>
          <w:lang w:val="en-GB"/>
        </w:rPr>
        <w:t xml:space="preserve"> </w:t>
      </w:r>
      <w:r w:rsidR="00CE0F21" w:rsidRPr="004829B9">
        <w:rPr>
          <w:lang w:val="en-GB"/>
        </w:rPr>
        <w:t xml:space="preserve">than in </w:t>
      </w:r>
      <w:r w:rsidR="00527B0C" w:rsidRPr="004829B9">
        <w:rPr>
          <w:lang w:val="en-GB"/>
        </w:rPr>
        <w:t>the</w:t>
      </w:r>
      <w:r w:rsidR="00CE0F21" w:rsidRPr="004829B9">
        <w:rPr>
          <w:lang w:val="en-GB"/>
        </w:rPr>
        <w:t xml:space="preserve"> </w:t>
      </w:r>
      <w:r w:rsidR="00527B0C" w:rsidRPr="004829B9">
        <w:rPr>
          <w:lang w:val="en-GB"/>
        </w:rPr>
        <w:t>corresponding period of 2019</w:t>
      </w:r>
      <w:r w:rsidR="00CE0F21" w:rsidRPr="004829B9">
        <w:rPr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 xml:space="preserve">ed </w:t>
      </w:r>
      <w:r w:rsidR="006A0E22" w:rsidRPr="004829B9">
        <w:rPr>
          <w:shd w:val="clear" w:color="auto" w:fill="FFFFFF"/>
          <w:lang w:val="en-GB"/>
        </w:rPr>
        <w:t xml:space="preserve">in </w:t>
      </w:r>
      <w:r w:rsidR="00BD601A" w:rsidRPr="004829B9">
        <w:rPr>
          <w:shd w:val="clear" w:color="auto" w:fill="FFFFFF"/>
          <w:lang w:val="en-GB"/>
        </w:rPr>
        <w:t>the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BD601A" w:rsidRPr="004829B9">
        <w:rPr>
          <w:b/>
          <w:shd w:val="clear" w:color="auto" w:fill="FFFFFF"/>
          <w:lang w:val="en-GB"/>
        </w:rPr>
        <w:t xml:space="preserve">cooperative </w:t>
      </w:r>
      <w:r w:rsidR="00BD601A" w:rsidRPr="004829B9">
        <w:rPr>
          <w:shd w:val="clear" w:color="auto" w:fill="FFFFFF"/>
          <w:lang w:val="en-GB"/>
        </w:rPr>
        <w:t>construction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983BE8" w:rsidRPr="004829B9">
        <w:rPr>
          <w:shd w:val="clear" w:color="auto" w:fill="FFFFFF"/>
          <w:lang w:val="en-GB"/>
        </w:rPr>
        <w:t>(</w:t>
      </w:r>
      <w:r w:rsidR="00EB69AF" w:rsidRPr="004829B9">
        <w:rPr>
          <w:shd w:val="clear" w:color="auto" w:fill="FFFFFF"/>
          <w:lang w:val="en-GB"/>
        </w:rPr>
        <w:t>204</w:t>
      </w:r>
      <w:r w:rsidR="00F06543" w:rsidRPr="004829B9">
        <w:rPr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dwellings </w:t>
      </w:r>
      <w:r w:rsidR="00C47CE4" w:rsidRPr="004829B9">
        <w:rPr>
          <w:shd w:val="clear" w:color="auto" w:fill="FFFFFF"/>
          <w:lang w:val="en-GB"/>
        </w:rPr>
        <w:t xml:space="preserve">against </w:t>
      </w:r>
      <w:r w:rsidR="00EB69AF" w:rsidRPr="004829B9">
        <w:rPr>
          <w:shd w:val="clear" w:color="auto" w:fill="FFFFFF"/>
          <w:lang w:val="en-GB"/>
        </w:rPr>
        <w:t>463</w:t>
      </w:r>
      <w:r w:rsidR="00AD30D2" w:rsidRPr="004829B9">
        <w:rPr>
          <w:shd w:val="clear" w:color="auto" w:fill="FFFFFF"/>
          <w:lang w:val="en-GB"/>
        </w:rPr>
        <w:t>) and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in </w:t>
      </w:r>
      <w:r w:rsidR="00704521" w:rsidRPr="004829B9">
        <w:rPr>
          <w:b/>
          <w:shd w:val="clear" w:color="auto" w:fill="FFFFFF"/>
          <w:lang w:val="en-GB"/>
        </w:rPr>
        <w:t xml:space="preserve">other forms </w:t>
      </w:r>
      <w:r w:rsidR="00704521" w:rsidRPr="004829B9">
        <w:rPr>
          <w:shd w:val="clear" w:color="auto" w:fill="FFFFFF"/>
          <w:lang w:val="en-GB"/>
        </w:rPr>
        <w:t>of</w:t>
      </w:r>
      <w:r w:rsidR="00704521" w:rsidRPr="004829B9">
        <w:rPr>
          <w:b/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construction </w:t>
      </w:r>
      <w:r w:rsidR="00616583" w:rsidRPr="004829B9">
        <w:rPr>
          <w:shd w:val="clear" w:color="auto" w:fill="FFFFFF"/>
          <w:lang w:val="en-GB"/>
        </w:rPr>
        <w:t>(</w:t>
      </w:r>
      <w:r w:rsidR="00EB69AF" w:rsidRPr="004829B9">
        <w:rPr>
          <w:shd w:val="clear" w:color="auto" w:fill="FFFFFF"/>
          <w:lang w:val="en-GB"/>
        </w:rPr>
        <w:t>125</w:t>
      </w:r>
      <w:r w:rsidR="00F06543" w:rsidRPr="004829B9">
        <w:rPr>
          <w:shd w:val="clear" w:color="auto" w:fill="FFFFFF"/>
          <w:lang w:val="en-GB"/>
        </w:rPr>
        <w:t xml:space="preserve"> </w:t>
      </w:r>
      <w:r w:rsidR="00616583" w:rsidRPr="004829B9">
        <w:rPr>
          <w:shd w:val="clear" w:color="auto" w:fill="FFFFFF"/>
          <w:lang w:val="en-GB"/>
        </w:rPr>
        <w:t>dwellings</w:t>
      </w:r>
      <w:r w:rsidR="00611CFA" w:rsidRPr="004829B9">
        <w:rPr>
          <w:shd w:val="clear" w:color="auto" w:fill="FFFFFF"/>
          <w:lang w:val="en-GB"/>
        </w:rPr>
        <w:t xml:space="preserve"> against </w:t>
      </w:r>
      <w:r w:rsidR="00EB69AF" w:rsidRPr="004829B9">
        <w:rPr>
          <w:shd w:val="clear" w:color="auto" w:fill="FFFFFF"/>
          <w:lang w:val="en-GB"/>
        </w:rPr>
        <w:t>780</w:t>
      </w:r>
      <w:r w:rsidR="00616583" w:rsidRPr="004829B9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1C5029">
      <w:pPr>
        <w:pStyle w:val="tytuwykresu"/>
        <w:ind w:left="851" w:hanging="851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27B0C" w:rsidRPr="004829B9" w14:paraId="6C27979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1761131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297E44F1" w14:textId="77777777" w:rsidR="00527B0C" w:rsidRPr="004829B9" w:rsidRDefault="00527B0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27B0C" w:rsidRPr="004829B9" w14:paraId="7CB3A9F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5F01AA5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73AFB71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II</w:t>
            </w:r>
            <w:r w:rsidR="00EB69AF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CCCED2D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I-II</w:t>
            </w:r>
            <w:r w:rsidR="00EB69AF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527B0C" w:rsidRPr="004829B9" w14:paraId="3B47338A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38D5C87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236635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14DDD0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EB69AF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98E573E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EB69AF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4B5C7D4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BFF5D9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I-II</w:t>
            </w:r>
            <w:r w:rsidR="00EB69AF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EB69AF" w:rsidRPr="004829B9" w14:paraId="6C403ECE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910755" w14:textId="77777777" w:rsidR="00EB69AF" w:rsidRPr="004829B9" w:rsidRDefault="00EB69AF" w:rsidP="00EB69A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7D30553" w14:textId="77777777" w:rsidR="00EB69AF" w:rsidRPr="004829B9" w:rsidRDefault="00EB69AF" w:rsidP="00EB69AF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b/>
                <w:sz w:val="16"/>
                <w:szCs w:val="16"/>
                <w:lang w:val="en-GB"/>
              </w:rPr>
              <w:t>21 802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57FF288" w14:textId="77777777" w:rsidR="00EB69AF" w:rsidRPr="004829B9" w:rsidRDefault="00EB69AF" w:rsidP="00EB69AF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b/>
                <w:sz w:val="16"/>
                <w:szCs w:val="16"/>
                <w:lang w:val="en-GB"/>
              </w:rPr>
              <w:t>110.5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88819C7" w14:textId="77777777" w:rsidR="00EB69AF" w:rsidRPr="004829B9" w:rsidRDefault="00EB69AF" w:rsidP="00EB69AF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b/>
                <w:sz w:val="16"/>
                <w:szCs w:val="16"/>
                <w:lang w:val="en-GB"/>
              </w:rPr>
              <w:t>115.2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851E758" w14:textId="77777777" w:rsidR="00EB69AF" w:rsidRPr="004829B9" w:rsidRDefault="00EB69AF" w:rsidP="00EB69AF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b/>
                <w:sz w:val="16"/>
                <w:szCs w:val="16"/>
                <w:lang w:val="en-GB"/>
              </w:rPr>
              <w:t>59 092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09250512" w14:textId="77777777" w:rsidR="00EB69AF" w:rsidRPr="004829B9" w:rsidRDefault="00EB69AF" w:rsidP="00EB69AF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b/>
                <w:sz w:val="16"/>
                <w:szCs w:val="16"/>
                <w:lang w:val="en-GB"/>
              </w:rPr>
              <w:t>103.3</w:t>
            </w:r>
          </w:p>
        </w:tc>
      </w:tr>
      <w:tr w:rsidR="00EB69AF" w:rsidRPr="004829B9" w14:paraId="24875DB4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7B658AC" w14:textId="77777777" w:rsidR="00EB69AF" w:rsidRPr="004829B9" w:rsidRDefault="00EB69AF" w:rsidP="00EB69A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2974B7CC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8 107</w:t>
            </w:r>
          </w:p>
        </w:tc>
        <w:tc>
          <w:tcPr>
            <w:tcW w:w="1206" w:type="dxa"/>
            <w:vAlign w:val="center"/>
          </w:tcPr>
          <w:p w14:paraId="7DBBC394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95.2</w:t>
            </w:r>
          </w:p>
        </w:tc>
        <w:tc>
          <w:tcPr>
            <w:tcW w:w="1206" w:type="dxa"/>
            <w:vAlign w:val="center"/>
          </w:tcPr>
          <w:p w14:paraId="274B06FE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115.4</w:t>
            </w:r>
          </w:p>
        </w:tc>
        <w:tc>
          <w:tcPr>
            <w:tcW w:w="1206" w:type="dxa"/>
            <w:vAlign w:val="center"/>
          </w:tcPr>
          <w:p w14:paraId="04580C6D" w14:textId="77777777" w:rsidR="00EB69AF" w:rsidRPr="004829B9" w:rsidRDefault="00EB69AF" w:rsidP="00EB69A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auto"/>
                <w:sz w:val="16"/>
                <w:szCs w:val="16"/>
                <w:lang w:val="en-GB"/>
              </w:rPr>
              <w:t>21 948</w:t>
            </w:r>
          </w:p>
        </w:tc>
        <w:tc>
          <w:tcPr>
            <w:tcW w:w="1207" w:type="dxa"/>
            <w:vAlign w:val="center"/>
          </w:tcPr>
          <w:p w14:paraId="40E17662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103.9</w:t>
            </w:r>
          </w:p>
        </w:tc>
      </w:tr>
      <w:tr w:rsidR="00EB69AF" w:rsidRPr="004829B9" w14:paraId="5C22900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8227C88" w14:textId="77777777" w:rsidR="00EB69AF" w:rsidRPr="004829B9" w:rsidRDefault="00EB69AF" w:rsidP="00EB69A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5E106BCF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13 510</w:t>
            </w:r>
          </w:p>
        </w:tc>
        <w:tc>
          <w:tcPr>
            <w:tcW w:w="1206" w:type="dxa"/>
            <w:vAlign w:val="center"/>
          </w:tcPr>
          <w:p w14:paraId="3704CE86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123.5</w:t>
            </w:r>
          </w:p>
        </w:tc>
        <w:tc>
          <w:tcPr>
            <w:tcW w:w="1206" w:type="dxa"/>
            <w:vAlign w:val="center"/>
          </w:tcPr>
          <w:p w14:paraId="4E73BADA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114.0</w:t>
            </w:r>
          </w:p>
        </w:tc>
        <w:tc>
          <w:tcPr>
            <w:tcW w:w="1206" w:type="dxa"/>
            <w:vAlign w:val="center"/>
          </w:tcPr>
          <w:p w14:paraId="48D424AC" w14:textId="77777777" w:rsidR="00EB69AF" w:rsidRPr="004829B9" w:rsidRDefault="00EB69AF" w:rsidP="00EB69A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auto"/>
                <w:sz w:val="16"/>
                <w:szCs w:val="16"/>
                <w:lang w:val="en-GB"/>
              </w:rPr>
              <w:t>36 815</w:t>
            </w:r>
          </w:p>
        </w:tc>
        <w:tc>
          <w:tcPr>
            <w:tcW w:w="1207" w:type="dxa"/>
            <w:vAlign w:val="center"/>
          </w:tcPr>
          <w:p w14:paraId="0D8FAE68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105.7</w:t>
            </w:r>
          </w:p>
        </w:tc>
      </w:tr>
      <w:tr w:rsidR="00EB69AF" w:rsidRPr="004829B9" w14:paraId="0BA3DFD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4FCBBAE" w14:textId="77777777" w:rsidR="00EB69AF" w:rsidRPr="004829B9" w:rsidRDefault="00EB69AF" w:rsidP="00EB69A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B8D933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177</w:t>
            </w:r>
          </w:p>
        </w:tc>
        <w:tc>
          <w:tcPr>
            <w:tcW w:w="1206" w:type="dxa"/>
            <w:vAlign w:val="center"/>
          </w:tcPr>
          <w:p w14:paraId="7471754E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129.2</w:t>
            </w:r>
          </w:p>
        </w:tc>
        <w:tc>
          <w:tcPr>
            <w:tcW w:w="1206" w:type="dxa"/>
            <w:vAlign w:val="center"/>
          </w:tcPr>
          <w:p w14:paraId="3FAE343C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almost 8-</w:t>
            </w:r>
          </w:p>
          <w:p w14:paraId="1916C83A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fold more</w:t>
            </w:r>
          </w:p>
        </w:tc>
        <w:tc>
          <w:tcPr>
            <w:tcW w:w="1206" w:type="dxa"/>
            <w:vAlign w:val="center"/>
          </w:tcPr>
          <w:p w14:paraId="1A0C182A" w14:textId="77777777" w:rsidR="00EB69AF" w:rsidRPr="004829B9" w:rsidRDefault="00EB69AF" w:rsidP="00EB69A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auto"/>
                <w:sz w:val="16"/>
                <w:szCs w:val="16"/>
                <w:lang w:val="en-GB"/>
              </w:rPr>
              <w:t>204</w:t>
            </w:r>
          </w:p>
        </w:tc>
        <w:tc>
          <w:tcPr>
            <w:tcW w:w="1207" w:type="dxa"/>
            <w:vAlign w:val="center"/>
          </w:tcPr>
          <w:p w14:paraId="5D07B47C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44.1</w:t>
            </w:r>
          </w:p>
        </w:tc>
      </w:tr>
      <w:tr w:rsidR="00EB69AF" w:rsidRPr="004829B9" w14:paraId="628C62B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8CF69C4" w14:textId="77777777" w:rsidR="00EB69AF" w:rsidRPr="004829B9" w:rsidRDefault="00EB69AF" w:rsidP="00EB69A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38194731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1206" w:type="dxa"/>
            <w:vAlign w:val="center"/>
          </w:tcPr>
          <w:p w14:paraId="3CCCE51D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66.7</w:t>
            </w:r>
          </w:p>
        </w:tc>
        <w:tc>
          <w:tcPr>
            <w:tcW w:w="1206" w:type="dxa"/>
            <w:vAlign w:val="center"/>
          </w:tcPr>
          <w:p w14:paraId="1B7E59DC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42.9</w:t>
            </w:r>
          </w:p>
        </w:tc>
        <w:tc>
          <w:tcPr>
            <w:tcW w:w="1206" w:type="dxa"/>
            <w:vAlign w:val="center"/>
          </w:tcPr>
          <w:p w14:paraId="594A1BF8" w14:textId="77777777" w:rsidR="00EB69AF" w:rsidRPr="004829B9" w:rsidRDefault="00EB69AF" w:rsidP="00EB69A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 w:rsidRPr="004829B9">
              <w:rPr>
                <w:sz w:val="16"/>
                <w:szCs w:val="16"/>
                <w:lang w:val="en-GB"/>
              </w:rPr>
              <w:t>123</w:t>
            </w:r>
          </w:p>
        </w:tc>
        <w:tc>
          <w:tcPr>
            <w:tcW w:w="1207" w:type="dxa"/>
            <w:vAlign w:val="center"/>
          </w:tcPr>
          <w:p w14:paraId="0B1FEB23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30.0</w:t>
            </w:r>
          </w:p>
        </w:tc>
      </w:tr>
      <w:tr w:rsidR="00EB69AF" w:rsidRPr="004829B9" w14:paraId="4A55058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EB43836" w14:textId="77777777" w:rsidR="00EB69AF" w:rsidRPr="004829B9" w:rsidRDefault="00EB69AF" w:rsidP="00EB69A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22DD43C4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1206" w:type="dxa"/>
            <w:vAlign w:val="center"/>
          </w:tcPr>
          <w:p w14:paraId="1D7D6902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.</w:t>
            </w:r>
          </w:p>
        </w:tc>
        <w:tc>
          <w:tcPr>
            <w:tcW w:w="1206" w:type="dxa"/>
            <w:vAlign w:val="center"/>
          </w:tcPr>
          <w:p w14:paraId="6F322B0B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.</w:t>
            </w:r>
          </w:p>
        </w:tc>
        <w:tc>
          <w:tcPr>
            <w:tcW w:w="1206" w:type="dxa"/>
            <w:vAlign w:val="center"/>
          </w:tcPr>
          <w:p w14:paraId="72AA4379" w14:textId="77777777" w:rsidR="00EB69AF" w:rsidRPr="004829B9" w:rsidRDefault="00EB69AF" w:rsidP="00EB69A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 w:rsidRPr="004829B9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207" w:type="dxa"/>
            <w:vAlign w:val="center"/>
          </w:tcPr>
          <w:p w14:paraId="08EB6A2D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.</w:t>
            </w:r>
          </w:p>
        </w:tc>
      </w:tr>
      <w:tr w:rsidR="00EB69AF" w:rsidRPr="004829B9" w14:paraId="1119B49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3AC118CE" w14:textId="77777777" w:rsidR="00EB69AF" w:rsidRPr="004829B9" w:rsidRDefault="00EB69AF" w:rsidP="00EB69A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1CE162BE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206" w:type="dxa"/>
            <w:vAlign w:val="center"/>
          </w:tcPr>
          <w:p w14:paraId="0D95C694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2.6</w:t>
            </w:r>
          </w:p>
        </w:tc>
        <w:tc>
          <w:tcPr>
            <w:tcW w:w="1206" w:type="dxa"/>
            <w:vAlign w:val="center"/>
          </w:tcPr>
          <w:p w14:paraId="45EFCE0B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.</w:t>
            </w:r>
          </w:p>
        </w:tc>
        <w:tc>
          <w:tcPr>
            <w:tcW w:w="1206" w:type="dxa"/>
            <w:vAlign w:val="center"/>
          </w:tcPr>
          <w:p w14:paraId="1BC05144" w14:textId="77777777" w:rsidR="00EB69AF" w:rsidRPr="004829B9" w:rsidRDefault="00EB69AF" w:rsidP="00EB69A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 w:rsidRPr="004829B9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07" w:type="dxa"/>
            <w:vAlign w:val="center"/>
          </w:tcPr>
          <w:p w14:paraId="3BFA6C4E" w14:textId="77777777" w:rsidR="00EB69AF" w:rsidRPr="004829B9" w:rsidRDefault="00EB69AF" w:rsidP="00EB69A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2.5</w:t>
            </w:r>
          </w:p>
        </w:tc>
      </w:tr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4C502AE6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0E9A0C44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527B0C" w:rsidRPr="004829B9">
        <w:rPr>
          <w:b w:val="0"/>
          <w:sz w:val="19"/>
          <w:szCs w:val="19"/>
          <w:shd w:val="clear" w:color="auto" w:fill="FFFFFF"/>
          <w:lang w:val="en-GB"/>
        </w:rPr>
        <w:t>the period of January-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March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 xml:space="preserve"> 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52.5</w:t>
      </w:r>
      <w:r w:rsidR="00A3375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2.5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2019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31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8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4.6% less than in 2019)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19</w:t>
      </w:r>
      <w:r w:rsidR="00C57EF3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6</w:t>
      </w:r>
      <w:r w:rsidR="00885F42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2.6% more y/y)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,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6590" w:rsidRPr="004829B9">
        <w:rPr>
          <w:b w:val="0"/>
          <w:sz w:val="19"/>
          <w:szCs w:val="19"/>
          <w:shd w:val="clear" w:color="auto" w:fill="FFFFFF"/>
          <w:lang w:val="en-GB"/>
        </w:rPr>
        <w:t xml:space="preserve">i.e.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altogether 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98</w:t>
      </w:r>
      <w:r w:rsidR="00983BE8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0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95E14" w:rsidRPr="004829B9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 w:rsidRPr="004829B9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528</w:t>
      </w:r>
      <w:r w:rsidR="000E65E1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675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7E1643" w:rsidRPr="004829B9">
        <w:rPr>
          <w:b w:val="0"/>
          <w:sz w:val="19"/>
          <w:szCs w:val="19"/>
          <w:shd w:val="clear" w:color="auto" w:fill="FFFFFF"/>
          <w:lang w:val="en-GB"/>
        </w:rPr>
        <w:t>,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as well as 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543</w:t>
      </w:r>
      <w:r w:rsidR="00115574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698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).</w:t>
      </w:r>
    </w:p>
    <w:p w14:paraId="49780DA7" w14:textId="77777777" w:rsidR="00B4601E" w:rsidRPr="004829B9" w:rsidRDefault="00B4601E" w:rsidP="00CF36C5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0013A9" w:rsidRPr="004829B9" w14:paraId="581AD620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1DB08E6C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954750B" w14:textId="77777777" w:rsidR="000013A9" w:rsidRPr="004829B9" w:rsidRDefault="000013A9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0013A9" w:rsidRPr="004829B9" w14:paraId="3F568F15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8956D22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7886D38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II</w:t>
            </w:r>
            <w:r w:rsidR="0046238A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7D2DC35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I-II</w:t>
            </w:r>
            <w:r w:rsidR="0046238A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0013A9" w:rsidRPr="004829B9" w14:paraId="03089097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BBEA73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1E251B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8242DD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II</w:t>
            </w:r>
            <w:r w:rsidR="0046238A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54C121F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46238A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5FF03A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558FA70D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I-II</w:t>
            </w:r>
            <w:r w:rsidR="0046238A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46238A" w:rsidRPr="004829B9" w14:paraId="6FDD4EF7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9FB5C9" w14:textId="77777777" w:rsidR="0046238A" w:rsidRPr="004829B9" w:rsidRDefault="0046238A" w:rsidP="0046238A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C0DE46B" w14:textId="77777777" w:rsidR="0046238A" w:rsidRPr="004829B9" w:rsidRDefault="0046238A" w:rsidP="0046238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18 777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C00CC24" w14:textId="77777777" w:rsidR="0046238A" w:rsidRPr="004829B9" w:rsidRDefault="0046238A" w:rsidP="0046238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79.1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A450CD" w14:textId="77777777" w:rsidR="0046238A" w:rsidRPr="004829B9" w:rsidRDefault="0046238A" w:rsidP="0046238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105.0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BBCAC80" w14:textId="77777777" w:rsidR="0046238A" w:rsidRPr="004829B9" w:rsidRDefault="0046238A" w:rsidP="0046238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52 543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40329725" w14:textId="77777777" w:rsidR="0046238A" w:rsidRPr="004829B9" w:rsidRDefault="0046238A" w:rsidP="0046238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97.5</w:t>
            </w:r>
          </w:p>
        </w:tc>
      </w:tr>
      <w:tr w:rsidR="0046238A" w:rsidRPr="004829B9" w14:paraId="02B9960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2B427C" w14:textId="77777777" w:rsidR="0046238A" w:rsidRPr="004829B9" w:rsidRDefault="0046238A" w:rsidP="0046238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EA24020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7 360</w:t>
            </w:r>
          </w:p>
        </w:tc>
        <w:tc>
          <w:tcPr>
            <w:tcW w:w="1206" w:type="dxa"/>
            <w:vAlign w:val="center"/>
          </w:tcPr>
          <w:p w14:paraId="4182E47D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75.1</w:t>
            </w:r>
          </w:p>
        </w:tc>
        <w:tc>
          <w:tcPr>
            <w:tcW w:w="1206" w:type="dxa"/>
            <w:vAlign w:val="center"/>
          </w:tcPr>
          <w:p w14:paraId="55847995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107.5</w:t>
            </w:r>
          </w:p>
        </w:tc>
        <w:tc>
          <w:tcPr>
            <w:tcW w:w="1206" w:type="dxa"/>
            <w:vAlign w:val="center"/>
          </w:tcPr>
          <w:p w14:paraId="563931BA" w14:textId="77777777" w:rsidR="0046238A" w:rsidRPr="004829B9" w:rsidRDefault="0046238A" w:rsidP="0046238A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19 625</w:t>
            </w:r>
          </w:p>
        </w:tc>
        <w:tc>
          <w:tcPr>
            <w:tcW w:w="1207" w:type="dxa"/>
            <w:vAlign w:val="center"/>
          </w:tcPr>
          <w:p w14:paraId="6B359C49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102.6</w:t>
            </w:r>
          </w:p>
        </w:tc>
      </w:tr>
      <w:tr w:rsidR="0046238A" w:rsidRPr="004829B9" w14:paraId="16E631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4BE628A" w14:textId="77777777" w:rsidR="0046238A" w:rsidRPr="004829B9" w:rsidRDefault="0046238A" w:rsidP="0046238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36D71E9A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11 202</w:t>
            </w:r>
          </w:p>
        </w:tc>
        <w:tc>
          <w:tcPr>
            <w:tcW w:w="1206" w:type="dxa"/>
            <w:vAlign w:val="center"/>
          </w:tcPr>
          <w:p w14:paraId="75BDDBF3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84.7</w:t>
            </w:r>
          </w:p>
        </w:tc>
        <w:tc>
          <w:tcPr>
            <w:tcW w:w="1206" w:type="dxa"/>
            <w:vAlign w:val="center"/>
          </w:tcPr>
          <w:p w14:paraId="0FABE999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105.5</w:t>
            </w:r>
          </w:p>
        </w:tc>
        <w:tc>
          <w:tcPr>
            <w:tcW w:w="1206" w:type="dxa"/>
            <w:vAlign w:val="center"/>
          </w:tcPr>
          <w:p w14:paraId="512D50D9" w14:textId="77777777" w:rsidR="0046238A" w:rsidRPr="004829B9" w:rsidRDefault="0046238A" w:rsidP="0046238A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31 847</w:t>
            </w:r>
          </w:p>
        </w:tc>
        <w:tc>
          <w:tcPr>
            <w:tcW w:w="1207" w:type="dxa"/>
            <w:vAlign w:val="center"/>
          </w:tcPr>
          <w:p w14:paraId="52836C7F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95.4</w:t>
            </w:r>
          </w:p>
        </w:tc>
      </w:tr>
      <w:tr w:rsidR="0046238A" w:rsidRPr="004829B9" w14:paraId="435A7676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156F18" w14:textId="77777777" w:rsidR="0046238A" w:rsidRPr="004829B9" w:rsidRDefault="0046238A" w:rsidP="0046238A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0953AF15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41</w:t>
            </w:r>
          </w:p>
        </w:tc>
        <w:tc>
          <w:tcPr>
            <w:tcW w:w="1206" w:type="dxa"/>
            <w:vAlign w:val="center"/>
          </w:tcPr>
          <w:p w14:paraId="6A70776B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60.3</w:t>
            </w:r>
          </w:p>
        </w:tc>
        <w:tc>
          <w:tcPr>
            <w:tcW w:w="1206" w:type="dxa"/>
            <w:vAlign w:val="center"/>
          </w:tcPr>
          <w:p w14:paraId="77A225F3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65.1</w:t>
            </w:r>
          </w:p>
        </w:tc>
        <w:tc>
          <w:tcPr>
            <w:tcW w:w="1206" w:type="dxa"/>
            <w:vAlign w:val="center"/>
          </w:tcPr>
          <w:p w14:paraId="2296D291" w14:textId="77777777" w:rsidR="0046238A" w:rsidRPr="004829B9" w:rsidRDefault="0046238A" w:rsidP="0046238A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274</w:t>
            </w:r>
          </w:p>
        </w:tc>
        <w:tc>
          <w:tcPr>
            <w:tcW w:w="1207" w:type="dxa"/>
            <w:vAlign w:val="center"/>
          </w:tcPr>
          <w:p w14:paraId="0F18BEC0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147.3</w:t>
            </w:r>
          </w:p>
        </w:tc>
      </w:tr>
      <w:tr w:rsidR="0046238A" w:rsidRPr="004829B9" w14:paraId="57DDA71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07F54E1" w14:textId="77777777" w:rsidR="0046238A" w:rsidRPr="004829B9" w:rsidRDefault="0046238A" w:rsidP="0046238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2FE7DE35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57</w:t>
            </w:r>
          </w:p>
        </w:tc>
        <w:tc>
          <w:tcPr>
            <w:tcW w:w="1206" w:type="dxa"/>
            <w:vAlign w:val="center"/>
          </w:tcPr>
          <w:p w14:paraId="6D446002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14.9</w:t>
            </w:r>
          </w:p>
        </w:tc>
        <w:tc>
          <w:tcPr>
            <w:tcW w:w="1206" w:type="dxa"/>
            <w:vAlign w:val="center"/>
          </w:tcPr>
          <w:p w14:paraId="73242060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18.2</w:t>
            </w:r>
          </w:p>
        </w:tc>
        <w:tc>
          <w:tcPr>
            <w:tcW w:w="1206" w:type="dxa"/>
            <w:vAlign w:val="center"/>
          </w:tcPr>
          <w:p w14:paraId="4BFAFDD5" w14:textId="77777777" w:rsidR="0046238A" w:rsidRPr="004829B9" w:rsidRDefault="0046238A" w:rsidP="0046238A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528</w:t>
            </w:r>
          </w:p>
        </w:tc>
        <w:tc>
          <w:tcPr>
            <w:tcW w:w="1207" w:type="dxa"/>
            <w:vAlign w:val="center"/>
          </w:tcPr>
          <w:p w14:paraId="76E8B110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78.2</w:t>
            </w:r>
          </w:p>
        </w:tc>
      </w:tr>
      <w:tr w:rsidR="0046238A" w:rsidRPr="004829B9" w14:paraId="6A70347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6066AF" w14:textId="77777777" w:rsidR="0046238A" w:rsidRPr="004829B9" w:rsidRDefault="0046238A" w:rsidP="0046238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26504A67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206" w:type="dxa"/>
            <w:vAlign w:val="center"/>
          </w:tcPr>
          <w:p w14:paraId="71430A96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1.9</w:t>
            </w:r>
          </w:p>
        </w:tc>
        <w:tc>
          <w:tcPr>
            <w:tcW w:w="1206" w:type="dxa"/>
            <w:vAlign w:val="center"/>
          </w:tcPr>
          <w:p w14:paraId="33FA0D09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7.1</w:t>
            </w:r>
          </w:p>
        </w:tc>
        <w:tc>
          <w:tcPr>
            <w:tcW w:w="1206" w:type="dxa"/>
            <w:vAlign w:val="center"/>
          </w:tcPr>
          <w:p w14:paraId="1AD2E584" w14:textId="77777777" w:rsidR="0046238A" w:rsidRPr="004829B9" w:rsidRDefault="0046238A" w:rsidP="0046238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77</w:t>
            </w:r>
          </w:p>
        </w:tc>
        <w:tc>
          <w:tcPr>
            <w:tcW w:w="1207" w:type="dxa"/>
            <w:vAlign w:val="center"/>
          </w:tcPr>
          <w:p w14:paraId="27BBCB3A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40.3</w:t>
            </w:r>
          </w:p>
        </w:tc>
      </w:tr>
      <w:tr w:rsidR="0046238A" w:rsidRPr="004829B9" w14:paraId="2C92CBE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9A264D" w14:textId="77777777" w:rsidR="0046238A" w:rsidRPr="004829B9" w:rsidRDefault="0046238A" w:rsidP="0046238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4DBC4D16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156</w:t>
            </w:r>
          </w:p>
        </w:tc>
        <w:tc>
          <w:tcPr>
            <w:tcW w:w="1206" w:type="dxa"/>
            <w:vAlign w:val="center"/>
          </w:tcPr>
          <w:p w14:paraId="4BE61B3C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65.3</w:t>
            </w:r>
          </w:p>
        </w:tc>
        <w:tc>
          <w:tcPr>
            <w:tcW w:w="1206" w:type="dxa"/>
            <w:vAlign w:val="center"/>
          </w:tcPr>
          <w:p w14:paraId="55AFA942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487.5</w:t>
            </w:r>
          </w:p>
        </w:tc>
        <w:tc>
          <w:tcPr>
            <w:tcW w:w="1206" w:type="dxa"/>
            <w:vAlign w:val="center"/>
          </w:tcPr>
          <w:p w14:paraId="4EFD285C" w14:textId="77777777" w:rsidR="0046238A" w:rsidRPr="004829B9" w:rsidRDefault="0046238A" w:rsidP="0046238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 w:rsidRPr="004829B9">
              <w:rPr>
                <w:sz w:val="16"/>
                <w:szCs w:val="16"/>
                <w:lang w:val="en-GB"/>
              </w:rPr>
              <w:t>412</w:t>
            </w:r>
          </w:p>
        </w:tc>
        <w:tc>
          <w:tcPr>
            <w:tcW w:w="1207" w:type="dxa"/>
            <w:vAlign w:val="center"/>
          </w:tcPr>
          <w:p w14:paraId="61023407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81.3</w:t>
            </w:r>
          </w:p>
        </w:tc>
      </w:tr>
      <w:tr w:rsidR="0046238A" w:rsidRPr="004829B9" w14:paraId="0EA887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16A460B1" w14:textId="77777777" w:rsidR="0046238A" w:rsidRPr="004829B9" w:rsidRDefault="0046238A" w:rsidP="0046238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3B1E13A2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206" w:type="dxa"/>
            <w:vAlign w:val="center"/>
          </w:tcPr>
          <w:p w14:paraId="0BE40393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206" w:type="dxa"/>
            <w:vAlign w:val="center"/>
          </w:tcPr>
          <w:p w14:paraId="4569CA16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sz w:val="16"/>
                <w:szCs w:val="16"/>
                <w:lang w:val="en-GB"/>
              </w:rPr>
              <w:t>.</w:t>
            </w:r>
          </w:p>
        </w:tc>
        <w:tc>
          <w:tcPr>
            <w:tcW w:w="1206" w:type="dxa"/>
            <w:vAlign w:val="center"/>
          </w:tcPr>
          <w:p w14:paraId="067A83DD" w14:textId="77777777" w:rsidR="0046238A" w:rsidRPr="004829B9" w:rsidRDefault="0046238A" w:rsidP="0046238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54</w:t>
            </w:r>
          </w:p>
        </w:tc>
        <w:tc>
          <w:tcPr>
            <w:tcW w:w="1207" w:type="dxa"/>
            <w:vAlign w:val="center"/>
          </w:tcPr>
          <w:p w14:paraId="25216EE8" w14:textId="77777777" w:rsidR="0046238A" w:rsidRPr="004829B9" w:rsidRDefault="0046238A" w:rsidP="004623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</w:tr>
    </w:tbl>
    <w:p w14:paraId="7272B003" w14:textId="77777777" w:rsidR="009609A1" w:rsidRPr="004829B9" w:rsidRDefault="009609A1" w:rsidP="00467EFF">
      <w:pPr>
        <w:rPr>
          <w:shd w:val="clear" w:color="auto" w:fill="FFFFFF"/>
          <w:lang w:val="en-GB"/>
        </w:rPr>
      </w:pPr>
    </w:p>
    <w:p w14:paraId="34D75009" w14:textId="70FED541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in the end of </w:t>
      </w:r>
      <w:r w:rsidR="00681EA6" w:rsidRPr="004829B9">
        <w:rPr>
          <w:b w:val="0"/>
          <w:sz w:val="19"/>
          <w:szCs w:val="19"/>
          <w:shd w:val="clear" w:color="auto" w:fill="FFFFFF"/>
          <w:lang w:val="en-GB"/>
        </w:rPr>
        <w:t>March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F3F3D" w:rsidRPr="004829B9">
        <w:rPr>
          <w:b w:val="0"/>
          <w:sz w:val="19"/>
          <w:szCs w:val="19"/>
          <w:shd w:val="clear" w:color="auto" w:fill="FFFFFF"/>
          <w:lang w:val="en-GB"/>
        </w:rPr>
        <w:t>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81EA6" w:rsidRPr="004829B9">
        <w:rPr>
          <w:b w:val="0"/>
          <w:sz w:val="19"/>
          <w:szCs w:val="19"/>
          <w:shd w:val="clear" w:color="auto" w:fill="FFFFFF"/>
          <w:lang w:val="en-GB"/>
        </w:rPr>
        <w:t xml:space="preserve"> there were 828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681EA6" w:rsidRPr="004829B9">
        <w:rPr>
          <w:b w:val="0"/>
          <w:sz w:val="19"/>
          <w:szCs w:val="19"/>
          <w:shd w:val="clear" w:color="auto" w:fill="FFFFFF"/>
          <w:lang w:val="en-GB"/>
        </w:rPr>
        <w:t>5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681EA6" w:rsidRPr="004829B9">
        <w:rPr>
          <w:b w:val="0"/>
          <w:sz w:val="19"/>
          <w:szCs w:val="19"/>
          <w:shd w:val="clear" w:color="auto" w:fill="FFFFFF"/>
          <w:lang w:val="en-GB"/>
        </w:rPr>
        <w:t>3.3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in the corresponding period of 2019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7AFA1BBF" w:rsidR="005D23AA" w:rsidRPr="004829B9" w:rsidRDefault="005D23AA" w:rsidP="007207E6">
      <w:pPr>
        <w:pStyle w:val="tytuwykresu"/>
        <w:rPr>
          <w:lang w:val="en-GB"/>
        </w:rPr>
      </w:pPr>
    </w:p>
    <w:p w14:paraId="2E8A539A" w14:textId="3007975C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0BB613BD" w14:textId="76CF859F" w:rsidR="00632DF8" w:rsidRPr="004829B9" w:rsidRDefault="0051287F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 w:rsidRPr="004829B9">
        <w:rPr>
          <w:noProof/>
          <w:lang w:val="en-GB" w:eastAsia="pl-PL"/>
        </w:rPr>
        <w:t xml:space="preserve"> </w:t>
      </w:r>
    </w:p>
    <w:p w14:paraId="631FF680" w14:textId="12461AED" w:rsidR="000271FB" w:rsidRPr="004829B9" w:rsidRDefault="002C751B" w:rsidP="003A7E95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28C59133">
                <wp:simplePos x="0" y="0"/>
                <wp:positionH relativeFrom="page">
                  <wp:posOffset>5752465</wp:posOffset>
                </wp:positionH>
                <wp:positionV relativeFrom="paragraph">
                  <wp:posOffset>260350</wp:posOffset>
                </wp:positionV>
                <wp:extent cx="1760855" cy="214503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14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04AA5422" w:rsidR="003A7E95" w:rsidRPr="00AC3185" w:rsidRDefault="003A7E95" w:rsidP="00AC3185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March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compared to February 2020,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increased (by 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0.1%) 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as well as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for which permits have been granted or wh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ich have been registered with a 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construction project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BD7A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15.2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 and</w:t>
                            </w:r>
                            <w:r w:rsidRPr="00681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number of dwellings in which construction has begun</w:t>
                            </w:r>
                            <w:r w:rsidRPr="00681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(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5.0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2" type="#_x0000_t202" style="position:absolute;margin-left:452.95pt;margin-top:20.5pt;width:138.65pt;height:168.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" filled="f" stroked="f">
                <v:textbox>
                  <w:txbxContent>
                    <w:p w14:paraId="58FBF1C9" w14:textId="04AA5422" w:rsidR="003A7E95" w:rsidRPr="00AC3185" w:rsidRDefault="003A7E95" w:rsidP="00AC3185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March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compared to February 2020,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increased (by 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0.1%) 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as well as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for which permits have been granted or wh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ich have been registered with a 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construction project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BD7A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bookmarkStart w:id="1" w:name="_GoBack"/>
                      <w:bookmarkEnd w:id="1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15.2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 and</w:t>
                      </w:r>
                      <w:r w:rsidRPr="00681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number of dwellings in which construction has begun</w:t>
                      </w:r>
                      <w:r w:rsidRPr="00681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(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5.0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A7E95" w:rsidRPr="004829B9">
        <w:rPr>
          <w:noProof/>
        </w:rPr>
        <w:drawing>
          <wp:inline distT="0" distB="0" distL="0" distR="0" wp14:anchorId="4FE68D0E" wp14:editId="42B8A026">
            <wp:extent cx="5122545" cy="2501799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4E47249" w14:textId="77777777" w:rsidR="00BD7A45" w:rsidRDefault="00BD7A45" w:rsidP="00CB6084">
      <w:pPr>
        <w:rPr>
          <w:szCs w:val="19"/>
          <w:shd w:val="clear" w:color="auto" w:fill="FFFFFF"/>
          <w:lang w:val="en-GB"/>
        </w:rPr>
      </w:pPr>
    </w:p>
    <w:p w14:paraId="6B2C5EA1" w14:textId="1DA1AA22" w:rsidR="00CB6084" w:rsidRPr="004829B9" w:rsidRDefault="00980EA5" w:rsidP="00CB6084">
      <w:pPr>
        <w:rPr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t xml:space="preserve">The biggest number </w:t>
      </w:r>
      <w:r w:rsidR="00CB6084" w:rsidRPr="004829B9">
        <w:rPr>
          <w:szCs w:val="19"/>
          <w:shd w:val="clear" w:color="auto" w:fill="FFFFFF"/>
          <w:lang w:val="en-GB"/>
        </w:rPr>
        <w:t xml:space="preserve">of dwellings for which permits have been granted or which have been registered with a construction project and in which construction has begun in </w:t>
      </w:r>
      <w:r w:rsidR="00F342E0" w:rsidRPr="004829B9">
        <w:rPr>
          <w:szCs w:val="19"/>
          <w:shd w:val="clear" w:color="auto" w:fill="FFFFFF"/>
          <w:lang w:val="en-GB"/>
        </w:rPr>
        <w:t>the period of </w:t>
      </w:r>
      <w:r w:rsidR="00B4601E" w:rsidRPr="004829B9">
        <w:rPr>
          <w:szCs w:val="19"/>
          <w:shd w:val="clear" w:color="auto" w:fill="FFFFFF"/>
          <w:lang w:val="en-GB"/>
        </w:rPr>
        <w:t>January</w:t>
      </w:r>
      <w:r w:rsidR="00F75655" w:rsidRPr="004829B9">
        <w:rPr>
          <w:szCs w:val="19"/>
          <w:shd w:val="clear" w:color="auto" w:fill="FFFFFF"/>
          <w:lang w:val="en-GB"/>
        </w:rPr>
        <w:t>-</w:t>
      </w:r>
      <w:r w:rsidR="00681EA6" w:rsidRPr="004829B9">
        <w:rPr>
          <w:szCs w:val="19"/>
          <w:shd w:val="clear" w:color="auto" w:fill="FFFFFF"/>
          <w:lang w:val="en-GB"/>
        </w:rPr>
        <w:t>March</w:t>
      </w:r>
      <w:r w:rsidR="00A84818" w:rsidRPr="004829B9">
        <w:rPr>
          <w:szCs w:val="19"/>
          <w:shd w:val="clear" w:color="auto" w:fill="FFFFFF"/>
          <w:lang w:val="en-GB"/>
        </w:rPr>
        <w:t xml:space="preserve"> </w:t>
      </w:r>
      <w:r w:rsidR="00B4601E" w:rsidRPr="004829B9">
        <w:rPr>
          <w:szCs w:val="19"/>
          <w:shd w:val="clear" w:color="auto" w:fill="FFFFFF"/>
          <w:lang w:val="en-GB"/>
        </w:rPr>
        <w:t>2020</w:t>
      </w:r>
      <w:r w:rsidR="00CB6084" w:rsidRPr="004829B9">
        <w:rPr>
          <w:szCs w:val="19"/>
          <w:shd w:val="clear" w:color="auto" w:fill="FFFFFF"/>
          <w:lang w:val="en-GB"/>
        </w:rPr>
        <w:t xml:space="preserve"> was recorded </w:t>
      </w:r>
      <w:r w:rsidR="003A358E" w:rsidRPr="004829B9">
        <w:rPr>
          <w:szCs w:val="19"/>
          <w:shd w:val="clear" w:color="auto" w:fill="FFFFFF"/>
          <w:lang w:val="en-GB"/>
        </w:rPr>
        <w:t xml:space="preserve">in </w:t>
      </w:r>
      <w:proofErr w:type="spellStart"/>
      <w:r w:rsidR="003A358E" w:rsidRPr="004829B9">
        <w:rPr>
          <w:szCs w:val="19"/>
          <w:shd w:val="clear" w:color="auto" w:fill="FFFFFF"/>
          <w:lang w:val="en-GB"/>
        </w:rPr>
        <w:t>M</w:t>
      </w:r>
      <w:r w:rsidR="00CB6084" w:rsidRPr="004829B9">
        <w:rPr>
          <w:szCs w:val="19"/>
          <w:shd w:val="clear" w:color="auto" w:fill="FFFFFF"/>
          <w:lang w:val="en-GB"/>
        </w:rPr>
        <w:t>azowieckie</w:t>
      </w:r>
      <w:proofErr w:type="spellEnd"/>
      <w:r w:rsidR="006D5A05" w:rsidRPr="004829B9">
        <w:rPr>
          <w:szCs w:val="19"/>
          <w:shd w:val="clear" w:color="auto" w:fill="FFFFFF"/>
          <w:lang w:val="en-GB"/>
        </w:rPr>
        <w:t xml:space="preserve"> voivodship (</w:t>
      </w:r>
      <w:r w:rsidR="00681EA6" w:rsidRPr="004829B9">
        <w:rPr>
          <w:szCs w:val="19"/>
          <w:shd w:val="clear" w:color="auto" w:fill="FFFFFF"/>
          <w:lang w:val="en-GB"/>
        </w:rPr>
        <w:t xml:space="preserve">both </w:t>
      </w:r>
      <w:r w:rsidR="00133F23">
        <w:rPr>
          <w:szCs w:val="19"/>
          <w:shd w:val="clear" w:color="auto" w:fill="FFFFFF"/>
          <w:lang w:val="en-GB"/>
        </w:rPr>
        <w:t>in the number of</w:t>
      </w:r>
      <w:r w:rsidR="00133F23" w:rsidRPr="004829B9">
        <w:rPr>
          <w:szCs w:val="19"/>
          <w:shd w:val="clear" w:color="auto" w:fill="FFFFFF"/>
          <w:lang w:val="en-GB"/>
        </w:rPr>
        <w:t xml:space="preserve"> </w:t>
      </w:r>
      <w:r w:rsidR="00681EA6" w:rsidRPr="004829B9">
        <w:rPr>
          <w:szCs w:val="19"/>
          <w:shd w:val="clear" w:color="auto" w:fill="FFFFFF"/>
          <w:lang w:val="en-GB"/>
        </w:rPr>
        <w:t>10.7</w:t>
      </w:r>
      <w:r w:rsidR="00A84818" w:rsidRPr="004829B9">
        <w:rPr>
          <w:szCs w:val="19"/>
          <w:shd w:val="clear" w:color="auto" w:fill="FFFFFF"/>
          <w:lang w:val="en-GB"/>
        </w:rPr>
        <w:t xml:space="preserve"> thous</w:t>
      </w:r>
      <w:r w:rsidR="00133F23">
        <w:rPr>
          <w:szCs w:val="19"/>
          <w:shd w:val="clear" w:color="auto" w:fill="FFFFFF"/>
          <w:lang w:val="en-GB"/>
        </w:rPr>
        <w:t>and</w:t>
      </w:r>
      <w:r w:rsidR="00E873C8" w:rsidRPr="004829B9">
        <w:rPr>
          <w:szCs w:val="19"/>
          <w:shd w:val="clear" w:color="auto" w:fill="FFFFFF"/>
          <w:lang w:val="en-GB"/>
        </w:rPr>
        <w:t>)</w:t>
      </w:r>
      <w:r w:rsidR="000401D6" w:rsidRPr="004829B9">
        <w:rPr>
          <w:szCs w:val="19"/>
          <w:shd w:val="clear" w:color="auto" w:fill="FFFFFF"/>
          <w:lang w:val="en-GB"/>
        </w:rPr>
        <w:t xml:space="preserve"> and </w:t>
      </w:r>
      <w:proofErr w:type="spellStart"/>
      <w:r w:rsidR="00244842" w:rsidRPr="004829B9">
        <w:rPr>
          <w:szCs w:val="19"/>
          <w:shd w:val="clear" w:color="auto" w:fill="FFFFFF"/>
          <w:lang w:val="en-GB"/>
        </w:rPr>
        <w:t>Wielkopolskie</w:t>
      </w:r>
      <w:proofErr w:type="spellEnd"/>
      <w:r w:rsidR="00244842" w:rsidRPr="004829B9">
        <w:rPr>
          <w:szCs w:val="19"/>
          <w:shd w:val="clear" w:color="auto" w:fill="FFFFFF"/>
          <w:lang w:val="en-GB"/>
        </w:rPr>
        <w:t xml:space="preserve"> voivodship (</w:t>
      </w:r>
      <w:r w:rsidR="00681EA6" w:rsidRPr="004829B9">
        <w:rPr>
          <w:szCs w:val="19"/>
          <w:shd w:val="clear" w:color="auto" w:fill="FFFFFF"/>
          <w:lang w:val="en-GB"/>
        </w:rPr>
        <w:t>6.6 thous</w:t>
      </w:r>
      <w:r w:rsidR="00133F23">
        <w:rPr>
          <w:szCs w:val="19"/>
          <w:shd w:val="clear" w:color="auto" w:fill="FFFFFF"/>
          <w:lang w:val="en-GB"/>
        </w:rPr>
        <w:t>and</w:t>
      </w:r>
      <w:r w:rsidR="00681EA6" w:rsidRPr="004829B9">
        <w:rPr>
          <w:szCs w:val="19"/>
          <w:shd w:val="clear" w:color="auto" w:fill="FFFFFF"/>
          <w:lang w:val="en-GB"/>
        </w:rPr>
        <w:t xml:space="preserve"> and 6.3</w:t>
      </w:r>
      <w:r w:rsidR="00244842" w:rsidRPr="004829B9">
        <w:rPr>
          <w:szCs w:val="19"/>
          <w:shd w:val="clear" w:color="auto" w:fill="FFFFFF"/>
          <w:lang w:val="en-GB"/>
        </w:rPr>
        <w:t xml:space="preserve"> thous</w:t>
      </w:r>
      <w:r w:rsidR="00133F23">
        <w:rPr>
          <w:szCs w:val="19"/>
          <w:shd w:val="clear" w:color="auto" w:fill="FFFFFF"/>
          <w:lang w:val="en-GB"/>
        </w:rPr>
        <w:t>and</w:t>
      </w:r>
      <w:r w:rsidR="000401D6" w:rsidRPr="004829B9">
        <w:rPr>
          <w:szCs w:val="19"/>
          <w:shd w:val="clear" w:color="auto" w:fill="FFFFFF"/>
          <w:lang w:val="en-GB"/>
        </w:rPr>
        <w:t>)</w:t>
      </w:r>
      <w:r w:rsidR="00CB6084" w:rsidRPr="004829B9">
        <w:rPr>
          <w:szCs w:val="19"/>
          <w:shd w:val="clear" w:color="auto" w:fill="FFFFFF"/>
          <w:lang w:val="en-GB"/>
        </w:rPr>
        <w:t>. Voivods</w:t>
      </w:r>
      <w:r w:rsidR="00F342E0" w:rsidRPr="004829B9">
        <w:rPr>
          <w:szCs w:val="19"/>
          <w:shd w:val="clear" w:color="auto" w:fill="FFFFFF"/>
          <w:lang w:val="en-GB"/>
        </w:rPr>
        <w:t>hips with the largest number of </w:t>
      </w:r>
      <w:r w:rsidR="00CB6084" w:rsidRPr="004829B9">
        <w:rPr>
          <w:szCs w:val="19"/>
          <w:shd w:val="clear" w:color="auto" w:fill="FFFFFF"/>
          <w:lang w:val="en-GB"/>
        </w:rPr>
        <w:t xml:space="preserve">dwellings completed </w:t>
      </w:r>
      <w:r w:rsidR="002F2E8D" w:rsidRPr="004829B9">
        <w:rPr>
          <w:szCs w:val="19"/>
          <w:shd w:val="clear" w:color="auto" w:fill="FFFFFF"/>
          <w:lang w:val="en-GB"/>
        </w:rPr>
        <w:t>were</w:t>
      </w:r>
      <w:r w:rsidR="00681EA6" w:rsidRPr="004829B9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681EA6" w:rsidRPr="004829B9">
        <w:rPr>
          <w:szCs w:val="19"/>
          <w:shd w:val="clear" w:color="auto" w:fill="FFFFFF"/>
          <w:lang w:val="en-GB"/>
        </w:rPr>
        <w:t>Mazowieckie</w:t>
      </w:r>
      <w:proofErr w:type="spellEnd"/>
      <w:r w:rsidR="00681EA6" w:rsidRPr="004829B9">
        <w:rPr>
          <w:szCs w:val="19"/>
          <w:shd w:val="clear" w:color="auto" w:fill="FFFFFF"/>
          <w:lang w:val="en-GB"/>
        </w:rPr>
        <w:t xml:space="preserve"> (9</w:t>
      </w:r>
      <w:r w:rsidR="007F4BEF" w:rsidRPr="004829B9">
        <w:rPr>
          <w:szCs w:val="19"/>
          <w:shd w:val="clear" w:color="auto" w:fill="FFFFFF"/>
          <w:lang w:val="en-GB"/>
        </w:rPr>
        <w:t>.</w:t>
      </w:r>
      <w:r w:rsidR="00681EA6" w:rsidRPr="004829B9">
        <w:rPr>
          <w:szCs w:val="19"/>
          <w:shd w:val="clear" w:color="auto" w:fill="FFFFFF"/>
          <w:lang w:val="en-GB"/>
        </w:rPr>
        <w:t>2</w:t>
      </w:r>
      <w:r w:rsidR="009664CD" w:rsidRPr="004829B9">
        <w:rPr>
          <w:szCs w:val="19"/>
          <w:shd w:val="clear" w:color="auto" w:fill="FFFFFF"/>
          <w:lang w:val="en-GB"/>
        </w:rPr>
        <w:t xml:space="preserve"> thous</w:t>
      </w:r>
      <w:r w:rsidR="00133F23">
        <w:rPr>
          <w:szCs w:val="19"/>
          <w:shd w:val="clear" w:color="auto" w:fill="FFFFFF"/>
          <w:lang w:val="en-GB"/>
        </w:rPr>
        <w:t>and</w:t>
      </w:r>
      <w:r w:rsidR="009664CD" w:rsidRPr="004829B9">
        <w:rPr>
          <w:szCs w:val="19"/>
          <w:shd w:val="clear" w:color="auto" w:fill="FFFFFF"/>
          <w:lang w:val="en-GB"/>
        </w:rPr>
        <w:t xml:space="preserve"> </w:t>
      </w:r>
      <w:r w:rsidR="00766AF6" w:rsidRPr="004829B9">
        <w:rPr>
          <w:szCs w:val="19"/>
          <w:shd w:val="clear" w:color="auto" w:fill="FFFFFF"/>
          <w:lang w:val="en-GB"/>
        </w:rPr>
        <w:t>d</w:t>
      </w:r>
      <w:r w:rsidR="009664CD" w:rsidRPr="004829B9">
        <w:rPr>
          <w:szCs w:val="19"/>
          <w:shd w:val="clear" w:color="auto" w:fill="FFFFFF"/>
          <w:lang w:val="en-GB"/>
        </w:rPr>
        <w:t>wellings</w:t>
      </w:r>
      <w:r w:rsidR="000401D6" w:rsidRPr="004829B9">
        <w:rPr>
          <w:szCs w:val="19"/>
          <w:shd w:val="clear" w:color="auto" w:fill="FFFFFF"/>
          <w:lang w:val="en-GB"/>
        </w:rPr>
        <w:t xml:space="preserve">) </w:t>
      </w:r>
      <w:r w:rsidR="009664CD" w:rsidRPr="004829B9">
        <w:rPr>
          <w:szCs w:val="19"/>
          <w:shd w:val="clear" w:color="auto" w:fill="FFFFFF"/>
          <w:lang w:val="en-GB"/>
        </w:rPr>
        <w:t xml:space="preserve">and </w:t>
      </w:r>
      <w:proofErr w:type="spellStart"/>
      <w:r w:rsidR="00F95941" w:rsidRPr="004829B9">
        <w:rPr>
          <w:szCs w:val="19"/>
          <w:shd w:val="clear" w:color="auto" w:fill="FFFFFF"/>
          <w:lang w:val="en-GB"/>
        </w:rPr>
        <w:t>Małopolskie</w:t>
      </w:r>
      <w:proofErr w:type="spellEnd"/>
      <w:r w:rsidR="009664CD" w:rsidRPr="004829B9">
        <w:rPr>
          <w:szCs w:val="19"/>
          <w:shd w:val="clear" w:color="auto" w:fill="FFFFFF"/>
          <w:lang w:val="en-GB"/>
        </w:rPr>
        <w:t xml:space="preserve"> </w:t>
      </w:r>
      <w:r w:rsidR="007F4BEF" w:rsidRPr="004829B9">
        <w:rPr>
          <w:szCs w:val="19"/>
          <w:shd w:val="clear" w:color="auto" w:fill="FFFFFF"/>
          <w:lang w:val="en-GB"/>
        </w:rPr>
        <w:t>(</w:t>
      </w:r>
      <w:r w:rsidR="00681EA6" w:rsidRPr="004829B9">
        <w:rPr>
          <w:szCs w:val="19"/>
          <w:shd w:val="clear" w:color="auto" w:fill="FFFFFF"/>
          <w:lang w:val="en-GB"/>
        </w:rPr>
        <w:t>5</w:t>
      </w:r>
      <w:r w:rsidR="007F4BEF" w:rsidRPr="004829B9">
        <w:rPr>
          <w:szCs w:val="19"/>
          <w:shd w:val="clear" w:color="auto" w:fill="FFFFFF"/>
          <w:lang w:val="en-GB"/>
        </w:rPr>
        <w:t>.</w:t>
      </w:r>
      <w:r w:rsidR="00681EA6" w:rsidRPr="004829B9">
        <w:rPr>
          <w:szCs w:val="19"/>
          <w:shd w:val="clear" w:color="auto" w:fill="FFFFFF"/>
          <w:lang w:val="en-GB"/>
        </w:rPr>
        <w:t>7</w:t>
      </w:r>
      <w:r w:rsidR="009664CD" w:rsidRPr="004829B9">
        <w:rPr>
          <w:szCs w:val="19"/>
          <w:shd w:val="clear" w:color="auto" w:fill="FFFFFF"/>
          <w:lang w:val="en-GB"/>
        </w:rPr>
        <w:t xml:space="preserve"> thous</w:t>
      </w:r>
      <w:r w:rsidR="00133F23">
        <w:rPr>
          <w:szCs w:val="19"/>
          <w:shd w:val="clear" w:color="auto" w:fill="FFFFFF"/>
          <w:lang w:val="en-GB"/>
        </w:rPr>
        <w:t>and</w:t>
      </w:r>
      <w:r w:rsidR="00CB6084" w:rsidRPr="004829B9">
        <w:rPr>
          <w:szCs w:val="19"/>
          <w:shd w:val="clear" w:color="auto" w:fill="FFFFFF"/>
          <w:lang w:val="en-GB"/>
        </w:rPr>
        <w:t>).</w:t>
      </w:r>
    </w:p>
    <w:p w14:paraId="20372666" w14:textId="77777777" w:rsidR="00C60835" w:rsidRPr="004829B9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F95941" w:rsidRPr="004829B9">
        <w:rPr>
          <w:color w:val="auto"/>
          <w:sz w:val="18"/>
          <w:szCs w:val="18"/>
          <w:lang w:val="en-GB"/>
        </w:rPr>
        <w:t>-</w:t>
      </w:r>
      <w:r w:rsidR="00954AC7" w:rsidRPr="004829B9">
        <w:rPr>
          <w:color w:val="auto"/>
          <w:sz w:val="18"/>
          <w:szCs w:val="18"/>
          <w:lang w:val="en-GB"/>
        </w:rPr>
        <w:t>March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0401D6" w:rsidRPr="004829B9">
        <w:rPr>
          <w:color w:val="auto"/>
          <w:sz w:val="18"/>
          <w:szCs w:val="18"/>
          <w:lang w:val="en-GB"/>
        </w:rPr>
        <w:t>2020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7EC8DDB5" w14:textId="77777777" w:rsidR="00010A4A" w:rsidRPr="004829B9" w:rsidRDefault="003A7E95" w:rsidP="00010A4A">
      <w:pPr>
        <w:rPr>
          <w:lang w:val="en-GB" w:eastAsia="pl-PL"/>
        </w:rPr>
      </w:pPr>
      <w:r w:rsidRPr="004829B9">
        <w:rPr>
          <w:noProof/>
          <w:lang w:eastAsia="pl-PL"/>
        </w:rPr>
        <w:drawing>
          <wp:anchor distT="0" distB="0" distL="114300" distR="114300" simplePos="0" relativeHeight="251780096" behindDoc="0" locked="0" layoutInCell="1" allowOverlap="1" wp14:anchorId="58ADEBDB" wp14:editId="233E1185">
            <wp:simplePos x="0" y="0"/>
            <wp:positionH relativeFrom="column">
              <wp:posOffset>-91922</wp:posOffset>
            </wp:positionH>
            <wp:positionV relativeFrom="paragraph">
              <wp:posOffset>6554</wp:posOffset>
            </wp:positionV>
            <wp:extent cx="5122545" cy="352171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7AEE73F8" w14:textId="77777777" w:rsidR="004231A6" w:rsidRPr="004829B9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28E3DDD1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8C163FB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E2571D8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D8D474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FF3760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A030C0E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1F2737E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D456CA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B66589A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7061D12D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73A2A541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1AA9CD5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94F78B6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8D6B616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01426E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02585F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A91665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70F087F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6C5A628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7844B4F" w14:textId="77777777" w:rsidR="00694AF0" w:rsidRPr="004829B9" w:rsidRDefault="00694AF0" w:rsidP="0046503D">
      <w:pPr>
        <w:rPr>
          <w:sz w:val="12"/>
          <w:szCs w:val="12"/>
          <w:lang w:val="en-GB"/>
        </w:rPr>
        <w:sectPr w:rsidR="00694AF0" w:rsidRPr="004829B9" w:rsidSect="00A05A3A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Tel: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Karolina </w:t>
            </w:r>
            <w:proofErr w:type="spellStart"/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Banaszek</w:t>
            </w:r>
            <w:proofErr w:type="spellEnd"/>
          </w:p>
          <w:p w14:paraId="518D9CD4" w14:textId="23B34A98" w:rsidR="00B34C4C" w:rsidRPr="004829B9" w:rsidRDefault="00E063B9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Tel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: 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2C751B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77777777" w:rsidR="00B34C4C" w:rsidRPr="004829B9" w:rsidRDefault="008235E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Tel: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3A7E95" w:rsidRDefault="003A7E9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3A7E95" w:rsidRDefault="003A7E95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3A7E95" w:rsidRPr="004E377B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3A7E95" w:rsidRPr="008235EC" w:rsidRDefault="003A7E95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2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3A7E95" w:rsidRPr="005C7839" w:rsidRDefault="00191CE7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3A7E95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3A7E9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3A7E95" w:rsidRDefault="003A7E95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77777777" w:rsidR="003A7E95" w:rsidRPr="008235EC" w:rsidRDefault="00191CE7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4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3A7E95" w:rsidRDefault="00191CE7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3A7E95" w:rsidRDefault="003A7E95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77777777" w:rsidR="003A7E95" w:rsidRPr="008235EC" w:rsidRDefault="00191CE7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77777777" w:rsidR="003A7E95" w:rsidRPr="00F11843" w:rsidRDefault="00191CE7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8" w:history="1"/>
                          </w:p>
                          <w:p w14:paraId="35275A7D" w14:textId="77777777" w:rsidR="003A7E95" w:rsidRPr="00F11843" w:rsidRDefault="00191CE7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9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3A7E95" w:rsidRDefault="003A7E95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3A7E95" w:rsidRPr="003B6350" w:rsidRDefault="003A7E9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FDAC" id="_x0000_s1033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oK4N6D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14:paraId="0A17866C" w14:textId="77777777" w:rsidR="003A7E95" w:rsidRDefault="003A7E95" w:rsidP="00AB6D25">
                      <w:pPr>
                        <w:rPr>
                          <w:b/>
                        </w:rPr>
                      </w:pPr>
                    </w:p>
                    <w:p w14:paraId="438C998D" w14:textId="77777777" w:rsidR="003A7E95" w:rsidRDefault="003A7E95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03EB9888" w14:textId="77777777" w:rsidR="003A7E95" w:rsidRPr="004E377B" w:rsidRDefault="003A7E95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04758E0" w14:textId="77777777" w:rsidR="003A7E95" w:rsidRPr="008235EC" w:rsidRDefault="003A7E95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0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14:paraId="4C293715" w14:textId="77777777" w:rsidR="003A7E95" w:rsidRPr="005C7839" w:rsidRDefault="00191CE7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3A7E95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3A7E9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432F2D3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119A7AD9" w14:textId="77777777" w:rsidR="003A7E95" w:rsidRDefault="003A7E95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6E678369" w14:textId="77777777" w:rsidR="003A7E95" w:rsidRPr="008235EC" w:rsidRDefault="00191CE7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2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14:paraId="14295646" w14:textId="77777777" w:rsidR="003A7E95" w:rsidRDefault="00191CE7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14:paraId="10DF6A1D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65F6943A" w14:textId="77777777" w:rsidR="003A7E95" w:rsidRDefault="003A7E95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3FA17007" w14:textId="77777777" w:rsidR="003A7E95" w:rsidRPr="008235EC" w:rsidRDefault="00191CE7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14:paraId="2F539928" w14:textId="77777777" w:rsidR="003A7E95" w:rsidRPr="00F11843" w:rsidRDefault="00191CE7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6" w:history="1"/>
                    </w:p>
                    <w:p w14:paraId="35275A7D" w14:textId="77777777" w:rsidR="003A7E95" w:rsidRPr="00F11843" w:rsidRDefault="00191CE7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14:paraId="41C747C6" w14:textId="77777777" w:rsidR="003A7E95" w:rsidRDefault="003A7E95" w:rsidP="00000009">
                      <w:pPr>
                        <w:rPr>
                          <w:lang w:val="en-GB"/>
                        </w:rPr>
                      </w:pPr>
                    </w:p>
                    <w:p w14:paraId="15195305" w14:textId="77777777" w:rsidR="003A7E95" w:rsidRPr="003B6350" w:rsidRDefault="003A7E9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02595CBB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77777777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FB104" w14:textId="77777777" w:rsidR="00191CE7" w:rsidRDefault="00191CE7" w:rsidP="000662E2">
      <w:pPr>
        <w:spacing w:after="0" w:line="240" w:lineRule="auto"/>
      </w:pPr>
      <w:r>
        <w:separator/>
      </w:r>
    </w:p>
  </w:endnote>
  <w:endnote w:type="continuationSeparator" w:id="0">
    <w:p w14:paraId="44F8FF9A" w14:textId="77777777" w:rsidR="00191CE7" w:rsidRDefault="00191CE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A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E4E8CE" w14:textId="77777777" w:rsidR="003A7E95" w:rsidRPr="007B4F73" w:rsidRDefault="003A7E95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A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3A7E95" w:rsidRPr="00CC1C7C" w:rsidRDefault="003A7E95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EDE72" w14:textId="77777777" w:rsidR="00191CE7" w:rsidRDefault="00191CE7" w:rsidP="000662E2">
      <w:pPr>
        <w:spacing w:after="0" w:line="240" w:lineRule="auto"/>
      </w:pPr>
      <w:r>
        <w:separator/>
      </w:r>
    </w:p>
  </w:footnote>
  <w:footnote w:type="continuationSeparator" w:id="0">
    <w:p w14:paraId="0669A307" w14:textId="77777777" w:rsidR="00191CE7" w:rsidRDefault="00191CE7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3A7E95" w:rsidRPr="008C48C6" w:rsidRDefault="003A7E95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3A7E95" w:rsidRDefault="003A7E9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3A7E95" w:rsidRDefault="003A7E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3A7E95" w:rsidRDefault="003A7E9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77777777" w:rsidR="003A7E95" w:rsidRPr="00C97596" w:rsidRDefault="003A7E95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23.04.2020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72BF5B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:rsidR="003A7E95" w:rsidRPr="00C97596" w:rsidRDefault="003A7E95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23.04.2020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23" name="Obraz 23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3A7E95" w:rsidRPr="003C6C8D" w:rsidRDefault="003A7E9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3A7E95" w:rsidRPr="003C6C8D" w:rsidRDefault="003A7E9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3A7E95" w:rsidRPr="00C97596" w:rsidRDefault="003A7E9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3A7E95" w:rsidRPr="00C97596" w:rsidRDefault="003A7E9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3A7E95" w:rsidRDefault="003A7E95">
    <w:pPr>
      <w:pStyle w:val="Nagwek"/>
    </w:pPr>
  </w:p>
  <w:p w14:paraId="77A82982" w14:textId="77777777" w:rsidR="003A7E95" w:rsidRDefault="003A7E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pt;height:125.5pt;visibility:visible;mso-wrap-style:square" o:bullet="t">
        <v:imagedata r:id="rId1" o:title=""/>
      </v:shape>
    </w:pict>
  </w:numPicBullet>
  <w:numPicBullet w:numPicBulletId="1">
    <w:pict>
      <v:shape id="_x0000_i1035" type="#_x0000_t75" style="width:124pt;height:125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709F"/>
    <w:rsid w:val="00007996"/>
    <w:rsid w:val="00007BF9"/>
    <w:rsid w:val="00010800"/>
    <w:rsid w:val="000108B8"/>
    <w:rsid w:val="00010A4A"/>
    <w:rsid w:val="000111EC"/>
    <w:rsid w:val="00011E33"/>
    <w:rsid w:val="00013599"/>
    <w:rsid w:val="000152F5"/>
    <w:rsid w:val="000169EB"/>
    <w:rsid w:val="00024626"/>
    <w:rsid w:val="000271FB"/>
    <w:rsid w:val="0003236F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E65E1"/>
    <w:rsid w:val="000F1626"/>
    <w:rsid w:val="000F435D"/>
    <w:rsid w:val="000F445C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4DB9"/>
    <w:rsid w:val="00115574"/>
    <w:rsid w:val="00116087"/>
    <w:rsid w:val="00127C74"/>
    <w:rsid w:val="00130296"/>
    <w:rsid w:val="00133F23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75380"/>
    <w:rsid w:val="0017779B"/>
    <w:rsid w:val="00177DD6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F1170"/>
    <w:rsid w:val="001F31BD"/>
    <w:rsid w:val="001F3686"/>
    <w:rsid w:val="001F5873"/>
    <w:rsid w:val="001F649C"/>
    <w:rsid w:val="00202E71"/>
    <w:rsid w:val="00207BF8"/>
    <w:rsid w:val="00211FA7"/>
    <w:rsid w:val="002123EA"/>
    <w:rsid w:val="00212787"/>
    <w:rsid w:val="00216F21"/>
    <w:rsid w:val="00217D5E"/>
    <w:rsid w:val="00224A09"/>
    <w:rsid w:val="00224D54"/>
    <w:rsid w:val="00237220"/>
    <w:rsid w:val="00237A99"/>
    <w:rsid w:val="00244842"/>
    <w:rsid w:val="002452B8"/>
    <w:rsid w:val="00246441"/>
    <w:rsid w:val="00254D71"/>
    <w:rsid w:val="0025542F"/>
    <w:rsid w:val="00256AD9"/>
    <w:rsid w:val="002574F9"/>
    <w:rsid w:val="00257AA4"/>
    <w:rsid w:val="002615C6"/>
    <w:rsid w:val="00261B24"/>
    <w:rsid w:val="0026524A"/>
    <w:rsid w:val="00270874"/>
    <w:rsid w:val="0027193F"/>
    <w:rsid w:val="002722B3"/>
    <w:rsid w:val="0027483D"/>
    <w:rsid w:val="0027606C"/>
    <w:rsid w:val="00276811"/>
    <w:rsid w:val="00282699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6593"/>
    <w:rsid w:val="002B6B12"/>
    <w:rsid w:val="002B6B7B"/>
    <w:rsid w:val="002C2695"/>
    <w:rsid w:val="002C39C1"/>
    <w:rsid w:val="002C424B"/>
    <w:rsid w:val="002C751B"/>
    <w:rsid w:val="002D2ECD"/>
    <w:rsid w:val="002D6990"/>
    <w:rsid w:val="002D6C7A"/>
    <w:rsid w:val="002E13A8"/>
    <w:rsid w:val="002E3590"/>
    <w:rsid w:val="002E6140"/>
    <w:rsid w:val="002E6985"/>
    <w:rsid w:val="002E71B6"/>
    <w:rsid w:val="002E7AB0"/>
    <w:rsid w:val="002F1F42"/>
    <w:rsid w:val="002F2E8D"/>
    <w:rsid w:val="002F77C8"/>
    <w:rsid w:val="0030115B"/>
    <w:rsid w:val="00304F22"/>
    <w:rsid w:val="00306C7C"/>
    <w:rsid w:val="00313E16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46B3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4D8B"/>
    <w:rsid w:val="003854ED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A7E95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4F95"/>
    <w:rsid w:val="003D5465"/>
    <w:rsid w:val="003D5F42"/>
    <w:rsid w:val="003D60A9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12461"/>
    <w:rsid w:val="004130B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F0C3C"/>
    <w:rsid w:val="004F4FCA"/>
    <w:rsid w:val="004F63FC"/>
    <w:rsid w:val="004F6903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5C63"/>
    <w:rsid w:val="005762A7"/>
    <w:rsid w:val="00577BDE"/>
    <w:rsid w:val="0058073C"/>
    <w:rsid w:val="00582224"/>
    <w:rsid w:val="00582ED4"/>
    <w:rsid w:val="005916AB"/>
    <w:rsid w:val="005916D7"/>
    <w:rsid w:val="005A30AB"/>
    <w:rsid w:val="005A4C6A"/>
    <w:rsid w:val="005A698C"/>
    <w:rsid w:val="005B2080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6583"/>
    <w:rsid w:val="0062187C"/>
    <w:rsid w:val="00621F5F"/>
    <w:rsid w:val="006262B3"/>
    <w:rsid w:val="006263DA"/>
    <w:rsid w:val="00626952"/>
    <w:rsid w:val="00626D87"/>
    <w:rsid w:val="00627CBE"/>
    <w:rsid w:val="006318DA"/>
    <w:rsid w:val="00632DF8"/>
    <w:rsid w:val="00633014"/>
    <w:rsid w:val="0063437B"/>
    <w:rsid w:val="00642778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A0E22"/>
    <w:rsid w:val="006A1938"/>
    <w:rsid w:val="006A37E8"/>
    <w:rsid w:val="006A46FA"/>
    <w:rsid w:val="006B0E9E"/>
    <w:rsid w:val="006B5AE4"/>
    <w:rsid w:val="006B6187"/>
    <w:rsid w:val="006B6263"/>
    <w:rsid w:val="006B6D5F"/>
    <w:rsid w:val="006C645A"/>
    <w:rsid w:val="006D4054"/>
    <w:rsid w:val="006D5A05"/>
    <w:rsid w:val="006D5ABB"/>
    <w:rsid w:val="006D7F1E"/>
    <w:rsid w:val="006E02EC"/>
    <w:rsid w:val="006E4D66"/>
    <w:rsid w:val="006E5888"/>
    <w:rsid w:val="006E5F08"/>
    <w:rsid w:val="006E6053"/>
    <w:rsid w:val="006E6C7B"/>
    <w:rsid w:val="006F3F3D"/>
    <w:rsid w:val="006F5EF5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924"/>
    <w:rsid w:val="00741554"/>
    <w:rsid w:val="007418AC"/>
    <w:rsid w:val="00746187"/>
    <w:rsid w:val="0075636C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DC1"/>
    <w:rsid w:val="007A7D7B"/>
    <w:rsid w:val="007B0D5E"/>
    <w:rsid w:val="007B0E35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1643"/>
    <w:rsid w:val="007E3314"/>
    <w:rsid w:val="007E4B03"/>
    <w:rsid w:val="007E58A2"/>
    <w:rsid w:val="007E7CE3"/>
    <w:rsid w:val="007F0C1A"/>
    <w:rsid w:val="007F1D43"/>
    <w:rsid w:val="007F1E2E"/>
    <w:rsid w:val="007F324B"/>
    <w:rsid w:val="007F4BEF"/>
    <w:rsid w:val="007F6B07"/>
    <w:rsid w:val="007F7483"/>
    <w:rsid w:val="0080133E"/>
    <w:rsid w:val="00802022"/>
    <w:rsid w:val="00804C08"/>
    <w:rsid w:val="0080553C"/>
    <w:rsid w:val="00805B46"/>
    <w:rsid w:val="00813014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F70"/>
    <w:rsid w:val="00891CF0"/>
    <w:rsid w:val="00893B4E"/>
    <w:rsid w:val="008948E4"/>
    <w:rsid w:val="00896EB9"/>
    <w:rsid w:val="008A1C80"/>
    <w:rsid w:val="008A26D9"/>
    <w:rsid w:val="008A58C2"/>
    <w:rsid w:val="008A7B99"/>
    <w:rsid w:val="008B2394"/>
    <w:rsid w:val="008B388F"/>
    <w:rsid w:val="008B3CA0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46F6"/>
    <w:rsid w:val="00905A67"/>
    <w:rsid w:val="00906857"/>
    <w:rsid w:val="00907546"/>
    <w:rsid w:val="009127BA"/>
    <w:rsid w:val="0091499D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AC7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7341"/>
    <w:rsid w:val="009B7D46"/>
    <w:rsid w:val="009C0CCF"/>
    <w:rsid w:val="009C1335"/>
    <w:rsid w:val="009C1AB2"/>
    <w:rsid w:val="009C7251"/>
    <w:rsid w:val="009D2F59"/>
    <w:rsid w:val="009E13F6"/>
    <w:rsid w:val="009E1F94"/>
    <w:rsid w:val="009E2E91"/>
    <w:rsid w:val="009E3371"/>
    <w:rsid w:val="009E6202"/>
    <w:rsid w:val="009F0127"/>
    <w:rsid w:val="009F16E7"/>
    <w:rsid w:val="009F1C77"/>
    <w:rsid w:val="009F1CDB"/>
    <w:rsid w:val="009F686F"/>
    <w:rsid w:val="00A02ED8"/>
    <w:rsid w:val="00A05A3A"/>
    <w:rsid w:val="00A05EE7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65F4"/>
    <w:rsid w:val="00A40D16"/>
    <w:rsid w:val="00A4219B"/>
    <w:rsid w:val="00A4223C"/>
    <w:rsid w:val="00A4333F"/>
    <w:rsid w:val="00A45EB1"/>
    <w:rsid w:val="00A47D80"/>
    <w:rsid w:val="00A51E03"/>
    <w:rsid w:val="00A521F6"/>
    <w:rsid w:val="00A53132"/>
    <w:rsid w:val="00A536D2"/>
    <w:rsid w:val="00A563F2"/>
    <w:rsid w:val="00A566E8"/>
    <w:rsid w:val="00A569FC"/>
    <w:rsid w:val="00A63CAF"/>
    <w:rsid w:val="00A66E7E"/>
    <w:rsid w:val="00A72CF4"/>
    <w:rsid w:val="00A810F9"/>
    <w:rsid w:val="00A846D6"/>
    <w:rsid w:val="00A84818"/>
    <w:rsid w:val="00A86ECC"/>
    <w:rsid w:val="00A86FCC"/>
    <w:rsid w:val="00A87DC7"/>
    <w:rsid w:val="00A91D74"/>
    <w:rsid w:val="00AA05AC"/>
    <w:rsid w:val="00AA087A"/>
    <w:rsid w:val="00AA22EE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D4B"/>
    <w:rsid w:val="00AE3772"/>
    <w:rsid w:val="00AE3FB3"/>
    <w:rsid w:val="00AE4F99"/>
    <w:rsid w:val="00AF0752"/>
    <w:rsid w:val="00AF19C9"/>
    <w:rsid w:val="00B01B1A"/>
    <w:rsid w:val="00B036BF"/>
    <w:rsid w:val="00B0456F"/>
    <w:rsid w:val="00B106B0"/>
    <w:rsid w:val="00B11740"/>
    <w:rsid w:val="00B130CA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13C9"/>
    <w:rsid w:val="00B42455"/>
    <w:rsid w:val="00B44C5A"/>
    <w:rsid w:val="00B4601E"/>
    <w:rsid w:val="00B465A7"/>
    <w:rsid w:val="00B519FF"/>
    <w:rsid w:val="00B53935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C4AAD"/>
    <w:rsid w:val="00BC514E"/>
    <w:rsid w:val="00BC70F1"/>
    <w:rsid w:val="00BD1D77"/>
    <w:rsid w:val="00BD2577"/>
    <w:rsid w:val="00BD4E33"/>
    <w:rsid w:val="00BD5F7F"/>
    <w:rsid w:val="00BD601A"/>
    <w:rsid w:val="00BD6924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5C8B"/>
    <w:rsid w:val="00C16ABB"/>
    <w:rsid w:val="00C175B6"/>
    <w:rsid w:val="00C202E0"/>
    <w:rsid w:val="00C20CA7"/>
    <w:rsid w:val="00C21FA8"/>
    <w:rsid w:val="00C22105"/>
    <w:rsid w:val="00C22EA2"/>
    <w:rsid w:val="00C230EE"/>
    <w:rsid w:val="00C244B6"/>
    <w:rsid w:val="00C35DEE"/>
    <w:rsid w:val="00C3702F"/>
    <w:rsid w:val="00C40F4B"/>
    <w:rsid w:val="00C41764"/>
    <w:rsid w:val="00C45997"/>
    <w:rsid w:val="00C47820"/>
    <w:rsid w:val="00C47CE4"/>
    <w:rsid w:val="00C52C74"/>
    <w:rsid w:val="00C5434F"/>
    <w:rsid w:val="00C57EF3"/>
    <w:rsid w:val="00C60835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8094E"/>
    <w:rsid w:val="00C82362"/>
    <w:rsid w:val="00C84740"/>
    <w:rsid w:val="00C84D08"/>
    <w:rsid w:val="00C91687"/>
    <w:rsid w:val="00C924A8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E124B"/>
    <w:rsid w:val="00CE66F6"/>
    <w:rsid w:val="00CF0172"/>
    <w:rsid w:val="00CF140B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7F69"/>
    <w:rsid w:val="00D504E4"/>
    <w:rsid w:val="00D536C0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D1D64"/>
    <w:rsid w:val="00DD20E2"/>
    <w:rsid w:val="00DD21A2"/>
    <w:rsid w:val="00DE4176"/>
    <w:rsid w:val="00DE6865"/>
    <w:rsid w:val="00DE7D23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3337"/>
    <w:rsid w:val="00E245E1"/>
    <w:rsid w:val="00E24F07"/>
    <w:rsid w:val="00E24FC4"/>
    <w:rsid w:val="00E259EA"/>
    <w:rsid w:val="00E27154"/>
    <w:rsid w:val="00E31232"/>
    <w:rsid w:val="00E32061"/>
    <w:rsid w:val="00E322C8"/>
    <w:rsid w:val="00E34610"/>
    <w:rsid w:val="00E3705B"/>
    <w:rsid w:val="00E42FF9"/>
    <w:rsid w:val="00E43169"/>
    <w:rsid w:val="00E457ED"/>
    <w:rsid w:val="00E4714C"/>
    <w:rsid w:val="00E51AEB"/>
    <w:rsid w:val="00E522A7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73C8"/>
    <w:rsid w:val="00E90AC0"/>
    <w:rsid w:val="00E928D6"/>
    <w:rsid w:val="00E94640"/>
    <w:rsid w:val="00EA20F6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55C0"/>
    <w:rsid w:val="00ED682B"/>
    <w:rsid w:val="00ED7983"/>
    <w:rsid w:val="00EE373E"/>
    <w:rsid w:val="00EE41D5"/>
    <w:rsid w:val="00EF3597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C8F"/>
    <w:rsid w:val="00F300D6"/>
    <w:rsid w:val="00F32749"/>
    <w:rsid w:val="00F342E0"/>
    <w:rsid w:val="00F35AD5"/>
    <w:rsid w:val="00F37172"/>
    <w:rsid w:val="00F37480"/>
    <w:rsid w:val="00F374DC"/>
    <w:rsid w:val="00F43757"/>
    <w:rsid w:val="00F4477E"/>
    <w:rsid w:val="00F46B76"/>
    <w:rsid w:val="00F52D79"/>
    <w:rsid w:val="00F54505"/>
    <w:rsid w:val="00F55F41"/>
    <w:rsid w:val="00F56F73"/>
    <w:rsid w:val="00F57745"/>
    <w:rsid w:val="00F6158E"/>
    <w:rsid w:val="00F64AC1"/>
    <w:rsid w:val="00F67D8F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5941"/>
    <w:rsid w:val="00FA3953"/>
    <w:rsid w:val="00FA5128"/>
    <w:rsid w:val="00FA544B"/>
    <w:rsid w:val="00FA54FD"/>
    <w:rsid w:val="00FA6239"/>
    <w:rsid w:val="00FA68FD"/>
    <w:rsid w:val="00FB0592"/>
    <w:rsid w:val="00FB42D4"/>
    <w:rsid w:val="00FB58A3"/>
    <w:rsid w:val="00FB5906"/>
    <w:rsid w:val="00FB762F"/>
    <w:rsid w:val="00FC2AED"/>
    <w:rsid w:val="00FD0C2F"/>
    <w:rsid w:val="00FD1099"/>
    <w:rsid w:val="00FD5EA7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s/glossary/terms-used-in-official-statistics/3763,term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s/glossary/terms-used-in-official-statistics/3763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en/metainformations/glossary/terms-used-in-official-statistics/20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EN/SitePagesDBW/Budownictwo.aspx" TargetMode="External"/><Relationship Id="rId32" Type="http://schemas.openxmlformats.org/officeDocument/2006/relationships/hyperlink" Target="http://swaid.stat.gov.pl/EN/SitePagesDBW/Budownictwo.aspx" TargetMode="External"/><Relationship Id="rId37" Type="http://schemas.openxmlformats.org/officeDocument/2006/relationships/hyperlink" Target="http://stat.gov.pl/en/metainformations/glossary/terms-used-in-official-statistics/201,term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industry-construction-fixed-assets/construction/publikacja,1.html" TargetMode="External"/><Relationship Id="rId28" Type="http://schemas.openxmlformats.org/officeDocument/2006/relationships/hyperlink" Target="http://stat.gov.pl/en/metainformations/glossary/terms-used-in-official-statistics/945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en/topics/industry-construction-fixed-assets/construc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other-studies/informations-on-socio-economic-situation/publikacja,1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s://stat.gov.pl/en/topics/other-studies/informations-on-socio-economic-situa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893293875178354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Arkusz1!$B$2:$AZ$3</c:f>
              <c:multiLvlStrCache>
                <c:ptCount val="5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Arkusz1!$B$4:$AZ$4</c:f>
              <c:numCache>
                <c:formatCode>General</c:formatCode>
                <c:ptCount val="51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20557</c:v>
                </c:pt>
                <c:pt idx="46">
                  <c:v>19119</c:v>
                </c:pt>
                <c:pt idx="47">
                  <c:v>22093</c:v>
                </c:pt>
                <c:pt idx="48">
                  <c:v>17409</c:v>
                </c:pt>
                <c:pt idx="49">
                  <c:v>16050</c:v>
                </c:pt>
                <c:pt idx="50">
                  <c:v>16064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499-4BE4-AE14-4229181D8149}"/>
            </c:ext>
          </c:extLst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Arkusz1!$B$2:$AZ$3</c:f>
              <c:multiLvlStrCache>
                <c:ptCount val="5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Arkusz1!$B$16:$AZ$16</c:f>
              <c:numCache>
                <c:formatCode>General</c:formatCode>
                <c:ptCount val="51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>
                  <c:v>21802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499-4BE4-AE14-4229181D8149}"/>
            </c:ext>
          </c:extLst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Arkusz1!$B$2:$AZ$3</c:f>
              <c:multiLvlStrCache>
                <c:ptCount val="5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Arkusz1!$B$10:$AZ$10</c:f>
              <c:numCache>
                <c:formatCode>General</c:formatCode>
                <c:ptCount val="51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499-4BE4-AE14-4229181D81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07744912"/>
        <c:axId val="-1307748176"/>
      </c:lineChart>
      <c:catAx>
        <c:axId val="-130774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0774817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30774817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0774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4709309532663941E-2"/>
          <c:y val="0.82772098979672326"/>
          <c:w val="0.85195132497615944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834</c:v>
                </c:pt>
                <c:pt idx="1">
                  <c:v>889</c:v>
                </c:pt>
                <c:pt idx="2">
                  <c:v>1024</c:v>
                </c:pt>
                <c:pt idx="3">
                  <c:v>2193</c:v>
                </c:pt>
                <c:pt idx="4">
                  <c:v>1621</c:v>
                </c:pt>
                <c:pt idx="5">
                  <c:v>2318</c:v>
                </c:pt>
                <c:pt idx="6">
                  <c:v>2000</c:v>
                </c:pt>
                <c:pt idx="7">
                  <c:v>2978</c:v>
                </c:pt>
                <c:pt idx="8">
                  <c:v>2350</c:v>
                </c:pt>
                <c:pt idx="9">
                  <c:v>3149</c:v>
                </c:pt>
                <c:pt idx="10">
                  <c:v>3946</c:v>
                </c:pt>
                <c:pt idx="11">
                  <c:v>3458</c:v>
                </c:pt>
                <c:pt idx="12">
                  <c:v>4328</c:v>
                </c:pt>
                <c:pt idx="13">
                  <c:v>6331</c:v>
                </c:pt>
                <c:pt idx="14">
                  <c:v>4409</c:v>
                </c:pt>
                <c:pt idx="15">
                  <c:v>10715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132-4CA2-BB85-980C459025B0}"/>
            </c:ext>
          </c:extLst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891</c:v>
                </c:pt>
                <c:pt idx="1">
                  <c:v>1065</c:v>
                </c:pt>
                <c:pt idx="2">
                  <c:v>1616</c:v>
                </c:pt>
                <c:pt idx="3">
                  <c:v>2128</c:v>
                </c:pt>
                <c:pt idx="4">
                  <c:v>1572</c:v>
                </c:pt>
                <c:pt idx="5">
                  <c:v>2773</c:v>
                </c:pt>
                <c:pt idx="6">
                  <c:v>1806</c:v>
                </c:pt>
                <c:pt idx="7">
                  <c:v>3303</c:v>
                </c:pt>
                <c:pt idx="8">
                  <c:v>3199</c:v>
                </c:pt>
                <c:pt idx="9">
                  <c:v>3310</c:v>
                </c:pt>
                <c:pt idx="10">
                  <c:v>4870</c:v>
                </c:pt>
                <c:pt idx="11">
                  <c:v>4954</c:v>
                </c:pt>
                <c:pt idx="12">
                  <c:v>5493</c:v>
                </c:pt>
                <c:pt idx="13">
                  <c:v>6619</c:v>
                </c:pt>
                <c:pt idx="14">
                  <c:v>4769</c:v>
                </c:pt>
                <c:pt idx="15">
                  <c:v>10724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132-4CA2-BB85-980C459025B0}"/>
            </c:ext>
          </c:extLst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469</c:v>
                </c:pt>
                <c:pt idx="1">
                  <c:v>799</c:v>
                </c:pt>
                <c:pt idx="2">
                  <c:v>910</c:v>
                </c:pt>
                <c:pt idx="3">
                  <c:v>1395</c:v>
                </c:pt>
                <c:pt idx="4">
                  <c:v>1500</c:v>
                </c:pt>
                <c:pt idx="5">
                  <c:v>1868</c:v>
                </c:pt>
                <c:pt idx="6">
                  <c:v>1967</c:v>
                </c:pt>
                <c:pt idx="7">
                  <c:v>2059</c:v>
                </c:pt>
                <c:pt idx="8">
                  <c:v>2179</c:v>
                </c:pt>
                <c:pt idx="9">
                  <c:v>2997</c:v>
                </c:pt>
                <c:pt idx="10">
                  <c:v>3593</c:v>
                </c:pt>
                <c:pt idx="11">
                  <c:v>4504</c:v>
                </c:pt>
                <c:pt idx="12">
                  <c:v>4847</c:v>
                </c:pt>
                <c:pt idx="13">
                  <c:v>5555</c:v>
                </c:pt>
                <c:pt idx="14">
                  <c:v>5668</c:v>
                </c:pt>
                <c:pt idx="15">
                  <c:v>9213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132-4CA2-BB85-980C459025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307747632"/>
        <c:axId val="-1307747088"/>
      </c:barChart>
      <c:catAx>
        <c:axId val="-13077476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07747088"/>
        <c:crosses val="autoZero"/>
        <c:auto val="1"/>
        <c:lblAlgn val="ctr"/>
        <c:lblOffset val="100"/>
        <c:noMultiLvlLbl val="0"/>
      </c:catAx>
      <c:valAx>
        <c:axId val="-1307747088"/>
        <c:scaling>
          <c:orientation val="minMax"/>
          <c:max val="11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307747632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63841801292131"/>
          <c:y val="0.83614266932825243"/>
          <c:w val="0.83688211129506873"/>
          <c:h val="0.143344284452723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94B8E-CA99-483B-A835-68465A38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January 2020</vt:lpstr>
    </vt:vector>
  </TitlesOfParts>
  <Company>Statistics Poland</Company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January 2020</dc:title>
  <dc:subject>Residential construction in January 2020</dc:subject>
  <cp:keywords>dwellings completed; dwellings under construction; dwellings started; building permit; useful floor area</cp:keywords>
  <cp:lastPrinted>2020-04-22T08:53:00Z</cp:lastPrinted>
  <dcterms:created xsi:type="dcterms:W3CDTF">2020-04-22T11:35:00Z</dcterms:created>
  <dcterms:modified xsi:type="dcterms:W3CDTF">2020-04-22T11:38:00Z</dcterms:modified>
  <cp:category>Construction;Residential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