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34C4C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>
        <w:rPr>
          <w:szCs w:val="32"/>
          <w:lang w:val="en-US"/>
        </w:rPr>
        <w:t>Residential construction</w:t>
      </w:r>
      <w:r w:rsidR="00A05A3A" w:rsidRPr="00B34C4C">
        <w:rPr>
          <w:rStyle w:val="Odwoanieprzypisudolnego"/>
          <w:szCs w:val="32"/>
          <w:lang w:val="en-US"/>
        </w:rPr>
        <w:footnoteReference w:id="1"/>
      </w:r>
      <w:r w:rsidR="008B2394">
        <w:rPr>
          <w:szCs w:val="32"/>
          <w:lang w:val="en-US"/>
        </w:rPr>
        <w:t xml:space="preserve"> in </w:t>
      </w:r>
      <w:r w:rsidR="002B6593">
        <w:rPr>
          <w:szCs w:val="32"/>
          <w:lang w:val="en-US"/>
        </w:rPr>
        <w:t>I-II</w:t>
      </w:r>
      <w:r w:rsidR="001F1170" w:rsidRPr="00B34C4C">
        <w:rPr>
          <w:szCs w:val="32"/>
          <w:lang w:val="en-US"/>
        </w:rPr>
        <w:t xml:space="preserve"> </w:t>
      </w:r>
      <w:r w:rsidR="008B2394">
        <w:rPr>
          <w:szCs w:val="32"/>
          <w:shd w:val="clear" w:color="auto" w:fill="FFFFFF"/>
          <w:lang w:val="en-US"/>
        </w:rPr>
        <w:t>2020</w:t>
      </w:r>
      <w:bookmarkStart w:id="0" w:name="_GoBack"/>
      <w:bookmarkEnd w:id="0"/>
    </w:p>
    <w:p w:rsidR="00393761" w:rsidRPr="00612A93" w:rsidRDefault="005F302D" w:rsidP="00074DD8">
      <w:pPr>
        <w:pStyle w:val="tytuinformacji"/>
        <w:rPr>
          <w:b/>
          <w:szCs w:val="40"/>
          <w:lang w:val="en-GB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41" w:rsidRPr="004466B1" w:rsidRDefault="00F95941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F95941" w:rsidRPr="004466B1" w:rsidRDefault="00F95941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95A18" w:rsidRPr="002B1FCD" w:rsidRDefault="005F302D" w:rsidP="00896EB9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41" w:rsidRPr="00612A93" w:rsidRDefault="00F95941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:rsidR="00F95941" w:rsidRPr="00F64AC1" w:rsidRDefault="00F95941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F95941" w:rsidRPr="00612A93" w:rsidRDefault="00F95941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2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="00F95941" w:rsidRPr="00F64AC1" w:rsidRDefault="00F95941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41" w:rsidRPr="00AB788D" w:rsidRDefault="00F95941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420897" cy="384838"/>
                                  <wp:effectExtent l="19050" t="19050" r="0" b="0"/>
                                  <wp:docPr id="2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103</w:t>
                            </w:r>
                            <w:r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  <w:p w:rsidR="00F95941" w:rsidRPr="00A519B5" w:rsidRDefault="00F95941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number of 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F95941" w:rsidRPr="00AB788D" w:rsidRDefault="00F95941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420897" cy="384838"/>
                            <wp:effectExtent l="19050" t="19050" r="0" b="0"/>
                            <wp:docPr id="2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103</w:t>
                      </w:r>
                      <w:r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3</w:t>
                      </w:r>
                    </w:p>
                    <w:p w:rsidR="00F95941" w:rsidRPr="00A519B5" w:rsidRDefault="00F95941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number of 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612A93">
        <w:rPr>
          <w:lang w:val="en-GB"/>
        </w:rPr>
        <w:t xml:space="preserve">In </w:t>
      </w:r>
      <w:r w:rsidR="002B6593">
        <w:rPr>
          <w:lang w:val="en-GB"/>
        </w:rPr>
        <w:t>the first two month of</w:t>
      </w:r>
      <w:r w:rsidR="008B2394">
        <w:rPr>
          <w:lang w:val="en-GB"/>
        </w:rPr>
        <w:t xml:space="preserve"> </w:t>
      </w:r>
      <w:r w:rsidR="008B2394">
        <w:rPr>
          <w:lang w:val="en-US"/>
        </w:rPr>
        <w:t>2020</w:t>
      </w:r>
      <w:r w:rsidR="00AD1492" w:rsidRPr="001E693A">
        <w:rPr>
          <w:lang w:val="en-US"/>
        </w:rPr>
        <w:t xml:space="preserve"> there were </w:t>
      </w:r>
      <w:r w:rsidR="00AD1492">
        <w:rPr>
          <w:lang w:val="en-US"/>
        </w:rPr>
        <w:t>more</w:t>
      </w:r>
      <w:r w:rsidR="00AD1492" w:rsidRPr="001E693A">
        <w:rPr>
          <w:lang w:val="en-US"/>
        </w:rPr>
        <w:t xml:space="preserve"> dwellings completed than the year before. </w:t>
      </w:r>
      <w:r w:rsidR="00095A18" w:rsidRPr="007323FA">
        <w:rPr>
          <w:lang w:val="en-US"/>
        </w:rPr>
        <w:t xml:space="preserve">The number of dwellings </w:t>
      </w:r>
      <w:r w:rsidR="00F54505">
        <w:rPr>
          <w:lang w:val="en-US"/>
        </w:rPr>
        <w:t>in which construction has</w:t>
      </w:r>
      <w:r w:rsidR="00435283">
        <w:rPr>
          <w:lang w:val="en-US"/>
        </w:rPr>
        <w:t xml:space="preserve"> begun </w:t>
      </w:r>
      <w:r w:rsidR="008B2394">
        <w:rPr>
          <w:lang w:val="en-US"/>
        </w:rPr>
        <w:t xml:space="preserve">also increased, whereas </w:t>
      </w:r>
      <w:r w:rsidR="003C0487">
        <w:rPr>
          <w:lang w:val="en-US"/>
        </w:rPr>
        <w:t xml:space="preserve">the number of </w:t>
      </w:r>
      <w:r w:rsidR="003C0487" w:rsidRPr="003C0487">
        <w:rPr>
          <w:lang w:val="en-US"/>
        </w:rPr>
        <w:t>dwellings for which permits have been granted or wh</w:t>
      </w:r>
      <w:r w:rsidR="000869CD">
        <w:rPr>
          <w:lang w:val="en-US"/>
        </w:rPr>
        <w:t>ich have been registered with a </w:t>
      </w:r>
      <w:r w:rsidR="003C0487" w:rsidRPr="003C0487">
        <w:rPr>
          <w:lang w:val="en-US"/>
        </w:rPr>
        <w:t xml:space="preserve">construction project </w:t>
      </w:r>
      <w:r w:rsidR="008B2394">
        <w:rPr>
          <w:lang w:val="en-US"/>
        </w:rPr>
        <w:t>de</w:t>
      </w:r>
      <w:r w:rsidR="003C0487">
        <w:rPr>
          <w:lang w:val="en-US"/>
        </w:rPr>
        <w:t>creased</w:t>
      </w:r>
      <w:r w:rsidR="003C0487">
        <w:rPr>
          <w:spacing w:val="-4"/>
          <w:shd w:val="clear" w:color="auto" w:fill="FFFFFF"/>
          <w:lang w:val="en-US"/>
        </w:rPr>
        <w:t>.</w:t>
      </w:r>
    </w:p>
    <w:p w:rsidR="000D348A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612A93">
        <w:rPr>
          <w:shd w:val="clear" w:color="auto" w:fill="FFFFFF"/>
          <w:lang w:val="en-GB"/>
        </w:rPr>
        <w:t xml:space="preserve"> </w:t>
      </w:r>
    </w:p>
    <w:p w:rsidR="000D348A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:rsidR="00C733A3" w:rsidRPr="001C5029" w:rsidRDefault="00B407E7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1C502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page">
                  <wp:posOffset>5686425</wp:posOffset>
                </wp:positionH>
                <wp:positionV relativeFrom="paragraph">
                  <wp:posOffset>105410</wp:posOffset>
                </wp:positionV>
                <wp:extent cx="1809115" cy="866775"/>
                <wp:effectExtent l="0" t="0" r="0" b="0"/>
                <wp:wrapTight wrapText="bothSides">
                  <wp:wrapPolygon edited="0">
                    <wp:start x="682" y="0"/>
                    <wp:lineTo x="682" y="20888"/>
                    <wp:lineTo x="20698" y="20888"/>
                    <wp:lineTo x="20698" y="0"/>
                    <wp:lineTo x="68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41" w:rsidRPr="00AD1492" w:rsidRDefault="00F95941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completed 59.8% of total number of dwellings, i.e. 1.5 percentage points less than in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7.75pt;margin-top:8.3pt;width:142.45pt;height:68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" filled="f" stroked="f">
                <v:textbox>
                  <w:txbxContent>
                    <w:p w:rsidR="00F95941" w:rsidRPr="00AD1492" w:rsidRDefault="00F95941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completed 59.8% of total number of dwellings, i.e. 1.5 percentage points less than in 2019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33A3" w:rsidRPr="001C502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US"/>
        </w:rPr>
        <w:t>Dwellings completed</w:t>
      </w:r>
    </w:p>
    <w:p w:rsidR="0042048D" w:rsidRDefault="0071658F" w:rsidP="00896EB9">
      <w:pPr>
        <w:rPr>
          <w:spacing w:val="-4"/>
          <w:shd w:val="clear" w:color="auto" w:fill="FFFFFF"/>
          <w:lang w:val="en-US"/>
        </w:rPr>
      </w:pPr>
      <w:r w:rsidRPr="00C733A3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page">
                  <wp:posOffset>5759753</wp:posOffset>
                </wp:positionH>
                <wp:positionV relativeFrom="paragraph">
                  <wp:posOffset>1181624</wp:posOffset>
                </wp:positionV>
                <wp:extent cx="1749425" cy="8001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41" w:rsidRPr="00AE3772" w:rsidRDefault="00F95941" w:rsidP="001C5029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Average useful floor 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area of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  <w:t>a dwelling completed in the period I-II 2020 was 93.5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sq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3.5pt;margin-top:93.05pt;width:137.75pt;height:6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" filled="f" stroked="f">
                <v:textbox>
                  <w:txbxContent>
                    <w:p w:rsidR="00F95941" w:rsidRPr="00AE3772" w:rsidRDefault="00F95941" w:rsidP="001C5029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Average useful floor 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area of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  <w:t>a dwelling completed in the period I-II 2020 was 93.5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sq 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A33759">
        <w:rPr>
          <w:spacing w:val="-4"/>
          <w:shd w:val="clear" w:color="auto" w:fill="FFFFFF"/>
          <w:lang w:val="en-US"/>
        </w:rPr>
        <w:t xml:space="preserve">According </w:t>
      </w:r>
      <w:r w:rsidR="00C733A3" w:rsidRPr="00C733A3">
        <w:rPr>
          <w:spacing w:val="-4"/>
          <w:shd w:val="clear" w:color="auto" w:fill="FFFFFF"/>
          <w:lang w:val="en-US"/>
        </w:rPr>
        <w:t xml:space="preserve">to </w:t>
      </w:r>
      <w:r w:rsidR="00F54505">
        <w:rPr>
          <w:spacing w:val="-4"/>
          <w:shd w:val="clear" w:color="auto" w:fill="FFFFFF"/>
          <w:lang w:val="en-US"/>
        </w:rPr>
        <w:t xml:space="preserve">the </w:t>
      </w:r>
      <w:r w:rsidR="00111FD5" w:rsidRPr="00A33759">
        <w:rPr>
          <w:spacing w:val="-4"/>
          <w:shd w:val="clear" w:color="auto" w:fill="FFFFFF"/>
          <w:lang w:val="en-US"/>
        </w:rPr>
        <w:t xml:space="preserve">preliminary </w:t>
      </w:r>
      <w:r w:rsidR="00A72CF4">
        <w:rPr>
          <w:spacing w:val="-4"/>
          <w:shd w:val="clear" w:color="auto" w:fill="FFFFFF"/>
          <w:lang w:val="en-US"/>
        </w:rPr>
        <w:t xml:space="preserve">data, </w:t>
      </w:r>
      <w:r w:rsidR="002B6593">
        <w:rPr>
          <w:spacing w:val="-4"/>
          <w:shd w:val="clear" w:color="auto" w:fill="FFFFFF"/>
          <w:lang w:val="en-US"/>
        </w:rPr>
        <w:t>33</w:t>
      </w:r>
      <w:r w:rsidR="00D45F1D">
        <w:rPr>
          <w:spacing w:val="-4"/>
          <w:shd w:val="clear" w:color="auto" w:fill="FFFFFF"/>
          <w:lang w:val="en-US"/>
        </w:rPr>
        <w:t>.</w:t>
      </w:r>
      <w:r w:rsidR="002B6593">
        <w:rPr>
          <w:spacing w:val="-4"/>
          <w:shd w:val="clear" w:color="auto" w:fill="FFFFFF"/>
          <w:lang w:val="en-US"/>
        </w:rPr>
        <w:t>5</w:t>
      </w:r>
      <w:r w:rsidR="00C733A3" w:rsidRPr="00C733A3">
        <w:rPr>
          <w:spacing w:val="-4"/>
          <w:shd w:val="clear" w:color="auto" w:fill="FFFFFF"/>
          <w:lang w:val="en-US"/>
        </w:rPr>
        <w:t xml:space="preserve"> thous. dwellings were co</w:t>
      </w:r>
      <w:r w:rsidR="008B2394">
        <w:rPr>
          <w:spacing w:val="-4"/>
          <w:shd w:val="clear" w:color="auto" w:fill="FFFFFF"/>
          <w:lang w:val="en-US"/>
        </w:rPr>
        <w:t>mpleted in</w:t>
      </w:r>
      <w:r w:rsidR="00F54505">
        <w:rPr>
          <w:spacing w:val="-4"/>
          <w:shd w:val="clear" w:color="auto" w:fill="FFFFFF"/>
          <w:lang w:val="en-US"/>
        </w:rPr>
        <w:t xml:space="preserve"> </w:t>
      </w:r>
      <w:r w:rsidR="002B6593">
        <w:rPr>
          <w:spacing w:val="-4"/>
          <w:shd w:val="clear" w:color="auto" w:fill="FFFFFF"/>
          <w:lang w:val="en-US"/>
        </w:rPr>
        <w:t xml:space="preserve">the period of </w:t>
      </w:r>
      <w:r w:rsidR="00F54505">
        <w:rPr>
          <w:spacing w:val="-4"/>
          <w:shd w:val="clear" w:color="auto" w:fill="FFFFFF"/>
          <w:lang w:val="en-US"/>
        </w:rPr>
        <w:t>January</w:t>
      </w:r>
      <w:r w:rsidR="002B6593">
        <w:rPr>
          <w:spacing w:val="-4"/>
          <w:shd w:val="clear" w:color="auto" w:fill="FFFFFF"/>
          <w:lang w:val="en-US"/>
        </w:rPr>
        <w:t>- February</w:t>
      </w:r>
      <w:r w:rsidR="008B2394">
        <w:rPr>
          <w:spacing w:val="-4"/>
          <w:shd w:val="clear" w:color="auto" w:fill="FFFFFF"/>
          <w:lang w:val="en-US"/>
        </w:rPr>
        <w:t xml:space="preserve"> 2020</w:t>
      </w:r>
      <w:r w:rsidR="009664CD">
        <w:rPr>
          <w:spacing w:val="-4"/>
          <w:shd w:val="clear" w:color="auto" w:fill="FFFFFF"/>
          <w:lang w:val="en-US"/>
        </w:rPr>
        <w:t xml:space="preserve">, i.e. by </w:t>
      </w:r>
      <w:r w:rsidR="002B6593">
        <w:rPr>
          <w:spacing w:val="-4"/>
          <w:shd w:val="clear" w:color="auto" w:fill="FFFFFF"/>
          <w:lang w:val="en-US"/>
        </w:rPr>
        <w:t>3.3</w:t>
      </w:r>
      <w:r w:rsidR="00C733A3" w:rsidRPr="00C733A3">
        <w:rPr>
          <w:spacing w:val="-4"/>
          <w:shd w:val="clear" w:color="auto" w:fill="FFFFFF"/>
          <w:lang w:val="en-US"/>
        </w:rPr>
        <w:t>% more than a year ago.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b/>
          <w:spacing w:val="-4"/>
          <w:shd w:val="clear" w:color="auto" w:fill="FFFFFF"/>
          <w:lang w:val="en-US"/>
        </w:rPr>
        <w:t>Developers</w:t>
      </w:r>
      <w:r w:rsidR="0058073C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 xml:space="preserve">completed </w:t>
      </w:r>
      <w:r w:rsidR="002B6593">
        <w:rPr>
          <w:spacing w:val="-4"/>
          <w:shd w:val="clear" w:color="auto" w:fill="FFFFFF"/>
          <w:lang w:val="en-US"/>
        </w:rPr>
        <w:t>20</w:t>
      </w:r>
      <w:r w:rsidR="00D45F1D">
        <w:rPr>
          <w:spacing w:val="-4"/>
          <w:shd w:val="clear" w:color="auto" w:fill="FFFFFF"/>
          <w:lang w:val="en-US"/>
        </w:rPr>
        <w:t>.</w:t>
      </w:r>
      <w:r w:rsidR="002B6593">
        <w:rPr>
          <w:spacing w:val="-4"/>
          <w:shd w:val="clear" w:color="auto" w:fill="FFFFFF"/>
          <w:lang w:val="en-US"/>
        </w:rPr>
        <w:t>0</w:t>
      </w:r>
      <w:r w:rsidR="00A72CF4">
        <w:rPr>
          <w:spacing w:val="-4"/>
          <w:shd w:val="clear" w:color="auto" w:fill="FFFFFF"/>
          <w:lang w:val="en-US"/>
        </w:rPr>
        <w:t xml:space="preserve"> thous. dwellings </w:t>
      </w:r>
      <w:r w:rsidR="0058073C">
        <w:rPr>
          <w:spacing w:val="-4"/>
          <w:shd w:val="clear" w:color="auto" w:fill="FFFFFF"/>
          <w:lang w:val="en-US"/>
        </w:rPr>
        <w:t>(0.7</w:t>
      </w:r>
      <w:r w:rsidR="00C733A3" w:rsidRPr="00C733A3">
        <w:rPr>
          <w:spacing w:val="-4"/>
          <w:shd w:val="clear" w:color="auto" w:fill="FFFFFF"/>
          <w:lang w:val="en-US"/>
        </w:rPr>
        <w:t xml:space="preserve">% </w:t>
      </w:r>
      <w:r w:rsidR="0058073C">
        <w:rPr>
          <w:spacing w:val="-4"/>
          <w:shd w:val="clear" w:color="auto" w:fill="FFFFFF"/>
          <w:lang w:val="en-US"/>
        </w:rPr>
        <w:t>more</w:t>
      </w:r>
      <w:r w:rsidR="00C733A3" w:rsidRPr="00C733A3">
        <w:rPr>
          <w:spacing w:val="-4"/>
          <w:shd w:val="clear" w:color="auto" w:fill="FFFFFF"/>
          <w:lang w:val="en-US"/>
        </w:rPr>
        <w:t xml:space="preserve"> than in the </w:t>
      </w:r>
      <w:r w:rsidR="009664CD">
        <w:rPr>
          <w:spacing w:val="-4"/>
          <w:shd w:val="clear" w:color="auto" w:fill="FFFFFF"/>
          <w:lang w:val="en-US"/>
        </w:rPr>
        <w:t>corresponding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58073C">
        <w:rPr>
          <w:spacing w:val="-4"/>
          <w:shd w:val="clear" w:color="auto" w:fill="FFFFFF"/>
          <w:lang w:val="en-US"/>
        </w:rPr>
        <w:t>period</w:t>
      </w:r>
      <w:r w:rsidR="008B2394">
        <w:rPr>
          <w:spacing w:val="-4"/>
          <w:shd w:val="clear" w:color="auto" w:fill="FFFFFF"/>
          <w:lang w:val="en-US"/>
        </w:rPr>
        <w:t xml:space="preserve"> of 2019</w:t>
      </w:r>
      <w:r w:rsidR="00C733A3">
        <w:rPr>
          <w:spacing w:val="-4"/>
          <w:shd w:val="clear" w:color="auto" w:fill="FFFFFF"/>
          <w:lang w:val="en-US"/>
        </w:rPr>
        <w:t xml:space="preserve">), whereas </w:t>
      </w:r>
      <w:r w:rsidR="00C733A3" w:rsidRPr="00054314">
        <w:rPr>
          <w:b/>
          <w:spacing w:val="-4"/>
          <w:shd w:val="clear" w:color="auto" w:fill="FFFFFF"/>
          <w:lang w:val="en-US"/>
        </w:rPr>
        <w:t>private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054314">
        <w:rPr>
          <w:b/>
          <w:spacing w:val="-4"/>
          <w:shd w:val="clear" w:color="auto" w:fill="FFFFFF"/>
          <w:lang w:val="en-US"/>
        </w:rPr>
        <w:t>investors</w:t>
      </w:r>
      <w:r w:rsidR="00837231">
        <w:rPr>
          <w:spacing w:val="-4"/>
          <w:shd w:val="clear" w:color="auto" w:fill="FFFFFF"/>
          <w:lang w:val="en-US"/>
        </w:rPr>
        <w:t xml:space="preserve"> completed </w:t>
      </w:r>
      <w:r w:rsidR="0058073C">
        <w:rPr>
          <w:spacing w:val="-4"/>
          <w:shd w:val="clear" w:color="auto" w:fill="FFFFFF"/>
          <w:lang w:val="en-US"/>
        </w:rPr>
        <w:t>12.8</w:t>
      </w:r>
      <w:r w:rsidR="00C733A3" w:rsidRPr="00C733A3">
        <w:rPr>
          <w:spacing w:val="-4"/>
          <w:shd w:val="clear" w:color="auto" w:fill="FFFFFF"/>
          <w:lang w:val="en-US"/>
        </w:rPr>
        <w:t xml:space="preserve"> thous. dwellings, </w:t>
      </w:r>
      <w:r w:rsidR="009664CD">
        <w:rPr>
          <w:spacing w:val="-4"/>
          <w:shd w:val="clear" w:color="auto" w:fill="FFFFFF"/>
          <w:lang w:val="en-US"/>
        </w:rPr>
        <w:t xml:space="preserve">i.e. by </w:t>
      </w:r>
      <w:r w:rsidR="0058073C">
        <w:rPr>
          <w:spacing w:val="-4"/>
          <w:shd w:val="clear" w:color="auto" w:fill="FFFFFF"/>
          <w:lang w:val="en-US"/>
        </w:rPr>
        <w:t>9</w:t>
      </w:r>
      <w:r w:rsidR="00837231">
        <w:rPr>
          <w:spacing w:val="-4"/>
          <w:shd w:val="clear" w:color="auto" w:fill="FFFFFF"/>
          <w:lang w:val="en-US"/>
        </w:rPr>
        <w:t>.</w:t>
      </w:r>
      <w:r w:rsidR="0058073C">
        <w:rPr>
          <w:spacing w:val="-4"/>
          <w:shd w:val="clear" w:color="auto" w:fill="FFFFFF"/>
          <w:lang w:val="en-US"/>
        </w:rPr>
        <w:t>1</w:t>
      </w:r>
      <w:r w:rsidR="00C733A3" w:rsidRPr="00C733A3">
        <w:rPr>
          <w:spacing w:val="-4"/>
          <w:shd w:val="clear" w:color="auto" w:fill="FFFFFF"/>
          <w:lang w:val="en-US"/>
        </w:rPr>
        <w:t xml:space="preserve">% </w:t>
      </w:r>
      <w:r w:rsidR="00E724BA">
        <w:rPr>
          <w:spacing w:val="-4"/>
          <w:shd w:val="clear" w:color="auto" w:fill="FFFFFF"/>
          <w:lang w:val="en-US"/>
        </w:rPr>
        <w:t>more</w:t>
      </w:r>
      <w:r w:rsidR="00C733A3" w:rsidRPr="00C733A3">
        <w:rPr>
          <w:spacing w:val="-4"/>
          <w:shd w:val="clear" w:color="auto" w:fill="FFFFFF"/>
          <w:lang w:val="en-US"/>
        </w:rPr>
        <w:t xml:space="preserve"> than in </w:t>
      </w:r>
      <w:r w:rsidR="00C94AC8">
        <w:rPr>
          <w:spacing w:val="-4"/>
          <w:shd w:val="clear" w:color="auto" w:fill="FFFFFF"/>
          <w:lang w:val="en-US"/>
        </w:rPr>
        <w:t>2019</w:t>
      </w:r>
      <w:r>
        <w:rPr>
          <w:spacing w:val="-4"/>
          <w:shd w:val="clear" w:color="auto" w:fill="FFFFFF"/>
          <w:lang w:val="en-US"/>
        </w:rPr>
        <w:t xml:space="preserve">. Within these forms of </w:t>
      </w:r>
      <w:r w:rsidR="00435283">
        <w:rPr>
          <w:spacing w:val="-4"/>
          <w:shd w:val="clear" w:color="auto" w:fill="FFFFFF"/>
          <w:lang w:val="en-US"/>
        </w:rPr>
        <w:t xml:space="preserve">construction, </w:t>
      </w:r>
      <w:r w:rsidR="00C94AC8">
        <w:rPr>
          <w:spacing w:val="-4"/>
          <w:shd w:val="clear" w:color="auto" w:fill="FFFFFF"/>
          <w:lang w:val="en-US"/>
        </w:rPr>
        <w:t>98</w:t>
      </w:r>
      <w:r w:rsidR="00E724BA">
        <w:rPr>
          <w:spacing w:val="-4"/>
          <w:shd w:val="clear" w:color="auto" w:fill="FFFFFF"/>
          <w:lang w:val="en-US"/>
        </w:rPr>
        <w:t>.</w:t>
      </w:r>
      <w:r w:rsidR="00C94AC8">
        <w:rPr>
          <w:spacing w:val="-4"/>
          <w:shd w:val="clear" w:color="auto" w:fill="FFFFFF"/>
          <w:lang w:val="en-US"/>
        </w:rPr>
        <w:t xml:space="preserve">0% of a total number of </w:t>
      </w:r>
      <w:r w:rsidR="00C733A3" w:rsidRPr="00C733A3">
        <w:rPr>
          <w:spacing w:val="-4"/>
          <w:shd w:val="clear" w:color="auto" w:fill="FFFFFF"/>
          <w:lang w:val="en-US"/>
        </w:rPr>
        <w:t>comple</w:t>
      </w:r>
      <w:r w:rsidR="001C1808">
        <w:rPr>
          <w:spacing w:val="-4"/>
          <w:shd w:val="clear" w:color="auto" w:fill="FFFFFF"/>
          <w:lang w:val="en-US"/>
        </w:rPr>
        <w:t>ted dwellings was built</w:t>
      </w:r>
      <w:r w:rsidR="0058073C">
        <w:rPr>
          <w:spacing w:val="-4"/>
          <w:shd w:val="clear" w:color="auto" w:fill="FFFFFF"/>
          <w:lang w:val="en-US"/>
        </w:rPr>
        <w:t xml:space="preserve"> (respectively 59.8% and 38.2%)</w:t>
      </w:r>
      <w:r w:rsidR="00C733A3" w:rsidRPr="00C733A3">
        <w:rPr>
          <w:spacing w:val="-4"/>
          <w:shd w:val="clear" w:color="auto" w:fill="FFFFFF"/>
          <w:lang w:val="en-US"/>
        </w:rPr>
        <w:t xml:space="preserve">. </w:t>
      </w:r>
      <w:r w:rsidR="00C94AC8">
        <w:rPr>
          <w:spacing w:val="-4"/>
          <w:shd w:val="clear" w:color="auto" w:fill="FFFFFF"/>
          <w:lang w:val="en-US"/>
        </w:rPr>
        <w:t>More</w:t>
      </w:r>
      <w:r w:rsidR="00C733A3" w:rsidRPr="00C733A3">
        <w:rPr>
          <w:spacing w:val="-4"/>
          <w:shd w:val="clear" w:color="auto" w:fill="FFFFFF"/>
          <w:lang w:val="en-US"/>
        </w:rPr>
        <w:t xml:space="preserve"> dwellings than a year ago were completed within </w:t>
      </w:r>
      <w:r w:rsidR="00C733A3" w:rsidRPr="00435283">
        <w:rPr>
          <w:b/>
          <w:spacing w:val="-4"/>
          <w:shd w:val="clear" w:color="auto" w:fill="FFFFFF"/>
          <w:lang w:val="en-US"/>
        </w:rPr>
        <w:t>cooperative</w:t>
      </w:r>
      <w:r w:rsidR="00C733A3" w:rsidRPr="00C733A3">
        <w:rPr>
          <w:spacing w:val="-4"/>
          <w:shd w:val="clear" w:color="auto" w:fill="FFFFFF"/>
          <w:lang w:val="en-US"/>
        </w:rPr>
        <w:t xml:space="preserve"> construction (</w:t>
      </w:r>
      <w:r w:rsidR="0058073C">
        <w:rPr>
          <w:spacing w:val="-4"/>
          <w:shd w:val="clear" w:color="auto" w:fill="FFFFFF"/>
          <w:lang w:val="en-US"/>
        </w:rPr>
        <w:t>328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 xml:space="preserve">compared to </w:t>
      </w:r>
      <w:r w:rsidR="0058073C">
        <w:rPr>
          <w:spacing w:val="-4"/>
          <w:shd w:val="clear" w:color="auto" w:fill="FFFFFF"/>
          <w:lang w:val="en-US"/>
        </w:rPr>
        <w:t>280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>dw</w:t>
      </w:r>
      <w:r w:rsidR="00FF795E">
        <w:rPr>
          <w:spacing w:val="-4"/>
          <w:shd w:val="clear" w:color="auto" w:fill="FFFFFF"/>
          <w:lang w:val="en-US"/>
        </w:rPr>
        <w:t xml:space="preserve">ellings); </w:t>
      </w:r>
      <w:r w:rsidR="00FF795E" w:rsidRPr="00FF795E">
        <w:rPr>
          <w:lang w:val="en-GB"/>
        </w:rPr>
        <w:t>i</w:t>
      </w:r>
      <w:r w:rsidR="003A358E" w:rsidRPr="00FF795E">
        <w:rPr>
          <w:lang w:val="en-GB"/>
        </w:rPr>
        <w:t>n</w:t>
      </w:r>
      <w:r w:rsidR="00FF795E">
        <w:rPr>
          <w:lang w:val="en-GB"/>
        </w:rPr>
        <w:t> </w:t>
      </w:r>
      <w:r w:rsidR="003A358E" w:rsidRPr="00FF795E">
        <w:rPr>
          <w:b/>
          <w:lang w:val="en-GB"/>
        </w:rPr>
        <w:t>other</w:t>
      </w:r>
      <w:r w:rsidR="003A358E" w:rsidRPr="00435283">
        <w:rPr>
          <w:b/>
          <w:spacing w:val="-4"/>
          <w:shd w:val="clear" w:color="auto" w:fill="FFFFFF"/>
          <w:lang w:val="en-US"/>
        </w:rPr>
        <w:t xml:space="preserve"> forms</w:t>
      </w:r>
      <w:r w:rsidR="003A358E">
        <w:rPr>
          <w:spacing w:val="-4"/>
          <w:shd w:val="clear" w:color="auto" w:fill="FFFFFF"/>
          <w:lang w:val="en-US"/>
        </w:rPr>
        <w:t xml:space="preserve"> of </w:t>
      </w:r>
      <w:r w:rsidR="00C733A3" w:rsidRPr="00C733A3">
        <w:rPr>
          <w:spacing w:val="-4"/>
          <w:shd w:val="clear" w:color="auto" w:fill="FFFFFF"/>
          <w:lang w:val="en-US"/>
        </w:rPr>
        <w:t>construction (municipal</w:t>
      </w:r>
      <w:r w:rsidR="0042048D">
        <w:rPr>
          <w:spacing w:val="-4"/>
          <w:shd w:val="clear" w:color="auto" w:fill="FFFFFF"/>
          <w:lang w:val="en-US"/>
        </w:rPr>
        <w:t xml:space="preserve">, </w:t>
      </w:r>
      <w:r w:rsidR="0042048D" w:rsidRPr="00C733A3">
        <w:rPr>
          <w:spacing w:val="-4"/>
          <w:shd w:val="clear" w:color="auto" w:fill="FFFFFF"/>
          <w:lang w:val="en-US"/>
        </w:rPr>
        <w:t xml:space="preserve">public building society </w:t>
      </w:r>
      <w:r w:rsidR="002B1FCD">
        <w:rPr>
          <w:spacing w:val="-4"/>
          <w:shd w:val="clear" w:color="auto" w:fill="FFFFFF"/>
          <w:lang w:val="en-US"/>
        </w:rPr>
        <w:t>and company construction)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r w:rsidR="0058073C">
        <w:rPr>
          <w:spacing w:val="-4"/>
          <w:shd w:val="clear" w:color="auto" w:fill="FFFFFF"/>
          <w:lang w:val="en-US"/>
        </w:rPr>
        <w:t>339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>dwellings were complete</w:t>
      </w:r>
      <w:r w:rsidR="0043577A">
        <w:rPr>
          <w:spacing w:val="-4"/>
          <w:shd w:val="clear" w:color="auto" w:fill="FFFFFF"/>
          <w:lang w:val="en-US"/>
        </w:rPr>
        <w:t>d</w:t>
      </w:r>
      <w:r w:rsidR="00C733A3" w:rsidRPr="00C733A3">
        <w:rPr>
          <w:spacing w:val="-4"/>
          <w:shd w:val="clear" w:color="auto" w:fill="FFFFFF"/>
          <w:lang w:val="en-US"/>
        </w:rPr>
        <w:t xml:space="preserve"> in total</w:t>
      </w:r>
      <w:r w:rsidR="00C94AC8">
        <w:rPr>
          <w:spacing w:val="-4"/>
          <w:shd w:val="clear" w:color="auto" w:fill="FFFFFF"/>
          <w:lang w:val="en-US"/>
        </w:rPr>
        <w:t xml:space="preserve"> (compared to </w:t>
      </w:r>
      <w:r w:rsidR="0058073C">
        <w:rPr>
          <w:spacing w:val="-4"/>
          <w:shd w:val="clear" w:color="auto" w:fill="FFFFFF"/>
          <w:lang w:val="en-US"/>
        </w:rPr>
        <w:t>515</w:t>
      </w:r>
      <w:r w:rsidR="00C94AC8">
        <w:rPr>
          <w:spacing w:val="-4"/>
          <w:shd w:val="clear" w:color="auto" w:fill="FFFFFF"/>
          <w:lang w:val="en-US"/>
        </w:rPr>
        <w:t xml:space="preserve"> in the previous year)</w:t>
      </w:r>
      <w:r w:rsidR="0042048D">
        <w:rPr>
          <w:spacing w:val="-4"/>
          <w:shd w:val="clear" w:color="auto" w:fill="FFFFFF"/>
          <w:lang w:val="en-US"/>
        </w:rPr>
        <w:t>.</w:t>
      </w:r>
    </w:p>
    <w:p w:rsidR="00054314" w:rsidRDefault="000A7C88" w:rsidP="00896EB9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Total useful floor area of dwellings completed in </w:t>
      </w:r>
      <w:r w:rsidR="0058073C">
        <w:rPr>
          <w:shd w:val="clear" w:color="auto" w:fill="FFFFFF"/>
          <w:lang w:val="en-US"/>
        </w:rPr>
        <w:t>the period of January-February</w:t>
      </w:r>
      <w:r w:rsidR="00C94AC8">
        <w:rPr>
          <w:shd w:val="clear" w:color="auto" w:fill="FFFFFF"/>
          <w:lang w:val="en-US"/>
        </w:rPr>
        <w:t xml:space="preserve"> 2020</w:t>
      </w:r>
      <w:r w:rsidR="007C6C81">
        <w:rPr>
          <w:shd w:val="clear" w:color="auto" w:fill="FFFFFF"/>
          <w:lang w:val="en-US"/>
        </w:rPr>
        <w:t xml:space="preserve"> </w:t>
      </w:r>
      <w:r w:rsidR="006A0E22" w:rsidRPr="006A0E22">
        <w:rPr>
          <w:shd w:val="clear" w:color="auto" w:fill="FFFFFF"/>
          <w:lang w:val="en-US"/>
        </w:rPr>
        <w:t>amounted to</w:t>
      </w:r>
      <w:r w:rsidRPr="006A0E22">
        <w:rPr>
          <w:shd w:val="clear" w:color="auto" w:fill="FFFFFF"/>
          <w:lang w:val="en-US"/>
        </w:rPr>
        <w:t xml:space="preserve"> </w:t>
      </w:r>
      <w:r w:rsidR="0058073C">
        <w:rPr>
          <w:shd w:val="clear" w:color="auto" w:fill="FFFFFF"/>
          <w:lang w:val="en-US"/>
        </w:rPr>
        <w:t>3</w:t>
      </w:r>
      <w:r w:rsidR="00837231">
        <w:rPr>
          <w:shd w:val="clear" w:color="auto" w:fill="FFFFFF"/>
          <w:lang w:val="en-US"/>
        </w:rPr>
        <w:t>.</w:t>
      </w:r>
      <w:r w:rsidR="0058073C">
        <w:rPr>
          <w:shd w:val="clear" w:color="auto" w:fill="FFFFFF"/>
          <w:lang w:val="en-US"/>
        </w:rPr>
        <w:t>1</w:t>
      </w:r>
      <w:r w:rsidR="00837231">
        <w:rPr>
          <w:shd w:val="clear" w:color="auto" w:fill="FFFFFF"/>
          <w:lang w:val="en-US"/>
        </w:rPr>
        <w:t xml:space="preserve"> m. sq m, i.e. by </w:t>
      </w:r>
      <w:r w:rsidR="0058073C">
        <w:rPr>
          <w:shd w:val="clear" w:color="auto" w:fill="FFFFFF"/>
          <w:lang w:val="en-US"/>
        </w:rPr>
        <w:t>7</w:t>
      </w:r>
      <w:r w:rsidR="00837231">
        <w:rPr>
          <w:shd w:val="clear" w:color="auto" w:fill="FFFFFF"/>
          <w:lang w:val="en-US"/>
        </w:rPr>
        <w:t>.</w:t>
      </w:r>
      <w:r w:rsidR="0058073C">
        <w:rPr>
          <w:shd w:val="clear" w:color="auto" w:fill="FFFFFF"/>
          <w:lang w:val="en-US"/>
        </w:rPr>
        <w:t>1</w:t>
      </w:r>
      <w:r w:rsidR="00EF767E">
        <w:rPr>
          <w:shd w:val="clear" w:color="auto" w:fill="FFFFFF"/>
          <w:lang w:val="en-US"/>
        </w:rPr>
        <w:t>% more tha</w:t>
      </w:r>
      <w:r>
        <w:rPr>
          <w:shd w:val="clear" w:color="auto" w:fill="FFFFFF"/>
          <w:lang w:val="en-US"/>
        </w:rPr>
        <w:t xml:space="preserve">n in the corresponding </w:t>
      </w:r>
      <w:r w:rsidR="0058073C">
        <w:rPr>
          <w:shd w:val="clear" w:color="auto" w:fill="FFFFFF"/>
          <w:lang w:val="en-US"/>
        </w:rPr>
        <w:t>period</w:t>
      </w:r>
      <w:r>
        <w:rPr>
          <w:shd w:val="clear" w:color="auto" w:fill="FFFFFF"/>
          <w:lang w:val="en-US"/>
        </w:rPr>
        <w:t xml:space="preserve"> of </w:t>
      </w:r>
      <w:r w:rsidR="00CE0F21">
        <w:rPr>
          <w:shd w:val="clear" w:color="auto" w:fill="FFFFFF"/>
          <w:lang w:val="en-US"/>
        </w:rPr>
        <w:t xml:space="preserve">the </w:t>
      </w:r>
      <w:r>
        <w:rPr>
          <w:shd w:val="clear" w:color="auto" w:fill="FFFFFF"/>
          <w:lang w:val="en-US"/>
        </w:rPr>
        <w:t>previous year</w:t>
      </w:r>
      <w:r w:rsidRPr="00713DD1">
        <w:rPr>
          <w:shd w:val="clear" w:color="auto" w:fill="FFFFFF"/>
          <w:lang w:val="en-US"/>
        </w:rPr>
        <w:t>.</w:t>
      </w:r>
      <w:r w:rsidR="00C94AC8">
        <w:rPr>
          <w:shd w:val="clear" w:color="auto" w:fill="FFFFFF"/>
          <w:lang w:val="en-US"/>
        </w:rPr>
        <w:t xml:space="preserve"> Compared to the </w:t>
      </w:r>
      <w:r w:rsidR="0058073C">
        <w:rPr>
          <w:shd w:val="clear" w:color="auto" w:fill="FFFFFF"/>
          <w:lang w:val="en-US"/>
        </w:rPr>
        <w:t>period January-February</w:t>
      </w:r>
      <w:r w:rsidR="00C94AC8">
        <w:rPr>
          <w:shd w:val="clear" w:color="auto" w:fill="FFFFFF"/>
          <w:lang w:val="en-US"/>
        </w:rPr>
        <w:t xml:space="preserve"> 2019</w:t>
      </w:r>
      <w:r w:rsidRPr="00713DD1">
        <w:rPr>
          <w:shd w:val="clear" w:color="auto" w:fill="FFFFFF"/>
          <w:lang w:val="en-US"/>
        </w:rPr>
        <w:t xml:space="preserve"> the average </w:t>
      </w:r>
      <w:r w:rsidR="005E3825" w:rsidRPr="00713DD1">
        <w:rPr>
          <w:shd w:val="clear" w:color="auto" w:fill="FFFFFF"/>
          <w:lang w:val="en-US"/>
        </w:rPr>
        <w:t xml:space="preserve">useful </w:t>
      </w:r>
      <w:r w:rsidRPr="00713DD1">
        <w:rPr>
          <w:shd w:val="clear" w:color="auto" w:fill="FFFFFF"/>
          <w:lang w:val="en-US"/>
        </w:rPr>
        <w:t>floor are</w:t>
      </w:r>
      <w:r w:rsidR="00BF61F6">
        <w:rPr>
          <w:shd w:val="clear" w:color="auto" w:fill="FFFFFF"/>
          <w:lang w:val="en-US"/>
        </w:rPr>
        <w:t>a of 1 </w:t>
      </w:r>
      <w:r w:rsidR="00C94AC8">
        <w:rPr>
          <w:shd w:val="clear" w:color="auto" w:fill="FFFFFF"/>
          <w:lang w:val="en-US"/>
        </w:rPr>
        <w:t>dwelling in</w:t>
      </w:r>
      <w:r w:rsidR="00837231">
        <w:rPr>
          <w:shd w:val="clear" w:color="auto" w:fill="FFFFFF"/>
          <w:lang w:val="en-US"/>
        </w:rPr>
        <w:t xml:space="preserve">creased by </w:t>
      </w:r>
      <w:r w:rsidR="0058073C">
        <w:rPr>
          <w:shd w:val="clear" w:color="auto" w:fill="FFFFFF"/>
          <w:lang w:val="en-US"/>
        </w:rPr>
        <w:t>3</w:t>
      </w:r>
      <w:r w:rsidR="00837231">
        <w:rPr>
          <w:shd w:val="clear" w:color="auto" w:fill="FFFFFF"/>
          <w:lang w:val="en-US"/>
        </w:rPr>
        <w:t>.</w:t>
      </w:r>
      <w:r w:rsidR="0058073C">
        <w:rPr>
          <w:shd w:val="clear" w:color="auto" w:fill="FFFFFF"/>
          <w:lang w:val="en-US"/>
        </w:rPr>
        <w:t>3</w:t>
      </w:r>
      <w:r w:rsidRPr="00713DD1">
        <w:rPr>
          <w:shd w:val="clear" w:color="auto" w:fill="FFFFFF"/>
          <w:lang w:val="en-US"/>
        </w:rPr>
        <w:t xml:space="preserve"> sq </w:t>
      </w:r>
      <w:r w:rsidR="003460DF" w:rsidRPr="00713DD1">
        <w:rPr>
          <w:shd w:val="clear" w:color="auto" w:fill="FFFFFF"/>
          <w:lang w:val="en-US"/>
        </w:rPr>
        <w:t>m to the lev</w:t>
      </w:r>
      <w:r w:rsidR="003460DF">
        <w:rPr>
          <w:shd w:val="clear" w:color="auto" w:fill="FFFFFF"/>
          <w:lang w:val="en-US"/>
        </w:rPr>
        <w:t xml:space="preserve">el of </w:t>
      </w:r>
      <w:r w:rsidR="0058073C">
        <w:rPr>
          <w:shd w:val="clear" w:color="auto" w:fill="FFFFFF"/>
          <w:lang w:val="en-US"/>
        </w:rPr>
        <w:t>93</w:t>
      </w:r>
      <w:r w:rsidR="005D25AB">
        <w:rPr>
          <w:shd w:val="clear" w:color="auto" w:fill="FFFFFF"/>
          <w:lang w:val="en-US"/>
        </w:rPr>
        <w:t>.</w:t>
      </w:r>
      <w:r w:rsidR="0058073C">
        <w:rPr>
          <w:shd w:val="clear" w:color="auto" w:fill="FFFFFF"/>
          <w:lang w:val="en-US"/>
        </w:rPr>
        <w:t>5</w:t>
      </w:r>
      <w:r>
        <w:rPr>
          <w:shd w:val="clear" w:color="auto" w:fill="FFFFFF"/>
          <w:lang w:val="en-US"/>
        </w:rPr>
        <w:t xml:space="preserve"> sq</w:t>
      </w:r>
      <w:r w:rsidR="00A33759">
        <w:rPr>
          <w:shd w:val="clear" w:color="auto" w:fill="FFFFFF"/>
          <w:lang w:val="en-US"/>
        </w:rPr>
        <w:t> </w:t>
      </w:r>
      <w:r>
        <w:rPr>
          <w:shd w:val="clear" w:color="auto" w:fill="FFFFFF"/>
          <w:lang w:val="en-US"/>
        </w:rPr>
        <w:t>m.</w:t>
      </w:r>
    </w:p>
    <w:p w:rsidR="00054314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Table</w:t>
      </w: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Dwellings completed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58073C" w:rsidRPr="00754F6C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:rsidR="0058073C" w:rsidRPr="00754F6C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58073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:rsidR="0058073C" w:rsidRPr="00754F6C" w:rsidRDefault="0058073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58073C" w:rsidRPr="00754F6C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58073C" w:rsidRPr="00754F6C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58073C" w:rsidRPr="00754F6C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58073C" w:rsidRPr="00754F6C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I-II</w:t>
            </w:r>
          </w:p>
        </w:tc>
      </w:tr>
      <w:tr w:rsidR="0058073C" w:rsidRPr="00754F6C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58073C" w:rsidRPr="00754F6C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58073C" w:rsidRPr="00754F6C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8073C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58073C" w:rsidRPr="00754F6C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58073C" w:rsidRPr="00754F6C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58073C" w:rsidRPr="00754F6C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8073C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58073C" w:rsidRPr="00754F6C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I-II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</w:tr>
      <w:tr w:rsidR="0058073C" w:rsidRPr="00754F6C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58073C" w:rsidRPr="00FA5128" w:rsidRDefault="0058073C" w:rsidP="0058073C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8073C" w:rsidRPr="00754F6C" w:rsidRDefault="0058073C" w:rsidP="0058073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16 050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8073C" w:rsidRPr="00754F6C" w:rsidRDefault="0058073C" w:rsidP="0058073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106.</w:t>
            </w: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8073C" w:rsidRPr="00754F6C" w:rsidRDefault="0058073C" w:rsidP="0058073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92.</w:t>
            </w: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8073C" w:rsidRPr="00754F6C" w:rsidRDefault="0058073C" w:rsidP="0058073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33 459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58073C" w:rsidRPr="00754F6C" w:rsidRDefault="0058073C" w:rsidP="0058073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103.</w:t>
            </w: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58073C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58073C" w:rsidRPr="00A569FC" w:rsidRDefault="0058073C" w:rsidP="0058073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6 355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116.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12 789</w:t>
            </w:r>
          </w:p>
        </w:tc>
        <w:tc>
          <w:tcPr>
            <w:tcW w:w="1207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58073C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58073C" w:rsidRPr="00A569FC" w:rsidRDefault="0058073C" w:rsidP="0058073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9 381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9420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20 003</w:t>
            </w:r>
          </w:p>
        </w:tc>
        <w:tc>
          <w:tcPr>
            <w:tcW w:w="1207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58073C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58073C" w:rsidRPr="00C94AC8" w:rsidRDefault="0058073C" w:rsidP="0058073C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168</w:t>
            </w:r>
          </w:p>
        </w:tc>
        <w:tc>
          <w:tcPr>
            <w:tcW w:w="1207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58073C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58073C" w:rsidRPr="00A569FC" w:rsidRDefault="0058073C" w:rsidP="0058073C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32.</w:t>
            </w:r>
            <w:r w:rsidRPr="00754F6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328</w:t>
            </w:r>
          </w:p>
        </w:tc>
        <w:tc>
          <w:tcPr>
            <w:tcW w:w="1207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117.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58073C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58073C" w:rsidRPr="00964B1A" w:rsidRDefault="0058073C" w:rsidP="0058073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527B0C" w:rsidRDefault="0058073C" w:rsidP="0058073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more than</w:t>
            </w:r>
            <w:r w:rsidRPr="00754F6C">
              <w:rPr>
                <w:rFonts w:cs="Arial"/>
                <w:sz w:val="16"/>
                <w:szCs w:val="16"/>
              </w:rPr>
              <w:t xml:space="preserve"> </w:t>
            </w:r>
          </w:p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54F6C">
              <w:rPr>
                <w:rFonts w:cs="Arial"/>
                <w:sz w:val="16"/>
                <w:szCs w:val="16"/>
              </w:rPr>
              <w:t>8-</w:t>
            </w:r>
            <w:r>
              <w:rPr>
                <w:rFonts w:cs="Arial"/>
                <w:sz w:val="16"/>
                <w:szCs w:val="16"/>
              </w:rPr>
              <w:t>fold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145</w:t>
            </w:r>
          </w:p>
        </w:tc>
        <w:tc>
          <w:tcPr>
            <w:tcW w:w="1207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8073C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58073C" w:rsidRPr="00C57EF3" w:rsidRDefault="0058073C" w:rsidP="0058073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129.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</w:t>
            </w:r>
            <w:r w:rsidRPr="00754F6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1207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58073C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58073C" w:rsidRPr="008C0EBD" w:rsidRDefault="0058073C" w:rsidP="0058073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94201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:rsidR="0058073C" w:rsidRPr="00754F6C" w:rsidRDefault="0058073C" w:rsidP="0058073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7" w:type="dxa"/>
            <w:vAlign w:val="center"/>
          </w:tcPr>
          <w:p w:rsidR="0058073C" w:rsidRPr="00754F6C" w:rsidRDefault="0058073C" w:rsidP="005807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:rsidR="00054314" w:rsidRPr="008C0EBD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896EB9">
      <w:pPr>
        <w:rPr>
          <w:shd w:val="clear" w:color="auto" w:fill="FFFFFF"/>
          <w:lang w:val="en-GB"/>
        </w:rPr>
      </w:pPr>
    </w:p>
    <w:p w:rsidR="0058073C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</w:p>
    <w:p w:rsidR="0058073C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</w:p>
    <w:p w:rsidR="00896EB9" w:rsidRPr="00E55DC7" w:rsidRDefault="006E5F0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38AAD7" wp14:editId="5DFE9E4B">
                <wp:simplePos x="0" y="0"/>
                <wp:positionH relativeFrom="page">
                  <wp:posOffset>5704619</wp:posOffset>
                </wp:positionH>
                <wp:positionV relativeFrom="paragraph">
                  <wp:posOffset>258058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95941" w:rsidRPr="00AD1492" w:rsidRDefault="00F95941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F84A50"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by </w:t>
                            </w:r>
                            <w:r w:rsidR="00F84A50">
                              <w:rPr>
                                <w:lang w:val="en-US"/>
                              </w:rPr>
                              <w:t>0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F84A50">
                              <w:rPr>
                                <w:lang w:val="en-US"/>
                              </w:rPr>
                              <w:t>5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AAD7" id="Pole tekstowe 15" o:spid="_x0000_s1031" type="#_x0000_t202" style="position:absolute;margin-left:449.2pt;margin-top:20.3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" filled="f" stroked="f" strokeweight=".5pt">
                <v:textbox>
                  <w:txbxContent>
                    <w:p w:rsidR="00F95941" w:rsidRPr="00AD1492" w:rsidRDefault="00F95941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F84A50"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by </w:t>
                      </w:r>
                      <w:r w:rsidR="00F84A50">
                        <w:rPr>
                          <w:lang w:val="en-US"/>
                        </w:rPr>
                        <w:t>0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F84A50">
                        <w:rPr>
                          <w:lang w:val="en-US"/>
                        </w:rPr>
                        <w:t>5</w:t>
                      </w:r>
                      <w:r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6EB9"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 xml:space="preserve">Dwellings for which permits have been granted or which have been registered with </w:t>
      </w:r>
      <w:r w:rsidR="00896EB9"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br/>
        <w:t>a construction project</w:t>
      </w:r>
    </w:p>
    <w:p w:rsidR="00C47CE4" w:rsidRPr="00611CFA" w:rsidRDefault="00BD1D77" w:rsidP="00896EB9">
      <w:pPr>
        <w:rPr>
          <w:b/>
          <w:shd w:val="clear" w:color="auto" w:fill="FFFFFF"/>
          <w:lang w:val="en-US"/>
        </w:rPr>
      </w:pPr>
      <w:r w:rsidRPr="00BD1D77">
        <w:rPr>
          <w:szCs w:val="19"/>
          <w:shd w:val="clear" w:color="auto" w:fill="FFFFFF"/>
          <w:lang w:val="en-GB"/>
        </w:rPr>
        <w:t>I</w:t>
      </w:r>
      <w:r w:rsidRPr="00425FE5">
        <w:rPr>
          <w:szCs w:val="19"/>
          <w:shd w:val="clear" w:color="auto" w:fill="FFFFFF"/>
          <w:lang w:val="en-GB"/>
        </w:rPr>
        <w:t xml:space="preserve">n </w:t>
      </w:r>
      <w:r w:rsidR="0058073C">
        <w:rPr>
          <w:szCs w:val="19"/>
          <w:shd w:val="clear" w:color="auto" w:fill="FFFFFF"/>
          <w:lang w:val="en-GB"/>
        </w:rPr>
        <w:t>the first two months of</w:t>
      </w:r>
      <w:r w:rsidR="0044258C">
        <w:rPr>
          <w:szCs w:val="19"/>
          <w:shd w:val="clear" w:color="auto" w:fill="FFFFFF"/>
          <w:lang w:val="en-GB"/>
        </w:rPr>
        <w:t xml:space="preserve"> 2020</w:t>
      </w:r>
      <w:r w:rsidRPr="00425FE5">
        <w:rPr>
          <w:szCs w:val="19"/>
          <w:shd w:val="clear" w:color="auto" w:fill="FFFFFF"/>
          <w:lang w:val="en-GB"/>
        </w:rPr>
        <w:t xml:space="preserve"> </w:t>
      </w:r>
      <w:r w:rsidR="00C47CE4">
        <w:rPr>
          <w:shd w:val="clear" w:color="auto" w:fill="FFFFFF"/>
          <w:lang w:val="en-US"/>
        </w:rPr>
        <w:t>permits and registrations</w:t>
      </w:r>
      <w:r w:rsidR="00C47CE4" w:rsidRPr="00361E3E">
        <w:rPr>
          <w:shd w:val="clear" w:color="auto" w:fill="FFFFFF"/>
          <w:lang w:val="en-US"/>
        </w:rPr>
        <w:t xml:space="preserve"> </w:t>
      </w:r>
      <w:r w:rsidR="00C47CE4">
        <w:rPr>
          <w:shd w:val="clear" w:color="auto" w:fill="FFFFFF"/>
          <w:lang w:val="en-US"/>
        </w:rPr>
        <w:t xml:space="preserve">have been granted for construction of </w:t>
      </w:r>
      <w:r w:rsidR="0058073C">
        <w:rPr>
          <w:shd w:val="clear" w:color="auto" w:fill="FFFFFF"/>
          <w:lang w:val="en-US"/>
        </w:rPr>
        <w:t>37</w:t>
      </w:r>
      <w:r w:rsidR="00F06543">
        <w:rPr>
          <w:shd w:val="clear" w:color="auto" w:fill="FFFFFF"/>
          <w:lang w:val="en-US"/>
        </w:rPr>
        <w:t>.</w:t>
      </w:r>
      <w:r w:rsidR="0058073C">
        <w:rPr>
          <w:shd w:val="clear" w:color="auto" w:fill="FFFFFF"/>
          <w:lang w:val="en-US"/>
        </w:rPr>
        <w:t>3</w:t>
      </w:r>
      <w:r w:rsidR="00086F9F">
        <w:rPr>
          <w:shd w:val="clear" w:color="auto" w:fill="FFFFFF"/>
          <w:lang w:val="en-US"/>
        </w:rPr>
        <w:t xml:space="preserve"> thous.</w:t>
      </w:r>
      <w:r w:rsidR="00FD0C2F">
        <w:rPr>
          <w:shd w:val="clear" w:color="auto" w:fill="FFFFFF"/>
          <w:lang w:val="en-US"/>
        </w:rPr>
        <w:t xml:space="preserve"> dwellings, </w:t>
      </w:r>
      <w:r w:rsidR="00C47CE4">
        <w:rPr>
          <w:shd w:val="clear" w:color="auto" w:fill="FFFFFF"/>
          <w:lang w:val="en-US"/>
        </w:rPr>
        <w:t xml:space="preserve">i.e. by </w:t>
      </w:r>
      <w:r w:rsidR="0058073C">
        <w:rPr>
          <w:shd w:val="clear" w:color="auto" w:fill="FFFFFF"/>
          <w:lang w:val="en-US"/>
        </w:rPr>
        <w:t>0</w:t>
      </w:r>
      <w:r w:rsidR="00E245E1">
        <w:rPr>
          <w:shd w:val="clear" w:color="auto" w:fill="FFFFFF"/>
          <w:lang w:val="en-US"/>
        </w:rPr>
        <w:t>.</w:t>
      </w:r>
      <w:r w:rsidR="0058073C">
        <w:rPr>
          <w:shd w:val="clear" w:color="auto" w:fill="FFFFFF"/>
          <w:lang w:val="en-US"/>
        </w:rPr>
        <w:t>5</w:t>
      </w:r>
      <w:r w:rsidR="00C47CE4">
        <w:rPr>
          <w:shd w:val="clear" w:color="auto" w:fill="FFFFFF"/>
          <w:lang w:val="en-US"/>
        </w:rPr>
        <w:t xml:space="preserve">% </w:t>
      </w:r>
      <w:r w:rsidR="00C03049">
        <w:rPr>
          <w:shd w:val="clear" w:color="auto" w:fill="FFFFFF"/>
          <w:lang w:val="en-US"/>
        </w:rPr>
        <w:t>less</w:t>
      </w:r>
      <w:r w:rsidR="00C47CE4">
        <w:rPr>
          <w:shd w:val="clear" w:color="auto" w:fill="FFFFFF"/>
          <w:lang w:val="en-US"/>
        </w:rPr>
        <w:t xml:space="preserve"> than in </w:t>
      </w:r>
      <w:r w:rsidR="00C47CE4" w:rsidRPr="00A02ED8">
        <w:rPr>
          <w:shd w:val="clear" w:color="auto" w:fill="FFFFFF"/>
          <w:lang w:val="en-US"/>
        </w:rPr>
        <w:t>the corres</w:t>
      </w:r>
      <w:r w:rsidR="00856FE3">
        <w:rPr>
          <w:shd w:val="clear" w:color="auto" w:fill="FFFFFF"/>
          <w:lang w:val="en-US"/>
        </w:rPr>
        <w:t xml:space="preserve">ponding </w:t>
      </w:r>
      <w:r w:rsidR="0058073C">
        <w:rPr>
          <w:shd w:val="clear" w:color="auto" w:fill="FFFFFF"/>
          <w:lang w:val="en-US"/>
        </w:rPr>
        <w:t>period</w:t>
      </w:r>
      <w:r w:rsidR="00856FE3">
        <w:rPr>
          <w:shd w:val="clear" w:color="auto" w:fill="FFFFFF"/>
          <w:lang w:val="en-US"/>
        </w:rPr>
        <w:t xml:space="preserve"> of</w:t>
      </w:r>
      <w:r w:rsidR="0044258C">
        <w:rPr>
          <w:shd w:val="clear" w:color="auto" w:fill="FFFFFF"/>
          <w:lang w:val="en-US"/>
        </w:rPr>
        <w:t xml:space="preserve"> 2019</w:t>
      </w:r>
      <w:r w:rsidR="00856FE3">
        <w:rPr>
          <w:shd w:val="clear" w:color="auto" w:fill="FFFFFF"/>
          <w:lang w:val="en-US"/>
        </w:rPr>
        <w:t xml:space="preserve">. </w:t>
      </w:r>
      <w:r w:rsidR="00C47CE4">
        <w:rPr>
          <w:shd w:val="clear" w:color="auto" w:fill="FFFFFF"/>
          <w:lang w:val="en-US"/>
        </w:rPr>
        <w:t xml:space="preserve">Permits for construction of the biggest number of dwellings were given to </w:t>
      </w:r>
      <w:r w:rsidR="00435283">
        <w:rPr>
          <w:b/>
          <w:shd w:val="clear" w:color="auto" w:fill="FFFFFF"/>
          <w:lang w:val="en-US"/>
        </w:rPr>
        <w:t xml:space="preserve">developers </w:t>
      </w:r>
      <w:r>
        <w:rPr>
          <w:shd w:val="clear" w:color="auto" w:fill="FFFFFF"/>
          <w:lang w:val="en-US"/>
        </w:rPr>
        <w:t>(</w:t>
      </w:r>
      <w:r w:rsidR="0058073C">
        <w:rPr>
          <w:shd w:val="clear" w:color="auto" w:fill="FFFFFF"/>
          <w:lang w:val="en-US"/>
        </w:rPr>
        <w:t>23.3</w:t>
      </w:r>
      <w:r w:rsidR="00086F9F">
        <w:rPr>
          <w:shd w:val="clear" w:color="auto" w:fill="FFFFFF"/>
          <w:lang w:val="en-US"/>
        </w:rPr>
        <w:t xml:space="preserve"> thous.</w:t>
      </w:r>
      <w:r>
        <w:rPr>
          <w:shd w:val="clear" w:color="auto" w:fill="FFFFFF"/>
          <w:lang w:val="en-US"/>
        </w:rPr>
        <w:t>)</w:t>
      </w:r>
      <w:r w:rsidR="00C47CE4">
        <w:rPr>
          <w:shd w:val="clear" w:color="auto" w:fill="FFFFFF"/>
          <w:lang w:val="en-US"/>
        </w:rPr>
        <w:t xml:space="preserve"> and to </w:t>
      </w:r>
      <w:r w:rsidR="00C47CE4" w:rsidRPr="004F2B55">
        <w:rPr>
          <w:b/>
          <w:shd w:val="clear" w:color="auto" w:fill="FFFFFF"/>
          <w:lang w:val="en-US"/>
        </w:rPr>
        <w:t>private investors</w:t>
      </w:r>
      <w:r>
        <w:rPr>
          <w:shd w:val="clear" w:color="auto" w:fill="FFFFFF"/>
          <w:lang w:val="en-US"/>
        </w:rPr>
        <w:t xml:space="preserve"> (</w:t>
      </w:r>
      <w:r w:rsidR="0058073C">
        <w:rPr>
          <w:shd w:val="clear" w:color="auto" w:fill="FFFFFF"/>
          <w:lang w:val="en-US"/>
        </w:rPr>
        <w:t>13</w:t>
      </w:r>
      <w:r w:rsidR="001A1F89">
        <w:rPr>
          <w:shd w:val="clear" w:color="auto" w:fill="FFFFFF"/>
          <w:lang w:val="en-US"/>
        </w:rPr>
        <w:t>.</w:t>
      </w:r>
      <w:r w:rsidR="000D348A">
        <w:rPr>
          <w:shd w:val="clear" w:color="auto" w:fill="FFFFFF"/>
          <w:lang w:val="en-US"/>
        </w:rPr>
        <w:t>8</w:t>
      </w:r>
      <w:r w:rsidR="00086F9F">
        <w:rPr>
          <w:shd w:val="clear" w:color="auto" w:fill="FFFFFF"/>
          <w:lang w:val="en-US"/>
        </w:rPr>
        <w:t xml:space="preserve"> thous.</w:t>
      </w:r>
      <w:r>
        <w:rPr>
          <w:shd w:val="clear" w:color="auto" w:fill="FFFFFF"/>
          <w:lang w:val="en-US"/>
        </w:rPr>
        <w:t>)</w:t>
      </w:r>
      <w:r w:rsidR="003A358E">
        <w:rPr>
          <w:shd w:val="clear" w:color="auto" w:fill="FFFFFF"/>
          <w:lang w:val="en-US"/>
        </w:rPr>
        <w:t xml:space="preserve">, i.e. </w:t>
      </w:r>
      <w:r w:rsidR="000D348A">
        <w:rPr>
          <w:shd w:val="clear" w:color="auto" w:fill="FFFFFF"/>
          <w:lang w:val="en-US"/>
        </w:rPr>
        <w:t xml:space="preserve">respectively </w:t>
      </w:r>
      <w:r w:rsidR="00495B6E">
        <w:rPr>
          <w:shd w:val="clear" w:color="auto" w:fill="FFFFFF"/>
          <w:lang w:val="en-US"/>
        </w:rPr>
        <w:t xml:space="preserve">by </w:t>
      </w:r>
      <w:r w:rsidR="0058073C">
        <w:rPr>
          <w:shd w:val="clear" w:color="auto" w:fill="FFFFFF"/>
          <w:lang w:val="en-US"/>
        </w:rPr>
        <w:t>2.5</w:t>
      </w:r>
      <w:r w:rsidR="000D348A">
        <w:rPr>
          <w:shd w:val="clear" w:color="auto" w:fill="FFFFFF"/>
          <w:lang w:val="en-US"/>
        </w:rPr>
        <w:t xml:space="preserve">% </w:t>
      </w:r>
      <w:r w:rsidR="0058073C">
        <w:rPr>
          <w:shd w:val="clear" w:color="auto" w:fill="FFFFFF"/>
          <w:lang w:val="en-US"/>
        </w:rPr>
        <w:t>less and 9.8</w:t>
      </w:r>
      <w:r w:rsidR="000D348A">
        <w:rPr>
          <w:shd w:val="clear" w:color="auto" w:fill="FFFFFF"/>
          <w:lang w:val="en-US"/>
        </w:rPr>
        <w:t>%</w:t>
      </w:r>
      <w:r w:rsidR="006E5F08">
        <w:rPr>
          <w:shd w:val="clear" w:color="auto" w:fill="FFFFFF"/>
          <w:lang w:val="en-US"/>
        </w:rPr>
        <w:t xml:space="preserve"> </w:t>
      </w:r>
      <w:r w:rsidR="000712A2">
        <w:rPr>
          <w:shd w:val="clear" w:color="auto" w:fill="FFFFFF"/>
          <w:lang w:val="en-US"/>
        </w:rPr>
        <w:t>more</w:t>
      </w:r>
      <w:r w:rsidR="003A358E">
        <w:rPr>
          <w:shd w:val="clear" w:color="auto" w:fill="FFFFFF"/>
          <w:lang w:val="en-US"/>
        </w:rPr>
        <w:t xml:space="preserve"> than </w:t>
      </w:r>
      <w:r w:rsidR="0058073C">
        <w:rPr>
          <w:shd w:val="clear" w:color="auto" w:fill="FFFFFF"/>
          <w:lang w:val="en-US"/>
        </w:rPr>
        <w:t xml:space="preserve">in the period </w:t>
      </w:r>
      <w:r w:rsidR="00527B0C">
        <w:rPr>
          <w:shd w:val="clear" w:color="auto" w:fill="FFFFFF"/>
          <w:lang w:val="en-US"/>
        </w:rPr>
        <w:t xml:space="preserve">of </w:t>
      </w:r>
      <w:r w:rsidR="0058073C">
        <w:rPr>
          <w:shd w:val="clear" w:color="auto" w:fill="FFFFFF"/>
          <w:lang w:val="en-US"/>
        </w:rPr>
        <w:t xml:space="preserve">January-February </w:t>
      </w:r>
      <w:r w:rsidR="0044258C">
        <w:rPr>
          <w:shd w:val="clear" w:color="auto" w:fill="FFFFFF"/>
          <w:lang w:val="en-US"/>
        </w:rPr>
        <w:t>2019</w:t>
      </w:r>
      <w:r w:rsidR="00CF36C5">
        <w:rPr>
          <w:shd w:val="clear" w:color="auto" w:fill="FFFFFF"/>
          <w:lang w:val="en-US"/>
        </w:rPr>
        <w:t xml:space="preserve">. </w:t>
      </w:r>
      <w:r w:rsidR="000A7C88" w:rsidRPr="00485E73">
        <w:rPr>
          <w:shd w:val="clear" w:color="auto" w:fill="FFFFFF"/>
          <w:lang w:val="en-US"/>
        </w:rPr>
        <w:t xml:space="preserve">Altogether </w:t>
      </w:r>
      <w:r w:rsidR="00507D43" w:rsidRPr="00485E73">
        <w:rPr>
          <w:shd w:val="clear" w:color="auto" w:fill="FFFFFF"/>
          <w:lang w:val="en-US"/>
        </w:rPr>
        <w:t xml:space="preserve">the share </w:t>
      </w:r>
      <w:r w:rsidR="00CD44F1">
        <w:rPr>
          <w:shd w:val="clear" w:color="auto" w:fill="FFFFFF"/>
          <w:lang w:val="en-US"/>
        </w:rPr>
        <w:t>of</w:t>
      </w:r>
      <w:r w:rsidR="00507D43" w:rsidRPr="00485E73">
        <w:rPr>
          <w:shd w:val="clear" w:color="auto" w:fill="FFFFFF"/>
          <w:lang w:val="en-US"/>
        </w:rPr>
        <w:t xml:space="preserve"> </w:t>
      </w:r>
      <w:r w:rsidR="000A7C88" w:rsidRPr="000A7C88">
        <w:rPr>
          <w:shd w:val="clear" w:color="auto" w:fill="FFFFFF"/>
          <w:lang w:val="en-US"/>
        </w:rPr>
        <w:t xml:space="preserve">these forms </w:t>
      </w:r>
      <w:r w:rsidR="0044258C">
        <w:rPr>
          <w:shd w:val="clear" w:color="auto" w:fill="FFFFFF"/>
          <w:lang w:val="en-US"/>
        </w:rPr>
        <w:t>of construction amounted to 99</w:t>
      </w:r>
      <w:r w:rsidR="001A1F89">
        <w:rPr>
          <w:shd w:val="clear" w:color="auto" w:fill="FFFFFF"/>
          <w:lang w:val="en-US"/>
        </w:rPr>
        <w:t>.</w:t>
      </w:r>
      <w:r w:rsidR="00527B0C">
        <w:rPr>
          <w:shd w:val="clear" w:color="auto" w:fill="FFFFFF"/>
          <w:lang w:val="en-US"/>
        </w:rPr>
        <w:t>6</w:t>
      </w:r>
      <w:r w:rsidR="000A7C88" w:rsidRPr="000A7C88">
        <w:rPr>
          <w:shd w:val="clear" w:color="auto" w:fill="FFFFFF"/>
          <w:lang w:val="en-US"/>
        </w:rPr>
        <w:t xml:space="preserve">% of </w:t>
      </w:r>
      <w:r w:rsidR="00B30E2E">
        <w:rPr>
          <w:shd w:val="clear" w:color="auto" w:fill="FFFFFF"/>
          <w:lang w:val="en-US"/>
        </w:rPr>
        <w:t xml:space="preserve">a </w:t>
      </w:r>
      <w:r w:rsidR="000A7C88" w:rsidRPr="000A7C88">
        <w:rPr>
          <w:shd w:val="clear" w:color="auto" w:fill="FFFFFF"/>
          <w:lang w:val="en-US"/>
        </w:rPr>
        <w:t>total number of dwellings</w:t>
      </w:r>
      <w:r w:rsidR="00507D43">
        <w:rPr>
          <w:shd w:val="clear" w:color="auto" w:fill="FFFFFF"/>
          <w:lang w:val="en-US"/>
        </w:rPr>
        <w:t xml:space="preserve">. </w:t>
      </w:r>
      <w:r w:rsidR="00AD30D2">
        <w:rPr>
          <w:shd w:val="clear" w:color="auto" w:fill="FFFFFF"/>
          <w:lang w:val="en-US"/>
        </w:rPr>
        <w:t>Less</w:t>
      </w:r>
      <w:r w:rsidR="00507D43">
        <w:rPr>
          <w:shd w:val="clear" w:color="auto" w:fill="FFFFFF"/>
          <w:lang w:val="en-US"/>
        </w:rPr>
        <w:t xml:space="preserve"> dwellings</w:t>
      </w:r>
      <w:r w:rsidR="00507D43" w:rsidRPr="00612A93">
        <w:rPr>
          <w:lang w:val="en-GB"/>
        </w:rPr>
        <w:t xml:space="preserve"> </w:t>
      </w:r>
      <w:r w:rsidR="00CE0F21">
        <w:rPr>
          <w:lang w:val="en-GB"/>
        </w:rPr>
        <w:t xml:space="preserve">than in </w:t>
      </w:r>
      <w:r w:rsidR="00527B0C">
        <w:rPr>
          <w:lang w:val="en-GB"/>
        </w:rPr>
        <w:t>the</w:t>
      </w:r>
      <w:r w:rsidR="00CE0F21">
        <w:rPr>
          <w:lang w:val="en-GB"/>
        </w:rPr>
        <w:t xml:space="preserve"> </w:t>
      </w:r>
      <w:r w:rsidR="00527B0C" w:rsidRPr="00527B0C">
        <w:rPr>
          <w:lang w:val="en-US"/>
        </w:rPr>
        <w:t>corresponding period of 2019</w:t>
      </w:r>
      <w:r w:rsidR="00CE0F21">
        <w:rPr>
          <w:lang w:val="en-GB"/>
        </w:rPr>
        <w:t xml:space="preserve"> </w:t>
      </w:r>
      <w:r w:rsidR="00507D43" w:rsidRPr="00507D43">
        <w:rPr>
          <w:shd w:val="clear" w:color="auto" w:fill="FFFFFF"/>
          <w:lang w:val="en-US"/>
        </w:rPr>
        <w:t>for which permits have been grante</w:t>
      </w:r>
      <w:r w:rsidR="00507D43">
        <w:rPr>
          <w:shd w:val="clear" w:color="auto" w:fill="FFFFFF"/>
          <w:lang w:val="en-US"/>
        </w:rPr>
        <w:t xml:space="preserve">d or which have been registered </w:t>
      </w:r>
      <w:r w:rsidR="00507D43" w:rsidRPr="00507D43">
        <w:rPr>
          <w:shd w:val="clear" w:color="auto" w:fill="FFFFFF"/>
          <w:lang w:val="en-US"/>
        </w:rPr>
        <w:t xml:space="preserve">with a construction project </w:t>
      </w:r>
      <w:r w:rsidR="00C47CE4" w:rsidRPr="006A0E22">
        <w:rPr>
          <w:shd w:val="clear" w:color="auto" w:fill="FFFFFF"/>
          <w:lang w:val="en-US"/>
        </w:rPr>
        <w:t xml:space="preserve">were </w:t>
      </w:r>
      <w:r w:rsidR="00CD44F1">
        <w:rPr>
          <w:shd w:val="clear" w:color="auto" w:fill="FFFFFF"/>
          <w:lang w:val="en-US"/>
        </w:rPr>
        <w:t>not</w:t>
      </w:r>
      <w:r w:rsidR="00507D43" w:rsidRPr="006A0E22">
        <w:rPr>
          <w:shd w:val="clear" w:color="auto" w:fill="FFFFFF"/>
          <w:lang w:val="en-US"/>
        </w:rPr>
        <w:t xml:space="preserve">ed </w:t>
      </w:r>
      <w:r w:rsidR="006A0E22" w:rsidRPr="006A0E22">
        <w:rPr>
          <w:shd w:val="clear" w:color="auto" w:fill="FFFFFF"/>
          <w:lang w:val="en-US"/>
        </w:rPr>
        <w:t xml:space="preserve">in </w:t>
      </w:r>
      <w:r w:rsidR="00BD601A" w:rsidRPr="006A0E22">
        <w:rPr>
          <w:shd w:val="clear" w:color="auto" w:fill="FFFFFF"/>
          <w:lang w:val="en-US"/>
        </w:rPr>
        <w:t>the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BD601A" w:rsidRPr="006A0E22">
        <w:rPr>
          <w:b/>
          <w:shd w:val="clear" w:color="auto" w:fill="FFFFFF"/>
          <w:lang w:val="en-US"/>
        </w:rPr>
        <w:t xml:space="preserve">cooperative </w:t>
      </w:r>
      <w:r w:rsidR="00BD601A" w:rsidRPr="00D536C0">
        <w:rPr>
          <w:shd w:val="clear" w:color="auto" w:fill="FFFFFF"/>
          <w:lang w:val="en-US"/>
        </w:rPr>
        <w:t>construction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983BE8">
        <w:rPr>
          <w:shd w:val="clear" w:color="auto" w:fill="FFFFFF"/>
          <w:lang w:val="en-US"/>
        </w:rPr>
        <w:t>(</w:t>
      </w:r>
      <w:r w:rsidR="00527B0C">
        <w:rPr>
          <w:shd w:val="clear" w:color="auto" w:fill="FFFFFF"/>
          <w:lang w:val="en-US"/>
        </w:rPr>
        <w:t>27</w:t>
      </w:r>
      <w:r w:rsidR="00F06543" w:rsidRPr="00F06543">
        <w:rPr>
          <w:shd w:val="clear" w:color="auto" w:fill="FFFFFF"/>
          <w:lang w:val="en-US"/>
        </w:rPr>
        <w:t xml:space="preserve"> </w:t>
      </w:r>
      <w:r w:rsidR="00507D43">
        <w:rPr>
          <w:shd w:val="clear" w:color="auto" w:fill="FFFFFF"/>
          <w:lang w:val="en-US"/>
        </w:rPr>
        <w:t xml:space="preserve">dwellings </w:t>
      </w:r>
      <w:r w:rsidR="00C47CE4">
        <w:rPr>
          <w:shd w:val="clear" w:color="auto" w:fill="FFFFFF"/>
          <w:lang w:val="en-US"/>
        </w:rPr>
        <w:t xml:space="preserve">against </w:t>
      </w:r>
      <w:r w:rsidR="00527B0C">
        <w:rPr>
          <w:shd w:val="clear" w:color="auto" w:fill="FFFFFF"/>
          <w:lang w:val="en-US"/>
        </w:rPr>
        <w:t>326</w:t>
      </w:r>
      <w:r w:rsidR="00AD30D2">
        <w:rPr>
          <w:shd w:val="clear" w:color="auto" w:fill="FFFFFF"/>
          <w:lang w:val="en-US"/>
        </w:rPr>
        <w:t>) and</w:t>
      </w:r>
      <w:r w:rsidR="00C47CE4" w:rsidRPr="00485E73">
        <w:rPr>
          <w:shd w:val="clear" w:color="auto" w:fill="FFFFFF"/>
          <w:lang w:val="en-US"/>
        </w:rPr>
        <w:t xml:space="preserve"> </w:t>
      </w:r>
      <w:r w:rsidR="00704521">
        <w:rPr>
          <w:shd w:val="clear" w:color="auto" w:fill="FFFFFF"/>
          <w:lang w:val="en-US"/>
        </w:rPr>
        <w:t>in</w:t>
      </w:r>
      <w:r w:rsidR="00704521" w:rsidRPr="00485E73">
        <w:rPr>
          <w:shd w:val="clear" w:color="auto" w:fill="FFFFFF"/>
          <w:lang w:val="en-US"/>
        </w:rPr>
        <w:t xml:space="preserve"> </w:t>
      </w:r>
      <w:r w:rsidR="00704521" w:rsidRPr="00485E73">
        <w:rPr>
          <w:b/>
          <w:shd w:val="clear" w:color="auto" w:fill="FFFFFF"/>
          <w:lang w:val="en-US"/>
        </w:rPr>
        <w:t xml:space="preserve">other forms </w:t>
      </w:r>
      <w:r w:rsidR="00704521" w:rsidRPr="00485E73">
        <w:rPr>
          <w:shd w:val="clear" w:color="auto" w:fill="FFFFFF"/>
          <w:lang w:val="en-US"/>
        </w:rPr>
        <w:t>of</w:t>
      </w:r>
      <w:r w:rsidR="00704521" w:rsidRPr="00485E73">
        <w:rPr>
          <w:b/>
          <w:shd w:val="clear" w:color="auto" w:fill="FFFFFF"/>
          <w:lang w:val="en-US"/>
        </w:rPr>
        <w:t xml:space="preserve"> </w:t>
      </w:r>
      <w:r w:rsidR="00704521" w:rsidRPr="00485E73">
        <w:rPr>
          <w:shd w:val="clear" w:color="auto" w:fill="FFFFFF"/>
          <w:lang w:val="en-US"/>
        </w:rPr>
        <w:t xml:space="preserve">construction </w:t>
      </w:r>
      <w:r w:rsidR="00616583" w:rsidRPr="00485E73">
        <w:rPr>
          <w:shd w:val="clear" w:color="auto" w:fill="FFFFFF"/>
          <w:lang w:val="en-US"/>
        </w:rPr>
        <w:t>(</w:t>
      </w:r>
      <w:r w:rsidR="00527B0C">
        <w:rPr>
          <w:shd w:val="clear" w:color="auto" w:fill="FFFFFF"/>
          <w:lang w:val="en-US"/>
        </w:rPr>
        <w:t>117</w:t>
      </w:r>
      <w:r w:rsidR="00F06543" w:rsidRPr="00F06543">
        <w:rPr>
          <w:shd w:val="clear" w:color="auto" w:fill="FFFFFF"/>
          <w:lang w:val="en-US"/>
        </w:rPr>
        <w:t xml:space="preserve"> </w:t>
      </w:r>
      <w:r w:rsidR="00616583" w:rsidRPr="00485E73">
        <w:rPr>
          <w:shd w:val="clear" w:color="auto" w:fill="FFFFFF"/>
          <w:lang w:val="en-US"/>
        </w:rPr>
        <w:t>dwellings</w:t>
      </w:r>
      <w:r w:rsidR="00611CFA">
        <w:rPr>
          <w:shd w:val="clear" w:color="auto" w:fill="FFFFFF"/>
          <w:lang w:val="en-US"/>
        </w:rPr>
        <w:t xml:space="preserve"> against </w:t>
      </w:r>
      <w:r w:rsidR="00527B0C">
        <w:rPr>
          <w:shd w:val="clear" w:color="auto" w:fill="FFFFFF"/>
          <w:lang w:val="en-US"/>
        </w:rPr>
        <w:t>643</w:t>
      </w:r>
      <w:r w:rsidR="00616583" w:rsidRPr="00485E73">
        <w:rPr>
          <w:shd w:val="clear" w:color="auto" w:fill="FFFFFF"/>
          <w:lang w:val="en-US"/>
        </w:rPr>
        <w:t>)</w:t>
      </w:r>
      <w:r w:rsidR="00616583">
        <w:rPr>
          <w:shd w:val="clear" w:color="auto" w:fill="FFFFFF"/>
          <w:lang w:val="en-US"/>
        </w:rPr>
        <w:t>.</w:t>
      </w:r>
    </w:p>
    <w:p w:rsidR="00896EB9" w:rsidRPr="00896EB9" w:rsidRDefault="00896EB9" w:rsidP="001C5029">
      <w:pPr>
        <w:pStyle w:val="tytuwykresu"/>
        <w:ind w:left="851" w:hanging="851"/>
        <w:rPr>
          <w:szCs w:val="19"/>
          <w:shd w:val="clear" w:color="auto" w:fill="FFFFFF"/>
          <w:lang w:val="en-GB"/>
        </w:rPr>
      </w:pPr>
      <w:r>
        <w:rPr>
          <w:sz w:val="19"/>
          <w:szCs w:val="19"/>
          <w:shd w:val="clear" w:color="auto" w:fill="FFFFFF"/>
          <w:lang w:val="en-GB"/>
        </w:rPr>
        <w:t>Table 2</w:t>
      </w:r>
      <w:r w:rsidRPr="00896EB9">
        <w:rPr>
          <w:sz w:val="19"/>
          <w:szCs w:val="19"/>
          <w:shd w:val="clear" w:color="auto" w:fill="FFFFFF"/>
          <w:lang w:val="en-GB"/>
        </w:rPr>
        <w:t xml:space="preserve">. </w:t>
      </w:r>
      <w:r w:rsidRPr="00896E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896E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527B0C" w:rsidRPr="00754F6C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:rsidR="00527B0C" w:rsidRPr="00754F6C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527B0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:rsidR="00527B0C" w:rsidRPr="00754F6C" w:rsidRDefault="00527B0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94201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527B0C" w:rsidRPr="00754F6C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527B0C" w:rsidRPr="00754F6C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527B0C" w:rsidRPr="00754F6C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527B0C" w:rsidRPr="00754F6C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I-II</w:t>
            </w:r>
          </w:p>
        </w:tc>
      </w:tr>
      <w:tr w:rsidR="00527B0C" w:rsidRPr="00754F6C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527B0C" w:rsidRPr="00754F6C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527B0C" w:rsidRPr="00754F6C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27B0C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527B0C" w:rsidRPr="00754F6C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527B0C" w:rsidRPr="00754F6C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527B0C" w:rsidRPr="00754F6C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27B0C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527B0C" w:rsidRPr="00754F6C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I-II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</w:tr>
      <w:tr w:rsidR="00527B0C" w:rsidRPr="00754F6C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527B0C" w:rsidRPr="00754F6C" w:rsidRDefault="00527B0C" w:rsidP="00F95941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527B0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27B0C" w:rsidRPr="00754F6C" w:rsidRDefault="00527B0C" w:rsidP="00F9594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18 920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27B0C" w:rsidRPr="00754F6C" w:rsidRDefault="00527B0C" w:rsidP="00F9594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112.</w:t>
            </w: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27B0C" w:rsidRPr="00754F6C" w:rsidRDefault="00527B0C" w:rsidP="00F9594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103.</w:t>
            </w: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27B0C" w:rsidRPr="00754F6C" w:rsidRDefault="00527B0C" w:rsidP="00F9594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37 290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527B0C" w:rsidRPr="00754F6C" w:rsidRDefault="00527B0C" w:rsidP="00F9594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99.</w:t>
            </w: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527B0C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527B0C" w:rsidRPr="00A569FC" w:rsidRDefault="00527B0C" w:rsidP="00527B0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527B0C" w:rsidRPr="00754F6C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7 028</w:t>
            </w:r>
          </w:p>
        </w:tc>
        <w:tc>
          <w:tcPr>
            <w:tcW w:w="1206" w:type="dxa"/>
            <w:vAlign w:val="center"/>
          </w:tcPr>
          <w:p w:rsidR="00527B0C" w:rsidRPr="00754F6C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527B0C" w:rsidRPr="00754F6C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527B0C" w:rsidRPr="00754F6C" w:rsidRDefault="00527B0C" w:rsidP="00527B0C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13 841</w:t>
            </w:r>
          </w:p>
        </w:tc>
        <w:tc>
          <w:tcPr>
            <w:tcW w:w="1207" w:type="dxa"/>
            <w:vAlign w:val="center"/>
          </w:tcPr>
          <w:p w:rsidR="00527B0C" w:rsidRPr="00754F6C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527B0C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527B0C" w:rsidRPr="00A569FC" w:rsidRDefault="00527B0C" w:rsidP="00527B0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527B0C" w:rsidRPr="00754F6C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11 855</w:t>
            </w:r>
          </w:p>
        </w:tc>
        <w:tc>
          <w:tcPr>
            <w:tcW w:w="1206" w:type="dxa"/>
            <w:vAlign w:val="center"/>
          </w:tcPr>
          <w:p w:rsidR="00527B0C" w:rsidRPr="00754F6C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527B0C" w:rsidRPr="00754F6C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:rsidR="00527B0C" w:rsidRPr="00754F6C" w:rsidRDefault="00527B0C" w:rsidP="00527B0C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23 305</w:t>
            </w:r>
          </w:p>
        </w:tc>
        <w:tc>
          <w:tcPr>
            <w:tcW w:w="1207" w:type="dxa"/>
            <w:vAlign w:val="center"/>
          </w:tcPr>
          <w:p w:rsidR="00527B0C" w:rsidRPr="00754F6C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527B0C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527B0C" w:rsidRPr="00A569FC" w:rsidRDefault="00527B0C" w:rsidP="00527B0C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527B0C" w:rsidRPr="00754F6C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206" w:type="dxa"/>
            <w:vAlign w:val="center"/>
          </w:tcPr>
          <w:p w:rsidR="00527B0C" w:rsidRPr="00754F6C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527B0C" w:rsidRPr="00754F6C" w:rsidRDefault="00527B0C" w:rsidP="00527B0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575.</w:t>
            </w:r>
            <w:r w:rsidRPr="00754F6C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527B0C" w:rsidRPr="00754F6C" w:rsidRDefault="00527B0C" w:rsidP="00527B0C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207" w:type="dxa"/>
            <w:vAlign w:val="center"/>
          </w:tcPr>
          <w:p w:rsidR="00527B0C" w:rsidRPr="00754F6C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527B0C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527B0C" w:rsidRPr="00964B1A" w:rsidRDefault="00527B0C" w:rsidP="00527B0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="00527B0C" w:rsidRPr="00754F6C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06" w:type="dxa"/>
            <w:vAlign w:val="center"/>
          </w:tcPr>
          <w:p w:rsidR="00527B0C" w:rsidRPr="00754F6C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107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527B0C" w:rsidRPr="00754F6C" w:rsidRDefault="00527B0C" w:rsidP="00527B0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</w:t>
            </w:r>
            <w:r w:rsidRPr="00754F6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527B0C" w:rsidRPr="00754F6C" w:rsidRDefault="00527B0C" w:rsidP="00527B0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1207" w:type="dxa"/>
            <w:vAlign w:val="center"/>
          </w:tcPr>
          <w:p w:rsidR="00527B0C" w:rsidRPr="00754F6C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27B0C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527B0C" w:rsidRPr="00C57EF3" w:rsidRDefault="00527B0C" w:rsidP="00527B0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527B0C" w:rsidRPr="00754F6C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527B0C" w:rsidRPr="00194201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9420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:rsidR="00527B0C" w:rsidRPr="00194201" w:rsidRDefault="00527B0C" w:rsidP="00527B0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94201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:rsidR="00527B0C" w:rsidRPr="00194201" w:rsidRDefault="00527B0C" w:rsidP="00527B0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19420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7" w:type="dxa"/>
            <w:vAlign w:val="center"/>
          </w:tcPr>
          <w:p w:rsidR="00527B0C" w:rsidRPr="00194201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9420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527B0C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527B0C" w:rsidRPr="008C0EBD" w:rsidRDefault="00527B0C" w:rsidP="00527B0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527B0C" w:rsidRPr="00754F6C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527B0C" w:rsidRPr="00194201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9420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:rsidR="00527B0C" w:rsidRPr="00194201" w:rsidRDefault="00527B0C" w:rsidP="00527B0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94201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:rsidR="00527B0C" w:rsidRPr="00194201" w:rsidRDefault="00527B0C" w:rsidP="00527B0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19420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7" w:type="dxa"/>
            <w:vAlign w:val="center"/>
          </w:tcPr>
          <w:p w:rsidR="00527B0C" w:rsidRPr="00194201" w:rsidRDefault="00527B0C" w:rsidP="00527B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9420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896E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="00896EB9" w:rsidRPr="00E55DC7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</w:p>
    <w:p w:rsidR="00896EB9" w:rsidRPr="00E55DC7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>Dwellings in which construction has begun</w:t>
      </w:r>
    </w:p>
    <w:p w:rsidR="00095A18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527B0C">
        <w:rPr>
          <w:b w:val="0"/>
          <w:sz w:val="19"/>
          <w:szCs w:val="19"/>
          <w:shd w:val="clear" w:color="auto" w:fill="FFFFFF"/>
          <w:lang w:val="en-GB"/>
        </w:rPr>
        <w:t>the period of January-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F</w:t>
      </w:r>
      <w:r w:rsidR="00527B0C">
        <w:rPr>
          <w:b w:val="0"/>
          <w:sz w:val="19"/>
          <w:szCs w:val="19"/>
          <w:shd w:val="clear" w:color="auto" w:fill="FFFFFF"/>
          <w:lang w:val="en-GB"/>
        </w:rPr>
        <w:t>ebruary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 xml:space="preserve"> 2020</w:t>
      </w:r>
      <w:r w:rsidR="00BD1D77" w:rsidRPr="00BD1D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D1D77">
        <w:rPr>
          <w:b w:val="0"/>
          <w:sz w:val="19"/>
          <w:szCs w:val="19"/>
          <w:shd w:val="clear" w:color="auto" w:fill="FFFFFF"/>
          <w:lang w:val="en-GB"/>
        </w:rPr>
        <w:t>t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33.8</w:t>
      </w:r>
      <w:r w:rsidR="00A3375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>thous.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12.1</w:t>
      </w:r>
      <w:r w:rsidR="00856FE3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B1FCD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612A93">
        <w:rPr>
          <w:lang w:val="en-GB"/>
        </w:rPr>
        <w:t xml:space="preserve">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2019</w:t>
      </w:r>
      <w:r w:rsidR="00B2646D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B2646D">
        <w:rPr>
          <w:sz w:val="19"/>
          <w:szCs w:val="19"/>
          <w:shd w:val="clear" w:color="auto" w:fill="FFFFFF"/>
          <w:lang w:val="en-GB"/>
        </w:rPr>
        <w:t>D</w:t>
      </w:r>
      <w:r w:rsidR="00095A18" w:rsidRPr="00B2646D">
        <w:rPr>
          <w:sz w:val="19"/>
          <w:szCs w:val="19"/>
          <w:shd w:val="clear" w:color="auto" w:fill="FFFFFF"/>
          <w:lang w:val="en-GB"/>
        </w:rPr>
        <w:t>evelopers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ha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>ve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started construction of 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2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0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6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thous.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dwellings,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EF69B8">
        <w:rPr>
          <w:b w:val="0"/>
          <w:sz w:val="19"/>
          <w:szCs w:val="19"/>
          <w:shd w:val="clear" w:color="auto" w:fill="FFFFFF"/>
          <w:lang w:val="en-GB"/>
        </w:rPr>
        <w:t>investors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12</w:t>
      </w:r>
      <w:r w:rsidR="00C57EF3">
        <w:rPr>
          <w:b w:val="0"/>
          <w:sz w:val="19"/>
          <w:szCs w:val="19"/>
          <w:shd w:val="clear" w:color="auto" w:fill="FFFFFF"/>
          <w:lang w:val="en-GB"/>
        </w:rPr>
        <w:t>.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3</w:t>
      </w:r>
      <w:r w:rsidR="00885F42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>thous.</w:t>
      </w:r>
      <w:r w:rsidR="0071658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dwellings,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i.e. altogether 97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.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5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of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. B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oth for construction for sale or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rent and private construction in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was not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 xml:space="preserve">ed by respectively 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2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4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 xml:space="preserve">% and 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31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5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y/y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 xml:space="preserve">also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95E14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D536C0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471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292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)</w:t>
      </w:r>
      <w:r w:rsidR="007E1643">
        <w:rPr>
          <w:b w:val="0"/>
          <w:sz w:val="19"/>
          <w:szCs w:val="19"/>
          <w:shd w:val="clear" w:color="auto" w:fill="FFFFFF"/>
          <w:lang w:val="en-GB"/>
        </w:rPr>
        <w:t>,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 xml:space="preserve">as well as 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>
        <w:rPr>
          <w:b w:val="0"/>
          <w:sz w:val="19"/>
          <w:szCs w:val="19"/>
          <w:shd w:val="clear" w:color="auto" w:fill="FFFFFF"/>
          <w:lang w:val="en-GB"/>
        </w:rPr>
        <w:t>(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385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356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).</w:t>
      </w:r>
    </w:p>
    <w:p w:rsidR="00B4601E" w:rsidRPr="00B4601E" w:rsidRDefault="00B4601E" w:rsidP="00CF36C5">
      <w:pPr>
        <w:pStyle w:val="tytuwykresu"/>
        <w:rPr>
          <w:szCs w:val="19"/>
          <w:shd w:val="clear" w:color="auto" w:fill="FFFFFF"/>
          <w:lang w:val="en-GB"/>
        </w:rPr>
      </w:pPr>
      <w:r w:rsidRPr="00B4601E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0013A9" w:rsidRPr="00754F6C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:rsidR="000013A9" w:rsidRPr="00754F6C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0013A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:rsidR="000013A9" w:rsidRPr="00754F6C" w:rsidRDefault="000013A9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0013A9" w:rsidRPr="00754F6C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0013A9" w:rsidRPr="00754F6C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0013A9" w:rsidRPr="00754F6C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0013A9" w:rsidRPr="00754F6C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I-II</w:t>
            </w:r>
          </w:p>
        </w:tc>
      </w:tr>
      <w:tr w:rsidR="000013A9" w:rsidRPr="00754F6C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0013A9" w:rsidRPr="00754F6C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0013A9" w:rsidRPr="00754F6C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013A9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0013A9" w:rsidRPr="00754F6C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0013A9" w:rsidRPr="00754F6C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0013A9" w:rsidRPr="00754F6C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013A9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0013A9" w:rsidRPr="00754F6C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I-II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</w:tr>
      <w:tr w:rsidR="000013A9" w:rsidRPr="00754F6C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0013A9" w:rsidRPr="00FA5128" w:rsidRDefault="000013A9" w:rsidP="000013A9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013A9" w:rsidRPr="00754F6C" w:rsidRDefault="000013A9" w:rsidP="000013A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17 875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013A9" w:rsidRPr="00754F6C" w:rsidRDefault="000013A9" w:rsidP="000013A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107.</w:t>
            </w: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013A9" w:rsidRPr="00754F6C" w:rsidRDefault="000013A9" w:rsidP="000013A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112.</w:t>
            </w: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0013A9" w:rsidRPr="00754F6C" w:rsidRDefault="000013A9" w:rsidP="000013A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33 766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0013A9" w:rsidRPr="00754F6C" w:rsidRDefault="000013A9" w:rsidP="000013A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112.</w:t>
            </w: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0013A9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013A9" w:rsidRPr="00A569FC" w:rsidRDefault="000013A9" w:rsidP="000013A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6 845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126.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12 265</w:t>
            </w:r>
          </w:p>
        </w:tc>
        <w:tc>
          <w:tcPr>
            <w:tcW w:w="1207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131.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0013A9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013A9" w:rsidRPr="00A569FC" w:rsidRDefault="000013A9" w:rsidP="000013A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10 616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20 645</w:t>
            </w:r>
          </w:p>
        </w:tc>
        <w:tc>
          <w:tcPr>
            <w:tcW w:w="1207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013A9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013A9" w:rsidRPr="00C94AC8" w:rsidRDefault="000013A9" w:rsidP="000013A9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207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197.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0013A9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013A9" w:rsidRPr="00A569FC" w:rsidRDefault="000013A9" w:rsidP="000013A9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314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430.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200.</w:t>
            </w:r>
            <w:r w:rsidRPr="00754F6C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471</w:t>
            </w:r>
          </w:p>
        </w:tc>
        <w:tc>
          <w:tcPr>
            <w:tcW w:w="1207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161.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0013A9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013A9" w:rsidRPr="00964B1A" w:rsidRDefault="000013A9" w:rsidP="000013A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59.</w:t>
            </w:r>
            <w:r w:rsidRPr="00754F6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207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0013A9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013A9" w:rsidRPr="00C57EF3" w:rsidRDefault="000013A9" w:rsidP="000013A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</w:t>
            </w:r>
            <w:r w:rsidRPr="00754F6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256</w:t>
            </w:r>
          </w:p>
        </w:tc>
        <w:tc>
          <w:tcPr>
            <w:tcW w:w="1207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</w:t>
            </w: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0013A9" w:rsidRPr="00754F6C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0013A9" w:rsidRPr="008C0EBD" w:rsidRDefault="000013A9" w:rsidP="000013A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0013A9" w:rsidRPr="00754F6C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06" w:type="dxa"/>
            <w:vAlign w:val="center"/>
          </w:tcPr>
          <w:p w:rsidR="000013A9" w:rsidRPr="00194201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9420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:rsidR="000013A9" w:rsidRPr="00194201" w:rsidRDefault="000013A9" w:rsidP="000013A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285.</w:t>
            </w:r>
            <w:r w:rsidRPr="00194201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0013A9" w:rsidRPr="00194201" w:rsidRDefault="000013A9" w:rsidP="000013A9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194201"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207" w:type="dxa"/>
            <w:vAlign w:val="center"/>
          </w:tcPr>
          <w:p w:rsidR="000013A9" w:rsidRPr="00194201" w:rsidRDefault="000013A9" w:rsidP="000013A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9420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9609A1" w:rsidRPr="00612A93" w:rsidRDefault="009609A1" w:rsidP="00467EFF">
      <w:pPr>
        <w:rPr>
          <w:shd w:val="clear" w:color="auto" w:fill="FFFFFF"/>
          <w:lang w:val="en-GB"/>
        </w:rPr>
      </w:pPr>
    </w:p>
    <w:p w:rsidR="00154AC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in the end of 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February</w:t>
      </w:r>
      <w:r w:rsidR="00B4601E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F3F3D">
        <w:rPr>
          <w:b w:val="0"/>
          <w:sz w:val="19"/>
          <w:szCs w:val="19"/>
          <w:shd w:val="clear" w:color="auto" w:fill="FFFFFF"/>
          <w:lang w:val="en-GB"/>
        </w:rPr>
        <w:t>2020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 xml:space="preserve"> there were 825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>8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thous. dwellings under construction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B4601E">
        <w:rPr>
          <w:b w:val="0"/>
          <w:sz w:val="19"/>
          <w:szCs w:val="19"/>
          <w:shd w:val="clear" w:color="auto" w:fill="FFFFFF"/>
          <w:lang w:val="en-GB"/>
        </w:rPr>
        <w:t>4.1</w:t>
      </w:r>
      <w:r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612A93">
        <w:rPr>
          <w:lang w:val="en-GB"/>
        </w:rPr>
        <w:t xml:space="preserve">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0013A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0013A9" w:rsidRPr="000013A9">
        <w:rPr>
          <w:b w:val="0"/>
          <w:sz w:val="19"/>
          <w:szCs w:val="19"/>
          <w:shd w:val="clear" w:color="auto" w:fill="FFFFFF"/>
          <w:lang w:val="en-GB"/>
        </w:rPr>
        <w:t>the corresponding period of 2019</w:t>
      </w:r>
      <w:r w:rsidR="00AA22EE"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="005D23AA" w:rsidRDefault="005D23AA" w:rsidP="007207E6">
      <w:pPr>
        <w:pStyle w:val="tytuwykresu"/>
        <w:rPr>
          <w:lang w:val="en-GB"/>
        </w:rPr>
      </w:pPr>
    </w:p>
    <w:p w:rsidR="007207E6" w:rsidRDefault="00AD1492" w:rsidP="007207E6">
      <w:pPr>
        <w:pStyle w:val="tytuwykresu"/>
        <w:rPr>
          <w:lang w:val="en-US"/>
        </w:rPr>
      </w:pPr>
      <w:r>
        <w:rPr>
          <w:lang w:val="en-US"/>
        </w:rPr>
        <w:t>C</w:t>
      </w:r>
      <w:r w:rsidRPr="005F5714">
        <w:rPr>
          <w:lang w:val="en-US"/>
        </w:rPr>
        <w:t xml:space="preserve">hart 1. Construction activity in the scope of </w:t>
      </w:r>
      <w:r w:rsidR="00256AD9">
        <w:rPr>
          <w:lang w:val="en-US"/>
        </w:rPr>
        <w:t>residential construction</w:t>
      </w:r>
      <w:r w:rsidR="005D23AA">
        <w:rPr>
          <w:lang w:val="en-US"/>
        </w:rPr>
        <w:t xml:space="preserve"> in Poland</w:t>
      </w:r>
    </w:p>
    <w:p w:rsidR="00632DF8" w:rsidRPr="00612A93" w:rsidRDefault="00F95941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84048</wp:posOffset>
            </wp:positionV>
            <wp:extent cx="5122545" cy="2794959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  <w:r w:rsidR="0051287F" w:rsidRPr="001D7244">
        <w:rPr>
          <w:noProof/>
          <w:lang w:val="en-GB" w:eastAsia="pl-PL"/>
        </w:rPr>
        <w:t xml:space="preserve"> </w:t>
      </w:r>
    </w:p>
    <w:p w:rsidR="007207E6" w:rsidRPr="00612A93" w:rsidRDefault="00AA22EE" w:rsidP="00673BE0">
      <w:pPr>
        <w:pStyle w:val="Nagwek1"/>
        <w:rPr>
          <w:color w:val="auto"/>
          <w:sz w:val="18"/>
          <w:szCs w:val="18"/>
          <w:lang w:val="en-GB"/>
        </w:rPr>
      </w:pPr>
      <w:r w:rsidRPr="00C733A3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663AF7C" wp14:editId="49500C00">
                <wp:simplePos x="0" y="0"/>
                <wp:positionH relativeFrom="page">
                  <wp:posOffset>5746115</wp:posOffset>
                </wp:positionH>
                <wp:positionV relativeFrom="paragraph">
                  <wp:posOffset>82550</wp:posOffset>
                </wp:positionV>
                <wp:extent cx="1760855" cy="214503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214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41" w:rsidRPr="00AC3185" w:rsidRDefault="00F95941" w:rsidP="00AC3185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February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2020, compared to 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January </w:t>
                            </w:r>
                            <w:r w:rsid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decreased (by 7.8%)</w:t>
                            </w:r>
                            <w:r w:rsid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P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whereas</w:t>
                            </w:r>
                            <w:r w:rsidR="00C77D1B"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number of dwellings i</w:t>
                            </w:r>
                            <w:r w:rsid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n which </w:t>
                            </w:r>
                            <w:r w:rsidR="00C77D1B"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construction has begun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C77D1B"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as well as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for which permits have been granted or which have been registered with a construction project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increased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respectively 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C77D1B"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12.5%</w:t>
                            </w:r>
                            <w:r w:rsid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3.0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AF7C" id="_x0000_s1032" type="#_x0000_t202" style="position:absolute;margin-left:452.45pt;margin-top:6.5pt;width:138.65pt;height:168.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" filled="f" stroked="f">
                <v:textbox>
                  <w:txbxContent>
                    <w:p w:rsidR="00F95941" w:rsidRPr="00AC3185" w:rsidRDefault="00F95941" w:rsidP="00AC3185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February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2020, compared to 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January </w:t>
                      </w:r>
                      <w:r w:rsid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decreased (by 7.8%)</w:t>
                      </w:r>
                      <w:r w:rsid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P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whereas</w:t>
                      </w:r>
                      <w:r w:rsidR="00C77D1B"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number of dwellings i</w:t>
                      </w:r>
                      <w:r w:rsid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n which </w:t>
                      </w:r>
                      <w:r w:rsidR="00C77D1B"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construction has begun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C77D1B"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as well as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for which permits have been granted or which have been registered with a construction project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increased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respectively 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C77D1B"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12.5%</w:t>
                      </w:r>
                      <w:r w:rsid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3.0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FA54FD" w:rsidRDefault="00FA54FD" w:rsidP="00CB6084">
      <w:pPr>
        <w:rPr>
          <w:szCs w:val="19"/>
          <w:shd w:val="clear" w:color="auto" w:fill="FFFFFF"/>
          <w:lang w:val="en-GB"/>
        </w:rPr>
      </w:pPr>
    </w:p>
    <w:p w:rsidR="00CB6084" w:rsidRPr="00CB6084" w:rsidRDefault="00980EA5" w:rsidP="00CB6084">
      <w:pPr>
        <w:rPr>
          <w:szCs w:val="19"/>
          <w:shd w:val="clear" w:color="auto" w:fill="FFFFFF"/>
          <w:lang w:val="en-GB"/>
        </w:rPr>
      </w:pPr>
      <w:r w:rsidRPr="00CB6084">
        <w:rPr>
          <w:szCs w:val="19"/>
          <w:shd w:val="clear" w:color="auto" w:fill="FFFFFF"/>
          <w:lang w:val="en-GB"/>
        </w:rPr>
        <w:t xml:space="preserve">The biggest number </w:t>
      </w:r>
      <w:r w:rsidR="00CB6084" w:rsidRPr="00CB6084">
        <w:rPr>
          <w:szCs w:val="19"/>
          <w:shd w:val="clear" w:color="auto" w:fill="FFFFFF"/>
          <w:lang w:val="en-GB"/>
        </w:rPr>
        <w:t xml:space="preserve">of </w:t>
      </w:r>
      <w:r w:rsidR="00CB6084">
        <w:rPr>
          <w:szCs w:val="19"/>
          <w:shd w:val="clear" w:color="auto" w:fill="FFFFFF"/>
          <w:lang w:val="en-GB"/>
        </w:rPr>
        <w:t>d</w:t>
      </w:r>
      <w:r w:rsidR="00CB6084" w:rsidRPr="00CB6084">
        <w:rPr>
          <w:szCs w:val="19"/>
          <w:shd w:val="clear" w:color="auto" w:fill="FFFFFF"/>
          <w:lang w:val="en-GB"/>
        </w:rPr>
        <w:t xml:space="preserve">wellings for which permits have been granted or which have been registered with </w:t>
      </w:r>
      <w:r w:rsidR="00CB6084">
        <w:rPr>
          <w:szCs w:val="19"/>
          <w:shd w:val="clear" w:color="auto" w:fill="FFFFFF"/>
          <w:lang w:val="en-GB"/>
        </w:rPr>
        <w:t xml:space="preserve">a construction project and </w:t>
      </w:r>
      <w:r w:rsidR="00CB6084" w:rsidRPr="00CB6084">
        <w:rPr>
          <w:szCs w:val="19"/>
          <w:shd w:val="clear" w:color="auto" w:fill="FFFFFF"/>
          <w:lang w:val="en-GB"/>
        </w:rPr>
        <w:t>in which construction has begun</w:t>
      </w:r>
      <w:r w:rsidR="00CB6084">
        <w:rPr>
          <w:szCs w:val="19"/>
          <w:shd w:val="clear" w:color="auto" w:fill="FFFFFF"/>
          <w:lang w:val="en-GB"/>
        </w:rPr>
        <w:t xml:space="preserve"> in </w:t>
      </w:r>
      <w:r w:rsidR="00F75655">
        <w:rPr>
          <w:szCs w:val="19"/>
          <w:shd w:val="clear" w:color="auto" w:fill="FFFFFF"/>
          <w:lang w:val="en-GB"/>
        </w:rPr>
        <w:t xml:space="preserve">the period of </w:t>
      </w:r>
      <w:r w:rsidR="00B4601E">
        <w:rPr>
          <w:szCs w:val="19"/>
          <w:shd w:val="clear" w:color="auto" w:fill="FFFFFF"/>
          <w:lang w:val="en-GB"/>
        </w:rPr>
        <w:t>January</w:t>
      </w:r>
      <w:r w:rsidR="00F75655">
        <w:rPr>
          <w:szCs w:val="19"/>
          <w:shd w:val="clear" w:color="auto" w:fill="FFFFFF"/>
          <w:lang w:val="en-GB"/>
        </w:rPr>
        <w:t>-February</w:t>
      </w:r>
      <w:r w:rsidR="00A84818">
        <w:rPr>
          <w:szCs w:val="19"/>
          <w:shd w:val="clear" w:color="auto" w:fill="FFFFFF"/>
          <w:lang w:val="en-GB"/>
        </w:rPr>
        <w:t xml:space="preserve"> </w:t>
      </w:r>
      <w:r w:rsidR="00B4601E">
        <w:rPr>
          <w:szCs w:val="19"/>
          <w:shd w:val="clear" w:color="auto" w:fill="FFFFFF"/>
          <w:lang w:val="en-GB"/>
        </w:rPr>
        <w:t>2020</w:t>
      </w:r>
      <w:r w:rsidR="00CB6084">
        <w:rPr>
          <w:szCs w:val="19"/>
          <w:shd w:val="clear" w:color="auto" w:fill="FFFFFF"/>
          <w:lang w:val="en-GB"/>
        </w:rPr>
        <w:t xml:space="preserve"> was recorded </w:t>
      </w:r>
      <w:r w:rsidR="003A358E">
        <w:rPr>
          <w:szCs w:val="19"/>
          <w:shd w:val="clear" w:color="auto" w:fill="FFFFFF"/>
          <w:lang w:val="en-GB"/>
        </w:rPr>
        <w:t xml:space="preserve">in </w:t>
      </w:r>
      <w:proofErr w:type="spellStart"/>
      <w:r w:rsidR="003A358E">
        <w:rPr>
          <w:szCs w:val="19"/>
          <w:shd w:val="clear" w:color="auto" w:fill="FFFFFF"/>
          <w:lang w:val="en-GB"/>
        </w:rPr>
        <w:t>M</w:t>
      </w:r>
      <w:r w:rsidR="00CB6084">
        <w:rPr>
          <w:szCs w:val="19"/>
          <w:shd w:val="clear" w:color="auto" w:fill="FFFFFF"/>
          <w:lang w:val="en-GB"/>
        </w:rPr>
        <w:t>azowieckie</w:t>
      </w:r>
      <w:proofErr w:type="spellEnd"/>
      <w:r w:rsidR="006D5A05">
        <w:rPr>
          <w:szCs w:val="19"/>
          <w:shd w:val="clear" w:color="auto" w:fill="FFFFFF"/>
          <w:lang w:val="en-GB"/>
        </w:rPr>
        <w:t xml:space="preserve"> voivodship (</w:t>
      </w:r>
      <w:r w:rsidR="00F81CDA">
        <w:rPr>
          <w:szCs w:val="19"/>
          <w:shd w:val="clear" w:color="auto" w:fill="FFFFFF"/>
          <w:lang w:val="en-GB"/>
        </w:rPr>
        <w:t>respec</w:t>
      </w:r>
      <w:r w:rsidR="007F4BEF">
        <w:rPr>
          <w:szCs w:val="19"/>
          <w:shd w:val="clear" w:color="auto" w:fill="FFFFFF"/>
          <w:lang w:val="en-GB"/>
        </w:rPr>
        <w:t>t</w:t>
      </w:r>
      <w:r w:rsidR="00F81CDA">
        <w:rPr>
          <w:szCs w:val="19"/>
          <w:shd w:val="clear" w:color="auto" w:fill="FFFFFF"/>
          <w:lang w:val="en-GB"/>
        </w:rPr>
        <w:t>iv</w:t>
      </w:r>
      <w:r w:rsidR="007F4BEF">
        <w:rPr>
          <w:szCs w:val="19"/>
          <w:shd w:val="clear" w:color="auto" w:fill="FFFFFF"/>
          <w:lang w:val="en-GB"/>
        </w:rPr>
        <w:t xml:space="preserve">ely </w:t>
      </w:r>
      <w:r w:rsidR="00F95941">
        <w:rPr>
          <w:szCs w:val="19"/>
          <w:shd w:val="clear" w:color="auto" w:fill="FFFFFF"/>
          <w:lang w:val="en-GB"/>
        </w:rPr>
        <w:t>7</w:t>
      </w:r>
      <w:r w:rsidR="007F4BEF">
        <w:rPr>
          <w:szCs w:val="19"/>
          <w:shd w:val="clear" w:color="auto" w:fill="FFFFFF"/>
          <w:lang w:val="en-GB"/>
        </w:rPr>
        <w:t>.</w:t>
      </w:r>
      <w:r w:rsidR="00F95941">
        <w:rPr>
          <w:szCs w:val="19"/>
          <w:shd w:val="clear" w:color="auto" w:fill="FFFFFF"/>
          <w:lang w:val="en-GB"/>
        </w:rPr>
        <w:t>2</w:t>
      </w:r>
      <w:r w:rsidR="00E873C8">
        <w:rPr>
          <w:szCs w:val="19"/>
          <w:shd w:val="clear" w:color="auto" w:fill="FFFFFF"/>
          <w:lang w:val="en-GB"/>
        </w:rPr>
        <w:t xml:space="preserve"> thous.</w:t>
      </w:r>
      <w:r w:rsidR="00A84818">
        <w:rPr>
          <w:szCs w:val="19"/>
          <w:shd w:val="clear" w:color="auto" w:fill="FFFFFF"/>
          <w:lang w:val="en-GB"/>
        </w:rPr>
        <w:t xml:space="preserve"> and </w:t>
      </w:r>
      <w:r w:rsidR="00F95941">
        <w:rPr>
          <w:szCs w:val="19"/>
          <w:shd w:val="clear" w:color="auto" w:fill="FFFFFF"/>
          <w:lang w:val="en-GB"/>
        </w:rPr>
        <w:t>7</w:t>
      </w:r>
      <w:r w:rsidR="007F4BEF">
        <w:rPr>
          <w:szCs w:val="19"/>
          <w:shd w:val="clear" w:color="auto" w:fill="FFFFFF"/>
          <w:lang w:val="en-GB"/>
        </w:rPr>
        <w:t>.</w:t>
      </w:r>
      <w:r w:rsidR="00F95941">
        <w:rPr>
          <w:szCs w:val="19"/>
          <w:shd w:val="clear" w:color="auto" w:fill="FFFFFF"/>
          <w:lang w:val="en-GB"/>
        </w:rPr>
        <w:t>5</w:t>
      </w:r>
      <w:r w:rsidR="00A84818" w:rsidRPr="00A84818">
        <w:rPr>
          <w:szCs w:val="19"/>
          <w:shd w:val="clear" w:color="auto" w:fill="FFFFFF"/>
          <w:lang w:val="en-GB"/>
        </w:rPr>
        <w:t xml:space="preserve"> thous.</w:t>
      </w:r>
      <w:r w:rsidR="00E873C8">
        <w:rPr>
          <w:szCs w:val="19"/>
          <w:shd w:val="clear" w:color="auto" w:fill="FFFFFF"/>
          <w:lang w:val="en-GB"/>
        </w:rPr>
        <w:t>)</w:t>
      </w:r>
      <w:r w:rsidR="000401D6">
        <w:rPr>
          <w:szCs w:val="19"/>
          <w:shd w:val="clear" w:color="auto" w:fill="FFFFFF"/>
          <w:lang w:val="en-GB"/>
        </w:rPr>
        <w:t xml:space="preserve"> and </w:t>
      </w:r>
      <w:proofErr w:type="spellStart"/>
      <w:r w:rsidR="00244842">
        <w:rPr>
          <w:szCs w:val="19"/>
          <w:shd w:val="clear" w:color="auto" w:fill="FFFFFF"/>
          <w:lang w:val="en-GB"/>
        </w:rPr>
        <w:t>Wielkopolskie</w:t>
      </w:r>
      <w:proofErr w:type="spellEnd"/>
      <w:r w:rsidR="00244842">
        <w:rPr>
          <w:szCs w:val="19"/>
          <w:shd w:val="clear" w:color="auto" w:fill="FFFFFF"/>
          <w:lang w:val="en-GB"/>
        </w:rPr>
        <w:t xml:space="preserve"> </w:t>
      </w:r>
      <w:r w:rsidR="00244842" w:rsidRPr="00244842">
        <w:rPr>
          <w:szCs w:val="19"/>
          <w:shd w:val="clear" w:color="auto" w:fill="FFFFFF"/>
          <w:lang w:val="en-GB"/>
        </w:rPr>
        <w:t>voivodship</w:t>
      </w:r>
      <w:r w:rsidR="00244842">
        <w:rPr>
          <w:szCs w:val="19"/>
          <w:shd w:val="clear" w:color="auto" w:fill="FFFFFF"/>
          <w:lang w:val="en-GB"/>
        </w:rPr>
        <w:t xml:space="preserve"> </w:t>
      </w:r>
      <w:r w:rsidR="00244842" w:rsidRPr="00244842">
        <w:rPr>
          <w:szCs w:val="19"/>
          <w:shd w:val="clear" w:color="auto" w:fill="FFFFFF"/>
          <w:lang w:val="en-GB"/>
        </w:rPr>
        <w:t>(</w:t>
      </w:r>
      <w:r w:rsidR="00F95941">
        <w:rPr>
          <w:szCs w:val="19"/>
          <w:shd w:val="clear" w:color="auto" w:fill="FFFFFF"/>
          <w:lang w:val="en-GB"/>
        </w:rPr>
        <w:t>4.1 thous. and 4.4</w:t>
      </w:r>
      <w:r w:rsidR="00244842">
        <w:rPr>
          <w:szCs w:val="19"/>
          <w:shd w:val="clear" w:color="auto" w:fill="FFFFFF"/>
          <w:lang w:val="en-GB"/>
        </w:rPr>
        <w:t xml:space="preserve"> thous</w:t>
      </w:r>
      <w:r w:rsidR="000401D6">
        <w:rPr>
          <w:szCs w:val="19"/>
          <w:shd w:val="clear" w:color="auto" w:fill="FFFFFF"/>
          <w:lang w:val="en-GB"/>
        </w:rPr>
        <w:t>.)</w:t>
      </w:r>
      <w:r w:rsidR="00CB6084">
        <w:rPr>
          <w:szCs w:val="19"/>
          <w:shd w:val="clear" w:color="auto" w:fill="FFFFFF"/>
          <w:lang w:val="en-GB"/>
        </w:rPr>
        <w:t xml:space="preserve">. </w:t>
      </w:r>
      <w:r w:rsidR="00CB6084" w:rsidRPr="00CB6084">
        <w:rPr>
          <w:szCs w:val="19"/>
          <w:shd w:val="clear" w:color="auto" w:fill="FFFFFF"/>
          <w:lang w:val="en-GB"/>
        </w:rPr>
        <w:t xml:space="preserve">Voivodships with the largest number of dwellings completed </w:t>
      </w:r>
      <w:r w:rsidR="002F2E8D">
        <w:rPr>
          <w:szCs w:val="19"/>
          <w:shd w:val="clear" w:color="auto" w:fill="FFFFFF"/>
          <w:lang w:val="en-GB"/>
        </w:rPr>
        <w:t>were</w:t>
      </w:r>
      <w:r w:rsidR="00F95941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F95941">
        <w:rPr>
          <w:szCs w:val="19"/>
          <w:shd w:val="clear" w:color="auto" w:fill="FFFFFF"/>
          <w:lang w:val="en-GB"/>
        </w:rPr>
        <w:t>Mazowieckie</w:t>
      </w:r>
      <w:proofErr w:type="spellEnd"/>
      <w:r w:rsidR="00F95941">
        <w:rPr>
          <w:szCs w:val="19"/>
          <w:shd w:val="clear" w:color="auto" w:fill="FFFFFF"/>
          <w:lang w:val="en-GB"/>
        </w:rPr>
        <w:t xml:space="preserve"> (6</w:t>
      </w:r>
      <w:r w:rsidR="007F4BEF">
        <w:rPr>
          <w:szCs w:val="19"/>
          <w:shd w:val="clear" w:color="auto" w:fill="FFFFFF"/>
          <w:lang w:val="en-GB"/>
        </w:rPr>
        <w:t>.</w:t>
      </w:r>
      <w:r w:rsidR="00F95941">
        <w:rPr>
          <w:szCs w:val="19"/>
          <w:shd w:val="clear" w:color="auto" w:fill="FFFFFF"/>
          <w:lang w:val="en-GB"/>
        </w:rPr>
        <w:t>1</w:t>
      </w:r>
      <w:r w:rsidR="009664CD">
        <w:rPr>
          <w:szCs w:val="19"/>
          <w:shd w:val="clear" w:color="auto" w:fill="FFFFFF"/>
          <w:lang w:val="en-GB"/>
        </w:rPr>
        <w:t xml:space="preserve"> thous. </w:t>
      </w:r>
      <w:r w:rsidR="00766AF6">
        <w:rPr>
          <w:szCs w:val="19"/>
          <w:shd w:val="clear" w:color="auto" w:fill="FFFFFF"/>
          <w:lang w:val="en-GB"/>
        </w:rPr>
        <w:t>d</w:t>
      </w:r>
      <w:r w:rsidR="009664CD">
        <w:rPr>
          <w:szCs w:val="19"/>
          <w:shd w:val="clear" w:color="auto" w:fill="FFFFFF"/>
          <w:lang w:val="en-GB"/>
        </w:rPr>
        <w:t>wellings</w:t>
      </w:r>
      <w:r w:rsidR="000401D6">
        <w:rPr>
          <w:szCs w:val="19"/>
          <w:shd w:val="clear" w:color="auto" w:fill="FFFFFF"/>
          <w:lang w:val="en-GB"/>
        </w:rPr>
        <w:t xml:space="preserve">) </w:t>
      </w:r>
      <w:r w:rsidR="009664CD">
        <w:rPr>
          <w:szCs w:val="19"/>
          <w:shd w:val="clear" w:color="auto" w:fill="FFFFFF"/>
          <w:lang w:val="en-GB"/>
        </w:rPr>
        <w:t xml:space="preserve">and </w:t>
      </w:r>
      <w:proofErr w:type="spellStart"/>
      <w:r w:rsidR="00F95941">
        <w:rPr>
          <w:szCs w:val="19"/>
          <w:shd w:val="clear" w:color="auto" w:fill="FFFFFF"/>
          <w:lang w:val="en-GB"/>
        </w:rPr>
        <w:t>Małopolskie</w:t>
      </w:r>
      <w:proofErr w:type="spellEnd"/>
      <w:r w:rsidR="009664CD">
        <w:rPr>
          <w:szCs w:val="19"/>
          <w:shd w:val="clear" w:color="auto" w:fill="FFFFFF"/>
          <w:lang w:val="en-GB"/>
        </w:rPr>
        <w:t xml:space="preserve"> </w:t>
      </w:r>
      <w:r w:rsidR="007F4BEF">
        <w:rPr>
          <w:szCs w:val="19"/>
          <w:shd w:val="clear" w:color="auto" w:fill="FFFFFF"/>
          <w:lang w:val="en-GB"/>
        </w:rPr>
        <w:t>(</w:t>
      </w:r>
      <w:r w:rsidR="00F95941">
        <w:rPr>
          <w:szCs w:val="19"/>
          <w:shd w:val="clear" w:color="auto" w:fill="FFFFFF"/>
          <w:lang w:val="en-GB"/>
        </w:rPr>
        <w:t>4</w:t>
      </w:r>
      <w:r w:rsidR="007F4BEF">
        <w:rPr>
          <w:szCs w:val="19"/>
          <w:shd w:val="clear" w:color="auto" w:fill="FFFFFF"/>
          <w:lang w:val="en-GB"/>
        </w:rPr>
        <w:t>.</w:t>
      </w:r>
      <w:r w:rsidR="00F95941">
        <w:rPr>
          <w:szCs w:val="19"/>
          <w:shd w:val="clear" w:color="auto" w:fill="FFFFFF"/>
          <w:lang w:val="en-GB"/>
        </w:rPr>
        <w:t>5</w:t>
      </w:r>
      <w:r w:rsidR="009664CD">
        <w:rPr>
          <w:szCs w:val="19"/>
          <w:shd w:val="clear" w:color="auto" w:fill="FFFFFF"/>
          <w:lang w:val="en-GB"/>
        </w:rPr>
        <w:t xml:space="preserve"> thous.</w:t>
      </w:r>
      <w:r w:rsidR="00CB6084" w:rsidRPr="00CB6084">
        <w:rPr>
          <w:szCs w:val="19"/>
          <w:shd w:val="clear" w:color="auto" w:fill="FFFFFF"/>
          <w:lang w:val="en-GB"/>
        </w:rPr>
        <w:t>).</w:t>
      </w:r>
    </w:p>
    <w:p w:rsidR="00C60835" w:rsidRDefault="001C1808" w:rsidP="009A61DB">
      <w:pPr>
        <w:pStyle w:val="Nagwek1"/>
        <w:rPr>
          <w:color w:val="auto"/>
          <w:sz w:val="18"/>
          <w:szCs w:val="18"/>
          <w:lang w:val="en-GB"/>
        </w:rPr>
      </w:pPr>
      <w:r>
        <w:rPr>
          <w:color w:val="auto"/>
          <w:sz w:val="18"/>
          <w:szCs w:val="18"/>
          <w:lang w:val="en-GB"/>
        </w:rPr>
        <w:t>Chart 2</w:t>
      </w:r>
      <w:r w:rsidRPr="001C1808">
        <w:rPr>
          <w:color w:val="auto"/>
          <w:sz w:val="18"/>
          <w:szCs w:val="18"/>
          <w:lang w:val="en-GB"/>
        </w:rPr>
        <w:t xml:space="preserve">. Construction activity in the scope of </w:t>
      </w:r>
      <w:r w:rsidR="00256AD9">
        <w:rPr>
          <w:color w:val="auto"/>
          <w:sz w:val="18"/>
          <w:szCs w:val="18"/>
          <w:lang w:val="en-GB"/>
        </w:rPr>
        <w:t>residential construction</w:t>
      </w:r>
      <w:r w:rsidRPr="001C1808">
        <w:rPr>
          <w:color w:val="auto"/>
          <w:sz w:val="18"/>
          <w:szCs w:val="18"/>
          <w:lang w:val="en-GB"/>
        </w:rPr>
        <w:t xml:space="preserve"> </w:t>
      </w:r>
      <w:r>
        <w:rPr>
          <w:color w:val="auto"/>
          <w:sz w:val="18"/>
          <w:szCs w:val="18"/>
          <w:lang w:val="en-GB"/>
        </w:rPr>
        <w:t xml:space="preserve">by voivodships </w:t>
      </w:r>
      <w:r>
        <w:rPr>
          <w:color w:val="auto"/>
          <w:sz w:val="18"/>
          <w:szCs w:val="18"/>
          <w:lang w:val="en-GB"/>
        </w:rPr>
        <w:br/>
      </w:r>
      <w:r w:rsidR="00384D8B">
        <w:rPr>
          <w:color w:val="auto"/>
          <w:sz w:val="18"/>
          <w:szCs w:val="18"/>
          <w:lang w:val="en-GB"/>
        </w:rPr>
        <w:t xml:space="preserve">               </w:t>
      </w:r>
      <w:r w:rsidR="000401D6">
        <w:rPr>
          <w:color w:val="auto"/>
          <w:sz w:val="18"/>
          <w:szCs w:val="18"/>
          <w:lang w:val="en-GB"/>
        </w:rPr>
        <w:t>(January</w:t>
      </w:r>
      <w:r w:rsidR="00F95941">
        <w:rPr>
          <w:color w:val="auto"/>
          <w:sz w:val="18"/>
          <w:szCs w:val="18"/>
          <w:lang w:val="en-GB"/>
        </w:rPr>
        <w:t>-February</w:t>
      </w:r>
      <w:r w:rsidR="00E873C8">
        <w:rPr>
          <w:color w:val="auto"/>
          <w:sz w:val="18"/>
          <w:szCs w:val="18"/>
          <w:lang w:val="en-GB"/>
        </w:rPr>
        <w:t xml:space="preserve"> </w:t>
      </w:r>
      <w:r w:rsidR="000401D6">
        <w:rPr>
          <w:color w:val="auto"/>
          <w:sz w:val="18"/>
          <w:szCs w:val="18"/>
          <w:lang w:val="en-GB"/>
        </w:rPr>
        <w:t>2020</w:t>
      </w:r>
      <w:r>
        <w:rPr>
          <w:color w:val="auto"/>
          <w:sz w:val="18"/>
          <w:szCs w:val="18"/>
          <w:lang w:val="en-GB"/>
        </w:rPr>
        <w:t>)</w:t>
      </w:r>
    </w:p>
    <w:p w:rsidR="00010A4A" w:rsidRPr="00010A4A" w:rsidRDefault="00F95941" w:rsidP="00010A4A">
      <w:pPr>
        <w:rPr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7644</wp:posOffset>
            </wp:positionV>
            <wp:extent cx="5122545" cy="3521710"/>
            <wp:effectExtent l="0" t="0" r="0" b="0"/>
            <wp:wrapNone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4231A6" w:rsidRPr="00C74E74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694AF0" w:rsidRPr="00CB6084" w:rsidRDefault="00694AF0" w:rsidP="0046503D">
      <w:pPr>
        <w:rPr>
          <w:sz w:val="12"/>
          <w:szCs w:val="12"/>
          <w:lang w:val="en-GB"/>
        </w:rPr>
        <w:sectPr w:rsidR="00694AF0" w:rsidRPr="00CB6084" w:rsidSect="00A05A3A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0470AA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B34C4C" w:rsidRPr="000D348A" w:rsidTr="00E873C8">
        <w:trPr>
          <w:trHeight w:val="1912"/>
        </w:trPr>
        <w:tc>
          <w:tcPr>
            <w:tcW w:w="4379" w:type="dxa"/>
          </w:tcPr>
          <w:p w:rsidR="00B34C4C" w:rsidRPr="00612A93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612A9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B34C4C" w:rsidRPr="00612A93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612A93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:rsidR="00B34C4C" w:rsidRPr="00A02ED8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Krzysztof Markowski</w:t>
            </w:r>
          </w:p>
          <w:p w:rsidR="00B34C4C" w:rsidRPr="00A02ED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105BE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F2E8D">
              <w:rPr>
                <w:rFonts w:ascii="Fira Sans" w:hAnsi="Fira Sans" w:cs="Arial"/>
                <w:color w:val="auto"/>
                <w:sz w:val="20"/>
                <w:lang w:val="fi-FI"/>
              </w:rPr>
              <w:t>+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48 </w:t>
            </w:r>
            <w:r w:rsidR="00105BED">
              <w:rPr>
                <w:rFonts w:ascii="Fira Sans" w:hAnsi="Fira Sans" w:cs="Arial"/>
                <w:color w:val="auto"/>
                <w:sz w:val="20"/>
                <w:lang w:val="fi-FI"/>
              </w:rPr>
              <w:t>81) 533 20</w:t>
            </w:r>
            <w:r w:rsidR="008C48C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105BED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:rsidR="00B34C4C" w:rsidRPr="00B34C4C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4C4C" w:rsidRPr="00612A93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612A93">
              <w:rPr>
                <w:sz w:val="20"/>
                <w:szCs w:val="20"/>
                <w:lang w:val="en-GB"/>
              </w:rPr>
              <w:t xml:space="preserve">Dissemination: </w:t>
            </w:r>
            <w:r w:rsidRPr="001C110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for the President </w:t>
            </w:r>
          </w:p>
          <w:p w:rsidR="00B34C4C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 Poland</w:t>
            </w:r>
          </w:p>
          <w:p w:rsidR="00B34C4C" w:rsidRPr="001C110A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:rsidR="00B34C4C" w:rsidRPr="008F3638" w:rsidRDefault="00105BED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Mobile: 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2B6593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:rsidR="00B34C4C" w:rsidRPr="00FC6E4C" w:rsidRDefault="00B34C4C" w:rsidP="00E873C8">
            <w:pPr>
              <w:rPr>
                <w:b/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>Press Office</w:t>
            </w:r>
          </w:p>
          <w:p w:rsidR="00B34C4C" w:rsidRPr="00FC6E4C" w:rsidRDefault="008235EC" w:rsidP="00E873C8">
            <w:pPr>
              <w:rPr>
                <w:sz w:val="20"/>
                <w:lang w:val="en-GB"/>
              </w:rPr>
            </w:pPr>
            <w:r w:rsidRPr="008235EC">
              <w:rPr>
                <w:sz w:val="20"/>
                <w:lang w:val="en-GB"/>
              </w:rPr>
              <w:t>Tel:</w:t>
            </w:r>
            <w:r w:rsidR="00B34C4C" w:rsidRPr="00FC6E4C">
              <w:rPr>
                <w:b/>
                <w:sz w:val="20"/>
                <w:lang w:val="en-GB"/>
              </w:rPr>
              <w:t xml:space="preserve"> </w:t>
            </w:r>
            <w:r w:rsidR="00BA5050">
              <w:rPr>
                <w:sz w:val="20"/>
                <w:lang w:val="en-GB"/>
              </w:rPr>
              <w:t>(</w:t>
            </w:r>
            <w:r w:rsidR="00B34C4C" w:rsidRPr="00B34C4C">
              <w:rPr>
                <w:sz w:val="20"/>
                <w:lang w:val="en-GB"/>
              </w:rPr>
              <w:t>+ 48</w:t>
            </w:r>
            <w:r w:rsidR="00B34C4C">
              <w:rPr>
                <w:b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22</w:t>
            </w:r>
            <w:r w:rsidR="00BA5050">
              <w:rPr>
                <w:sz w:val="20"/>
                <w:lang w:val="en-GB"/>
              </w:rPr>
              <w:t>)</w:t>
            </w:r>
            <w:r>
              <w:rPr>
                <w:sz w:val="20"/>
                <w:lang w:val="en-GB"/>
              </w:rPr>
              <w:t xml:space="preserve"> 608 34</w:t>
            </w:r>
            <w:r w:rsidR="008C48C6">
              <w:rPr>
                <w:sz w:val="20"/>
                <w:lang w:val="en-GB"/>
              </w:rPr>
              <w:t xml:space="preserve"> </w:t>
            </w:r>
            <w:r w:rsidR="00BA5050">
              <w:rPr>
                <w:sz w:val="20"/>
                <w:lang w:val="en-GB"/>
              </w:rPr>
              <w:t xml:space="preserve">91, </w:t>
            </w:r>
            <w:r>
              <w:rPr>
                <w:sz w:val="20"/>
                <w:lang w:val="en-GB"/>
              </w:rPr>
              <w:t>608 38</w:t>
            </w:r>
            <w:r w:rsidR="008C48C6">
              <w:rPr>
                <w:sz w:val="20"/>
                <w:lang w:val="en-GB"/>
              </w:rPr>
              <w:t xml:space="preserve"> </w:t>
            </w:r>
            <w:r w:rsidR="00B34C4C" w:rsidRPr="00FC6E4C">
              <w:rPr>
                <w:sz w:val="20"/>
                <w:lang w:val="en-GB"/>
              </w:rPr>
              <w:t xml:space="preserve">04 </w:t>
            </w:r>
          </w:p>
          <w:p w:rsidR="00B34C4C" w:rsidRPr="00B34C4C" w:rsidRDefault="00B34C4C" w:rsidP="00E873C8">
            <w:pPr>
              <w:rPr>
                <w:b/>
                <w:sz w:val="18"/>
                <w:lang w:val="en-US"/>
              </w:rPr>
            </w:pPr>
            <w:r w:rsidRPr="00B34C4C">
              <w:rPr>
                <w:b/>
                <w:sz w:val="20"/>
                <w:lang w:val="en-US"/>
              </w:rPr>
              <w:t xml:space="preserve">e-mail: </w:t>
            </w:r>
            <w:hyperlink r:id="rId17" w:history="1">
              <w:r w:rsidRPr="00B34C4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B34C4C" w:rsidRPr="00F64AC1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685B0E8F" wp14:editId="084A61B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 w:rsidRPr="008235EC">
              <w:rPr>
                <w:sz w:val="20"/>
                <w:lang w:val="en-US"/>
              </w:rPr>
              <w:t>www.stat.gov.pl</w:t>
            </w:r>
            <w:r w:rsidR="008235EC" w:rsidRPr="008235EC">
              <w:rPr>
                <w:sz w:val="20"/>
                <w:lang w:val="en-US"/>
              </w:rPr>
              <w:t>/en/</w:t>
            </w:r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28925955" wp14:editId="1179D4C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8235EC" w:rsidP="00E873C8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Default="00B34C4C" w:rsidP="00E873C8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B34C4C" w:rsidRDefault="00B34C4C" w:rsidP="00E873C8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09E52B18" wp14:editId="37B2E5C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B34C4C" w:rsidP="00E873C8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B34C4C" w:rsidRPr="00B34C4C" w:rsidRDefault="00B34C4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41" w:rsidRDefault="00F95941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F95941" w:rsidRDefault="00F95941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F95941" w:rsidRPr="004E377B" w:rsidRDefault="00F95941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F95941" w:rsidRPr="008235EC" w:rsidRDefault="00F95941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1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:rsidR="00F95941" w:rsidRPr="005C7839" w:rsidRDefault="00F9594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2" w:history="1">
                              <w:r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F95941" w:rsidRPr="00F11843" w:rsidRDefault="00F9594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F95941" w:rsidRDefault="00F95941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F95941" w:rsidRPr="008235EC" w:rsidRDefault="00F9594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3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:rsidR="00F95941" w:rsidRDefault="00F9594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F95941" w:rsidRPr="00F11843" w:rsidRDefault="00F9594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F95941" w:rsidRDefault="00F95941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F95941" w:rsidRPr="008235EC" w:rsidRDefault="00F9594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5" w:history="1">
                              <w:r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:rsidR="00F95941" w:rsidRPr="00F11843" w:rsidRDefault="00F9594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6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7" w:history="1"/>
                          </w:p>
                          <w:p w:rsidR="00F95941" w:rsidRPr="00F11843" w:rsidRDefault="00F9594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:rsidR="00F95941" w:rsidRDefault="00F95941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F95941" w:rsidRPr="003B6350" w:rsidRDefault="00F9594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oK4N6D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:rsidR="00F95941" w:rsidRDefault="00F95941" w:rsidP="00AB6D25">
                      <w:pPr>
                        <w:rPr>
                          <w:b/>
                        </w:rPr>
                      </w:pPr>
                    </w:p>
                    <w:p w:rsidR="00F95941" w:rsidRDefault="00F95941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F95941" w:rsidRPr="004E377B" w:rsidRDefault="00F95941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F95941" w:rsidRPr="008235EC" w:rsidRDefault="00F95941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29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:rsidR="00F95941" w:rsidRPr="005C7839" w:rsidRDefault="00F95941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0" w:history="1">
                        <w:r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F95941" w:rsidRPr="00F11843" w:rsidRDefault="00F95941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F95941" w:rsidRDefault="00F95941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F95941" w:rsidRPr="008235EC" w:rsidRDefault="00F95941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1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F95941" w:rsidRDefault="00F95941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2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="00F95941" w:rsidRPr="00F11843" w:rsidRDefault="00F95941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F95941" w:rsidRDefault="00F95941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F95941" w:rsidRPr="008235EC" w:rsidRDefault="00F95941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3" w:history="1">
                        <w:r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:rsidR="00F95941" w:rsidRPr="00F11843" w:rsidRDefault="00F95941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4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5" w:history="1"/>
                    </w:p>
                    <w:p w:rsidR="00F95941" w:rsidRPr="00F11843" w:rsidRDefault="00F95941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6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:rsidR="00F95941" w:rsidRDefault="00F95941" w:rsidP="00000009">
                      <w:pPr>
                        <w:rPr>
                          <w:lang w:val="en-GB"/>
                        </w:rPr>
                      </w:pPr>
                    </w:p>
                    <w:p w:rsidR="00F95941" w:rsidRPr="003B6350" w:rsidRDefault="00F95941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70AA" w:rsidRPr="00F64AC1" w:rsidRDefault="000470AA" w:rsidP="0046503D">
      <w:pPr>
        <w:rPr>
          <w:sz w:val="20"/>
          <w:lang w:val="en-US"/>
        </w:rPr>
      </w:pPr>
    </w:p>
    <w:p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B34C4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64AC1" w:rsidRDefault="000470AA" w:rsidP="0000000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F64AC1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20"/>
                <w:lang w:val="en-US"/>
              </w:rPr>
            </w:pPr>
          </w:p>
        </w:tc>
      </w:tr>
    </w:tbl>
    <w:p w:rsidR="00D261A2" w:rsidRPr="00B34C4C" w:rsidRDefault="00D261A2" w:rsidP="0046503D">
      <w:pPr>
        <w:rPr>
          <w:sz w:val="18"/>
          <w:lang w:val="en-US"/>
        </w:rPr>
      </w:pPr>
    </w:p>
    <w:sectPr w:rsidR="00D261A2" w:rsidRPr="00B34C4C" w:rsidSect="00AE4F99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873" w:rsidRDefault="001F5873" w:rsidP="000662E2">
      <w:pPr>
        <w:spacing w:after="0" w:line="240" w:lineRule="auto"/>
      </w:pPr>
      <w:r>
        <w:separator/>
      </w:r>
    </w:p>
  </w:endnote>
  <w:endnote w:type="continuationSeparator" w:id="0">
    <w:p w:rsidR="001F5873" w:rsidRDefault="001F587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Content>
      <w:p w:rsidR="00F95941" w:rsidRDefault="00F9594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A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95941" w:rsidRPr="007B4F73" w:rsidRDefault="00F95941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Content>
      <w:p w:rsidR="00F95941" w:rsidRDefault="00F9594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A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5941" w:rsidRPr="00CC1C7C" w:rsidRDefault="00F95941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873" w:rsidRDefault="001F5873" w:rsidP="000662E2">
      <w:pPr>
        <w:spacing w:after="0" w:line="240" w:lineRule="auto"/>
      </w:pPr>
      <w:r>
        <w:separator/>
      </w:r>
    </w:p>
  </w:footnote>
  <w:footnote w:type="continuationSeparator" w:id="0">
    <w:p w:rsidR="001F5873" w:rsidRDefault="001F5873" w:rsidP="000662E2">
      <w:pPr>
        <w:spacing w:after="0" w:line="240" w:lineRule="auto"/>
      </w:pPr>
      <w:r>
        <w:continuationSeparator/>
      </w:r>
    </w:p>
  </w:footnote>
  <w:footnote w:id="1">
    <w:p w:rsidR="00F95941" w:rsidRPr="008C48C6" w:rsidRDefault="00F95941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941" w:rsidRDefault="00F9594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F95941" w:rsidRDefault="00F959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941" w:rsidRDefault="00F95941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72BF5B1" wp14:editId="7C7D578C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5941" w:rsidRPr="00C97596" w:rsidRDefault="00F95941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20.03.2020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BF5B1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:rsidR="00F95941" w:rsidRPr="00C97596" w:rsidRDefault="00F95941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20.03.2020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911A21C" wp14:editId="5484C6C4">
          <wp:extent cx="1866900" cy="704850"/>
          <wp:effectExtent l="0" t="0" r="0" b="0"/>
          <wp:docPr id="23" name="Obraz 23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95941" w:rsidRPr="003C6C8D" w:rsidRDefault="00F9594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95941" w:rsidRPr="003C6C8D" w:rsidRDefault="00F9594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5941" w:rsidRPr="00C97596" w:rsidRDefault="00F9594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95941" w:rsidRPr="00C97596" w:rsidRDefault="00F9594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941" w:rsidRDefault="00F95941">
    <w:pPr>
      <w:pStyle w:val="Nagwek"/>
    </w:pPr>
  </w:p>
  <w:p w:rsidR="00F95941" w:rsidRDefault="00F959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101" type="#_x0000_t75" style="width:124.3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709F"/>
    <w:rsid w:val="00007996"/>
    <w:rsid w:val="00007BF9"/>
    <w:rsid w:val="00010800"/>
    <w:rsid w:val="000108B8"/>
    <w:rsid w:val="00010A4A"/>
    <w:rsid w:val="000111EC"/>
    <w:rsid w:val="00011E33"/>
    <w:rsid w:val="00013599"/>
    <w:rsid w:val="000152F5"/>
    <w:rsid w:val="000169EB"/>
    <w:rsid w:val="00024626"/>
    <w:rsid w:val="000271FB"/>
    <w:rsid w:val="0003236F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F03"/>
    <w:rsid w:val="00053190"/>
    <w:rsid w:val="0005394E"/>
    <w:rsid w:val="00054314"/>
    <w:rsid w:val="00057CA1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A71"/>
    <w:rsid w:val="000D1D43"/>
    <w:rsid w:val="000D225C"/>
    <w:rsid w:val="000D2A5C"/>
    <w:rsid w:val="000D2E0B"/>
    <w:rsid w:val="000D348A"/>
    <w:rsid w:val="000E0918"/>
    <w:rsid w:val="000E1F4F"/>
    <w:rsid w:val="000F1626"/>
    <w:rsid w:val="000F435D"/>
    <w:rsid w:val="000F445C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4DB9"/>
    <w:rsid w:val="00115574"/>
    <w:rsid w:val="00116087"/>
    <w:rsid w:val="00127C74"/>
    <w:rsid w:val="00130296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2325"/>
    <w:rsid w:val="00175380"/>
    <w:rsid w:val="0017779B"/>
    <w:rsid w:val="00177DD6"/>
    <w:rsid w:val="00182464"/>
    <w:rsid w:val="001850EA"/>
    <w:rsid w:val="001855B0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4A86"/>
    <w:rsid w:val="001B7948"/>
    <w:rsid w:val="001C1808"/>
    <w:rsid w:val="001C3269"/>
    <w:rsid w:val="001C3694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3ACC"/>
    <w:rsid w:val="001E475A"/>
    <w:rsid w:val="001F1170"/>
    <w:rsid w:val="001F31BD"/>
    <w:rsid w:val="001F3686"/>
    <w:rsid w:val="001F5873"/>
    <w:rsid w:val="001F649C"/>
    <w:rsid w:val="00202E71"/>
    <w:rsid w:val="00207BF8"/>
    <w:rsid w:val="00211FA7"/>
    <w:rsid w:val="002123EA"/>
    <w:rsid w:val="00212787"/>
    <w:rsid w:val="00216F21"/>
    <w:rsid w:val="00217D5E"/>
    <w:rsid w:val="00224A09"/>
    <w:rsid w:val="00224D54"/>
    <w:rsid w:val="00237220"/>
    <w:rsid w:val="00237A99"/>
    <w:rsid w:val="00244842"/>
    <w:rsid w:val="002452B8"/>
    <w:rsid w:val="00246441"/>
    <w:rsid w:val="00254D71"/>
    <w:rsid w:val="0025542F"/>
    <w:rsid w:val="00256AD9"/>
    <w:rsid w:val="002574F9"/>
    <w:rsid w:val="00257AA4"/>
    <w:rsid w:val="002615C6"/>
    <w:rsid w:val="00261B24"/>
    <w:rsid w:val="0026524A"/>
    <w:rsid w:val="00270874"/>
    <w:rsid w:val="0027193F"/>
    <w:rsid w:val="002722B3"/>
    <w:rsid w:val="0027483D"/>
    <w:rsid w:val="0027606C"/>
    <w:rsid w:val="00276811"/>
    <w:rsid w:val="00282699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6593"/>
    <w:rsid w:val="002B6B12"/>
    <w:rsid w:val="002B6B7B"/>
    <w:rsid w:val="002C2695"/>
    <w:rsid w:val="002C39C1"/>
    <w:rsid w:val="002C424B"/>
    <w:rsid w:val="002D2ECD"/>
    <w:rsid w:val="002D6990"/>
    <w:rsid w:val="002D6C7A"/>
    <w:rsid w:val="002E13A8"/>
    <w:rsid w:val="002E3590"/>
    <w:rsid w:val="002E6140"/>
    <w:rsid w:val="002E6985"/>
    <w:rsid w:val="002E71B6"/>
    <w:rsid w:val="002E7AB0"/>
    <w:rsid w:val="002F1F42"/>
    <w:rsid w:val="002F2E8D"/>
    <w:rsid w:val="002F77C8"/>
    <w:rsid w:val="0030115B"/>
    <w:rsid w:val="00304F22"/>
    <w:rsid w:val="00306C7C"/>
    <w:rsid w:val="00313E16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46B3"/>
    <w:rsid w:val="00365F22"/>
    <w:rsid w:val="00367237"/>
    <w:rsid w:val="003674D8"/>
    <w:rsid w:val="0037077F"/>
    <w:rsid w:val="00371C7E"/>
    <w:rsid w:val="0037385E"/>
    <w:rsid w:val="00373882"/>
    <w:rsid w:val="00375215"/>
    <w:rsid w:val="003843DB"/>
    <w:rsid w:val="00384D8B"/>
    <w:rsid w:val="003854ED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3FCF"/>
    <w:rsid w:val="003A42AA"/>
    <w:rsid w:val="003A716C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4F95"/>
    <w:rsid w:val="003D5465"/>
    <w:rsid w:val="003D5F42"/>
    <w:rsid w:val="003D60A9"/>
    <w:rsid w:val="003D795B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12461"/>
    <w:rsid w:val="004130B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4B75"/>
    <w:rsid w:val="00445047"/>
    <w:rsid w:val="004466B1"/>
    <w:rsid w:val="00450A42"/>
    <w:rsid w:val="00450E62"/>
    <w:rsid w:val="0045309B"/>
    <w:rsid w:val="00454004"/>
    <w:rsid w:val="00456EF1"/>
    <w:rsid w:val="00463E39"/>
    <w:rsid w:val="00464D4F"/>
    <w:rsid w:val="0046503D"/>
    <w:rsid w:val="004652C2"/>
    <w:rsid w:val="004657FC"/>
    <w:rsid w:val="00467EFF"/>
    <w:rsid w:val="00471D34"/>
    <w:rsid w:val="004733F6"/>
    <w:rsid w:val="00474753"/>
    <w:rsid w:val="00474E69"/>
    <w:rsid w:val="00477DD8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F0C3C"/>
    <w:rsid w:val="004F4FCA"/>
    <w:rsid w:val="004F63FC"/>
    <w:rsid w:val="004F6903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0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5C63"/>
    <w:rsid w:val="005762A7"/>
    <w:rsid w:val="00577BDE"/>
    <w:rsid w:val="0058073C"/>
    <w:rsid w:val="00582224"/>
    <w:rsid w:val="00582ED4"/>
    <w:rsid w:val="005916AB"/>
    <w:rsid w:val="005916D7"/>
    <w:rsid w:val="005A30AB"/>
    <w:rsid w:val="005A4C6A"/>
    <w:rsid w:val="005A698C"/>
    <w:rsid w:val="005B2080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A4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6583"/>
    <w:rsid w:val="0062187C"/>
    <w:rsid w:val="00621F5F"/>
    <w:rsid w:val="006262B3"/>
    <w:rsid w:val="006263DA"/>
    <w:rsid w:val="00626952"/>
    <w:rsid w:val="00626D87"/>
    <w:rsid w:val="00627CBE"/>
    <w:rsid w:val="006318DA"/>
    <w:rsid w:val="00632DF8"/>
    <w:rsid w:val="00633014"/>
    <w:rsid w:val="0063437B"/>
    <w:rsid w:val="00642778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327D"/>
    <w:rsid w:val="0068790E"/>
    <w:rsid w:val="00690C38"/>
    <w:rsid w:val="00694AF0"/>
    <w:rsid w:val="006A0E22"/>
    <w:rsid w:val="006A1938"/>
    <w:rsid w:val="006A37E8"/>
    <w:rsid w:val="006A46FA"/>
    <w:rsid w:val="006B0E9E"/>
    <w:rsid w:val="006B5AE4"/>
    <w:rsid w:val="006B6187"/>
    <w:rsid w:val="006B6263"/>
    <w:rsid w:val="006B6D5F"/>
    <w:rsid w:val="006C645A"/>
    <w:rsid w:val="006D4054"/>
    <w:rsid w:val="006D5A05"/>
    <w:rsid w:val="006D5ABB"/>
    <w:rsid w:val="006D7F1E"/>
    <w:rsid w:val="006E02EC"/>
    <w:rsid w:val="006E4D66"/>
    <w:rsid w:val="006E5888"/>
    <w:rsid w:val="006E5F08"/>
    <w:rsid w:val="006E6053"/>
    <w:rsid w:val="006E6C7B"/>
    <w:rsid w:val="006F3F3D"/>
    <w:rsid w:val="006F5EF5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924"/>
    <w:rsid w:val="00741554"/>
    <w:rsid w:val="007418AC"/>
    <w:rsid w:val="00746187"/>
    <w:rsid w:val="0075636C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DC1"/>
    <w:rsid w:val="007A7D7B"/>
    <w:rsid w:val="007B0D5E"/>
    <w:rsid w:val="007B0E35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E1643"/>
    <w:rsid w:val="007E3314"/>
    <w:rsid w:val="007E4B03"/>
    <w:rsid w:val="007E58A2"/>
    <w:rsid w:val="007E7CE3"/>
    <w:rsid w:val="007F0C1A"/>
    <w:rsid w:val="007F1D43"/>
    <w:rsid w:val="007F1E2E"/>
    <w:rsid w:val="007F324B"/>
    <w:rsid w:val="007F4BEF"/>
    <w:rsid w:val="007F6B07"/>
    <w:rsid w:val="007F7483"/>
    <w:rsid w:val="0080133E"/>
    <w:rsid w:val="00802022"/>
    <w:rsid w:val="00804C08"/>
    <w:rsid w:val="0080553C"/>
    <w:rsid w:val="00805B46"/>
    <w:rsid w:val="00813014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6DBD"/>
    <w:rsid w:val="00846E9E"/>
    <w:rsid w:val="00847F0F"/>
    <w:rsid w:val="008500B1"/>
    <w:rsid w:val="00852448"/>
    <w:rsid w:val="00853635"/>
    <w:rsid w:val="0085445D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F70"/>
    <w:rsid w:val="00891CF0"/>
    <w:rsid w:val="00893B4E"/>
    <w:rsid w:val="008948E4"/>
    <w:rsid w:val="00896EB9"/>
    <w:rsid w:val="008A1C80"/>
    <w:rsid w:val="008A26D9"/>
    <w:rsid w:val="008A58C2"/>
    <w:rsid w:val="008A7B99"/>
    <w:rsid w:val="008B2394"/>
    <w:rsid w:val="008B3CA0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1350"/>
    <w:rsid w:val="009046F6"/>
    <w:rsid w:val="00905A67"/>
    <w:rsid w:val="00906857"/>
    <w:rsid w:val="00907546"/>
    <w:rsid w:val="009127BA"/>
    <w:rsid w:val="0091499D"/>
    <w:rsid w:val="00916639"/>
    <w:rsid w:val="009168D8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5EE"/>
    <w:rsid w:val="009729CD"/>
    <w:rsid w:val="00972B83"/>
    <w:rsid w:val="00975A71"/>
    <w:rsid w:val="00977927"/>
    <w:rsid w:val="009807E9"/>
    <w:rsid w:val="00980EA5"/>
    <w:rsid w:val="0098135C"/>
    <w:rsid w:val="00981455"/>
    <w:rsid w:val="0098156A"/>
    <w:rsid w:val="00983BE8"/>
    <w:rsid w:val="0098487F"/>
    <w:rsid w:val="009918AB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7341"/>
    <w:rsid w:val="009B7D46"/>
    <w:rsid w:val="009C0CCF"/>
    <w:rsid w:val="009C1335"/>
    <w:rsid w:val="009C1AB2"/>
    <w:rsid w:val="009C7251"/>
    <w:rsid w:val="009D2F59"/>
    <w:rsid w:val="009E13F6"/>
    <w:rsid w:val="009E1F94"/>
    <w:rsid w:val="009E2E91"/>
    <w:rsid w:val="009E3371"/>
    <w:rsid w:val="009E6202"/>
    <w:rsid w:val="009F0127"/>
    <w:rsid w:val="009F16E7"/>
    <w:rsid w:val="009F1C77"/>
    <w:rsid w:val="009F1CDB"/>
    <w:rsid w:val="009F686F"/>
    <w:rsid w:val="00A02ED8"/>
    <w:rsid w:val="00A05A3A"/>
    <w:rsid w:val="00A05EE7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F52"/>
    <w:rsid w:val="00A33759"/>
    <w:rsid w:val="00A365F4"/>
    <w:rsid w:val="00A40D16"/>
    <w:rsid w:val="00A4219B"/>
    <w:rsid w:val="00A4223C"/>
    <w:rsid w:val="00A4333F"/>
    <w:rsid w:val="00A45EB1"/>
    <w:rsid w:val="00A47D80"/>
    <w:rsid w:val="00A51E03"/>
    <w:rsid w:val="00A53132"/>
    <w:rsid w:val="00A536D2"/>
    <w:rsid w:val="00A563F2"/>
    <w:rsid w:val="00A566E8"/>
    <w:rsid w:val="00A569FC"/>
    <w:rsid w:val="00A63CAF"/>
    <w:rsid w:val="00A66E7E"/>
    <w:rsid w:val="00A72CF4"/>
    <w:rsid w:val="00A810F9"/>
    <w:rsid w:val="00A846D6"/>
    <w:rsid w:val="00A84818"/>
    <w:rsid w:val="00A86ECC"/>
    <w:rsid w:val="00A86FCC"/>
    <w:rsid w:val="00A87DC7"/>
    <w:rsid w:val="00A91D74"/>
    <w:rsid w:val="00AA05AC"/>
    <w:rsid w:val="00AA087A"/>
    <w:rsid w:val="00AA22EE"/>
    <w:rsid w:val="00AA298E"/>
    <w:rsid w:val="00AA3EB6"/>
    <w:rsid w:val="00AA4B7C"/>
    <w:rsid w:val="00AA5069"/>
    <w:rsid w:val="00AA710D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D4B"/>
    <w:rsid w:val="00AE3772"/>
    <w:rsid w:val="00AE3FB3"/>
    <w:rsid w:val="00AE4F99"/>
    <w:rsid w:val="00AF0752"/>
    <w:rsid w:val="00AF19C9"/>
    <w:rsid w:val="00B01B1A"/>
    <w:rsid w:val="00B0456F"/>
    <w:rsid w:val="00B106B0"/>
    <w:rsid w:val="00B11740"/>
    <w:rsid w:val="00B130CA"/>
    <w:rsid w:val="00B14952"/>
    <w:rsid w:val="00B166F1"/>
    <w:rsid w:val="00B16CB2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2455"/>
    <w:rsid w:val="00B44C5A"/>
    <w:rsid w:val="00B4601E"/>
    <w:rsid w:val="00B465A7"/>
    <w:rsid w:val="00B519FF"/>
    <w:rsid w:val="00B53935"/>
    <w:rsid w:val="00B55F47"/>
    <w:rsid w:val="00B56724"/>
    <w:rsid w:val="00B6240E"/>
    <w:rsid w:val="00B6523B"/>
    <w:rsid w:val="00B653AB"/>
    <w:rsid w:val="00B65F9E"/>
    <w:rsid w:val="00B6647E"/>
    <w:rsid w:val="00B668FA"/>
    <w:rsid w:val="00B66B19"/>
    <w:rsid w:val="00B66C90"/>
    <w:rsid w:val="00B70D87"/>
    <w:rsid w:val="00B76621"/>
    <w:rsid w:val="00B77EC9"/>
    <w:rsid w:val="00B82E2D"/>
    <w:rsid w:val="00B847C4"/>
    <w:rsid w:val="00B86655"/>
    <w:rsid w:val="00B914E9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C4AAD"/>
    <w:rsid w:val="00BC514E"/>
    <w:rsid w:val="00BC70F1"/>
    <w:rsid w:val="00BD1D77"/>
    <w:rsid w:val="00BD2577"/>
    <w:rsid w:val="00BD4E33"/>
    <w:rsid w:val="00BD5F7F"/>
    <w:rsid w:val="00BD601A"/>
    <w:rsid w:val="00BD6924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5C8B"/>
    <w:rsid w:val="00C16ABB"/>
    <w:rsid w:val="00C175B6"/>
    <w:rsid w:val="00C202E0"/>
    <w:rsid w:val="00C20CA7"/>
    <w:rsid w:val="00C21FA8"/>
    <w:rsid w:val="00C22105"/>
    <w:rsid w:val="00C22EA2"/>
    <w:rsid w:val="00C230EE"/>
    <w:rsid w:val="00C244B6"/>
    <w:rsid w:val="00C35DEE"/>
    <w:rsid w:val="00C3702F"/>
    <w:rsid w:val="00C40F4B"/>
    <w:rsid w:val="00C41764"/>
    <w:rsid w:val="00C45997"/>
    <w:rsid w:val="00C47820"/>
    <w:rsid w:val="00C47CE4"/>
    <w:rsid w:val="00C52C74"/>
    <w:rsid w:val="00C5434F"/>
    <w:rsid w:val="00C57EF3"/>
    <w:rsid w:val="00C60835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8094E"/>
    <w:rsid w:val="00C82362"/>
    <w:rsid w:val="00C84740"/>
    <w:rsid w:val="00C84D08"/>
    <w:rsid w:val="00C91687"/>
    <w:rsid w:val="00C924A8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1634"/>
    <w:rsid w:val="00CB3F80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E124B"/>
    <w:rsid w:val="00CE66F6"/>
    <w:rsid w:val="00CF0172"/>
    <w:rsid w:val="00CF140B"/>
    <w:rsid w:val="00CF36C5"/>
    <w:rsid w:val="00CF4099"/>
    <w:rsid w:val="00D00796"/>
    <w:rsid w:val="00D06341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7F69"/>
    <w:rsid w:val="00D504E4"/>
    <w:rsid w:val="00D536C0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C2850"/>
    <w:rsid w:val="00DC3774"/>
    <w:rsid w:val="00DC6708"/>
    <w:rsid w:val="00DD1D64"/>
    <w:rsid w:val="00DD20E2"/>
    <w:rsid w:val="00DD21A2"/>
    <w:rsid w:val="00DE4176"/>
    <w:rsid w:val="00DE6865"/>
    <w:rsid w:val="00DE7D23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CD6"/>
    <w:rsid w:val="00E15A67"/>
    <w:rsid w:val="00E16266"/>
    <w:rsid w:val="00E176B4"/>
    <w:rsid w:val="00E17B77"/>
    <w:rsid w:val="00E23337"/>
    <w:rsid w:val="00E245E1"/>
    <w:rsid w:val="00E24F07"/>
    <w:rsid w:val="00E24FC4"/>
    <w:rsid w:val="00E259EA"/>
    <w:rsid w:val="00E27154"/>
    <w:rsid w:val="00E31232"/>
    <w:rsid w:val="00E32061"/>
    <w:rsid w:val="00E322C8"/>
    <w:rsid w:val="00E34610"/>
    <w:rsid w:val="00E3705B"/>
    <w:rsid w:val="00E42FF9"/>
    <w:rsid w:val="00E43169"/>
    <w:rsid w:val="00E457ED"/>
    <w:rsid w:val="00E4714C"/>
    <w:rsid w:val="00E51AEB"/>
    <w:rsid w:val="00E522A7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73C8"/>
    <w:rsid w:val="00E90AC0"/>
    <w:rsid w:val="00E928D6"/>
    <w:rsid w:val="00E94640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C38C8"/>
    <w:rsid w:val="00EC5BC4"/>
    <w:rsid w:val="00EC7E66"/>
    <w:rsid w:val="00ED04D0"/>
    <w:rsid w:val="00ED55C0"/>
    <w:rsid w:val="00ED682B"/>
    <w:rsid w:val="00ED7983"/>
    <w:rsid w:val="00EE373E"/>
    <w:rsid w:val="00EE41D5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C8F"/>
    <w:rsid w:val="00F300D6"/>
    <w:rsid w:val="00F32749"/>
    <w:rsid w:val="00F35AD5"/>
    <w:rsid w:val="00F37172"/>
    <w:rsid w:val="00F374DC"/>
    <w:rsid w:val="00F43757"/>
    <w:rsid w:val="00F4477E"/>
    <w:rsid w:val="00F46B76"/>
    <w:rsid w:val="00F52D79"/>
    <w:rsid w:val="00F54505"/>
    <w:rsid w:val="00F55F41"/>
    <w:rsid w:val="00F56F73"/>
    <w:rsid w:val="00F57745"/>
    <w:rsid w:val="00F6158E"/>
    <w:rsid w:val="00F64AC1"/>
    <w:rsid w:val="00F67D8F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5941"/>
    <w:rsid w:val="00FA3953"/>
    <w:rsid w:val="00FA5128"/>
    <w:rsid w:val="00FA544B"/>
    <w:rsid w:val="00FA54FD"/>
    <w:rsid w:val="00FA6239"/>
    <w:rsid w:val="00FA68FD"/>
    <w:rsid w:val="00FB0592"/>
    <w:rsid w:val="00FB42D4"/>
    <w:rsid w:val="00FB58A3"/>
    <w:rsid w:val="00FB5906"/>
    <w:rsid w:val="00FB762F"/>
    <w:rsid w:val="00FC2AED"/>
    <w:rsid w:val="00FD0C2F"/>
    <w:rsid w:val="00FD1099"/>
    <w:rsid w:val="00FD5EA7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en/metainformations/glossary/terms-used-in-official-statistics/945,term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en/topics/other-studies/informations-on-socio-economic-situation/publikacja,1.html" TargetMode="External"/><Relationship Id="rId34" Type="http://schemas.openxmlformats.org/officeDocument/2006/relationships/hyperlink" Target="http://stat.gov.pl/en/metainformations/glossary/terms-used-in-official-statistics/945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s/glossary/terms-used-in-official-statistics/3763,term.html" TargetMode="External"/><Relationship Id="rId33" Type="http://schemas.openxmlformats.org/officeDocument/2006/relationships/hyperlink" Target="https://stat.gov.pl/en/metainformations/glossary/terms-used-in-official-statistics/3763,term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en/topics/other-studies/informations-on-socio-economic-situation/publikacja,1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s://bdl.stat.gov.pl/BDL/start" TargetMode="External"/><Relationship Id="rId32" Type="http://schemas.openxmlformats.org/officeDocument/2006/relationships/hyperlink" Target="https://bdl.stat.gov.pl/BDL/start" TargetMode="External"/><Relationship Id="rId37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EN/SitePagesDBW/Budownictwo.aspx" TargetMode="External"/><Relationship Id="rId28" Type="http://schemas.openxmlformats.org/officeDocument/2006/relationships/hyperlink" Target="http://stat.gov.pl/en/metainformations/glossary/terms-used-in-official-statistics/201,term.html" TargetMode="External"/><Relationship Id="rId36" Type="http://schemas.openxmlformats.org/officeDocument/2006/relationships/hyperlink" Target="http://stat.gov.pl/en/metainformations/glossary/terms-used-in-official-statistics/201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://swaid.stat.gov.pl/EN/SitePagesDBW/Budownictwo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en/topics/industry-construction-fixed-assets/construction/publikacja,1.html" TargetMode="External"/><Relationship Id="rId27" Type="http://schemas.openxmlformats.org/officeDocument/2006/relationships/hyperlink" Target="http://stat.gov.pl/en/metainformations/glossary/terms-used-in-official-statistics/945,term.html" TargetMode="External"/><Relationship Id="rId30" Type="http://schemas.openxmlformats.org/officeDocument/2006/relationships/hyperlink" Target="https://stat.gov.pl/en/topics/industry-construction-fixed-assets/construction/publikacja,1.html" TargetMode="External"/><Relationship Id="rId35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0\informacja%20sygnalna\luty\Informacja%20sygnalna%20Budownictwo%20mieszkaniowe_wykres_012020_englis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0\informacja%20sygnalna\luty\Kopia%20wykres%20wg%20wojew&#243;dztw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8932938751783548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20557</c:v>
                </c:pt>
                <c:pt idx="46">
                  <c:v>19119</c:v>
                </c:pt>
                <c:pt idx="47">
                  <c:v>22093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8318432"/>
        <c:axId val="238322240"/>
      </c:lineChart>
      <c:catAx>
        <c:axId val="23831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3832224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238322240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38318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539964510924779"/>
          <c:w val="0.9536000171789608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569</c:v>
                </c:pt>
                <c:pt idx="1">
                  <c:v>563</c:v>
                </c:pt>
                <c:pt idx="2">
                  <c:v>667</c:v>
                </c:pt>
                <c:pt idx="3">
                  <c:v>1282</c:v>
                </c:pt>
                <c:pt idx="4">
                  <c:v>1648</c:v>
                </c:pt>
                <c:pt idx="5">
                  <c:v>1270</c:v>
                </c:pt>
                <c:pt idx="6">
                  <c:v>1292</c:v>
                </c:pt>
                <c:pt idx="7">
                  <c:v>1404</c:v>
                </c:pt>
                <c:pt idx="8">
                  <c:v>1454</c:v>
                </c:pt>
                <c:pt idx="9">
                  <c:v>1424</c:v>
                </c:pt>
                <c:pt idx="10">
                  <c:v>2951</c:v>
                </c:pt>
                <c:pt idx="11">
                  <c:v>2428</c:v>
                </c:pt>
                <c:pt idx="12">
                  <c:v>2456</c:v>
                </c:pt>
                <c:pt idx="13">
                  <c:v>4391</c:v>
                </c:pt>
                <c:pt idx="14">
                  <c:v>2510</c:v>
                </c:pt>
                <c:pt idx="15">
                  <c:v>7457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484</c:v>
                </c:pt>
                <c:pt idx="1">
                  <c:v>761</c:v>
                </c:pt>
                <c:pt idx="2">
                  <c:v>878</c:v>
                </c:pt>
                <c:pt idx="3">
                  <c:v>731</c:v>
                </c:pt>
                <c:pt idx="4">
                  <c:v>1342</c:v>
                </c:pt>
                <c:pt idx="5">
                  <c:v>1062</c:v>
                </c:pt>
                <c:pt idx="6">
                  <c:v>2264</c:v>
                </c:pt>
                <c:pt idx="7">
                  <c:v>1440</c:v>
                </c:pt>
                <c:pt idx="8">
                  <c:v>1879</c:v>
                </c:pt>
                <c:pt idx="9">
                  <c:v>2377</c:v>
                </c:pt>
                <c:pt idx="10">
                  <c:v>3189</c:v>
                </c:pt>
                <c:pt idx="11">
                  <c:v>3041</c:v>
                </c:pt>
                <c:pt idx="12">
                  <c:v>3333</c:v>
                </c:pt>
                <c:pt idx="13">
                  <c:v>4080</c:v>
                </c:pt>
                <c:pt idx="14">
                  <c:v>3221</c:v>
                </c:pt>
                <c:pt idx="15">
                  <c:v>7208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327</c:v>
                </c:pt>
                <c:pt idx="1">
                  <c:v>557</c:v>
                </c:pt>
                <c:pt idx="2">
                  <c:v>672</c:v>
                </c:pt>
                <c:pt idx="3">
                  <c:v>884</c:v>
                </c:pt>
                <c:pt idx="4">
                  <c:v>1044</c:v>
                </c:pt>
                <c:pt idx="5">
                  <c:v>1261</c:v>
                </c:pt>
                <c:pt idx="6">
                  <c:v>1409</c:v>
                </c:pt>
                <c:pt idx="7">
                  <c:v>1468</c:v>
                </c:pt>
                <c:pt idx="8">
                  <c:v>1567</c:v>
                </c:pt>
                <c:pt idx="9">
                  <c:v>2033</c:v>
                </c:pt>
                <c:pt idx="10">
                  <c:v>2330</c:v>
                </c:pt>
                <c:pt idx="11">
                  <c:v>2364</c:v>
                </c:pt>
                <c:pt idx="12">
                  <c:v>3451</c:v>
                </c:pt>
                <c:pt idx="13">
                  <c:v>3509</c:v>
                </c:pt>
                <c:pt idx="14">
                  <c:v>4462</c:v>
                </c:pt>
                <c:pt idx="15">
                  <c:v>6121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8322784"/>
        <c:axId val="446502176"/>
      </c:barChart>
      <c:catAx>
        <c:axId val="2383227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46502176"/>
        <c:crosses val="autoZero"/>
        <c:auto val="1"/>
        <c:lblAlgn val="ctr"/>
        <c:lblOffset val="100"/>
        <c:noMultiLvlLbl val="0"/>
      </c:catAx>
      <c:valAx>
        <c:axId val="446502176"/>
        <c:scaling>
          <c:orientation val="minMax"/>
          <c:max val="8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8322784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811765440811159"/>
          <c:y val="0.83253646665966252"/>
          <c:w val="0.83688211129506873"/>
          <c:h val="0.143344284452723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9D5B2F96-5E44-4206-A726-E2453B05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January 2020</vt:lpstr>
    </vt:vector>
  </TitlesOfParts>
  <Company>Statistics Poland</Company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January 2020</dc:title>
  <dc:subject>Residential construction in January 2020</dc:subject>
  <dc:creator>Statistics Poland</dc:creator>
  <cp:keywords>dwellings completed; dwellings under construction; dwellings started; building permit; useful floor area</cp:keywords>
  <cp:lastModifiedBy>Powęska Anna</cp:lastModifiedBy>
  <cp:revision>2</cp:revision>
  <cp:lastPrinted>2019-11-21T10:46:00Z</cp:lastPrinted>
  <dcterms:created xsi:type="dcterms:W3CDTF">2020-03-16T16:04:00Z</dcterms:created>
  <dcterms:modified xsi:type="dcterms:W3CDTF">2020-03-16T16:04:00Z</dcterms:modified>
  <cp:category>Construction;Residential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