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>
        <w:rPr>
          <w:szCs w:val="32"/>
          <w:lang w:val="en-US"/>
        </w:rPr>
        <w:t>Residential construction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="008B2394">
        <w:rPr>
          <w:szCs w:val="32"/>
          <w:lang w:val="en-US"/>
        </w:rPr>
        <w:t xml:space="preserve"> in January</w:t>
      </w:r>
      <w:r w:rsidR="001F1170" w:rsidRPr="00B34C4C">
        <w:rPr>
          <w:szCs w:val="32"/>
          <w:lang w:val="en-US"/>
        </w:rPr>
        <w:t xml:space="preserve"> </w:t>
      </w:r>
      <w:r w:rsidR="008B2394">
        <w:rPr>
          <w:szCs w:val="32"/>
          <w:shd w:val="clear" w:color="auto" w:fill="FFFFFF"/>
          <w:lang w:val="en-US"/>
        </w:rPr>
        <w:t>2020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4466B1" w:rsidRDefault="00B519FF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B519FF" w:rsidRPr="004466B1" w:rsidRDefault="00B519FF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612A93" w:rsidRDefault="00B519F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B519FF" w:rsidRPr="00F64AC1" w:rsidRDefault="00B519F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B519FF" w:rsidRPr="00612A93" w:rsidRDefault="00B519F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B519FF" w:rsidRPr="00F64AC1" w:rsidRDefault="00B519F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B788D" w:rsidRDefault="00B519FF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2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239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100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8B239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:rsidR="00B519FF" w:rsidRPr="00A519B5" w:rsidRDefault="00B519FF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B519FF" w:rsidRPr="00AB788D" w:rsidRDefault="00B519FF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2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239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100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8B239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</w:p>
                    <w:p w:rsidR="00B519FF" w:rsidRPr="00A519B5" w:rsidRDefault="00B519FF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8B2394">
        <w:rPr>
          <w:lang w:val="en-GB"/>
        </w:rPr>
        <w:t xml:space="preserve">January </w:t>
      </w:r>
      <w:r w:rsidR="008B2394">
        <w:rPr>
          <w:lang w:val="en-US"/>
        </w:rPr>
        <w:t>2020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8B2394">
        <w:rPr>
          <w:lang w:val="en-US"/>
        </w:rPr>
        <w:t xml:space="preserve">also increased, whereas </w:t>
      </w:r>
      <w:r w:rsidR="003C0487">
        <w:rPr>
          <w:lang w:val="en-US"/>
        </w:rPr>
        <w:t xml:space="preserve">the number of </w:t>
      </w:r>
      <w:r w:rsidR="003C0487" w:rsidRPr="003C0487">
        <w:rPr>
          <w:lang w:val="en-US"/>
        </w:rPr>
        <w:t>dwellings for which permits have been granted or wh</w:t>
      </w:r>
      <w:r w:rsidR="000869CD">
        <w:rPr>
          <w:lang w:val="en-US"/>
        </w:rPr>
        <w:t>ich have been registered with a </w:t>
      </w:r>
      <w:r w:rsidR="003C0487" w:rsidRPr="003C0487">
        <w:rPr>
          <w:lang w:val="en-US"/>
        </w:rPr>
        <w:t xml:space="preserve">construction project </w:t>
      </w:r>
      <w:r w:rsidR="008B2394">
        <w:rPr>
          <w:lang w:val="en-US"/>
        </w:rPr>
        <w:t>de</w:t>
      </w:r>
      <w:r w:rsidR="003C0487">
        <w:rPr>
          <w:lang w:val="en-US"/>
        </w:rPr>
        <w:t>creased</w:t>
      </w:r>
      <w:r w:rsidR="003C0487">
        <w:rPr>
          <w:spacing w:val="-4"/>
          <w:shd w:val="clear" w:color="auto" w:fill="FFFFFF"/>
          <w:lang w:val="en-US"/>
        </w:rPr>
        <w:t>.</w:t>
      </w:r>
    </w:p>
    <w:p w:rsidR="000D348A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0D348A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:rsidR="00C733A3" w:rsidRPr="001C5029" w:rsidRDefault="00B407E7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1C502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105410</wp:posOffset>
                </wp:positionV>
                <wp:extent cx="1809115" cy="866775"/>
                <wp:effectExtent l="0" t="0" r="0" b="0"/>
                <wp:wrapTight wrapText="bothSides">
                  <wp:wrapPolygon edited="0">
                    <wp:start x="682" y="0"/>
                    <wp:lineTo x="682" y="20888"/>
                    <wp:lineTo x="20698" y="20888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D1492" w:rsidRDefault="008B2394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61.0</w:t>
                            </w:r>
                            <w:r w:rsidR="00B519FF">
                              <w:rPr>
                                <w:lang w:val="en-US"/>
                              </w:rPr>
                              <w:t>% of t</w:t>
                            </w:r>
                            <w:r w:rsidR="00575C63">
                              <w:rPr>
                                <w:lang w:val="en-US"/>
                              </w:rPr>
                              <w:t>ot</w:t>
                            </w:r>
                            <w:r>
                              <w:rPr>
                                <w:lang w:val="en-US"/>
                              </w:rPr>
                              <w:t>al number of dwellings, i.e. 0.8</w:t>
                            </w:r>
                            <w:r w:rsidR="00B519FF">
                              <w:rPr>
                                <w:lang w:val="en-US"/>
                              </w:rPr>
                              <w:t xml:space="preserve"> percentage points </w:t>
                            </w:r>
                            <w:r>
                              <w:rPr>
                                <w:lang w:val="en-US"/>
                              </w:rPr>
                              <w:t xml:space="preserve">less </w:t>
                            </w:r>
                            <w:r w:rsidR="006F3F3D">
                              <w:rPr>
                                <w:lang w:val="en-US"/>
                              </w:rPr>
                              <w:t xml:space="preserve">than </w:t>
                            </w:r>
                            <w:r>
                              <w:rPr>
                                <w:lang w:val="en-US"/>
                              </w:rPr>
                              <w:t>in 2019</w:t>
                            </w:r>
                            <w:r w:rsidR="00575C63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7.75pt;margin-top:8.3pt;width:142.45pt;height:68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" filled="f" stroked="f">
                <v:textbox>
                  <w:txbxContent>
                    <w:p w:rsidR="00B519FF" w:rsidRPr="00AD1492" w:rsidRDefault="008B2394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61.0</w:t>
                      </w:r>
                      <w:r w:rsidR="00B519FF">
                        <w:rPr>
                          <w:lang w:val="en-US"/>
                        </w:rPr>
                        <w:t>% of t</w:t>
                      </w:r>
                      <w:r w:rsidR="00575C63">
                        <w:rPr>
                          <w:lang w:val="en-US"/>
                        </w:rPr>
                        <w:t>ot</w:t>
                      </w:r>
                      <w:r>
                        <w:rPr>
                          <w:lang w:val="en-US"/>
                        </w:rPr>
                        <w:t>al number of dwellings, i.e. 0.8</w:t>
                      </w:r>
                      <w:r w:rsidR="00B519FF">
                        <w:rPr>
                          <w:lang w:val="en-US"/>
                        </w:rPr>
                        <w:t xml:space="preserve"> percentage points </w:t>
                      </w:r>
                      <w:r>
                        <w:rPr>
                          <w:lang w:val="en-US"/>
                        </w:rPr>
                        <w:t xml:space="preserve">less </w:t>
                      </w:r>
                      <w:r w:rsidR="006F3F3D">
                        <w:rPr>
                          <w:lang w:val="en-US"/>
                        </w:rPr>
                        <w:t xml:space="preserve">than </w:t>
                      </w:r>
                      <w:r>
                        <w:rPr>
                          <w:lang w:val="en-US"/>
                        </w:rPr>
                        <w:t>in 2019</w:t>
                      </w:r>
                      <w:r w:rsidR="00575C63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1C502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5759753</wp:posOffset>
                </wp:positionH>
                <wp:positionV relativeFrom="paragraph">
                  <wp:posOffset>1181624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E3772" w:rsidRDefault="00B519FF" w:rsidP="001C5029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  <w:r w:rsidR="007418A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 dwelling </w:t>
                            </w:r>
                            <w:r w:rsidR="004425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completed in January 2020 was 92.9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proofErr w:type="spellStart"/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sq</w:t>
                            </w:r>
                            <w:proofErr w:type="spellEnd"/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3.5pt;margin-top:93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tRr71&#10;3wAAAAwBAAAPAAAAAAAAAAAAAAAAAGYEAABkcnMvZG93bnJldi54bWxQSwUGAAAAAAQABADzAAAA&#10;cgUAAAAA&#10;" filled="f" stroked="f">
                <v:textbox>
                  <w:txbxContent>
                    <w:p w:rsidR="00B519FF" w:rsidRPr="00AE3772" w:rsidRDefault="00B519FF" w:rsidP="001C5029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="007418A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 dwelling </w:t>
                      </w:r>
                      <w:r w:rsidR="004425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completed in January 2020 was 92.9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proofErr w:type="spellStart"/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sq</w:t>
                      </w:r>
                      <w:proofErr w:type="spellEnd"/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 xml:space="preserve">data, </w:t>
      </w:r>
      <w:r w:rsidR="008B2394">
        <w:rPr>
          <w:spacing w:val="-4"/>
          <w:shd w:val="clear" w:color="auto" w:fill="FFFFFF"/>
          <w:lang w:val="en-US"/>
        </w:rPr>
        <w:t>17</w:t>
      </w:r>
      <w:r w:rsidR="00D45F1D">
        <w:rPr>
          <w:spacing w:val="-4"/>
          <w:shd w:val="clear" w:color="auto" w:fill="FFFFFF"/>
          <w:lang w:val="en-US"/>
        </w:rPr>
        <w:t>.</w:t>
      </w:r>
      <w:r w:rsidR="008B2394">
        <w:rPr>
          <w:spacing w:val="-4"/>
          <w:shd w:val="clear" w:color="auto" w:fill="FFFFFF"/>
          <w:lang w:val="en-US"/>
        </w:rPr>
        <w:t>4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C733A3" w:rsidRPr="00C733A3">
        <w:rPr>
          <w:spacing w:val="-4"/>
          <w:shd w:val="clear" w:color="auto" w:fill="FFFFFF"/>
          <w:lang w:val="en-US"/>
        </w:rPr>
        <w:t>thous</w:t>
      </w:r>
      <w:proofErr w:type="spellEnd"/>
      <w:r w:rsidR="00C733A3" w:rsidRPr="00C733A3">
        <w:rPr>
          <w:spacing w:val="-4"/>
          <w:shd w:val="clear" w:color="auto" w:fill="FFFFFF"/>
          <w:lang w:val="en-US"/>
        </w:rPr>
        <w:t>. dwellings were co</w:t>
      </w:r>
      <w:r w:rsidR="008B2394">
        <w:rPr>
          <w:spacing w:val="-4"/>
          <w:shd w:val="clear" w:color="auto" w:fill="FFFFFF"/>
          <w:lang w:val="en-US"/>
        </w:rPr>
        <w:t>mpleted in</w:t>
      </w:r>
      <w:r w:rsidR="00F54505">
        <w:rPr>
          <w:spacing w:val="-4"/>
          <w:shd w:val="clear" w:color="auto" w:fill="FFFFFF"/>
          <w:lang w:val="en-US"/>
        </w:rPr>
        <w:t xml:space="preserve"> January</w:t>
      </w:r>
      <w:r w:rsidR="008B2394">
        <w:rPr>
          <w:spacing w:val="-4"/>
          <w:shd w:val="clear" w:color="auto" w:fill="FFFFFF"/>
          <w:lang w:val="en-US"/>
        </w:rPr>
        <w:t xml:space="preserve"> 2020</w:t>
      </w:r>
      <w:r w:rsidR="009664CD">
        <w:rPr>
          <w:spacing w:val="-4"/>
          <w:shd w:val="clear" w:color="auto" w:fill="FFFFFF"/>
          <w:lang w:val="en-US"/>
        </w:rPr>
        <w:t xml:space="preserve">, i.e. by </w:t>
      </w:r>
      <w:r w:rsidR="008B2394">
        <w:rPr>
          <w:spacing w:val="-4"/>
          <w:shd w:val="clear" w:color="auto" w:fill="FFFFFF"/>
          <w:lang w:val="en-US"/>
        </w:rPr>
        <w:t>0</w:t>
      </w:r>
      <w:r w:rsidR="0042048D">
        <w:rPr>
          <w:spacing w:val="-4"/>
          <w:shd w:val="clear" w:color="auto" w:fill="FFFFFF"/>
          <w:lang w:val="en-US"/>
        </w:rPr>
        <w:t>.</w:t>
      </w:r>
      <w:r w:rsidR="008B2394">
        <w:rPr>
          <w:spacing w:val="-4"/>
          <w:shd w:val="clear" w:color="auto" w:fill="FFFFFF"/>
          <w:lang w:val="en-US"/>
        </w:rPr>
        <w:t>5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8B2394">
        <w:rPr>
          <w:spacing w:val="-4"/>
          <w:shd w:val="clear" w:color="auto" w:fill="FFFFFF"/>
          <w:lang w:val="en-US"/>
        </w:rPr>
        <w:t>1</w:t>
      </w:r>
      <w:r w:rsidR="000D348A">
        <w:rPr>
          <w:spacing w:val="-4"/>
          <w:shd w:val="clear" w:color="auto" w:fill="FFFFFF"/>
          <w:lang w:val="en-US"/>
        </w:rPr>
        <w:t>0</w:t>
      </w:r>
      <w:r w:rsidR="00D45F1D">
        <w:rPr>
          <w:spacing w:val="-4"/>
          <w:shd w:val="clear" w:color="auto" w:fill="FFFFFF"/>
          <w:lang w:val="en-US"/>
        </w:rPr>
        <w:t>.</w:t>
      </w:r>
      <w:r w:rsidR="008B2394">
        <w:rPr>
          <w:spacing w:val="-4"/>
          <w:shd w:val="clear" w:color="auto" w:fill="FFFFFF"/>
          <w:lang w:val="en-US"/>
        </w:rPr>
        <w:t>6</w:t>
      </w:r>
      <w:r w:rsidR="00A72CF4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A72CF4">
        <w:rPr>
          <w:spacing w:val="-4"/>
          <w:shd w:val="clear" w:color="auto" w:fill="FFFFFF"/>
          <w:lang w:val="en-US"/>
        </w:rPr>
        <w:t>thous</w:t>
      </w:r>
      <w:proofErr w:type="spellEnd"/>
      <w:r w:rsidR="00A72CF4">
        <w:rPr>
          <w:spacing w:val="-4"/>
          <w:shd w:val="clear" w:color="auto" w:fill="FFFFFF"/>
          <w:lang w:val="en-US"/>
        </w:rPr>
        <w:t xml:space="preserve">. dwellings </w:t>
      </w:r>
      <w:r w:rsidR="008B2394">
        <w:rPr>
          <w:spacing w:val="-4"/>
          <w:shd w:val="clear" w:color="auto" w:fill="FFFFFF"/>
          <w:lang w:val="en-US"/>
        </w:rPr>
        <w:t>(0.8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8B2394">
        <w:rPr>
          <w:spacing w:val="-4"/>
          <w:shd w:val="clear" w:color="auto" w:fill="FFFFFF"/>
          <w:lang w:val="en-US"/>
        </w:rPr>
        <w:t>less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8B2394">
        <w:rPr>
          <w:spacing w:val="-4"/>
          <w:shd w:val="clear" w:color="auto" w:fill="FFFFFF"/>
          <w:lang w:val="en-US"/>
        </w:rPr>
        <w:t>month of 2019</w:t>
      </w:r>
      <w:r w:rsidR="00C733A3">
        <w:rPr>
          <w:spacing w:val="-4"/>
          <w:shd w:val="clear" w:color="auto" w:fill="FFFFFF"/>
          <w:lang w:val="en-US"/>
        </w:rPr>
        <w:t xml:space="preserve">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proofErr w:type="spellEnd"/>
      <w:r w:rsidR="00837231">
        <w:rPr>
          <w:spacing w:val="-4"/>
          <w:shd w:val="clear" w:color="auto" w:fill="FFFFFF"/>
          <w:lang w:val="en-US"/>
        </w:rPr>
        <w:t xml:space="preserve"> completed </w:t>
      </w:r>
      <w:r w:rsidR="00C94AC8">
        <w:rPr>
          <w:spacing w:val="-4"/>
          <w:shd w:val="clear" w:color="auto" w:fill="FFFFFF"/>
          <w:lang w:val="en-US"/>
        </w:rPr>
        <w:t>6.4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C733A3" w:rsidRPr="00C733A3">
        <w:rPr>
          <w:spacing w:val="-4"/>
          <w:shd w:val="clear" w:color="auto" w:fill="FFFFFF"/>
          <w:lang w:val="en-US"/>
        </w:rPr>
        <w:t>thous</w:t>
      </w:r>
      <w:proofErr w:type="spellEnd"/>
      <w:r w:rsidR="00C733A3" w:rsidRPr="00C733A3">
        <w:rPr>
          <w:spacing w:val="-4"/>
          <w:shd w:val="clear" w:color="auto" w:fill="FFFFFF"/>
          <w:lang w:val="en-US"/>
        </w:rPr>
        <w:t xml:space="preserve">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C94AC8">
        <w:rPr>
          <w:spacing w:val="-4"/>
          <w:shd w:val="clear" w:color="auto" w:fill="FFFFFF"/>
          <w:lang w:val="en-US"/>
        </w:rPr>
        <w:t>2</w:t>
      </w:r>
      <w:r w:rsidR="00837231">
        <w:rPr>
          <w:spacing w:val="-4"/>
          <w:shd w:val="clear" w:color="auto" w:fill="FFFFFF"/>
          <w:lang w:val="en-US"/>
        </w:rPr>
        <w:t>.</w:t>
      </w:r>
      <w:r w:rsidR="00C94AC8">
        <w:rPr>
          <w:spacing w:val="-4"/>
          <w:shd w:val="clear" w:color="auto" w:fill="FFFFFF"/>
          <w:lang w:val="en-US"/>
        </w:rPr>
        <w:t>6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 w:rsidR="00C94AC8">
        <w:rPr>
          <w:spacing w:val="-4"/>
          <w:shd w:val="clear" w:color="auto" w:fill="FFFFFF"/>
          <w:lang w:val="en-US"/>
        </w:rPr>
        <w:t>2019</w:t>
      </w:r>
      <w:r>
        <w:rPr>
          <w:spacing w:val="-4"/>
          <w:shd w:val="clear" w:color="auto" w:fill="FFFFFF"/>
          <w:lang w:val="en-US"/>
        </w:rPr>
        <w:t xml:space="preserve">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C94AC8">
        <w:rPr>
          <w:spacing w:val="-4"/>
          <w:shd w:val="clear" w:color="auto" w:fill="FFFFFF"/>
          <w:lang w:val="en-US"/>
        </w:rPr>
        <w:t>98</w:t>
      </w:r>
      <w:r w:rsidR="00E724BA">
        <w:rPr>
          <w:spacing w:val="-4"/>
          <w:shd w:val="clear" w:color="auto" w:fill="FFFFFF"/>
          <w:lang w:val="en-US"/>
        </w:rPr>
        <w:t>.</w:t>
      </w:r>
      <w:r w:rsidR="00C94AC8">
        <w:rPr>
          <w:spacing w:val="-4"/>
          <w:shd w:val="clear" w:color="auto" w:fill="FFFFFF"/>
          <w:lang w:val="en-US"/>
        </w:rPr>
        <w:t xml:space="preserve">0% of a total number of </w:t>
      </w:r>
      <w:r w:rsidR="00C733A3" w:rsidRPr="00C733A3">
        <w:rPr>
          <w:spacing w:val="-4"/>
          <w:shd w:val="clear" w:color="auto" w:fill="FFFFFF"/>
          <w:lang w:val="en-US"/>
        </w:rPr>
        <w:t>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C94AC8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C94AC8">
        <w:rPr>
          <w:spacing w:val="-4"/>
          <w:shd w:val="clear" w:color="auto" w:fill="FFFFFF"/>
          <w:lang w:val="en-US"/>
        </w:rPr>
        <w:t>248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C94AC8">
        <w:rPr>
          <w:spacing w:val="-4"/>
          <w:shd w:val="clear" w:color="auto" w:fill="FFFFFF"/>
          <w:lang w:val="en-US"/>
        </w:rPr>
        <w:t>81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FF795E">
        <w:rPr>
          <w:spacing w:val="-4"/>
          <w:shd w:val="clear" w:color="auto" w:fill="FFFFFF"/>
          <w:lang w:val="en-US"/>
        </w:rPr>
        <w:t xml:space="preserve">ellings); </w:t>
      </w:r>
      <w:r w:rsidR="00FF795E" w:rsidRPr="00FF795E">
        <w:rPr>
          <w:lang w:val="en-GB"/>
        </w:rPr>
        <w:t>i</w:t>
      </w:r>
      <w:r w:rsidR="003A358E" w:rsidRPr="00FF795E">
        <w:rPr>
          <w:lang w:val="en-GB"/>
        </w:rPr>
        <w:t>n</w:t>
      </w:r>
      <w:r w:rsidR="00FF795E">
        <w:rPr>
          <w:lang w:val="en-GB"/>
        </w:rPr>
        <w:t> </w:t>
      </w:r>
      <w:r w:rsidR="003A358E" w:rsidRPr="00FF795E">
        <w:rPr>
          <w:b/>
          <w:lang w:val="en-GB"/>
        </w:rPr>
        <w:t>other</w:t>
      </w:r>
      <w:r w:rsidR="003A358E" w:rsidRPr="00435283">
        <w:rPr>
          <w:b/>
          <w:spacing w:val="-4"/>
          <w:shd w:val="clear" w:color="auto" w:fill="FFFFFF"/>
          <w:lang w:val="en-US"/>
        </w:rPr>
        <w:t xml:space="preserve">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C94AC8">
        <w:rPr>
          <w:spacing w:val="-4"/>
          <w:shd w:val="clear" w:color="auto" w:fill="FFFFFF"/>
          <w:lang w:val="en-US"/>
        </w:rPr>
        <w:t>105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</w:t>
      </w:r>
      <w:r w:rsidR="00C94AC8">
        <w:rPr>
          <w:spacing w:val="-4"/>
          <w:shd w:val="clear" w:color="auto" w:fill="FFFFFF"/>
          <w:lang w:val="en-US"/>
        </w:rPr>
        <w:t xml:space="preserve"> (compared to 263 in January of the previous year)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C94AC8">
        <w:rPr>
          <w:shd w:val="clear" w:color="auto" w:fill="FFFFFF"/>
          <w:lang w:val="en-US"/>
        </w:rPr>
        <w:t>January 2020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C94AC8">
        <w:rPr>
          <w:shd w:val="clear" w:color="auto" w:fill="FFFFFF"/>
          <w:lang w:val="en-US"/>
        </w:rPr>
        <w:t>1</w:t>
      </w:r>
      <w:r w:rsidR="00837231">
        <w:rPr>
          <w:shd w:val="clear" w:color="auto" w:fill="FFFFFF"/>
          <w:lang w:val="en-US"/>
        </w:rPr>
        <w:t>.</w:t>
      </w:r>
      <w:r w:rsidR="00C94AC8">
        <w:rPr>
          <w:shd w:val="clear" w:color="auto" w:fill="FFFFFF"/>
          <w:lang w:val="en-US"/>
        </w:rPr>
        <w:t>6</w:t>
      </w:r>
      <w:r w:rsidR="00837231">
        <w:rPr>
          <w:shd w:val="clear" w:color="auto" w:fill="FFFFFF"/>
          <w:lang w:val="en-US"/>
        </w:rPr>
        <w:t xml:space="preserve"> m. </w:t>
      </w:r>
      <w:proofErr w:type="spellStart"/>
      <w:r w:rsidR="00837231">
        <w:rPr>
          <w:shd w:val="clear" w:color="auto" w:fill="FFFFFF"/>
          <w:lang w:val="en-US"/>
        </w:rPr>
        <w:t>sq</w:t>
      </w:r>
      <w:proofErr w:type="spellEnd"/>
      <w:r w:rsidR="00837231">
        <w:rPr>
          <w:shd w:val="clear" w:color="auto" w:fill="FFFFFF"/>
          <w:lang w:val="en-US"/>
        </w:rPr>
        <w:t xml:space="preserve"> m, i.e. by </w:t>
      </w:r>
      <w:r w:rsidR="00C94AC8">
        <w:rPr>
          <w:shd w:val="clear" w:color="auto" w:fill="FFFFFF"/>
          <w:lang w:val="en-US"/>
        </w:rPr>
        <w:t>3</w:t>
      </w:r>
      <w:r w:rsidR="00837231">
        <w:rPr>
          <w:shd w:val="clear" w:color="auto" w:fill="FFFFFF"/>
          <w:lang w:val="en-US"/>
        </w:rPr>
        <w:t>.</w:t>
      </w:r>
      <w:r w:rsidR="00C94AC8">
        <w:rPr>
          <w:shd w:val="clear" w:color="auto" w:fill="FFFFFF"/>
          <w:lang w:val="en-US"/>
        </w:rPr>
        <w:t>3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94AC8">
        <w:rPr>
          <w:shd w:val="clear" w:color="auto" w:fill="FFFFFF"/>
          <w:lang w:val="en-US"/>
        </w:rPr>
        <w:t>month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C94AC8">
        <w:rPr>
          <w:shd w:val="clear" w:color="auto" w:fill="FFFFFF"/>
          <w:lang w:val="en-US"/>
        </w:rPr>
        <w:t xml:space="preserve"> Compared to the January 2019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BF61F6">
        <w:rPr>
          <w:shd w:val="clear" w:color="auto" w:fill="FFFFFF"/>
          <w:lang w:val="en-US"/>
        </w:rPr>
        <w:t>a of 1 </w:t>
      </w:r>
      <w:r w:rsidR="00C94AC8">
        <w:rPr>
          <w:shd w:val="clear" w:color="auto" w:fill="FFFFFF"/>
          <w:lang w:val="en-US"/>
        </w:rPr>
        <w:t>dwelling in</w:t>
      </w:r>
      <w:r w:rsidR="00837231">
        <w:rPr>
          <w:shd w:val="clear" w:color="auto" w:fill="FFFFFF"/>
          <w:lang w:val="en-US"/>
        </w:rPr>
        <w:t xml:space="preserve">creased by </w:t>
      </w:r>
      <w:r w:rsidR="00C94AC8">
        <w:rPr>
          <w:shd w:val="clear" w:color="auto" w:fill="FFFFFF"/>
          <w:lang w:val="en-US"/>
        </w:rPr>
        <w:t>2</w:t>
      </w:r>
      <w:r w:rsidR="00837231">
        <w:rPr>
          <w:shd w:val="clear" w:color="auto" w:fill="FFFFFF"/>
          <w:lang w:val="en-US"/>
        </w:rPr>
        <w:t>.</w:t>
      </w:r>
      <w:r w:rsidR="00C94AC8">
        <w:rPr>
          <w:shd w:val="clear" w:color="auto" w:fill="FFFFFF"/>
          <w:lang w:val="en-US"/>
        </w:rPr>
        <w:t>6</w:t>
      </w:r>
      <w:r w:rsidRPr="00713DD1">
        <w:rPr>
          <w:shd w:val="clear" w:color="auto" w:fill="FFFFFF"/>
          <w:lang w:val="en-US"/>
        </w:rPr>
        <w:t xml:space="preserve"> </w:t>
      </w:r>
      <w:proofErr w:type="spellStart"/>
      <w:r w:rsidRPr="00713DD1">
        <w:rPr>
          <w:shd w:val="clear" w:color="auto" w:fill="FFFFFF"/>
          <w:lang w:val="en-US"/>
        </w:rPr>
        <w:t>sq</w:t>
      </w:r>
      <w:proofErr w:type="spellEnd"/>
      <w:r w:rsidRPr="00713DD1">
        <w:rPr>
          <w:shd w:val="clear" w:color="auto" w:fill="FFFFFF"/>
          <w:lang w:val="en-US"/>
        </w:rPr>
        <w:t xml:space="preserve">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C94AC8">
        <w:rPr>
          <w:shd w:val="clear" w:color="auto" w:fill="FFFFFF"/>
          <w:lang w:val="en-US"/>
        </w:rPr>
        <w:t>92</w:t>
      </w:r>
      <w:r w:rsidR="005D25AB">
        <w:rPr>
          <w:shd w:val="clear" w:color="auto" w:fill="FFFFFF"/>
          <w:lang w:val="en-US"/>
        </w:rPr>
        <w:t>.</w:t>
      </w:r>
      <w:r w:rsidR="00C94AC8">
        <w:rPr>
          <w:shd w:val="clear" w:color="auto" w:fill="FFFFFF"/>
          <w:lang w:val="en-US"/>
        </w:rPr>
        <w:t>9</w:t>
      </w:r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sq</w:t>
      </w:r>
      <w:proofErr w:type="spellEnd"/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proofErr w:type="spellEnd"/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Dwellings</w:t>
      </w:r>
      <w:proofErr w:type="spellEnd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completed</w:t>
      </w:r>
      <w:proofErr w:type="spellEnd"/>
    </w:p>
    <w:tbl>
      <w:tblPr>
        <w:tblStyle w:val="Siatkatabelijasna22"/>
        <w:tblpPr w:leftFromText="141" w:rightFromText="141" w:vertAnchor="text" w:horzAnchor="margin" w:tblpY="368"/>
        <w:tblW w:w="8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13"/>
        <w:gridCol w:w="2008"/>
        <w:gridCol w:w="1920"/>
        <w:gridCol w:w="1761"/>
      </w:tblGrid>
      <w:tr w:rsidR="00C94AC8" w:rsidRPr="00C94AC8" w:rsidTr="00482B77">
        <w:trPr>
          <w:trHeight w:val="256"/>
        </w:trPr>
        <w:tc>
          <w:tcPr>
            <w:tcW w:w="2313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:rsidR="00C94AC8" w:rsidRPr="00C94AC8" w:rsidRDefault="00C94AC8" w:rsidP="00C94AC8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689" w:type="dxa"/>
            <w:gridSpan w:val="3"/>
            <w:tcBorders>
              <w:top w:val="nil"/>
              <w:bottom w:val="single" w:sz="4" w:space="0" w:color="212492"/>
              <w:right w:val="nil"/>
            </w:tcBorders>
            <w:vAlign w:val="center"/>
          </w:tcPr>
          <w:p w:rsidR="00C94AC8" w:rsidRPr="00C94AC8" w:rsidRDefault="00C94AC8" w:rsidP="00C94A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 xml:space="preserve"> I  2020</w:t>
            </w:r>
          </w:p>
        </w:tc>
      </w:tr>
      <w:tr w:rsidR="00C94AC8" w:rsidRPr="00C94AC8" w:rsidTr="00482B77">
        <w:trPr>
          <w:trHeight w:val="21"/>
        </w:trPr>
        <w:tc>
          <w:tcPr>
            <w:tcW w:w="2313" w:type="dxa"/>
            <w:vMerge/>
            <w:tcBorders>
              <w:top w:val="single" w:sz="12" w:space="0" w:color="212492"/>
              <w:left w:val="nil"/>
              <w:bottom w:val="single" w:sz="12" w:space="0" w:color="212492"/>
            </w:tcBorders>
            <w:vAlign w:val="center"/>
          </w:tcPr>
          <w:p w:rsidR="00C94AC8" w:rsidRPr="00C94AC8" w:rsidRDefault="00C94AC8" w:rsidP="00C94AC8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C94AC8" w:rsidRPr="00C94AC8" w:rsidRDefault="00C94AC8" w:rsidP="00C94A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94AC8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C94AC8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94AC8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92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C94AC8" w:rsidRPr="00C94AC8" w:rsidRDefault="00C94AC8" w:rsidP="00C94A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I 2019=100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C94AC8" w:rsidRPr="00C94AC8" w:rsidRDefault="00C94AC8" w:rsidP="00C94A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XII 2019=100</w:t>
            </w:r>
          </w:p>
        </w:tc>
      </w:tr>
      <w:tr w:rsidR="00C94AC8" w:rsidRPr="00C94AC8" w:rsidTr="005462FE">
        <w:trPr>
          <w:trHeight w:val="60"/>
        </w:trPr>
        <w:tc>
          <w:tcPr>
            <w:tcW w:w="2313" w:type="dxa"/>
            <w:tcBorders>
              <w:top w:val="single" w:sz="12" w:space="0" w:color="212492"/>
            </w:tcBorders>
            <w:vAlign w:val="center"/>
          </w:tcPr>
          <w:p w:rsidR="00C94AC8" w:rsidRPr="00FA5128" w:rsidRDefault="0044258C" w:rsidP="00C94AC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008" w:type="dxa"/>
            <w:tcBorders>
              <w:top w:val="single" w:sz="4" w:space="0" w:color="212492"/>
            </w:tcBorders>
            <w:vAlign w:val="center"/>
          </w:tcPr>
          <w:p w:rsidR="00C94AC8" w:rsidRPr="00C94AC8" w:rsidRDefault="00C94AC8" w:rsidP="00C94A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94AC8">
              <w:rPr>
                <w:b/>
                <w:color w:val="000000" w:themeColor="text1"/>
                <w:sz w:val="16"/>
                <w:szCs w:val="16"/>
              </w:rPr>
              <w:t>17 409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94AC8" w:rsidRPr="00C94AC8" w:rsidRDefault="006F3F3D" w:rsidP="00C94A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100.</w:t>
            </w:r>
            <w:r w:rsidR="00C94AC8" w:rsidRPr="00C94AC8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61" w:type="dxa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:rsidR="00C94AC8" w:rsidRPr="00C94AC8" w:rsidRDefault="006F3F3D" w:rsidP="00C94A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75.</w:t>
            </w:r>
            <w:r w:rsidR="00C94AC8" w:rsidRPr="00C94AC8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C94AC8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94AC8" w:rsidRPr="00A569FC" w:rsidRDefault="00C94AC8" w:rsidP="00C94A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2008" w:type="dxa"/>
            <w:vAlign w:val="center"/>
          </w:tcPr>
          <w:p w:rsidR="00C94AC8" w:rsidRPr="00C94AC8" w:rsidRDefault="00C94AC8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6 434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102.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94AC8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94AC8" w:rsidRPr="00A569FC" w:rsidRDefault="00C94AC8" w:rsidP="00C94A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2008" w:type="dxa"/>
            <w:vAlign w:val="center"/>
          </w:tcPr>
          <w:p w:rsidR="00C94AC8" w:rsidRPr="00C94AC8" w:rsidRDefault="00C94AC8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10 622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C94AC8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94AC8" w:rsidRPr="00C94AC8" w:rsidRDefault="00C94AC8" w:rsidP="00C94AC8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 w:rsidR="00642778"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footnoteReference w:id="3"/>
            </w:r>
          </w:p>
        </w:tc>
        <w:tc>
          <w:tcPr>
            <w:tcW w:w="2008" w:type="dxa"/>
            <w:vAlign w:val="center"/>
          </w:tcPr>
          <w:p w:rsidR="00C94AC8" w:rsidRPr="00C94AC8" w:rsidRDefault="00C94AC8" w:rsidP="00C94AC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C94AC8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94AC8" w:rsidRPr="00A569FC" w:rsidRDefault="00C94AC8" w:rsidP="00C94AC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2008" w:type="dxa"/>
            <w:vAlign w:val="center"/>
          </w:tcPr>
          <w:p w:rsidR="00C94AC8" w:rsidRPr="00C94AC8" w:rsidRDefault="00C94AC8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248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306.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162.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C94AC8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94AC8" w:rsidRPr="00964B1A" w:rsidRDefault="00C94AC8" w:rsidP="00C94A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2008" w:type="dxa"/>
            <w:tcBorders>
              <w:bottom w:val="single" w:sz="4" w:space="0" w:color="212492"/>
            </w:tcBorders>
            <w:vAlign w:val="center"/>
          </w:tcPr>
          <w:p w:rsidR="00C94AC8" w:rsidRPr="00C94AC8" w:rsidRDefault="00C94AC8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C94AC8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94AC8" w:rsidRPr="00C57EF3" w:rsidRDefault="00C94AC8" w:rsidP="00C94A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2008" w:type="dxa"/>
            <w:tcBorders>
              <w:bottom w:val="single" w:sz="4" w:space="0" w:color="212492"/>
            </w:tcBorders>
            <w:vAlign w:val="center"/>
          </w:tcPr>
          <w:p w:rsidR="00C94AC8" w:rsidRPr="00C94AC8" w:rsidRDefault="00C94AC8" w:rsidP="00C94AC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94AC8" w:rsidRPr="00C94AC8" w:rsidRDefault="006F3F3D" w:rsidP="00C94AC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34.</w:t>
            </w:r>
            <w:r w:rsidR="00C94AC8" w:rsidRPr="00C94AC8">
              <w:rPr>
                <w:color w:val="000000" w:themeColor="text1"/>
                <w:sz w:val="16"/>
                <w:szCs w:val="16"/>
              </w:rPr>
              <w:t>7</w:t>
            </w:r>
          </w:p>
        </w:tc>
      </w:tr>
      <w:tr w:rsidR="00C94AC8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C94AC8" w:rsidRPr="008C0EBD" w:rsidRDefault="00C94AC8" w:rsidP="00C94A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2008" w:type="dxa"/>
            <w:tcBorders>
              <w:top w:val="single" w:sz="4" w:space="0" w:color="212492"/>
              <w:bottom w:val="nil"/>
            </w:tcBorders>
            <w:vAlign w:val="center"/>
          </w:tcPr>
          <w:p w:rsidR="00C94AC8" w:rsidRPr="00C94AC8" w:rsidRDefault="00C94AC8" w:rsidP="00C94AC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C94AC8" w:rsidRPr="00C94AC8" w:rsidRDefault="00C94AC8" w:rsidP="00C94AC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61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:rsidR="00C94AC8" w:rsidRPr="00C94AC8" w:rsidRDefault="00C94AC8" w:rsidP="00C94AC8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896EB9" w:rsidRPr="00E55DC7" w:rsidRDefault="006E5F0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5704619</wp:posOffset>
                </wp:positionH>
                <wp:positionV relativeFrom="paragraph">
                  <wp:posOffset>258058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19FF" w:rsidRPr="00AD1492" w:rsidRDefault="00B519FF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FF795E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44258C">
                              <w:rPr>
                                <w:lang w:val="en-US"/>
                              </w:rPr>
                              <w:t>11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44258C">
                              <w:rPr>
                                <w:lang w:val="en-US"/>
                              </w:rPr>
                              <w:t>0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44258C">
                              <w:rPr>
                                <w:lang w:val="en-US"/>
                              </w:rPr>
                              <w:t>January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9.2pt;margin-top:20.3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QK23veIAAAALAQAA&#10;DwAAAAAAAAAAAAAAAACUBAAAZHJzL2Rvd25yZXYueG1sUEsFBgAAAAAEAAQA8wAAAKMFAAAAAA==&#10;" filled="f" stroked="f" strokeweight=".5pt">
                <v:textbox>
                  <w:txbxContent>
                    <w:p w:rsidR="00B519FF" w:rsidRPr="00AD1492" w:rsidRDefault="00B519FF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FF795E"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44258C">
                        <w:rPr>
                          <w:lang w:val="en-US"/>
                        </w:rPr>
                        <w:t>11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44258C">
                        <w:rPr>
                          <w:lang w:val="en-US"/>
                        </w:rPr>
                        <w:t>0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 w:rsidR="0044258C">
                        <w:rPr>
                          <w:lang w:val="en-US"/>
                        </w:rPr>
                        <w:t>January 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 xml:space="preserve">Dwellings for which permits have been granted or which have been registered with </w:t>
      </w:r>
      <w:r w:rsidR="00896EB9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br/>
        <w:t>a construction project</w:t>
      </w:r>
    </w:p>
    <w:p w:rsidR="00C47CE4" w:rsidRPr="00611CFA" w:rsidRDefault="00BD1D77" w:rsidP="00896EB9">
      <w:pPr>
        <w:rPr>
          <w:b/>
          <w:shd w:val="clear" w:color="auto" w:fill="FFFFFF"/>
          <w:lang w:val="en-US"/>
        </w:rPr>
      </w:pPr>
      <w:r w:rsidRPr="00BD1D77">
        <w:rPr>
          <w:szCs w:val="19"/>
          <w:shd w:val="clear" w:color="auto" w:fill="FFFFFF"/>
          <w:lang w:val="en-GB"/>
        </w:rPr>
        <w:t>I</w:t>
      </w:r>
      <w:r w:rsidRPr="00425FE5">
        <w:rPr>
          <w:szCs w:val="19"/>
          <w:shd w:val="clear" w:color="auto" w:fill="FFFFFF"/>
          <w:lang w:val="en-GB"/>
        </w:rPr>
        <w:t xml:space="preserve">n </w:t>
      </w:r>
      <w:r w:rsidR="0044258C">
        <w:rPr>
          <w:szCs w:val="19"/>
          <w:shd w:val="clear" w:color="auto" w:fill="FFFFFF"/>
          <w:lang w:val="en-GB"/>
        </w:rPr>
        <w:t>January 2020</w:t>
      </w:r>
      <w:r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44258C">
        <w:rPr>
          <w:shd w:val="clear" w:color="auto" w:fill="FFFFFF"/>
          <w:lang w:val="en-US"/>
        </w:rPr>
        <w:t>1</w:t>
      </w:r>
      <w:r w:rsidR="003E3031">
        <w:rPr>
          <w:shd w:val="clear" w:color="auto" w:fill="FFFFFF"/>
          <w:lang w:val="en-US"/>
        </w:rPr>
        <w:t>8</w:t>
      </w:r>
      <w:r w:rsidR="00F06543">
        <w:rPr>
          <w:shd w:val="clear" w:color="auto" w:fill="FFFFFF"/>
          <w:lang w:val="en-US"/>
        </w:rPr>
        <w:t>.</w:t>
      </w:r>
      <w:r w:rsidR="0044258C">
        <w:rPr>
          <w:shd w:val="clear" w:color="auto" w:fill="FFFFFF"/>
          <w:lang w:val="en-US"/>
        </w:rPr>
        <w:t>4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44258C">
        <w:rPr>
          <w:shd w:val="clear" w:color="auto" w:fill="FFFFFF"/>
          <w:lang w:val="en-US"/>
        </w:rPr>
        <w:t>11</w:t>
      </w:r>
      <w:r w:rsidR="00E245E1">
        <w:rPr>
          <w:shd w:val="clear" w:color="auto" w:fill="FFFFFF"/>
          <w:lang w:val="en-US"/>
        </w:rPr>
        <w:t>.</w:t>
      </w:r>
      <w:r w:rsidR="0044258C">
        <w:rPr>
          <w:shd w:val="clear" w:color="auto" w:fill="FFFFFF"/>
          <w:lang w:val="en-US"/>
        </w:rPr>
        <w:t>0</w:t>
      </w:r>
      <w:r w:rsidR="00C47CE4">
        <w:rPr>
          <w:shd w:val="clear" w:color="auto" w:fill="FFFFFF"/>
          <w:lang w:val="en-US"/>
        </w:rPr>
        <w:t xml:space="preserve">% </w:t>
      </w:r>
      <w:r w:rsidR="00C03049">
        <w:rPr>
          <w:shd w:val="clear" w:color="auto" w:fill="FFFFFF"/>
          <w:lang w:val="en-US"/>
        </w:rPr>
        <w:t>less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44258C">
        <w:rPr>
          <w:shd w:val="clear" w:color="auto" w:fill="FFFFFF"/>
          <w:lang w:val="en-US"/>
        </w:rPr>
        <w:t>month</w:t>
      </w:r>
      <w:r w:rsidR="00856FE3">
        <w:rPr>
          <w:shd w:val="clear" w:color="auto" w:fill="FFFFFF"/>
          <w:lang w:val="en-US"/>
        </w:rPr>
        <w:t xml:space="preserve"> of</w:t>
      </w:r>
      <w:r w:rsidR="0044258C">
        <w:rPr>
          <w:shd w:val="clear" w:color="auto" w:fill="FFFFFF"/>
          <w:lang w:val="en-US"/>
        </w:rPr>
        <w:t xml:space="preserve"> 2019</w:t>
      </w:r>
      <w:r w:rsidR="00856FE3">
        <w:rPr>
          <w:shd w:val="clear" w:color="auto" w:fill="FFFFFF"/>
          <w:lang w:val="en-US"/>
        </w:rPr>
        <w:t xml:space="preserve">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>
        <w:rPr>
          <w:shd w:val="clear" w:color="auto" w:fill="FFFFFF"/>
          <w:lang w:val="en-US"/>
        </w:rPr>
        <w:t>(</w:t>
      </w:r>
      <w:r w:rsidR="0044258C">
        <w:rPr>
          <w:shd w:val="clear" w:color="auto" w:fill="FFFFFF"/>
          <w:lang w:val="en-US"/>
        </w:rPr>
        <w:t>11.5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>
        <w:rPr>
          <w:shd w:val="clear" w:color="auto" w:fill="FFFFFF"/>
          <w:lang w:val="en-US"/>
        </w:rPr>
        <w:t xml:space="preserve"> (</w:t>
      </w:r>
      <w:r w:rsidR="000D348A">
        <w:rPr>
          <w:shd w:val="clear" w:color="auto" w:fill="FFFFFF"/>
          <w:lang w:val="en-US"/>
        </w:rPr>
        <w:t>6</w:t>
      </w:r>
      <w:r w:rsidR="001A1F89">
        <w:rPr>
          <w:shd w:val="clear" w:color="auto" w:fill="FFFFFF"/>
          <w:lang w:val="en-US"/>
        </w:rPr>
        <w:t>.</w:t>
      </w:r>
      <w:r w:rsidR="000D348A">
        <w:rPr>
          <w:shd w:val="clear" w:color="auto" w:fill="FFFFFF"/>
          <w:lang w:val="en-US"/>
        </w:rPr>
        <w:t>8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0D348A">
        <w:rPr>
          <w:shd w:val="clear" w:color="auto" w:fill="FFFFFF"/>
          <w:lang w:val="en-US"/>
        </w:rPr>
        <w:t xml:space="preserve">respectively </w:t>
      </w:r>
      <w:r w:rsidR="00495B6E">
        <w:rPr>
          <w:shd w:val="clear" w:color="auto" w:fill="FFFFFF"/>
          <w:lang w:val="en-US"/>
        </w:rPr>
        <w:t xml:space="preserve">by </w:t>
      </w:r>
      <w:r w:rsidR="0044258C">
        <w:rPr>
          <w:shd w:val="clear" w:color="auto" w:fill="FFFFFF"/>
          <w:lang w:val="en-US"/>
        </w:rPr>
        <w:t>17.8</w:t>
      </w:r>
      <w:r w:rsidR="000D348A">
        <w:rPr>
          <w:shd w:val="clear" w:color="auto" w:fill="FFFFFF"/>
          <w:lang w:val="en-US"/>
        </w:rPr>
        <w:t xml:space="preserve">% </w:t>
      </w:r>
      <w:r w:rsidR="0044258C">
        <w:rPr>
          <w:shd w:val="clear" w:color="auto" w:fill="FFFFFF"/>
          <w:lang w:val="en-US"/>
        </w:rPr>
        <w:t>less and 13.0</w:t>
      </w:r>
      <w:r w:rsidR="000D348A">
        <w:rPr>
          <w:shd w:val="clear" w:color="auto" w:fill="FFFFFF"/>
          <w:lang w:val="en-US"/>
        </w:rPr>
        <w:t>%</w:t>
      </w:r>
      <w:r w:rsidR="006E5F08">
        <w:rPr>
          <w:shd w:val="clear" w:color="auto" w:fill="FFFFFF"/>
          <w:lang w:val="en-US"/>
        </w:rPr>
        <w:t xml:space="preserve"> </w:t>
      </w:r>
      <w:r w:rsidR="000712A2">
        <w:rPr>
          <w:shd w:val="clear" w:color="auto" w:fill="FFFFFF"/>
          <w:lang w:val="en-US"/>
        </w:rPr>
        <w:t>more</w:t>
      </w:r>
      <w:r w:rsidR="003A358E">
        <w:rPr>
          <w:shd w:val="clear" w:color="auto" w:fill="FFFFFF"/>
          <w:lang w:val="en-US"/>
        </w:rPr>
        <w:t xml:space="preserve"> than </w:t>
      </w:r>
      <w:r w:rsidR="0044258C">
        <w:rPr>
          <w:shd w:val="clear" w:color="auto" w:fill="FFFFFF"/>
          <w:lang w:val="en-US"/>
        </w:rPr>
        <w:t>in January 2019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44258C">
        <w:rPr>
          <w:shd w:val="clear" w:color="auto" w:fill="FFFFFF"/>
          <w:lang w:val="en-US"/>
        </w:rPr>
        <w:t>of construction amounted to 99</w:t>
      </w:r>
      <w:r w:rsidR="001A1F89">
        <w:rPr>
          <w:shd w:val="clear" w:color="auto" w:fill="FFFFFF"/>
          <w:lang w:val="en-US"/>
        </w:rPr>
        <w:t>.</w:t>
      </w:r>
      <w:r w:rsidR="000D1A71">
        <w:rPr>
          <w:shd w:val="clear" w:color="auto" w:fill="FFFFFF"/>
          <w:lang w:val="en-US"/>
        </w:rPr>
        <w:t>4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AD30D2">
        <w:rPr>
          <w:shd w:val="clear" w:color="auto" w:fill="FFFFFF"/>
          <w:lang w:val="en-US"/>
        </w:rPr>
        <w:t>Less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</w:t>
      </w:r>
      <w:r w:rsidR="0044258C">
        <w:rPr>
          <w:lang w:val="en-GB"/>
        </w:rPr>
        <w:t>January</w:t>
      </w:r>
      <w:r w:rsidR="00CE0F21">
        <w:rPr>
          <w:lang w:val="en-GB"/>
        </w:rPr>
        <w:t xml:space="preserve"> </w:t>
      </w:r>
      <w:r w:rsidR="0044258C">
        <w:rPr>
          <w:lang w:val="en-GB"/>
        </w:rPr>
        <w:t>2019</w:t>
      </w:r>
      <w:r w:rsidR="00CE0F21">
        <w:rPr>
          <w:lang w:val="en-GB"/>
        </w:rPr>
        <w:t xml:space="preserve">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44258C">
        <w:rPr>
          <w:shd w:val="clear" w:color="auto" w:fill="FFFFFF"/>
          <w:lang w:val="en-US"/>
        </w:rPr>
        <w:t>4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44258C">
        <w:rPr>
          <w:shd w:val="clear" w:color="auto" w:fill="FFFFFF"/>
          <w:lang w:val="en-US"/>
        </w:rPr>
        <w:t>40</w:t>
      </w:r>
      <w:r w:rsidR="00AD30D2">
        <w:rPr>
          <w:shd w:val="clear" w:color="auto" w:fill="FFFFFF"/>
          <w:lang w:val="en-US"/>
        </w:rPr>
        <w:t>) and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704521">
        <w:rPr>
          <w:shd w:val="clear" w:color="auto" w:fill="FFFFFF"/>
          <w:lang w:val="en-US"/>
        </w:rPr>
        <w:t>in</w:t>
      </w:r>
      <w:r w:rsidR="00704521" w:rsidRPr="00485E73">
        <w:rPr>
          <w:shd w:val="clear" w:color="auto" w:fill="FFFFFF"/>
          <w:lang w:val="en-US"/>
        </w:rPr>
        <w:t xml:space="preserve"> </w:t>
      </w:r>
      <w:r w:rsidR="00704521" w:rsidRPr="00485E73">
        <w:rPr>
          <w:b/>
          <w:shd w:val="clear" w:color="auto" w:fill="FFFFFF"/>
          <w:lang w:val="en-US"/>
        </w:rPr>
        <w:t xml:space="preserve">other forms </w:t>
      </w:r>
      <w:r w:rsidR="00704521" w:rsidRPr="00485E73">
        <w:rPr>
          <w:shd w:val="clear" w:color="auto" w:fill="FFFFFF"/>
          <w:lang w:val="en-US"/>
        </w:rPr>
        <w:t>of</w:t>
      </w:r>
      <w:r w:rsidR="00704521" w:rsidRPr="00485E73">
        <w:rPr>
          <w:b/>
          <w:shd w:val="clear" w:color="auto" w:fill="FFFFFF"/>
          <w:lang w:val="en-US"/>
        </w:rPr>
        <w:t xml:space="preserve"> </w:t>
      </w:r>
      <w:r w:rsidR="00704521" w:rsidRPr="00485E73">
        <w:rPr>
          <w:shd w:val="clear" w:color="auto" w:fill="FFFFFF"/>
          <w:lang w:val="en-US"/>
        </w:rPr>
        <w:t xml:space="preserve">construction </w:t>
      </w:r>
      <w:r w:rsidR="00616583" w:rsidRPr="00485E73">
        <w:rPr>
          <w:shd w:val="clear" w:color="auto" w:fill="FFFFFF"/>
          <w:lang w:val="en-US"/>
        </w:rPr>
        <w:t>(</w:t>
      </w:r>
      <w:r w:rsidR="0044258C">
        <w:rPr>
          <w:shd w:val="clear" w:color="auto" w:fill="FFFFFF"/>
          <w:lang w:val="en-US"/>
        </w:rPr>
        <w:t>103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44258C">
        <w:rPr>
          <w:shd w:val="clear" w:color="auto" w:fill="FFFFFF"/>
          <w:lang w:val="en-US"/>
        </w:rPr>
        <w:t>628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2"/>
        <w:tblpPr w:leftFromText="141" w:rightFromText="141" w:vertAnchor="text" w:horzAnchor="margin" w:tblpY="368"/>
        <w:tblW w:w="8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13"/>
        <w:gridCol w:w="2008"/>
        <w:gridCol w:w="1920"/>
        <w:gridCol w:w="1761"/>
      </w:tblGrid>
      <w:tr w:rsidR="00C03049" w:rsidRPr="00C94AC8" w:rsidTr="00C03049">
        <w:trPr>
          <w:trHeight w:val="256"/>
        </w:trPr>
        <w:tc>
          <w:tcPr>
            <w:tcW w:w="2313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:rsidR="00C03049" w:rsidRPr="00C94AC8" w:rsidRDefault="00C03049" w:rsidP="00C0304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689" w:type="dxa"/>
            <w:gridSpan w:val="3"/>
            <w:tcBorders>
              <w:top w:val="nil"/>
              <w:bottom w:val="single" w:sz="4" w:space="0" w:color="212492"/>
              <w:right w:val="nil"/>
            </w:tcBorders>
            <w:vAlign w:val="center"/>
          </w:tcPr>
          <w:p w:rsidR="00C03049" w:rsidRPr="00C94AC8" w:rsidRDefault="00C03049" w:rsidP="00C030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 xml:space="preserve"> I  2020</w:t>
            </w:r>
          </w:p>
        </w:tc>
      </w:tr>
      <w:tr w:rsidR="00C03049" w:rsidRPr="00C94AC8" w:rsidTr="00482B77">
        <w:trPr>
          <w:trHeight w:val="21"/>
        </w:trPr>
        <w:tc>
          <w:tcPr>
            <w:tcW w:w="2313" w:type="dxa"/>
            <w:vMerge/>
            <w:tcBorders>
              <w:top w:val="single" w:sz="12" w:space="0" w:color="212492"/>
              <w:left w:val="nil"/>
              <w:bottom w:val="single" w:sz="12" w:space="0" w:color="212492"/>
            </w:tcBorders>
            <w:vAlign w:val="center"/>
          </w:tcPr>
          <w:p w:rsidR="00C03049" w:rsidRPr="00C94AC8" w:rsidRDefault="00C03049" w:rsidP="00C0304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C03049" w:rsidRPr="00C94AC8" w:rsidRDefault="00C03049" w:rsidP="00C030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94AC8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C94AC8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94AC8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92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C03049" w:rsidRPr="00C94AC8" w:rsidRDefault="00C03049" w:rsidP="00C030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I 2019=100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C03049" w:rsidRPr="00C94AC8" w:rsidRDefault="00C03049" w:rsidP="00C0304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XII 2019=100</w:t>
            </w:r>
          </w:p>
        </w:tc>
      </w:tr>
      <w:tr w:rsidR="00C03049" w:rsidRPr="00C94AC8" w:rsidTr="00E34654">
        <w:trPr>
          <w:trHeight w:val="60"/>
        </w:trPr>
        <w:tc>
          <w:tcPr>
            <w:tcW w:w="2313" w:type="dxa"/>
            <w:tcBorders>
              <w:top w:val="single" w:sz="12" w:space="0" w:color="212492"/>
            </w:tcBorders>
            <w:vAlign w:val="center"/>
          </w:tcPr>
          <w:p w:rsidR="00C03049" w:rsidRPr="00FA5128" w:rsidRDefault="00C03049" w:rsidP="00C03049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008" w:type="dxa"/>
            <w:tcBorders>
              <w:top w:val="single" w:sz="4" w:space="0" w:color="212492"/>
            </w:tcBorders>
            <w:vAlign w:val="center"/>
          </w:tcPr>
          <w:p w:rsidR="00C03049" w:rsidRPr="00857F61" w:rsidRDefault="00C03049" w:rsidP="00C0304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7F61">
              <w:rPr>
                <w:b/>
                <w:color w:val="000000" w:themeColor="text1"/>
                <w:sz w:val="16"/>
                <w:szCs w:val="16"/>
              </w:rPr>
              <w:t>18 370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03049" w:rsidRPr="00857F61" w:rsidRDefault="00C03049" w:rsidP="00C0304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89.</w:t>
            </w:r>
            <w:r w:rsidRPr="00857F61">
              <w:rPr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03049" w:rsidRPr="00857F61" w:rsidRDefault="00C03049" w:rsidP="00C0304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91.</w:t>
            </w:r>
            <w:r w:rsidRPr="00857F61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C03049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03049" w:rsidRPr="00A569FC" w:rsidRDefault="00C03049" w:rsidP="00C030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2008" w:type="dxa"/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6 813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113.</w:t>
            </w:r>
            <w:r w:rsidRPr="00857F6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857F6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C03049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03049" w:rsidRPr="00A569FC" w:rsidRDefault="00C03049" w:rsidP="00C030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2008" w:type="dxa"/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11 450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82.</w:t>
            </w:r>
            <w:r w:rsidRPr="00857F6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</w:t>
            </w:r>
            <w:r w:rsidRPr="00857F6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03049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03049" w:rsidRPr="00A569FC" w:rsidRDefault="00C03049" w:rsidP="00C03049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2008" w:type="dxa"/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</w:t>
            </w:r>
            <w:r w:rsidRPr="00857F6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C03049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03049" w:rsidRPr="00964B1A" w:rsidRDefault="00C03049" w:rsidP="00C030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2008" w:type="dxa"/>
            <w:tcBorders>
              <w:bottom w:val="single" w:sz="4" w:space="0" w:color="212492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</w:t>
            </w:r>
            <w:r w:rsidRPr="00857F61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32.</w:t>
            </w:r>
            <w:r w:rsidRPr="00857F61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03049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03049" w:rsidRPr="00C57EF3" w:rsidRDefault="00C03049" w:rsidP="00C030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2008" w:type="dxa"/>
            <w:tcBorders>
              <w:bottom w:val="single" w:sz="4" w:space="0" w:color="212492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C03049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C03049" w:rsidRPr="008C0EBD" w:rsidRDefault="00C03049" w:rsidP="00C030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2008" w:type="dxa"/>
            <w:tcBorders>
              <w:top w:val="single" w:sz="4" w:space="0" w:color="212492"/>
              <w:bottom w:val="nil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61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:rsidR="00C03049" w:rsidRPr="00857F61" w:rsidRDefault="00C03049" w:rsidP="00C03049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in which construction has begun</w:t>
      </w:r>
    </w:p>
    <w:p w:rsidR="00095A18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January 2020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15.9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18.2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month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10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0D1A71">
        <w:rPr>
          <w:b w:val="0"/>
          <w:sz w:val="19"/>
          <w:szCs w:val="19"/>
          <w:shd w:val="clear" w:color="auto" w:fill="FFFFFF"/>
          <w:lang w:val="en-GB"/>
        </w:rPr>
        <w:t>0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EF69B8">
        <w:rPr>
          <w:b w:val="0"/>
          <w:sz w:val="19"/>
          <w:szCs w:val="19"/>
          <w:shd w:val="clear" w:color="auto" w:fill="FFFFFF"/>
          <w:lang w:val="en-GB"/>
        </w:rPr>
        <w:t>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5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.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4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 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i.e. altogether 97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.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2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ed by respectively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2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1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62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6% compared to 2019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DE7D23">
        <w:rPr>
          <w:b w:val="0"/>
          <w:sz w:val="19"/>
          <w:szCs w:val="19"/>
          <w:shd w:val="clear" w:color="auto" w:fill="FFFFFF"/>
          <w:lang w:val="en-GB"/>
        </w:rPr>
        <w:t>Whereas l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157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219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E1643">
        <w:rPr>
          <w:b w:val="0"/>
          <w:shd w:val="clear" w:color="auto" w:fill="FFFFFF"/>
          <w:lang w:val="en-US"/>
        </w:rPr>
        <w:t>while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F69B8">
        <w:rPr>
          <w:b w:val="0"/>
          <w:sz w:val="19"/>
          <w:szCs w:val="19"/>
          <w:shd w:val="clear" w:color="auto" w:fill="FFFFFF"/>
          <w:lang w:val="en-GB"/>
        </w:rPr>
        <w:t xml:space="preserve">more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>(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285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C03049">
        <w:rPr>
          <w:b w:val="0"/>
          <w:sz w:val="19"/>
          <w:szCs w:val="19"/>
          <w:shd w:val="clear" w:color="auto" w:fill="FFFFFF"/>
          <w:lang w:val="en-GB"/>
        </w:rPr>
        <w:t>71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B4601E" w:rsidRPr="00B4601E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B4601E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2"/>
        <w:tblpPr w:leftFromText="141" w:rightFromText="141" w:vertAnchor="text" w:horzAnchor="margin" w:tblpY="368"/>
        <w:tblW w:w="8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13"/>
        <w:gridCol w:w="2008"/>
        <w:gridCol w:w="1920"/>
        <w:gridCol w:w="1761"/>
      </w:tblGrid>
      <w:tr w:rsidR="00B4601E" w:rsidRPr="00C94AC8" w:rsidTr="00482B77">
        <w:trPr>
          <w:trHeight w:val="256"/>
        </w:trPr>
        <w:tc>
          <w:tcPr>
            <w:tcW w:w="2313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:rsidR="00B4601E" w:rsidRPr="00C94AC8" w:rsidRDefault="00B4601E" w:rsidP="00482B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689" w:type="dxa"/>
            <w:gridSpan w:val="3"/>
            <w:tcBorders>
              <w:top w:val="nil"/>
              <w:bottom w:val="single" w:sz="4" w:space="0" w:color="212492"/>
              <w:right w:val="nil"/>
            </w:tcBorders>
            <w:vAlign w:val="center"/>
          </w:tcPr>
          <w:p w:rsidR="00B4601E" w:rsidRPr="00C94AC8" w:rsidRDefault="00B4601E" w:rsidP="00482B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 xml:space="preserve"> I  2020</w:t>
            </w:r>
          </w:p>
        </w:tc>
      </w:tr>
      <w:tr w:rsidR="00B4601E" w:rsidRPr="00C94AC8" w:rsidTr="00482B77">
        <w:trPr>
          <w:trHeight w:val="21"/>
        </w:trPr>
        <w:tc>
          <w:tcPr>
            <w:tcW w:w="2313" w:type="dxa"/>
            <w:vMerge/>
            <w:tcBorders>
              <w:top w:val="single" w:sz="12" w:space="0" w:color="212492"/>
              <w:left w:val="nil"/>
              <w:bottom w:val="single" w:sz="12" w:space="0" w:color="212492"/>
            </w:tcBorders>
            <w:vAlign w:val="center"/>
          </w:tcPr>
          <w:p w:rsidR="00B4601E" w:rsidRPr="00C94AC8" w:rsidRDefault="00B4601E" w:rsidP="00482B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B4601E" w:rsidRPr="00C94AC8" w:rsidRDefault="00B4601E" w:rsidP="00482B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94AC8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C94AC8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94AC8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92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B4601E" w:rsidRPr="00C94AC8" w:rsidRDefault="00B4601E" w:rsidP="00482B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I 2019=100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B4601E" w:rsidRPr="00C94AC8" w:rsidRDefault="00B4601E" w:rsidP="00482B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94AC8">
              <w:rPr>
                <w:color w:val="000000" w:themeColor="text1"/>
                <w:sz w:val="16"/>
                <w:szCs w:val="16"/>
              </w:rPr>
              <w:t>XII 2019=100</w:t>
            </w:r>
          </w:p>
        </w:tc>
      </w:tr>
      <w:tr w:rsidR="00B4601E" w:rsidRPr="00C94AC8" w:rsidTr="00816DEE">
        <w:trPr>
          <w:trHeight w:val="60"/>
        </w:trPr>
        <w:tc>
          <w:tcPr>
            <w:tcW w:w="2313" w:type="dxa"/>
            <w:tcBorders>
              <w:top w:val="single" w:sz="12" w:space="0" w:color="212492"/>
            </w:tcBorders>
            <w:vAlign w:val="center"/>
          </w:tcPr>
          <w:p w:rsidR="00B4601E" w:rsidRPr="00FA5128" w:rsidRDefault="00B4601E" w:rsidP="00B4601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008" w:type="dxa"/>
            <w:tcBorders>
              <w:top w:val="single" w:sz="4" w:space="0" w:color="212492"/>
            </w:tcBorders>
            <w:vAlign w:val="center"/>
          </w:tcPr>
          <w:p w:rsidR="00B4601E" w:rsidRPr="00AD30E6" w:rsidRDefault="00B4601E" w:rsidP="00B4601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31962">
              <w:rPr>
                <w:b/>
                <w:color w:val="000000" w:themeColor="text1"/>
                <w:sz w:val="16"/>
                <w:szCs w:val="16"/>
              </w:rPr>
              <w:t>15 891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118.</w:t>
            </w:r>
            <w:r w:rsidRPr="0013196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single" w:sz="12" w:space="0" w:color="212492"/>
              <w:right w:val="nil"/>
            </w:tcBorders>
            <w:vAlign w:val="center"/>
          </w:tcPr>
          <w:p w:rsidR="00B4601E" w:rsidRPr="00AD30E6" w:rsidRDefault="00B4601E" w:rsidP="00B4601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100.</w:t>
            </w:r>
            <w:r w:rsidRPr="00131962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B4601E" w:rsidRPr="00C94AC8" w:rsidTr="00816DEE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B4601E" w:rsidRPr="00A569FC" w:rsidRDefault="00B4601E" w:rsidP="00B460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2008" w:type="dxa"/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5 420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162.</w:t>
            </w:r>
            <w:r w:rsidRPr="00131962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61" w:type="dxa"/>
            <w:tcBorders>
              <w:right w:val="nil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138.</w:t>
            </w:r>
            <w:r w:rsidRPr="0013196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4601E" w:rsidRPr="00C94AC8" w:rsidTr="00816DEE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B4601E" w:rsidRPr="00A569FC" w:rsidRDefault="00B4601E" w:rsidP="00B460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2008" w:type="dxa"/>
            <w:tcBorders>
              <w:bottom w:val="single" w:sz="4" w:space="0" w:color="212492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10 029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102.</w:t>
            </w:r>
            <w:r w:rsidRPr="0013196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1" w:type="dxa"/>
            <w:tcBorders>
              <w:bottom w:val="single" w:sz="4" w:space="0" w:color="212492"/>
              <w:right w:val="nil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</w:t>
            </w:r>
            <w:r w:rsidRPr="0013196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B4601E" w:rsidRPr="00C94AC8" w:rsidTr="00816DEE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B4601E" w:rsidRPr="00C94AC8" w:rsidRDefault="00B4601E" w:rsidP="00642778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 w:rsidR="00642778" w:rsidRPr="00642778">
              <w:rPr>
                <w:vertAlign w:val="superscript"/>
              </w:rPr>
              <w:t>3</w:t>
            </w:r>
          </w:p>
        </w:tc>
        <w:tc>
          <w:tcPr>
            <w:tcW w:w="2008" w:type="dxa"/>
            <w:tcBorders>
              <w:top w:val="single" w:sz="4" w:space="0" w:color="212492"/>
              <w:bottom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425.</w:t>
            </w:r>
            <w:r w:rsidRPr="0013196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auto"/>
              <w:right w:val="nil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51.</w:t>
            </w:r>
            <w:r w:rsidRPr="0013196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B4601E" w:rsidRPr="00C94AC8" w:rsidTr="00816DEE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B4601E" w:rsidRPr="00A569FC" w:rsidRDefault="00B4601E" w:rsidP="00B4601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212492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71.</w:t>
            </w:r>
            <w:r w:rsidRPr="00131962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212492"/>
              <w:right w:val="nil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B4601E" w:rsidRPr="00C94AC8" w:rsidTr="00816DEE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B4601E" w:rsidRPr="00964B1A" w:rsidRDefault="00B4601E" w:rsidP="00B460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200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261.</w:t>
            </w:r>
            <w:r w:rsidRPr="0013196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40.</w:t>
            </w:r>
            <w:r w:rsidRPr="00131962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B4601E" w:rsidRPr="00C94AC8" w:rsidTr="00816DEE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B4601E" w:rsidRPr="00C57EF3" w:rsidRDefault="00B4601E" w:rsidP="00B460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2008" w:type="dxa"/>
            <w:tcBorders>
              <w:top w:val="single" w:sz="4" w:space="0" w:color="212492"/>
              <w:bottom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auto"/>
              <w:right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422.</w:t>
            </w:r>
            <w:r w:rsidRPr="00131962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auto"/>
              <w:right w:val="nil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111.</w:t>
            </w:r>
            <w:r w:rsidRPr="00131962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B4601E" w:rsidRPr="00C94AC8" w:rsidTr="00482B77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B4601E" w:rsidRPr="008C0EBD" w:rsidRDefault="00B4601E" w:rsidP="00B4601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2008" w:type="dxa"/>
            <w:tcBorders>
              <w:top w:val="single" w:sz="4" w:space="0" w:color="212492"/>
              <w:bottom w:val="nil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20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61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:rsidR="00B4601E" w:rsidRPr="00AD30E6" w:rsidRDefault="00B4601E" w:rsidP="00B4601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154AC9" w:rsidRDefault="00154AC9" w:rsidP="003D5465">
      <w:pPr>
        <w:keepNext/>
        <w:spacing w:before="24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B4601E" w:rsidRDefault="00B4601E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in the end of </w:t>
      </w:r>
      <w:r w:rsidR="00B4601E">
        <w:rPr>
          <w:b w:val="0"/>
          <w:sz w:val="19"/>
          <w:szCs w:val="19"/>
          <w:shd w:val="clear" w:color="auto" w:fill="FFFFFF"/>
          <w:lang w:val="en-GB"/>
        </w:rPr>
        <w:t xml:space="preserve">January </w:t>
      </w:r>
      <w:r w:rsidR="006F3F3D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B4601E">
        <w:rPr>
          <w:b w:val="0"/>
          <w:sz w:val="19"/>
          <w:szCs w:val="19"/>
          <w:shd w:val="clear" w:color="auto" w:fill="FFFFFF"/>
          <w:lang w:val="en-GB"/>
        </w:rPr>
        <w:t xml:space="preserve"> there were 824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B4601E">
        <w:rPr>
          <w:b w:val="0"/>
          <w:sz w:val="19"/>
          <w:szCs w:val="19"/>
          <w:shd w:val="clear" w:color="auto" w:fill="FFFFFF"/>
          <w:lang w:val="en-GB"/>
        </w:rPr>
        <w:t>2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>
        <w:rPr>
          <w:b w:val="0"/>
          <w:sz w:val="19"/>
          <w:szCs w:val="19"/>
          <w:shd w:val="clear" w:color="auto" w:fill="FFFFFF"/>
          <w:lang w:val="en-GB"/>
        </w:rPr>
        <w:t>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B4601E">
        <w:rPr>
          <w:b w:val="0"/>
          <w:sz w:val="19"/>
          <w:szCs w:val="19"/>
          <w:shd w:val="clear" w:color="auto" w:fill="FFFFFF"/>
          <w:lang w:val="en-GB"/>
        </w:rPr>
        <w:t>4.1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B4601E">
        <w:rPr>
          <w:b w:val="0"/>
          <w:sz w:val="19"/>
          <w:szCs w:val="19"/>
          <w:shd w:val="clear" w:color="auto" w:fill="FFFFFF"/>
          <w:lang w:val="en-GB"/>
        </w:rPr>
        <w:t>January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4601E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AA22EE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C175B6" w:rsidP="007207E6">
      <w:pPr>
        <w:pStyle w:val="tytuwykresu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margin">
              <wp:posOffset>-6350</wp:posOffset>
            </wp:positionH>
            <wp:positionV relativeFrom="paragraph">
              <wp:posOffset>234950</wp:posOffset>
            </wp:positionV>
            <wp:extent cx="5122545" cy="28194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AD1492">
        <w:rPr>
          <w:lang w:val="en-US"/>
        </w:rPr>
        <w:t>C</w:t>
      </w:r>
      <w:r w:rsidR="00AD1492"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51287F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1D7244">
        <w:rPr>
          <w:noProof/>
          <w:lang w:val="en-GB" w:eastAsia="pl-PL"/>
        </w:rPr>
        <w:t xml:space="preserve"> </w:t>
      </w:r>
    </w:p>
    <w:p w:rsidR="007207E6" w:rsidRPr="00612A93" w:rsidRDefault="00AA22EE" w:rsidP="00673BE0">
      <w:pPr>
        <w:pStyle w:val="Nagwek1"/>
        <w:rPr>
          <w:color w:val="auto"/>
          <w:sz w:val="18"/>
          <w:szCs w:val="18"/>
          <w:lang w:val="en-GB"/>
        </w:rPr>
      </w:pPr>
      <w:r w:rsidRPr="00C733A3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5746115</wp:posOffset>
                </wp:positionH>
                <wp:positionV relativeFrom="paragraph">
                  <wp:posOffset>82550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C3185" w:rsidRDefault="00B519FF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0401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 2020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</w:t>
                            </w:r>
                            <w:r w:rsidR="000401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766A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</w:t>
                            </w:r>
                            <w:r w:rsidR="00482C65" w:rsidRP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22EE" w:rsidRP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="00AA22E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AA22EE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which have been registered with a construction project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401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="00482C65" w:rsidRP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0401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respectively by 24.1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0401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8,6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841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dwellings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which construction has begun</w:t>
                            </w:r>
                            <w:r w:rsidR="000401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="00841E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0401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0401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AA22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AF7C" id="_x0000_s1032" type="#_x0000_t202" style="position:absolute;margin-left:452.45pt;margin-top:6.5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" filled="f" stroked="f">
                <v:textbox>
                  <w:txbxContent>
                    <w:p w:rsidR="00B519FF" w:rsidRPr="00AC3185" w:rsidRDefault="00B519FF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0401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 2020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</w:t>
                      </w:r>
                      <w:r w:rsidR="000401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766A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</w:t>
                      </w:r>
                      <w:r w:rsidR="00482C65" w:rsidRP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22EE" w:rsidRP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="00AA22EE">
                        <w:rPr>
                          <w:lang w:val="en-GB"/>
                        </w:rPr>
                        <w:t xml:space="preserve"> 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AA22EE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which have been registered with a construction project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401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="00482C65" w:rsidRP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0401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respectively by 24.1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0401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8,6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841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dwellings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which construction has begun</w:t>
                      </w:r>
                      <w:r w:rsidR="000401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="00841E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0401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0401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AA22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B4601E">
        <w:rPr>
          <w:szCs w:val="19"/>
          <w:shd w:val="clear" w:color="auto" w:fill="FFFFFF"/>
          <w:lang w:val="en-GB"/>
        </w:rPr>
        <w:t>January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B4601E">
        <w:rPr>
          <w:szCs w:val="19"/>
          <w:shd w:val="clear" w:color="auto" w:fill="FFFFFF"/>
          <w:lang w:val="en-GB"/>
        </w:rPr>
        <w:t>2020</w:t>
      </w:r>
      <w:r w:rsidR="00CB6084">
        <w:rPr>
          <w:szCs w:val="19"/>
          <w:shd w:val="clear" w:color="auto" w:fill="FFFFFF"/>
          <w:lang w:val="en-GB"/>
        </w:rPr>
        <w:t xml:space="preserve"> was recorded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M</w:t>
      </w:r>
      <w:r w:rsidR="00CB6084">
        <w:rPr>
          <w:szCs w:val="19"/>
          <w:shd w:val="clear" w:color="auto" w:fill="FFFFFF"/>
          <w:lang w:val="en-GB"/>
        </w:rPr>
        <w:t>azowieckie</w:t>
      </w:r>
      <w:proofErr w:type="spellEnd"/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F81CDA">
        <w:rPr>
          <w:szCs w:val="19"/>
          <w:shd w:val="clear" w:color="auto" w:fill="FFFFFF"/>
          <w:lang w:val="en-GB"/>
        </w:rPr>
        <w:t>respec</w:t>
      </w:r>
      <w:r w:rsidR="007F4BEF">
        <w:rPr>
          <w:szCs w:val="19"/>
          <w:shd w:val="clear" w:color="auto" w:fill="FFFFFF"/>
          <w:lang w:val="en-GB"/>
        </w:rPr>
        <w:t>t</w:t>
      </w:r>
      <w:r w:rsidR="00F81CDA">
        <w:rPr>
          <w:szCs w:val="19"/>
          <w:shd w:val="clear" w:color="auto" w:fill="FFFFFF"/>
          <w:lang w:val="en-GB"/>
        </w:rPr>
        <w:t>iv</w:t>
      </w:r>
      <w:r w:rsidR="007F4BEF">
        <w:rPr>
          <w:szCs w:val="19"/>
          <w:shd w:val="clear" w:color="auto" w:fill="FFFFFF"/>
          <w:lang w:val="en-GB"/>
        </w:rPr>
        <w:t xml:space="preserve">ely </w:t>
      </w:r>
      <w:r w:rsidR="000401D6">
        <w:rPr>
          <w:szCs w:val="19"/>
          <w:shd w:val="clear" w:color="auto" w:fill="FFFFFF"/>
          <w:lang w:val="en-GB"/>
        </w:rPr>
        <w:t>4</w:t>
      </w:r>
      <w:r w:rsidR="007F4BEF">
        <w:rPr>
          <w:szCs w:val="19"/>
          <w:shd w:val="clear" w:color="auto" w:fill="FFFFFF"/>
          <w:lang w:val="en-GB"/>
        </w:rPr>
        <w:t>.</w:t>
      </w:r>
      <w:r w:rsidR="000401D6">
        <w:rPr>
          <w:szCs w:val="19"/>
          <w:shd w:val="clear" w:color="auto" w:fill="FFFFFF"/>
          <w:lang w:val="en-GB"/>
        </w:rPr>
        <w:t>0</w:t>
      </w:r>
      <w:r w:rsidR="00E873C8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E873C8">
        <w:rPr>
          <w:szCs w:val="19"/>
          <w:shd w:val="clear" w:color="auto" w:fill="FFFFFF"/>
          <w:lang w:val="en-GB"/>
        </w:rPr>
        <w:t>thous</w:t>
      </w:r>
      <w:proofErr w:type="spellEnd"/>
      <w:r w:rsidR="00E873C8">
        <w:rPr>
          <w:szCs w:val="19"/>
          <w:shd w:val="clear" w:color="auto" w:fill="FFFFFF"/>
          <w:lang w:val="en-GB"/>
        </w:rPr>
        <w:t>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0401D6">
        <w:rPr>
          <w:szCs w:val="19"/>
          <w:shd w:val="clear" w:color="auto" w:fill="FFFFFF"/>
          <w:lang w:val="en-GB"/>
        </w:rPr>
        <w:t>3</w:t>
      </w:r>
      <w:r w:rsidR="007F4BEF">
        <w:rPr>
          <w:szCs w:val="19"/>
          <w:shd w:val="clear" w:color="auto" w:fill="FFFFFF"/>
          <w:lang w:val="en-GB"/>
        </w:rPr>
        <w:t>.</w:t>
      </w:r>
      <w:r w:rsidR="000401D6">
        <w:rPr>
          <w:szCs w:val="19"/>
          <w:shd w:val="clear" w:color="auto" w:fill="FFFFFF"/>
          <w:lang w:val="en-GB"/>
        </w:rPr>
        <w:t>3</w:t>
      </w:r>
      <w:r w:rsidR="00A84818" w:rsidRPr="00A84818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A84818" w:rsidRPr="00A84818">
        <w:rPr>
          <w:szCs w:val="19"/>
          <w:shd w:val="clear" w:color="auto" w:fill="FFFFFF"/>
          <w:lang w:val="en-GB"/>
        </w:rPr>
        <w:t>thous</w:t>
      </w:r>
      <w:proofErr w:type="spellEnd"/>
      <w:r w:rsidR="00A84818" w:rsidRPr="00A84818">
        <w:rPr>
          <w:szCs w:val="19"/>
          <w:shd w:val="clear" w:color="auto" w:fill="FFFFFF"/>
          <w:lang w:val="en-GB"/>
        </w:rPr>
        <w:t>.</w:t>
      </w:r>
      <w:r w:rsidR="00E873C8">
        <w:rPr>
          <w:szCs w:val="19"/>
          <w:shd w:val="clear" w:color="auto" w:fill="FFFFFF"/>
          <w:lang w:val="en-GB"/>
        </w:rPr>
        <w:t>)</w:t>
      </w:r>
      <w:r w:rsidR="000401D6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244842">
        <w:rPr>
          <w:szCs w:val="19"/>
          <w:shd w:val="clear" w:color="auto" w:fill="FFFFFF"/>
          <w:lang w:val="en-GB"/>
        </w:rPr>
        <w:t>Wielkopolskie</w:t>
      </w:r>
      <w:proofErr w:type="spellEnd"/>
      <w:r w:rsidR="00244842">
        <w:rPr>
          <w:szCs w:val="19"/>
          <w:shd w:val="clear" w:color="auto" w:fill="FFFFFF"/>
          <w:lang w:val="en-GB"/>
        </w:rPr>
        <w:t xml:space="preserve"> </w:t>
      </w:r>
      <w:r w:rsidR="00244842" w:rsidRPr="00244842">
        <w:rPr>
          <w:szCs w:val="19"/>
          <w:shd w:val="clear" w:color="auto" w:fill="FFFFFF"/>
          <w:lang w:val="en-GB"/>
        </w:rPr>
        <w:t>voivodship</w:t>
      </w:r>
      <w:r w:rsidR="00244842">
        <w:rPr>
          <w:szCs w:val="19"/>
          <w:shd w:val="clear" w:color="auto" w:fill="FFFFFF"/>
          <w:lang w:val="en-GB"/>
        </w:rPr>
        <w:t xml:space="preserve"> </w:t>
      </w:r>
      <w:r w:rsidR="00244842" w:rsidRPr="00244842">
        <w:rPr>
          <w:szCs w:val="19"/>
          <w:shd w:val="clear" w:color="auto" w:fill="FFFFFF"/>
          <w:lang w:val="en-GB"/>
        </w:rPr>
        <w:t>(</w:t>
      </w:r>
      <w:r w:rsidR="000401D6">
        <w:rPr>
          <w:szCs w:val="19"/>
          <w:shd w:val="clear" w:color="auto" w:fill="FFFFFF"/>
          <w:lang w:val="en-GB"/>
        </w:rPr>
        <w:t xml:space="preserve">2.0 </w:t>
      </w:r>
      <w:proofErr w:type="spellStart"/>
      <w:r w:rsidR="000401D6">
        <w:rPr>
          <w:szCs w:val="19"/>
          <w:shd w:val="clear" w:color="auto" w:fill="FFFFFF"/>
          <w:lang w:val="en-GB"/>
        </w:rPr>
        <w:t>thous</w:t>
      </w:r>
      <w:proofErr w:type="spellEnd"/>
      <w:r w:rsidR="000401D6">
        <w:rPr>
          <w:szCs w:val="19"/>
          <w:shd w:val="clear" w:color="auto" w:fill="FFFFFF"/>
          <w:lang w:val="en-GB"/>
        </w:rPr>
        <w:t>. and 2.2</w:t>
      </w:r>
      <w:r w:rsidR="00244842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244842">
        <w:rPr>
          <w:szCs w:val="19"/>
          <w:shd w:val="clear" w:color="auto" w:fill="FFFFFF"/>
          <w:lang w:val="en-GB"/>
        </w:rPr>
        <w:t>thous</w:t>
      </w:r>
      <w:proofErr w:type="spellEnd"/>
      <w:r w:rsidR="000401D6">
        <w:rPr>
          <w:szCs w:val="19"/>
          <w:shd w:val="clear" w:color="auto" w:fill="FFFFFF"/>
          <w:lang w:val="en-GB"/>
        </w:rPr>
        <w:t>.)</w:t>
      </w:r>
      <w:r w:rsidR="00CB6084">
        <w:rPr>
          <w:szCs w:val="19"/>
          <w:shd w:val="clear" w:color="auto" w:fill="FFFFFF"/>
          <w:lang w:val="en-GB"/>
        </w:rPr>
        <w:t xml:space="preserve">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0401D6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0401D6">
        <w:rPr>
          <w:szCs w:val="19"/>
          <w:shd w:val="clear" w:color="auto" w:fill="FFFFFF"/>
          <w:lang w:val="en-GB"/>
        </w:rPr>
        <w:t>Małopolskie</w:t>
      </w:r>
      <w:proofErr w:type="spellEnd"/>
      <w:r w:rsidR="000401D6">
        <w:rPr>
          <w:szCs w:val="19"/>
          <w:shd w:val="clear" w:color="auto" w:fill="FFFFFF"/>
          <w:lang w:val="en-GB"/>
        </w:rPr>
        <w:t xml:space="preserve"> (2</w:t>
      </w:r>
      <w:r w:rsidR="007F4BEF">
        <w:rPr>
          <w:szCs w:val="19"/>
          <w:shd w:val="clear" w:color="auto" w:fill="FFFFFF"/>
          <w:lang w:val="en-GB"/>
        </w:rPr>
        <w:t>.</w:t>
      </w:r>
      <w:r w:rsidR="000401D6">
        <w:rPr>
          <w:szCs w:val="19"/>
          <w:shd w:val="clear" w:color="auto" w:fill="FFFFFF"/>
          <w:lang w:val="en-GB"/>
        </w:rPr>
        <w:t>8</w:t>
      </w:r>
      <w:r w:rsidR="009664CD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9664CD">
        <w:rPr>
          <w:szCs w:val="19"/>
          <w:shd w:val="clear" w:color="auto" w:fill="FFFFFF"/>
          <w:lang w:val="en-GB"/>
        </w:rPr>
        <w:t>thous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. </w:t>
      </w:r>
      <w:r w:rsidR="00766AF6">
        <w:rPr>
          <w:szCs w:val="19"/>
          <w:shd w:val="clear" w:color="auto" w:fill="FFFFFF"/>
          <w:lang w:val="en-GB"/>
        </w:rPr>
        <w:t>d</w:t>
      </w:r>
      <w:r w:rsidR="009664CD">
        <w:rPr>
          <w:szCs w:val="19"/>
          <w:shd w:val="clear" w:color="auto" w:fill="FFFFFF"/>
          <w:lang w:val="en-GB"/>
        </w:rPr>
        <w:t>wellings</w:t>
      </w:r>
      <w:r w:rsidR="000401D6">
        <w:rPr>
          <w:szCs w:val="19"/>
          <w:shd w:val="clear" w:color="auto" w:fill="FFFFFF"/>
          <w:lang w:val="en-GB"/>
        </w:rPr>
        <w:t xml:space="preserve">) </w:t>
      </w:r>
      <w:r w:rsidR="009664CD">
        <w:rPr>
          <w:szCs w:val="19"/>
          <w:shd w:val="clear" w:color="auto" w:fill="FFFFFF"/>
          <w:lang w:val="en-GB"/>
        </w:rPr>
        <w:t xml:space="preserve">and </w:t>
      </w:r>
      <w:proofErr w:type="spellStart"/>
      <w:r w:rsidR="000401D6">
        <w:rPr>
          <w:szCs w:val="19"/>
          <w:shd w:val="clear" w:color="auto" w:fill="FFFFFF"/>
          <w:lang w:val="en-GB"/>
        </w:rPr>
        <w:t>Mazowieckie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 </w:t>
      </w:r>
      <w:r w:rsidR="007F4BEF">
        <w:rPr>
          <w:szCs w:val="19"/>
          <w:shd w:val="clear" w:color="auto" w:fill="FFFFFF"/>
          <w:lang w:val="en-GB"/>
        </w:rPr>
        <w:t>(</w:t>
      </w:r>
      <w:r w:rsidR="00766AF6">
        <w:rPr>
          <w:szCs w:val="19"/>
          <w:shd w:val="clear" w:color="auto" w:fill="FFFFFF"/>
          <w:lang w:val="en-GB"/>
        </w:rPr>
        <w:t>2</w:t>
      </w:r>
      <w:r w:rsidR="007F4BEF">
        <w:rPr>
          <w:szCs w:val="19"/>
          <w:shd w:val="clear" w:color="auto" w:fill="FFFFFF"/>
          <w:lang w:val="en-GB"/>
        </w:rPr>
        <w:t>.</w:t>
      </w:r>
      <w:r w:rsidR="00766AF6">
        <w:rPr>
          <w:szCs w:val="19"/>
          <w:shd w:val="clear" w:color="auto" w:fill="FFFFFF"/>
          <w:lang w:val="en-GB"/>
        </w:rPr>
        <w:t>7</w:t>
      </w:r>
      <w:r w:rsidR="009664CD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9664CD">
        <w:rPr>
          <w:szCs w:val="19"/>
          <w:shd w:val="clear" w:color="auto" w:fill="FFFFFF"/>
          <w:lang w:val="en-GB"/>
        </w:rPr>
        <w:t>thous</w:t>
      </w:r>
      <w:proofErr w:type="spellEnd"/>
      <w:r w:rsidR="009664CD">
        <w:rPr>
          <w:szCs w:val="19"/>
          <w:shd w:val="clear" w:color="auto" w:fill="FFFFFF"/>
          <w:lang w:val="en-GB"/>
        </w:rPr>
        <w:t>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Default="00010A4A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383540</wp:posOffset>
            </wp:positionV>
            <wp:extent cx="5122545" cy="3426460"/>
            <wp:effectExtent l="0" t="0" r="0" b="0"/>
            <wp:wrapNone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1C1808">
        <w:rPr>
          <w:color w:val="auto"/>
          <w:sz w:val="18"/>
          <w:szCs w:val="18"/>
          <w:lang w:val="en-GB"/>
        </w:rPr>
        <w:t>Chart 2</w:t>
      </w:r>
      <w:r w:rsidR="001C1808"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="001C1808" w:rsidRPr="001C1808">
        <w:rPr>
          <w:color w:val="auto"/>
          <w:sz w:val="18"/>
          <w:szCs w:val="18"/>
          <w:lang w:val="en-GB"/>
        </w:rPr>
        <w:t xml:space="preserve"> </w:t>
      </w:r>
      <w:r w:rsidR="001C1808">
        <w:rPr>
          <w:color w:val="auto"/>
          <w:sz w:val="18"/>
          <w:szCs w:val="18"/>
          <w:lang w:val="en-GB"/>
        </w:rPr>
        <w:t xml:space="preserve">by voivodships </w:t>
      </w:r>
      <w:r w:rsidR="001C1808">
        <w:rPr>
          <w:color w:val="auto"/>
          <w:sz w:val="18"/>
          <w:szCs w:val="18"/>
          <w:lang w:val="en-GB"/>
        </w:rPr>
        <w:br/>
      </w:r>
      <w:r w:rsidR="00384D8B">
        <w:rPr>
          <w:color w:val="auto"/>
          <w:sz w:val="18"/>
          <w:szCs w:val="18"/>
          <w:lang w:val="en-GB"/>
        </w:rPr>
        <w:t xml:space="preserve">               </w:t>
      </w:r>
      <w:r w:rsidR="000401D6">
        <w:rPr>
          <w:color w:val="auto"/>
          <w:sz w:val="18"/>
          <w:szCs w:val="18"/>
          <w:lang w:val="en-GB"/>
        </w:rPr>
        <w:t>(January</w:t>
      </w:r>
      <w:r w:rsidR="00E873C8">
        <w:rPr>
          <w:color w:val="auto"/>
          <w:sz w:val="18"/>
          <w:szCs w:val="18"/>
          <w:lang w:val="en-GB"/>
        </w:rPr>
        <w:t xml:space="preserve"> </w:t>
      </w:r>
      <w:r w:rsidR="000401D6">
        <w:rPr>
          <w:color w:val="auto"/>
          <w:sz w:val="18"/>
          <w:szCs w:val="18"/>
          <w:lang w:val="en-GB"/>
        </w:rPr>
        <w:t>2020</w:t>
      </w:r>
      <w:r w:rsidR="001C1808">
        <w:rPr>
          <w:color w:val="auto"/>
          <w:sz w:val="18"/>
          <w:szCs w:val="18"/>
          <w:lang w:val="en-GB"/>
        </w:rPr>
        <w:t>)</w:t>
      </w:r>
    </w:p>
    <w:p w:rsidR="00010A4A" w:rsidRPr="00010A4A" w:rsidRDefault="00010A4A" w:rsidP="00010A4A">
      <w:pPr>
        <w:rPr>
          <w:lang w:val="en-GB" w:eastAsia="pl-PL"/>
        </w:rPr>
      </w:pPr>
    </w:p>
    <w:p w:rsidR="004231A6" w:rsidRPr="00C74E74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B34C4C" w:rsidRPr="000D348A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Krzysztof Markowski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105BE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="00105BED">
              <w:rPr>
                <w:rFonts w:ascii="Fira Sans" w:hAnsi="Fira Sans" w:cs="Arial"/>
                <w:color w:val="auto"/>
                <w:sz w:val="20"/>
                <w:lang w:val="fi-FI"/>
              </w:rPr>
              <w:t>81) 533 20</w:t>
            </w:r>
            <w:r w:rsidR="008C48C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105BED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:rsidR="00B34C4C" w:rsidRPr="008F3638" w:rsidRDefault="00105BED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Mobile: 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BA5050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A5050">
              <w:rPr>
                <w:sz w:val="20"/>
                <w:lang w:val="en-GB"/>
              </w:rPr>
              <w:t>(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</w:t>
            </w:r>
            <w:r w:rsidR="00BA5050">
              <w:rPr>
                <w:sz w:val="20"/>
                <w:lang w:val="en-GB"/>
              </w:rPr>
              <w:t>)</w:t>
            </w:r>
            <w:r>
              <w:rPr>
                <w:sz w:val="20"/>
                <w:lang w:val="en-GB"/>
              </w:rPr>
              <w:t xml:space="preserve"> 608 34</w:t>
            </w:r>
            <w:r w:rsidR="008C48C6">
              <w:rPr>
                <w:sz w:val="20"/>
                <w:lang w:val="en-GB"/>
              </w:rPr>
              <w:t xml:space="preserve"> </w:t>
            </w:r>
            <w:r w:rsidR="00BA5050">
              <w:rPr>
                <w:sz w:val="20"/>
                <w:lang w:val="en-GB"/>
              </w:rPr>
              <w:t xml:space="preserve">91, </w:t>
            </w:r>
            <w:r>
              <w:rPr>
                <w:sz w:val="20"/>
                <w:lang w:val="en-GB"/>
              </w:rPr>
              <w:t>608 38</w:t>
            </w:r>
            <w:r w:rsidR="008C48C6">
              <w:rPr>
                <w:sz w:val="20"/>
                <w:lang w:val="en-GB"/>
              </w:rPr>
              <w:t xml:space="preserve"> </w:t>
            </w:r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17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Default="00B519F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B519FF" w:rsidRPr="004E377B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5C7839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8235EC" w:rsidRDefault="00B519FF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1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B519FF" w:rsidRPr="005C7839" w:rsidRDefault="001E3AC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2" w:history="1">
                              <w:r w:rsidR="005C783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C783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B519FF" w:rsidRPr="008235EC" w:rsidRDefault="001E3AC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3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B519FF" w:rsidRDefault="001E3AC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B519FF" w:rsidRPr="008235EC" w:rsidRDefault="001E3AC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295E1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:rsidR="00B519FF" w:rsidRPr="00F11843" w:rsidRDefault="001E3AC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7" w:history="1"/>
                          </w:p>
                          <w:p w:rsidR="00B519FF" w:rsidRPr="00F11843" w:rsidRDefault="001E3AC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B519FF" w:rsidRDefault="00B519FF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519FF" w:rsidRPr="003B6350" w:rsidRDefault="00B519F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:rsidR="00B519FF" w:rsidRDefault="00B519FF" w:rsidP="00AB6D25">
                      <w:pPr>
                        <w:rPr>
                          <w:b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B519FF" w:rsidRPr="004E377B" w:rsidRDefault="00B519FF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5C7839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8235EC" w:rsidRDefault="00B519FF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29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B519FF" w:rsidRPr="005C7839" w:rsidRDefault="001E3ACC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0" w:history="1">
                        <w:r w:rsidR="005C783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C783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B519FF" w:rsidRPr="008235EC" w:rsidRDefault="001E3ACC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1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B519FF" w:rsidRDefault="001E3ACC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B519FF" w:rsidRPr="008235EC" w:rsidRDefault="001E3ACC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295E1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="00B519FF" w:rsidRPr="00F11843" w:rsidRDefault="001E3ACC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5" w:history="1"/>
                    </w:p>
                    <w:p w:rsidR="00B519FF" w:rsidRPr="00F11843" w:rsidRDefault="001E3ACC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B519FF" w:rsidRDefault="00B519FF" w:rsidP="00000009">
                      <w:pPr>
                        <w:rPr>
                          <w:lang w:val="en-GB"/>
                        </w:rPr>
                      </w:pPr>
                    </w:p>
                    <w:p w:rsidR="00B519FF" w:rsidRPr="003B6350" w:rsidRDefault="00B519F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ACC" w:rsidRDefault="001E3ACC" w:rsidP="000662E2">
      <w:pPr>
        <w:spacing w:after="0" w:line="240" w:lineRule="auto"/>
      </w:pPr>
      <w:r>
        <w:separator/>
      </w:r>
    </w:p>
  </w:endnote>
  <w:endnote w:type="continuationSeparator" w:id="0">
    <w:p w:rsidR="001E3ACC" w:rsidRDefault="001E3A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0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519FF" w:rsidRPr="007B4F73" w:rsidRDefault="00B519FF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0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9FF" w:rsidRPr="00CC1C7C" w:rsidRDefault="00B519FF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ACC" w:rsidRDefault="001E3ACC" w:rsidP="000662E2">
      <w:pPr>
        <w:spacing w:after="0" w:line="240" w:lineRule="auto"/>
      </w:pPr>
      <w:r>
        <w:separator/>
      </w:r>
    </w:p>
  </w:footnote>
  <w:footnote w:type="continuationSeparator" w:id="0">
    <w:p w:rsidR="001E3ACC" w:rsidRDefault="001E3ACC" w:rsidP="000662E2">
      <w:pPr>
        <w:spacing w:after="0" w:line="240" w:lineRule="auto"/>
      </w:pPr>
      <w:r>
        <w:continuationSeparator/>
      </w:r>
    </w:p>
  </w:footnote>
  <w:footnote w:id="1">
    <w:p w:rsidR="00B519FF" w:rsidRPr="008C48C6" w:rsidRDefault="00B519FF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 w:rsidR="006A46FA">
        <w:rPr>
          <w:sz w:val="16"/>
          <w:szCs w:val="16"/>
          <w:shd w:val="clear" w:color="auto" w:fill="FFFFFF"/>
          <w:lang w:val="en-GB"/>
        </w:rPr>
        <w:t>.</w:t>
      </w:r>
    </w:p>
  </w:footnote>
  <w:footnote w:id="2">
    <w:p w:rsidR="00B519FF" w:rsidRPr="008C48C6" w:rsidRDefault="00B519FF" w:rsidP="009046F6">
      <w:pPr>
        <w:rPr>
          <w:rFonts w:ascii="Fira Sans Light" w:hAnsi="Fira Sans Light"/>
          <w:b/>
          <w:bCs/>
          <w:sz w:val="16"/>
          <w:szCs w:val="16"/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</w:t>
      </w:r>
      <w:r w:rsidRPr="008C48C6">
        <w:rPr>
          <w:bCs/>
          <w:sz w:val="16"/>
          <w:szCs w:val="16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  <w:r w:rsidR="006A46FA">
        <w:rPr>
          <w:bCs/>
          <w:sz w:val="16"/>
          <w:szCs w:val="16"/>
          <w:lang w:val="en-GB"/>
        </w:rPr>
        <w:t>.</w:t>
      </w:r>
    </w:p>
  </w:footnote>
  <w:footnote w:id="3">
    <w:p w:rsidR="00642778" w:rsidRDefault="006427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48C6">
        <w:rPr>
          <w:sz w:val="16"/>
          <w:szCs w:val="16"/>
          <w:lang w:val="en-GB"/>
        </w:rPr>
        <w:t>Realised by various investors with the purpose of short or long term rent of dwellings, also based on the institutional lease agreements leading to ownership</w:t>
      </w:r>
      <w:r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B519FF" w:rsidRDefault="00B519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8B2394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21.02</w:t>
                          </w:r>
                          <w:r w:rsidR="00BA3AD3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B519FF" w:rsidRPr="00C97596" w:rsidRDefault="008B2394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21.02</w:t>
                    </w:r>
                    <w:r w:rsidR="00BA3AD3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23" name="Obraz 2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519FF" w:rsidRPr="003C6C8D" w:rsidRDefault="00B519F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519FF" w:rsidRPr="003C6C8D" w:rsidRDefault="00B519F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B519F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519FF" w:rsidRPr="00C97596" w:rsidRDefault="00B519F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</w:p>
  <w:p w:rsidR="00B519FF" w:rsidRDefault="00B519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31" type="#_x0000_t75" style="width:123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9EB"/>
    <w:rsid w:val="00024626"/>
    <w:rsid w:val="000271FB"/>
    <w:rsid w:val="0003236F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F1626"/>
    <w:rsid w:val="000F435D"/>
    <w:rsid w:val="000F445C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06C"/>
    <w:rsid w:val="00276811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E7AB0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2224"/>
    <w:rsid w:val="00582ED4"/>
    <w:rsid w:val="005916AB"/>
    <w:rsid w:val="005916D7"/>
    <w:rsid w:val="005A30AB"/>
    <w:rsid w:val="005A4C6A"/>
    <w:rsid w:val="005A698C"/>
    <w:rsid w:val="005B2080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888"/>
    <w:rsid w:val="006E5F08"/>
    <w:rsid w:val="006E6053"/>
    <w:rsid w:val="006E6C7B"/>
    <w:rsid w:val="006F3F3D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41554"/>
    <w:rsid w:val="007418AC"/>
    <w:rsid w:val="00746187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F70"/>
    <w:rsid w:val="00891CF0"/>
    <w:rsid w:val="00893B4E"/>
    <w:rsid w:val="008948E4"/>
    <w:rsid w:val="00896EB9"/>
    <w:rsid w:val="008A1C80"/>
    <w:rsid w:val="008A26D9"/>
    <w:rsid w:val="008A58C2"/>
    <w:rsid w:val="008A7B99"/>
    <w:rsid w:val="008B2394"/>
    <w:rsid w:val="008B3CA0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1350"/>
    <w:rsid w:val="009046F6"/>
    <w:rsid w:val="00905A67"/>
    <w:rsid w:val="00906857"/>
    <w:rsid w:val="00907546"/>
    <w:rsid w:val="009127BA"/>
    <w:rsid w:val="0091499D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3BE8"/>
    <w:rsid w:val="0098487F"/>
    <w:rsid w:val="009918AB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06B0"/>
    <w:rsid w:val="00B11740"/>
    <w:rsid w:val="00B130CA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4E74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C2850"/>
    <w:rsid w:val="00DC3774"/>
    <w:rsid w:val="00DC6708"/>
    <w:rsid w:val="00DD1D64"/>
    <w:rsid w:val="00DD20E2"/>
    <w:rsid w:val="00DD21A2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5AD5"/>
    <w:rsid w:val="00F37172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1CDA"/>
    <w:rsid w:val="00F830BE"/>
    <w:rsid w:val="00F84FEA"/>
    <w:rsid w:val="00F86024"/>
    <w:rsid w:val="00F8611A"/>
    <w:rsid w:val="00F9379A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en/metainformations/glossary/terms-used-in-official-statistics/945,term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en/topics/other-studies/informations-on-socio-economic-situation/publikacja,1.html" TargetMode="External"/><Relationship Id="rId34" Type="http://schemas.openxmlformats.org/officeDocument/2006/relationships/hyperlink" Target="http://stat.gov.pl/en/metainformations/glossary/terms-used-in-official-statistics/945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3763,term.html" TargetMode="External"/><Relationship Id="rId33" Type="http://schemas.openxmlformats.org/officeDocument/2006/relationships/hyperlink" Target="https://stat.gov.pl/en/metainformations/glossary/terms-used-in-official-statistics/3763,term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topics/other-studies/informations-on-socio-economic-situation/publikacja,1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EN/SitePagesDBW/Budownictwo.aspx" TargetMode="External"/><Relationship Id="rId28" Type="http://schemas.openxmlformats.org/officeDocument/2006/relationships/hyperlink" Target="http://stat.gov.pl/en/metainformations/glossary/terms-used-in-official-statistics/201,term.html" TargetMode="External"/><Relationship Id="rId36" Type="http://schemas.openxmlformats.org/officeDocument/2006/relationships/hyperlink" Target="http://stat.gov.pl/en/metainformations/glossary/terms-used-in-official-statistics/201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EN/SitePagesDBW/Budownictwo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industry-construction-fixed-assets/construc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industry-construction-fixed-assets/construc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4878874937930056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Arkusz1!$B$4:$AX$4</c:f>
              <c:numCache>
                <c:formatCode>General</c:formatCode>
                <c:ptCount val="49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Arkusz1!$B$16:$AX$16</c:f>
              <c:numCache>
                <c:formatCode>General</c:formatCode>
                <c:ptCount val="49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Arkusz1!$B$10:$AX$10</c:f>
              <c:numCache>
                <c:formatCode>General</c:formatCode>
                <c:ptCount val="49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21612832"/>
        <c:axId val="-721617728"/>
      </c:lineChart>
      <c:catAx>
        <c:axId val="-72161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2161772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72161772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2161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127438607176706E-2"/>
          <c:y val="0.80906256650351138"/>
          <c:w val="0.89409834369439412"/>
          <c:h val="0.170185057512972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Podlaskie</c:v>
                </c:pt>
                <c:pt idx="2">
                  <c:v>Lubuskie</c:v>
                </c:pt>
                <c:pt idx="3">
                  <c:v>Świętokrzyskie</c:v>
                </c:pt>
                <c:pt idx="4">
                  <c:v>Lubelskie</c:v>
                </c:pt>
                <c:pt idx="5">
                  <c:v>Warmińsko-mazurskie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Mazowieckie</c:v>
                </c:pt>
                <c:pt idx="15">
                  <c:v>Małopolskie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312</c:v>
                </c:pt>
                <c:pt idx="1">
                  <c:v>684</c:v>
                </c:pt>
                <c:pt idx="2">
                  <c:v>320</c:v>
                </c:pt>
                <c:pt idx="3">
                  <c:v>236</c:v>
                </c:pt>
                <c:pt idx="4">
                  <c:v>532</c:v>
                </c:pt>
                <c:pt idx="5">
                  <c:v>1008</c:v>
                </c:pt>
                <c:pt idx="6">
                  <c:v>436</c:v>
                </c:pt>
                <c:pt idx="7">
                  <c:v>793</c:v>
                </c:pt>
                <c:pt idx="8">
                  <c:v>459</c:v>
                </c:pt>
                <c:pt idx="9">
                  <c:v>504</c:v>
                </c:pt>
                <c:pt idx="10">
                  <c:v>1385</c:v>
                </c:pt>
                <c:pt idx="11">
                  <c:v>1090</c:v>
                </c:pt>
                <c:pt idx="12">
                  <c:v>2218</c:v>
                </c:pt>
                <c:pt idx="13">
                  <c:v>1188</c:v>
                </c:pt>
                <c:pt idx="14">
                  <c:v>3274</c:v>
                </c:pt>
                <c:pt idx="15">
                  <c:v>1452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solidFill>
                <a:srgbClr val="008542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Podlaskie</c:v>
                </c:pt>
                <c:pt idx="2">
                  <c:v>Lubuskie</c:v>
                </c:pt>
                <c:pt idx="3">
                  <c:v>Świętokrzyskie</c:v>
                </c:pt>
                <c:pt idx="4">
                  <c:v>Lubelskie</c:v>
                </c:pt>
                <c:pt idx="5">
                  <c:v>Warmińsko-mazurskie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Mazowieckie</c:v>
                </c:pt>
                <c:pt idx="15">
                  <c:v>Małopolskie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196</c:v>
                </c:pt>
                <c:pt idx="1">
                  <c:v>817</c:v>
                </c:pt>
                <c:pt idx="2">
                  <c:v>422</c:v>
                </c:pt>
                <c:pt idx="3">
                  <c:v>326</c:v>
                </c:pt>
                <c:pt idx="4">
                  <c:v>424</c:v>
                </c:pt>
                <c:pt idx="5">
                  <c:v>286</c:v>
                </c:pt>
                <c:pt idx="6">
                  <c:v>1189</c:v>
                </c:pt>
                <c:pt idx="7">
                  <c:v>797</c:v>
                </c:pt>
                <c:pt idx="8">
                  <c:v>744</c:v>
                </c:pt>
                <c:pt idx="9">
                  <c:v>1183</c:v>
                </c:pt>
                <c:pt idx="10">
                  <c:v>1701</c:v>
                </c:pt>
                <c:pt idx="11">
                  <c:v>1514</c:v>
                </c:pt>
                <c:pt idx="12">
                  <c:v>2017</c:v>
                </c:pt>
                <c:pt idx="13">
                  <c:v>1412</c:v>
                </c:pt>
                <c:pt idx="14">
                  <c:v>3955</c:v>
                </c:pt>
                <c:pt idx="15">
                  <c:v>1387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Podlaskie</c:v>
                </c:pt>
                <c:pt idx="2">
                  <c:v>Lubuskie</c:v>
                </c:pt>
                <c:pt idx="3">
                  <c:v>Świętokrzyskie</c:v>
                </c:pt>
                <c:pt idx="4">
                  <c:v>Lubelskie</c:v>
                </c:pt>
                <c:pt idx="5">
                  <c:v>Warmińsko-mazurskie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Mazowieckie</c:v>
                </c:pt>
                <c:pt idx="15">
                  <c:v>Małopolskie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176</c:v>
                </c:pt>
                <c:pt idx="1">
                  <c:v>328</c:v>
                </c:pt>
                <c:pt idx="2">
                  <c:v>349</c:v>
                </c:pt>
                <c:pt idx="3">
                  <c:v>350</c:v>
                </c:pt>
                <c:pt idx="4">
                  <c:v>557</c:v>
                </c:pt>
                <c:pt idx="5">
                  <c:v>637</c:v>
                </c:pt>
                <c:pt idx="6">
                  <c:v>715</c:v>
                </c:pt>
                <c:pt idx="7">
                  <c:v>771</c:v>
                </c:pt>
                <c:pt idx="8">
                  <c:v>955</c:v>
                </c:pt>
                <c:pt idx="9">
                  <c:v>1069</c:v>
                </c:pt>
                <c:pt idx="10">
                  <c:v>1290</c:v>
                </c:pt>
                <c:pt idx="11">
                  <c:v>1384</c:v>
                </c:pt>
                <c:pt idx="12">
                  <c:v>1600</c:v>
                </c:pt>
                <c:pt idx="13">
                  <c:v>1769</c:v>
                </c:pt>
                <c:pt idx="14">
                  <c:v>2708</c:v>
                </c:pt>
                <c:pt idx="15">
                  <c:v>2751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721617184"/>
        <c:axId val="-721610656"/>
      </c:barChart>
      <c:catAx>
        <c:axId val="-721617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21610656"/>
        <c:crosses val="autoZero"/>
        <c:auto val="1"/>
        <c:lblAlgn val="ctr"/>
        <c:lblOffset val="100"/>
        <c:noMultiLvlLbl val="0"/>
      </c:catAx>
      <c:valAx>
        <c:axId val="-721610656"/>
        <c:scaling>
          <c:orientation val="minMax"/>
          <c:max val="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721617184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11765440811159"/>
          <c:y val="0.81029750821547608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C26CF-27A4-488E-8CE8-C5E14262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January-December 2019</vt:lpstr>
    </vt:vector>
  </TitlesOfParts>
  <Company>Statistics Poland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dc:creator>Statistics Poland</dc:creator>
  <cp:keywords>dwellings completed; dwellings under construction; dwellings started; building permit; useful floor area</cp:keywords>
  <cp:lastPrinted>2019-11-21T10:46:00Z</cp:lastPrinted>
  <dcterms:created xsi:type="dcterms:W3CDTF">2020-02-20T11:56:00Z</dcterms:created>
  <dcterms:modified xsi:type="dcterms:W3CDTF">2020-02-21T07:28:00Z</dcterms:modified>
  <cp:category>Construction; 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