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B9C" w:rsidRPr="00981A71" w:rsidRDefault="00247BD3" w:rsidP="00DD70B9">
      <w:pPr>
        <w:spacing w:after="120"/>
        <w:rPr>
          <w:rFonts w:ascii="Fira Sans" w:hAnsi="Fira Sans"/>
          <w:sz w:val="19"/>
          <w:szCs w:val="19"/>
          <w:lang w:val="en-US"/>
        </w:rPr>
      </w:pPr>
      <w:r w:rsidRPr="00B879C3">
        <w:rPr>
          <w:rFonts w:ascii="Fira Sans" w:hAnsi="Fira Sans"/>
          <w:b/>
          <w:sz w:val="19"/>
          <w:szCs w:val="19"/>
          <w:lang w:val="en-US"/>
        </w:rPr>
        <w:t>Financial results of non-financial enterpr</w:t>
      </w:r>
      <w:r>
        <w:rPr>
          <w:rFonts w:ascii="Fira Sans" w:hAnsi="Fira Sans"/>
          <w:b/>
          <w:sz w:val="19"/>
          <w:szCs w:val="19"/>
          <w:lang w:val="en-US"/>
        </w:rPr>
        <w:t xml:space="preserve">ises in </w:t>
      </w:r>
      <w:r w:rsidR="00AA78C6">
        <w:rPr>
          <w:rFonts w:ascii="Fira Sans" w:hAnsi="Fira Sans"/>
          <w:b/>
          <w:sz w:val="19"/>
          <w:szCs w:val="19"/>
          <w:lang w:val="en-US"/>
        </w:rPr>
        <w:t>2019</w:t>
      </w:r>
    </w:p>
    <w:tbl>
      <w:tblPr>
        <w:tblW w:w="7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0"/>
        <w:gridCol w:w="1320"/>
        <w:gridCol w:w="1320"/>
        <w:gridCol w:w="1480"/>
      </w:tblGrid>
      <w:tr w:rsidR="00506B9C" w:rsidRPr="00121540" w:rsidTr="00B02198">
        <w:trPr>
          <w:trHeight w:val="204"/>
        </w:trPr>
        <w:tc>
          <w:tcPr>
            <w:tcW w:w="386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06B9C" w:rsidRPr="00121540" w:rsidRDefault="00563505" w:rsidP="00B02198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 w:rsidRPr="00121540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06B9C" w:rsidRPr="00121540" w:rsidRDefault="002A63A1" w:rsidP="007D764B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I-X</w:t>
            </w:r>
            <w:r w:rsidR="007F6DB1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II</w:t>
            </w:r>
            <w:r w:rsidR="00AA78C6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 xml:space="preserve"> 2018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06B9C" w:rsidRPr="00121540" w:rsidRDefault="007A4BFD" w:rsidP="00B02198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I</w:t>
            </w:r>
            <w:r w:rsidR="002A63A1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-X</w:t>
            </w:r>
            <w:r w:rsidR="007F6DB1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II</w:t>
            </w:r>
            <w:r w:rsidR="00AA78C6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 xml:space="preserve"> 2019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212492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6B9C" w:rsidRPr="00121540" w:rsidRDefault="002A63A1" w:rsidP="007A4BFD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I-X</w:t>
            </w:r>
            <w:r w:rsidR="007F6DB1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II</w:t>
            </w:r>
            <w:r w:rsidR="00506B9C" w:rsidRPr="00121540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 xml:space="preserve"> 201</w:t>
            </w:r>
            <w:r w:rsidR="00AA78C6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8</w:t>
            </w:r>
            <w:r w:rsidR="00506B9C" w:rsidRPr="00121540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 xml:space="preserve"> = 100</w:t>
            </w:r>
          </w:p>
        </w:tc>
      </w:tr>
      <w:tr w:rsidR="00506B9C" w:rsidRPr="00121540" w:rsidTr="00B02198">
        <w:trPr>
          <w:trHeight w:val="216"/>
        </w:trPr>
        <w:tc>
          <w:tcPr>
            <w:tcW w:w="3860" w:type="dxa"/>
            <w:vMerge/>
            <w:tcBorders>
              <w:top w:val="single" w:sz="8" w:space="0" w:color="000000"/>
              <w:left w:val="nil"/>
              <w:bottom w:val="single" w:sz="18" w:space="0" w:color="212492"/>
              <w:right w:val="single" w:sz="4" w:space="0" w:color="212492"/>
            </w:tcBorders>
            <w:vAlign w:val="center"/>
            <w:hideMark/>
          </w:tcPr>
          <w:p w:rsidR="00506B9C" w:rsidRPr="00121540" w:rsidRDefault="00506B9C" w:rsidP="00B02198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212492"/>
              <w:left w:val="nil"/>
              <w:bottom w:val="single" w:sz="18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06B9C" w:rsidRPr="00121540" w:rsidRDefault="00563505" w:rsidP="00B02198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  <w:r w:rsidRPr="00121540"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  <w:t>w mln PLN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212492"/>
              <w:bottom w:val="single" w:sz="18" w:space="0" w:color="212492"/>
              <w:right w:val="nil"/>
            </w:tcBorders>
            <w:vAlign w:val="center"/>
            <w:hideMark/>
          </w:tcPr>
          <w:p w:rsidR="00506B9C" w:rsidRPr="00121540" w:rsidRDefault="00506B9C" w:rsidP="00B02198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5B3706" w:rsidRPr="00121540" w:rsidTr="001D58ED">
        <w:trPr>
          <w:trHeight w:val="504"/>
        </w:trPr>
        <w:tc>
          <w:tcPr>
            <w:tcW w:w="3860" w:type="dxa"/>
            <w:tcBorders>
              <w:top w:val="single" w:sz="18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hideMark/>
          </w:tcPr>
          <w:p w:rsidR="005B3706" w:rsidRPr="007D764B" w:rsidRDefault="005B3706" w:rsidP="005B3706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sz w:val="16"/>
                <w:szCs w:val="16"/>
                <w:lang w:val="en-GB"/>
              </w:rPr>
              <w:t>Total r</w:t>
            </w:r>
            <w:r w:rsidRPr="007D764B">
              <w:rPr>
                <w:rFonts w:ascii="Fira Sans" w:hAnsi="Fira Sans"/>
                <w:sz w:val="16"/>
                <w:szCs w:val="16"/>
                <w:lang w:val="en-GB"/>
              </w:rPr>
              <w:t xml:space="preserve">evenues </w:t>
            </w:r>
          </w:p>
        </w:tc>
        <w:tc>
          <w:tcPr>
            <w:tcW w:w="1320" w:type="dxa"/>
            <w:tcBorders>
              <w:top w:val="single" w:sz="18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B3706" w:rsidRDefault="005B3706" w:rsidP="005B3706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3 057 031,9</w:t>
            </w:r>
          </w:p>
        </w:tc>
        <w:tc>
          <w:tcPr>
            <w:tcW w:w="1320" w:type="dxa"/>
            <w:tcBorders>
              <w:top w:val="single" w:sz="18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B3706" w:rsidRDefault="005B3706" w:rsidP="005B3706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3 235 515,6</w:t>
            </w:r>
          </w:p>
        </w:tc>
        <w:tc>
          <w:tcPr>
            <w:tcW w:w="1480" w:type="dxa"/>
            <w:tcBorders>
              <w:top w:val="single" w:sz="18" w:space="0" w:color="212492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5B3706" w:rsidRDefault="005B3706" w:rsidP="005B3706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105,8</w:t>
            </w:r>
          </w:p>
        </w:tc>
      </w:tr>
      <w:tr w:rsidR="005B3706" w:rsidRPr="00121540" w:rsidTr="00017B0F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5B3706" w:rsidRPr="007D764B" w:rsidRDefault="005B3706" w:rsidP="005B3706">
            <w:pPr>
              <w:ind w:left="176"/>
              <w:rPr>
                <w:rFonts w:ascii="Fira Sans" w:hAnsi="Fira Sans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sz w:val="16"/>
                <w:szCs w:val="16"/>
                <w:lang w:val="en-GB"/>
              </w:rPr>
              <w:t>of which n</w:t>
            </w:r>
            <w:r w:rsidRPr="00C547E8">
              <w:rPr>
                <w:rFonts w:ascii="Fira Sans" w:hAnsi="Fira Sans"/>
                <w:sz w:val="16"/>
                <w:szCs w:val="16"/>
                <w:lang w:val="en-GB"/>
              </w:rPr>
              <w:t>et revenues from sale of products, goods and materials (sales revenues)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B3706" w:rsidRDefault="005B3706" w:rsidP="005B3706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2 974 308,2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B3706" w:rsidRDefault="005B3706" w:rsidP="005B3706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3 152 983,9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5B3706" w:rsidRDefault="005B3706" w:rsidP="005B3706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106,0</w:t>
            </w:r>
          </w:p>
        </w:tc>
      </w:tr>
      <w:tr w:rsidR="005B3706" w:rsidRPr="00121540" w:rsidTr="00017B0F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5B3706" w:rsidRPr="007D764B" w:rsidRDefault="005B3706" w:rsidP="005B3706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sz w:val="16"/>
                <w:szCs w:val="16"/>
                <w:lang w:val="en-GB"/>
              </w:rPr>
              <w:t>Total costs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B3706" w:rsidRDefault="005B3706" w:rsidP="005B3706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2 919 314,3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B3706" w:rsidRDefault="005B3706" w:rsidP="005B3706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3 088 204,9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5B3706" w:rsidRDefault="005B3706" w:rsidP="005B3706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105,8</w:t>
            </w:r>
          </w:p>
        </w:tc>
      </w:tr>
      <w:tr w:rsidR="005B3706" w:rsidRPr="00121540" w:rsidTr="00017B0F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5B3706" w:rsidRPr="007D764B" w:rsidRDefault="005B3706" w:rsidP="005B3706">
            <w:pPr>
              <w:ind w:left="176"/>
              <w:rPr>
                <w:rFonts w:ascii="Fira Sans" w:hAnsi="Fira Sans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sz w:val="16"/>
                <w:szCs w:val="16"/>
                <w:lang w:val="en-GB"/>
              </w:rPr>
              <w:t>of which c</w:t>
            </w:r>
            <w:r w:rsidRPr="00E5653B">
              <w:rPr>
                <w:rFonts w:ascii="Fira Sans" w:hAnsi="Fira Sans"/>
                <w:sz w:val="16"/>
                <w:szCs w:val="16"/>
                <w:lang w:val="en-GB"/>
              </w:rPr>
              <w:t>osts of products, goods and materials sold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B3706" w:rsidRDefault="005B3706" w:rsidP="005B3706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2 836 665,7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B3706" w:rsidRDefault="005B3706" w:rsidP="005B3706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3 008 985,2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5B3706" w:rsidRDefault="005B3706" w:rsidP="005B3706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106,1</w:t>
            </w:r>
          </w:p>
        </w:tc>
      </w:tr>
      <w:tr w:rsidR="005B3706" w:rsidRPr="00121540" w:rsidTr="00017B0F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5B3706" w:rsidRPr="007D764B" w:rsidRDefault="005B3706" w:rsidP="005B3706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 w:rsidRPr="007D764B">
              <w:rPr>
                <w:rFonts w:ascii="Fira Sans" w:hAnsi="Fira Sans"/>
                <w:sz w:val="16"/>
                <w:szCs w:val="16"/>
                <w:lang w:val="en-GB"/>
              </w:rPr>
              <w:t xml:space="preserve">Financial result from </w:t>
            </w:r>
            <w:r>
              <w:rPr>
                <w:rFonts w:ascii="Fira Sans" w:hAnsi="Fira Sans"/>
                <w:sz w:val="16"/>
                <w:szCs w:val="16"/>
                <w:lang w:val="en-GB"/>
              </w:rPr>
              <w:t xml:space="preserve">the </w:t>
            </w:r>
            <w:r w:rsidRPr="007D764B">
              <w:rPr>
                <w:rFonts w:ascii="Fira Sans" w:hAnsi="Fira Sans"/>
                <w:sz w:val="16"/>
                <w:szCs w:val="16"/>
                <w:lang w:val="en-GB"/>
              </w:rPr>
              <w:t>sale of products, goods and materials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B3706" w:rsidRDefault="005B3706" w:rsidP="005B3706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137 642,5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B3706" w:rsidRDefault="005B3706" w:rsidP="005B3706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143 998,7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5B3706" w:rsidRDefault="005B3706" w:rsidP="005B3706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104,6</w:t>
            </w:r>
          </w:p>
        </w:tc>
      </w:tr>
      <w:tr w:rsidR="005B3706" w:rsidRPr="00121540" w:rsidTr="00017B0F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5B3706" w:rsidRPr="007D764B" w:rsidRDefault="005B3706" w:rsidP="005B3706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 w:rsidRPr="00F11A45">
              <w:rPr>
                <w:rFonts w:ascii="Fira Sans" w:hAnsi="Fira Sans"/>
                <w:sz w:val="16"/>
                <w:szCs w:val="16"/>
                <w:lang w:val="en-GB"/>
              </w:rPr>
              <w:t>Financial result from other operating activity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B3706" w:rsidRDefault="005B3706" w:rsidP="005B3706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3 468,0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B3706" w:rsidRDefault="005B3706" w:rsidP="005B3706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4 224,9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5B3706" w:rsidRDefault="005B3706" w:rsidP="005B3706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121,8</w:t>
            </w:r>
          </w:p>
        </w:tc>
      </w:tr>
      <w:tr w:rsidR="005B3706" w:rsidRPr="00121540" w:rsidTr="00017B0F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5B3706" w:rsidRPr="007D764B" w:rsidRDefault="005B3706" w:rsidP="005B3706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sz w:val="16"/>
                <w:szCs w:val="16"/>
                <w:lang w:val="en-GB"/>
              </w:rPr>
              <w:t>Result on financial activity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B3706" w:rsidRDefault="005B3706" w:rsidP="005B3706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-3 392,9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B3706" w:rsidRDefault="005B3706" w:rsidP="005B3706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-912,9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5B3706" w:rsidRDefault="005B3706" w:rsidP="005B3706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x</w:t>
            </w:r>
          </w:p>
        </w:tc>
      </w:tr>
      <w:tr w:rsidR="005B3706" w:rsidRPr="00121540" w:rsidTr="00017B0F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5B3706" w:rsidRPr="007D764B" w:rsidRDefault="005B3706" w:rsidP="005B3706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 w:rsidRPr="007D764B">
              <w:rPr>
                <w:rFonts w:ascii="Fira Sans" w:hAnsi="Fira Sans"/>
                <w:sz w:val="16"/>
                <w:szCs w:val="16"/>
                <w:lang w:val="en-GB"/>
              </w:rPr>
              <w:t>Gross financial result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B3706" w:rsidRDefault="005B3706" w:rsidP="005B3706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137 717,6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B3706" w:rsidRDefault="005B3706" w:rsidP="005B3706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147 310,6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5B3706" w:rsidRDefault="005B3706" w:rsidP="005B3706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107,0</w:t>
            </w:r>
          </w:p>
        </w:tc>
      </w:tr>
      <w:tr w:rsidR="005B3706" w:rsidRPr="00121540" w:rsidTr="00017B0F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hideMark/>
          </w:tcPr>
          <w:p w:rsidR="005B3706" w:rsidRPr="007D764B" w:rsidRDefault="005B3706" w:rsidP="005B3706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 w:rsidRPr="007D764B">
              <w:rPr>
                <w:rFonts w:ascii="Fira Sans" w:hAnsi="Fira Sans"/>
                <w:sz w:val="16"/>
                <w:szCs w:val="16"/>
                <w:lang w:val="en-GB"/>
              </w:rPr>
              <w:t>Net financial result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B3706" w:rsidRDefault="005B3706" w:rsidP="005B3706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112 696,3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B3706" w:rsidRDefault="005B3706" w:rsidP="005B3706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121 188,8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5B3706" w:rsidRDefault="005B3706" w:rsidP="005B3706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107,5</w:t>
            </w:r>
          </w:p>
        </w:tc>
      </w:tr>
      <w:tr w:rsidR="005B3706" w:rsidRPr="00121540" w:rsidTr="00017B0F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5B3706" w:rsidRPr="007D764B" w:rsidRDefault="005B3706" w:rsidP="005B3706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 w:rsidRPr="007D764B">
              <w:rPr>
                <w:rFonts w:ascii="Fira Sans" w:hAnsi="Fira Sans"/>
                <w:sz w:val="16"/>
                <w:szCs w:val="16"/>
                <w:lang w:val="en-GB"/>
              </w:rPr>
              <w:t>Net profit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B3706" w:rsidRDefault="005B3706" w:rsidP="005B3706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137 829,1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B3706" w:rsidRDefault="005B3706" w:rsidP="005B3706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143 625,6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5B3706" w:rsidRDefault="005B3706" w:rsidP="005B3706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104,2</w:t>
            </w:r>
          </w:p>
        </w:tc>
      </w:tr>
      <w:tr w:rsidR="005B3706" w:rsidRPr="00121540" w:rsidTr="00017B0F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5B3706" w:rsidRPr="007D764B" w:rsidRDefault="005B3706" w:rsidP="005B3706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 w:rsidRPr="007D764B">
              <w:rPr>
                <w:rFonts w:ascii="Fira Sans" w:hAnsi="Fira Sans"/>
                <w:sz w:val="16"/>
                <w:szCs w:val="16"/>
                <w:lang w:val="en-GB"/>
              </w:rPr>
              <w:t>Net loss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B3706" w:rsidRDefault="005B3706" w:rsidP="005B3706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25 132,8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B3706" w:rsidRDefault="005B3706" w:rsidP="005B3706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22 436,9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5B3706" w:rsidRDefault="005B3706" w:rsidP="005B3706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89,3</w:t>
            </w:r>
          </w:p>
        </w:tc>
      </w:tr>
      <w:tr w:rsidR="007A4BFD" w:rsidRPr="00121540" w:rsidTr="00B02198">
        <w:trPr>
          <w:trHeight w:val="2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bottom"/>
            <w:hideMark/>
          </w:tcPr>
          <w:p w:rsidR="007A4BFD" w:rsidRPr="007D764B" w:rsidRDefault="007A4BFD" w:rsidP="007A4BFD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16"/>
                <w:szCs w:val="16"/>
                <w:lang w:val="en-GB" w:eastAsia="pl-PL"/>
              </w:rPr>
            </w:pPr>
            <w:r w:rsidRPr="007D764B">
              <w:rPr>
                <w:rFonts w:ascii="Fira Sans" w:eastAsia="Times New Roman" w:hAnsi="Fira Sans" w:cs="Calibri"/>
                <w:color w:val="000000"/>
                <w:sz w:val="16"/>
                <w:szCs w:val="16"/>
                <w:lang w:val="en-GB" w:eastAsia="pl-PL"/>
              </w:rPr>
              <w:t> </w:t>
            </w:r>
          </w:p>
        </w:tc>
        <w:tc>
          <w:tcPr>
            <w:tcW w:w="4120" w:type="dxa"/>
            <w:gridSpan w:val="3"/>
            <w:tcBorders>
              <w:top w:val="single" w:sz="4" w:space="0" w:color="212492"/>
              <w:left w:val="nil"/>
              <w:bottom w:val="single" w:sz="4" w:space="0" w:color="212492"/>
            </w:tcBorders>
            <w:shd w:val="clear" w:color="auto" w:fill="auto"/>
            <w:noWrap/>
            <w:vAlign w:val="bottom"/>
            <w:hideMark/>
          </w:tcPr>
          <w:p w:rsidR="007A4BFD" w:rsidRPr="00957F9B" w:rsidRDefault="007A4BFD" w:rsidP="007A4BF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%</w:t>
            </w:r>
          </w:p>
        </w:tc>
      </w:tr>
      <w:tr w:rsidR="005B3706" w:rsidRPr="00121540" w:rsidTr="0069239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hideMark/>
          </w:tcPr>
          <w:p w:rsidR="005B3706" w:rsidRPr="007D764B" w:rsidRDefault="005B3706" w:rsidP="005B3706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 w:rsidRPr="007D764B">
              <w:rPr>
                <w:rFonts w:ascii="Fira Sans" w:hAnsi="Fira Sans"/>
                <w:sz w:val="16"/>
                <w:szCs w:val="16"/>
                <w:lang w:val="en-GB"/>
              </w:rPr>
              <w:t xml:space="preserve">Cost level indicator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B3706" w:rsidRDefault="005B3706" w:rsidP="005B3706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95,5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B3706" w:rsidRDefault="005B3706" w:rsidP="005B3706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95,4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5B3706" w:rsidRPr="00957F9B" w:rsidRDefault="005B3706" w:rsidP="005B3706">
            <w:pPr>
              <w:spacing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5B3706" w:rsidRPr="00121540" w:rsidTr="0069239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5B3706" w:rsidRPr="007D764B" w:rsidRDefault="005B3706" w:rsidP="005B3706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 w:rsidRPr="00864ACA">
              <w:rPr>
                <w:rFonts w:ascii="Fira Sans" w:hAnsi="Fira Sans"/>
                <w:sz w:val="16"/>
                <w:szCs w:val="16"/>
                <w:lang w:val="en-GB"/>
              </w:rPr>
              <w:t>Gross sales profitability indicator</w:t>
            </w:r>
            <w:r w:rsidRPr="007D764B">
              <w:rPr>
                <w:rFonts w:ascii="Fira Sans" w:hAnsi="Fira Sans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B3706" w:rsidRDefault="005B3706" w:rsidP="005B3706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B3706" w:rsidRDefault="005B3706" w:rsidP="005B3706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5B3706" w:rsidRPr="00957F9B" w:rsidRDefault="005B3706" w:rsidP="005B3706">
            <w:pPr>
              <w:spacing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5B3706" w:rsidRPr="00121540" w:rsidTr="0069239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5B3706" w:rsidRPr="007D764B" w:rsidRDefault="005B3706" w:rsidP="005B3706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 w:rsidRPr="007D764B">
              <w:rPr>
                <w:rFonts w:ascii="Fira Sans" w:hAnsi="Fira Sans"/>
                <w:sz w:val="16"/>
                <w:szCs w:val="16"/>
                <w:lang w:val="en-GB"/>
              </w:rPr>
              <w:t>G</w:t>
            </w:r>
            <w:r>
              <w:rPr>
                <w:rFonts w:ascii="Fira Sans" w:hAnsi="Fira Sans"/>
                <w:sz w:val="16"/>
                <w:szCs w:val="16"/>
                <w:lang w:val="en-GB"/>
              </w:rPr>
              <w:t>ross turnover profitability indicator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B3706" w:rsidRDefault="005B3706" w:rsidP="005B3706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B3706" w:rsidRDefault="005B3706" w:rsidP="005B3706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4,6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5B3706" w:rsidRPr="00957F9B" w:rsidRDefault="005B3706" w:rsidP="005B3706">
            <w:pPr>
              <w:spacing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5B3706" w:rsidRPr="00121540" w:rsidTr="0069239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hideMark/>
          </w:tcPr>
          <w:p w:rsidR="005B3706" w:rsidRPr="007D764B" w:rsidRDefault="005B3706" w:rsidP="005B3706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sz w:val="16"/>
                <w:szCs w:val="16"/>
                <w:lang w:val="en-GB"/>
              </w:rPr>
              <w:t>Net turnover profitability indicator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B3706" w:rsidRDefault="005B3706" w:rsidP="005B3706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B3706" w:rsidRDefault="005B3706" w:rsidP="005B3706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3,7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5B3706" w:rsidRPr="00957F9B" w:rsidRDefault="005B3706" w:rsidP="005B3706">
            <w:pPr>
              <w:spacing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5B3706" w:rsidRPr="00121540" w:rsidTr="0069239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hideMark/>
          </w:tcPr>
          <w:p w:rsidR="005B3706" w:rsidRPr="007D764B" w:rsidRDefault="005B3706" w:rsidP="005B3706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 w:rsidRPr="00864ACA">
              <w:rPr>
                <w:rFonts w:ascii="Fira Sans" w:hAnsi="Fira Sans"/>
                <w:sz w:val="16"/>
                <w:szCs w:val="16"/>
                <w:lang w:val="en-GB"/>
              </w:rPr>
              <w:t>First degree financial liquidity indicator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B3706" w:rsidRDefault="005B3706" w:rsidP="005B3706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36,2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B3706" w:rsidRDefault="005B3706" w:rsidP="005B3706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38,1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:rsidR="005B3706" w:rsidRPr="00957F9B" w:rsidRDefault="005B3706" w:rsidP="005B3706">
            <w:pPr>
              <w:spacing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  <w:tr w:rsidR="005B3706" w:rsidRPr="00121540" w:rsidTr="0069239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hideMark/>
          </w:tcPr>
          <w:p w:rsidR="005B3706" w:rsidRPr="007D764B" w:rsidRDefault="005B3706" w:rsidP="005B3706">
            <w:pPr>
              <w:rPr>
                <w:rFonts w:ascii="Fira Sans" w:hAnsi="Fira Sans"/>
                <w:sz w:val="16"/>
                <w:szCs w:val="16"/>
                <w:lang w:val="en-GB"/>
              </w:rPr>
            </w:pPr>
            <w:r w:rsidRPr="00864ACA">
              <w:rPr>
                <w:rFonts w:ascii="Fira Sans" w:hAnsi="Fira Sans"/>
                <w:sz w:val="16"/>
                <w:szCs w:val="16"/>
                <w:lang w:val="en-GB"/>
              </w:rPr>
              <w:t>Second degree financial liquidity indicator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B3706" w:rsidRDefault="005B3706" w:rsidP="005B3706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98,4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:rsidR="005B3706" w:rsidRDefault="005B3706" w:rsidP="005B3706">
            <w:pPr>
              <w:jc w:val="right"/>
              <w:rPr>
                <w:rFonts w:ascii="Fira Sans" w:hAnsi="Fira Sans" w:cs="Calibri"/>
                <w:color w:val="000000"/>
                <w:sz w:val="16"/>
                <w:szCs w:val="16"/>
              </w:rPr>
            </w:pPr>
            <w:r>
              <w:rPr>
                <w:rFonts w:ascii="Fira Sans" w:hAnsi="Fira Sans" w:cs="Calibri"/>
                <w:color w:val="000000"/>
                <w:sz w:val="16"/>
                <w:szCs w:val="16"/>
              </w:rPr>
              <w:t>98,9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3706" w:rsidRPr="00957F9B" w:rsidRDefault="005B3706" w:rsidP="005B3706">
            <w:pPr>
              <w:spacing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x</w:t>
            </w:r>
          </w:p>
        </w:tc>
      </w:tr>
    </w:tbl>
    <w:p w:rsidR="00506B9C" w:rsidRDefault="00506B9C">
      <w:pPr>
        <w:rPr>
          <w:lang w:val="en-US"/>
        </w:rPr>
      </w:pPr>
    </w:p>
    <w:p w:rsidR="00247BD3" w:rsidRPr="0026306B" w:rsidRDefault="00247BD3" w:rsidP="0026306B">
      <w:pPr>
        <w:jc w:val="both"/>
        <w:rPr>
          <w:rFonts w:ascii="Fira Sans" w:hAnsi="Fira Sans"/>
          <w:sz w:val="19"/>
          <w:szCs w:val="19"/>
          <w:lang w:val="en-US"/>
        </w:rPr>
      </w:pPr>
      <w:r w:rsidRPr="00B879C3">
        <w:rPr>
          <w:rFonts w:ascii="Fira Sans" w:hAnsi="Fira Sans"/>
          <w:sz w:val="19"/>
          <w:szCs w:val="19"/>
          <w:lang w:val="en-US"/>
        </w:rPr>
        <w:t>Data refer to enterprises</w:t>
      </w:r>
      <w:r w:rsidR="00891DA9">
        <w:rPr>
          <w:rFonts w:ascii="Fira Sans" w:hAnsi="Fira Sans"/>
          <w:sz w:val="19"/>
          <w:szCs w:val="19"/>
          <w:lang w:val="en-US"/>
        </w:rPr>
        <w:t xml:space="preserve"> </w:t>
      </w:r>
      <w:r w:rsidR="00891DA9" w:rsidRPr="00891DA9">
        <w:rPr>
          <w:rFonts w:ascii="Fira Sans" w:hAnsi="Fira Sans"/>
          <w:sz w:val="19"/>
          <w:szCs w:val="19"/>
          <w:lang w:val="en-US"/>
        </w:rPr>
        <w:t>in which the nu</w:t>
      </w:r>
      <w:r w:rsidR="00D8133C">
        <w:rPr>
          <w:rFonts w:ascii="Fira Sans" w:hAnsi="Fira Sans"/>
          <w:sz w:val="19"/>
          <w:szCs w:val="19"/>
          <w:lang w:val="en-US"/>
        </w:rPr>
        <w:t>mber of persons employed is 50</w:t>
      </w:r>
      <w:r w:rsidR="00891DA9" w:rsidRPr="00891DA9">
        <w:rPr>
          <w:rFonts w:ascii="Fira Sans" w:hAnsi="Fira Sans"/>
          <w:sz w:val="19"/>
          <w:szCs w:val="19"/>
          <w:lang w:val="en-US"/>
        </w:rPr>
        <w:t xml:space="preserve"> and more, which keep books of account</w:t>
      </w:r>
      <w:r w:rsidRPr="00B879C3">
        <w:rPr>
          <w:rFonts w:ascii="Fira Sans" w:hAnsi="Fira Sans"/>
          <w:sz w:val="19"/>
          <w:szCs w:val="19"/>
          <w:lang w:val="en-US"/>
        </w:rPr>
        <w:t xml:space="preserve">. Data do not include agriculture, forestry, fishing, </w:t>
      </w:r>
      <w:r w:rsidR="0026306B">
        <w:rPr>
          <w:rFonts w:ascii="Fira Sans" w:hAnsi="Fira Sans"/>
          <w:sz w:val="19"/>
          <w:szCs w:val="19"/>
          <w:lang w:val="en-US"/>
        </w:rPr>
        <w:t>f</w:t>
      </w:r>
      <w:r w:rsidR="0026306B" w:rsidRPr="0026306B">
        <w:rPr>
          <w:rFonts w:ascii="Fira Sans" w:hAnsi="Fira Sans"/>
          <w:sz w:val="19"/>
          <w:szCs w:val="19"/>
          <w:lang w:val="en-US"/>
        </w:rPr>
        <w:t>inancial and insurance activities</w:t>
      </w:r>
      <w:r w:rsidR="0026306B">
        <w:rPr>
          <w:rFonts w:ascii="Fira Sans" w:hAnsi="Fira Sans"/>
          <w:sz w:val="19"/>
          <w:szCs w:val="19"/>
          <w:lang w:val="en-US"/>
        </w:rPr>
        <w:t xml:space="preserve"> </w:t>
      </w:r>
      <w:r w:rsidR="004277D8">
        <w:rPr>
          <w:rFonts w:ascii="Fira Sans" w:hAnsi="Fira Sans"/>
          <w:sz w:val="19"/>
          <w:szCs w:val="19"/>
          <w:lang w:val="en-US"/>
        </w:rPr>
        <w:t>as well as</w:t>
      </w:r>
      <w:r w:rsidRPr="00B879C3">
        <w:rPr>
          <w:rFonts w:ascii="Fira Sans" w:hAnsi="Fira Sans"/>
          <w:sz w:val="19"/>
          <w:szCs w:val="19"/>
          <w:lang w:val="en-US"/>
        </w:rPr>
        <w:t xml:space="preserve"> higher education</w:t>
      </w:r>
      <w:r w:rsidR="00C33CA9">
        <w:rPr>
          <w:rFonts w:ascii="Fira Sans" w:hAnsi="Fira Sans"/>
          <w:sz w:val="19"/>
          <w:szCs w:val="19"/>
          <w:lang w:val="en-US"/>
        </w:rPr>
        <w:t xml:space="preserve"> </w:t>
      </w:r>
      <w:r w:rsidR="00C33CA9" w:rsidRPr="00C33CA9">
        <w:rPr>
          <w:rFonts w:ascii="Fira Sans" w:hAnsi="Fira Sans"/>
          <w:sz w:val="19"/>
          <w:szCs w:val="19"/>
          <w:lang w:val="en-US"/>
        </w:rPr>
        <w:t>institutions</w:t>
      </w:r>
      <w:r w:rsidRPr="00B879C3">
        <w:rPr>
          <w:rFonts w:ascii="Fira Sans" w:hAnsi="Fira Sans"/>
          <w:sz w:val="19"/>
          <w:szCs w:val="19"/>
          <w:lang w:val="en-US"/>
        </w:rPr>
        <w:t>.</w:t>
      </w:r>
    </w:p>
    <w:sectPr w:rsidR="00247BD3" w:rsidRPr="0026306B" w:rsidSect="00641F3A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364"/>
    <w:rsid w:val="00083503"/>
    <w:rsid w:val="000A3581"/>
    <w:rsid w:val="00121540"/>
    <w:rsid w:val="00187534"/>
    <w:rsid w:val="001F64C5"/>
    <w:rsid w:val="00247BD3"/>
    <w:rsid w:val="0026306B"/>
    <w:rsid w:val="002A63A1"/>
    <w:rsid w:val="003078A3"/>
    <w:rsid w:val="00310F4F"/>
    <w:rsid w:val="003468F3"/>
    <w:rsid w:val="00360F19"/>
    <w:rsid w:val="003F64F5"/>
    <w:rsid w:val="004074C3"/>
    <w:rsid w:val="00425F39"/>
    <w:rsid w:val="004277D8"/>
    <w:rsid w:val="004A436C"/>
    <w:rsid w:val="00503E68"/>
    <w:rsid w:val="00506B9C"/>
    <w:rsid w:val="00561730"/>
    <w:rsid w:val="00563505"/>
    <w:rsid w:val="005A2E4E"/>
    <w:rsid w:val="005B3706"/>
    <w:rsid w:val="005C0B01"/>
    <w:rsid w:val="00605F1A"/>
    <w:rsid w:val="00622724"/>
    <w:rsid w:val="0063133C"/>
    <w:rsid w:val="00641F3A"/>
    <w:rsid w:val="00693C52"/>
    <w:rsid w:val="00791BCD"/>
    <w:rsid w:val="007A4BFD"/>
    <w:rsid w:val="007D764B"/>
    <w:rsid w:val="007F2B33"/>
    <w:rsid w:val="007F6DB1"/>
    <w:rsid w:val="00822D7A"/>
    <w:rsid w:val="008531D2"/>
    <w:rsid w:val="00864ACA"/>
    <w:rsid w:val="00891DA9"/>
    <w:rsid w:val="008D30C8"/>
    <w:rsid w:val="008F2D7D"/>
    <w:rsid w:val="00904F3C"/>
    <w:rsid w:val="00957808"/>
    <w:rsid w:val="00981A71"/>
    <w:rsid w:val="00A26C2F"/>
    <w:rsid w:val="00A406DB"/>
    <w:rsid w:val="00A73F07"/>
    <w:rsid w:val="00AA78C6"/>
    <w:rsid w:val="00B13337"/>
    <w:rsid w:val="00B863D4"/>
    <w:rsid w:val="00B879C3"/>
    <w:rsid w:val="00BC1564"/>
    <w:rsid w:val="00C33CA9"/>
    <w:rsid w:val="00C547E8"/>
    <w:rsid w:val="00C77447"/>
    <w:rsid w:val="00CA2DEC"/>
    <w:rsid w:val="00CE1364"/>
    <w:rsid w:val="00D32C01"/>
    <w:rsid w:val="00D8133C"/>
    <w:rsid w:val="00D9323A"/>
    <w:rsid w:val="00DA193F"/>
    <w:rsid w:val="00DC0A78"/>
    <w:rsid w:val="00DD471D"/>
    <w:rsid w:val="00DD70B9"/>
    <w:rsid w:val="00E0702E"/>
    <w:rsid w:val="00E13D34"/>
    <w:rsid w:val="00E36EFF"/>
    <w:rsid w:val="00E5653B"/>
    <w:rsid w:val="00EA3451"/>
    <w:rsid w:val="00EB113C"/>
    <w:rsid w:val="00EE4BF8"/>
    <w:rsid w:val="00F11A45"/>
    <w:rsid w:val="00F425BF"/>
    <w:rsid w:val="00F55E54"/>
    <w:rsid w:val="00F9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9EFD01-4D0A-4DF8-B5DA-F008BA55D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Statistics Poland</Company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results of non-financial enterprises in 2019</dc:title>
  <dc:subject>Financial results of non-financial enterprises in 2019</dc:subject>
  <dc:creator>Statistics Poland</dc:creator>
  <cp:keywords>non-financial enterprises; investment outlays; financial results of non-financial enterprises; revenues of non-financial enterprises; costs of non-financial enterprises; costs by types of non-financial enterprises; profitability indicators of non-financial enterprises; financial liquidity indicators of non-financial enterprises; revenues from sale for export of non-financial enterprises</cp:keywords>
  <dc:description/>
  <cp:lastModifiedBy>Pasiak Karol</cp:lastModifiedBy>
  <cp:revision>41</cp:revision>
  <dcterms:created xsi:type="dcterms:W3CDTF">2018-08-22T06:05:00Z</dcterms:created>
  <dcterms:modified xsi:type="dcterms:W3CDTF">2020-03-18T09:57:00Z</dcterms:modified>
  <cp:category>Activity of enterprises; Activity of companies</cp:category>
</cp:coreProperties>
</file>