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371AA7" w:rsidRDefault="00371AA7" w:rsidP="00074DD8">
      <w:pPr>
        <w:pStyle w:val="tytuinformacji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Price indices of r</w:t>
      </w:r>
      <w:r w:rsidRPr="00371AA7">
        <w:rPr>
          <w:shd w:val="clear" w:color="auto" w:fill="FFFFFF"/>
          <w:lang w:val="en-US"/>
        </w:rPr>
        <w:t>esidential premises in</w:t>
      </w:r>
      <w:r w:rsidR="00BF0C5F" w:rsidRPr="00371AA7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 xml:space="preserve">the </w:t>
      </w:r>
      <w:r w:rsidR="00C32CB6">
        <w:rPr>
          <w:shd w:val="clear" w:color="auto" w:fill="FFFFFF"/>
          <w:lang w:val="en-US"/>
        </w:rPr>
        <w:t>fourth</w:t>
      </w:r>
      <w:r>
        <w:rPr>
          <w:shd w:val="clear" w:color="auto" w:fill="FFFFFF"/>
          <w:lang w:val="en-US"/>
        </w:rPr>
        <w:t xml:space="preserve"> quarter</w:t>
      </w:r>
      <w:r w:rsidR="00CF3D9C" w:rsidRPr="00371AA7">
        <w:rPr>
          <w:shd w:val="clear" w:color="auto" w:fill="FFFFFF"/>
          <w:lang w:val="en-US"/>
        </w:rPr>
        <w:t xml:space="preserve"> </w:t>
      </w:r>
      <w:r w:rsidR="00866DA3">
        <w:rPr>
          <w:shd w:val="clear" w:color="auto" w:fill="FFFFFF"/>
          <w:lang w:val="en-US"/>
        </w:rPr>
        <w:t>2019</w:t>
      </w:r>
    </w:p>
    <w:p w:rsidR="00393761" w:rsidRPr="00371AA7" w:rsidRDefault="00393761" w:rsidP="00074DD8">
      <w:pPr>
        <w:pStyle w:val="tytuinformacji"/>
        <w:rPr>
          <w:sz w:val="32"/>
          <w:lang w:val="en-US"/>
        </w:rPr>
      </w:pPr>
    </w:p>
    <w:p w:rsidR="00BD5E55" w:rsidRPr="00916910" w:rsidRDefault="00E96378" w:rsidP="00075C06">
      <w:pPr>
        <w:pStyle w:val="LID"/>
        <w:spacing w:after="0"/>
        <w:ind w:right="-155"/>
        <w:rPr>
          <w:lang w:val="en-U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6.5pt;width:2in;height:93.4pt;z-index:25167667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" fillcolor="#001d77" stroked="f">
            <v:textbox style="mso-next-textbox:#_x0000_s1027">
              <w:txbxContent>
                <w:p w:rsidR="009B46C8" w:rsidRPr="00C2775E" w:rsidRDefault="009B46C8" w:rsidP="0063301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</w:pPr>
                  <w:r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33375" cy="333375"/>
                        <wp:effectExtent l="0" t="0" r="9525" b="9525"/>
                        <wp:docPr id="6" name="Obraz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2775E">
                    <w:rPr>
                      <w:noProof/>
                      <w:color w:val="001D77"/>
                      <w:lang w:val="en-US" w:eastAsia="pl-PL"/>
                    </w:rPr>
                    <w:t xml:space="preserve"> </w:t>
                  </w:r>
                  <w:r w:rsidR="001D3639"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>9.</w:t>
                  </w:r>
                  <w:r w:rsidR="00C32CB6"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>4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>%</w:t>
                  </w:r>
                </w:p>
                <w:p w:rsidR="009B46C8" w:rsidRPr="00371AA7" w:rsidRDefault="009B46C8" w:rsidP="007068CE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  <w:lang w:val="en-US"/>
                    </w:rPr>
                  </w:pPr>
                  <w:r w:rsidRPr="00371AA7">
                    <w:rPr>
                      <w:lang w:val="en-US"/>
                    </w:rPr>
                    <w:t xml:space="preserve">Increase </w:t>
                  </w:r>
                  <w:r>
                    <w:rPr>
                      <w:lang w:val="en-US"/>
                    </w:rPr>
                    <w:t>in prices of</w:t>
                  </w:r>
                  <w:r w:rsidRPr="00371AA7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 xml:space="preserve">residential premises compared </w:t>
                  </w:r>
                  <w:r w:rsidR="00C32CB6">
                    <w:rPr>
                      <w:lang w:val="en-US"/>
                    </w:rPr>
                    <w:t>to the 4</w:t>
                  </w:r>
                  <w:r w:rsidR="00C32CB6">
                    <w:rPr>
                      <w:vertAlign w:val="superscript"/>
                      <w:lang w:val="en-US"/>
                    </w:rPr>
                    <w:t>th</w:t>
                  </w:r>
                  <w:r w:rsidR="001D3639">
                    <w:rPr>
                      <w:lang w:val="en-US"/>
                    </w:rPr>
                    <w:t xml:space="preserve"> quarter 2018</w:t>
                  </w:r>
                </w:p>
              </w:txbxContent>
            </v:textbox>
            <w10:wrap type="square" anchorx="margin"/>
          </v:shape>
        </w:pict>
      </w:r>
      <w:r w:rsidR="00371AA7" w:rsidRPr="00F53E18">
        <w:rPr>
          <w:lang w:val="en-US"/>
        </w:rPr>
        <w:t xml:space="preserve">Prices </w:t>
      </w:r>
      <w:r w:rsidR="006C50D6">
        <w:rPr>
          <w:lang w:val="en-US"/>
        </w:rPr>
        <w:t xml:space="preserve">of residential premises in the </w:t>
      </w:r>
      <w:r w:rsidR="00C32CB6">
        <w:rPr>
          <w:lang w:val="en-US"/>
        </w:rPr>
        <w:t>fourth</w:t>
      </w:r>
      <w:r w:rsidR="00866DA3">
        <w:rPr>
          <w:lang w:val="en-US"/>
        </w:rPr>
        <w:t xml:space="preserve"> quarter 2019</w:t>
      </w:r>
      <w:r w:rsidR="00451870">
        <w:rPr>
          <w:lang w:val="en-US"/>
        </w:rPr>
        <w:t>,</w:t>
      </w:r>
      <w:r w:rsidR="00AB397C" w:rsidRPr="00AB397C">
        <w:rPr>
          <w:lang w:val="en-US"/>
        </w:rPr>
        <w:t xml:space="preserve"> </w:t>
      </w:r>
      <w:r w:rsidR="00AB397C">
        <w:rPr>
          <w:lang w:val="en-US"/>
        </w:rPr>
        <w:t xml:space="preserve">compared </w:t>
      </w:r>
      <w:r w:rsidR="001D3639">
        <w:rPr>
          <w:lang w:val="en-US"/>
        </w:rPr>
        <w:t xml:space="preserve">to </w:t>
      </w:r>
      <w:r w:rsidR="00AB397C">
        <w:rPr>
          <w:lang w:val="en-US"/>
        </w:rPr>
        <w:t>the</w:t>
      </w:r>
      <w:r w:rsidR="00AB397C" w:rsidRPr="00F53E18">
        <w:rPr>
          <w:lang w:val="en-US"/>
        </w:rPr>
        <w:t xml:space="preserve"> previo</w:t>
      </w:r>
      <w:r w:rsidR="00AB397C">
        <w:rPr>
          <w:lang w:val="en-US"/>
        </w:rPr>
        <w:t>us quarter</w:t>
      </w:r>
      <w:r w:rsidR="00451870">
        <w:rPr>
          <w:lang w:val="en-US"/>
        </w:rPr>
        <w:t>,</w:t>
      </w:r>
      <w:r w:rsidR="00371AA7" w:rsidRPr="00F53E18">
        <w:rPr>
          <w:lang w:val="en-US"/>
        </w:rPr>
        <w:t xml:space="preserve"> incre</w:t>
      </w:r>
      <w:r w:rsidR="00742FC2">
        <w:rPr>
          <w:lang w:val="en-US"/>
        </w:rPr>
        <w:t>a</w:t>
      </w:r>
      <w:r w:rsidR="00371AA7" w:rsidRPr="00F53E18">
        <w:rPr>
          <w:lang w:val="en-US"/>
        </w:rPr>
        <w:t xml:space="preserve">sed by </w:t>
      </w:r>
      <w:r w:rsidR="001D3639">
        <w:rPr>
          <w:lang w:val="en-US"/>
        </w:rPr>
        <w:t>2.</w:t>
      </w:r>
      <w:r w:rsidR="00C32CB6">
        <w:rPr>
          <w:lang w:val="en-US"/>
        </w:rPr>
        <w:t>8</w:t>
      </w:r>
      <w:r w:rsidR="008B15C2" w:rsidRPr="00F53E18">
        <w:rPr>
          <w:lang w:val="en-US"/>
        </w:rPr>
        <w:t>% (</w:t>
      </w:r>
      <w:r w:rsidR="00F53E18">
        <w:rPr>
          <w:lang w:val="en-US"/>
        </w:rPr>
        <w:t>of</w:t>
      </w:r>
      <w:r w:rsidR="000F4F85">
        <w:rPr>
          <w:lang w:val="en-US"/>
        </w:rPr>
        <w:t> </w:t>
      </w:r>
      <w:r w:rsidR="00F53E18">
        <w:rPr>
          <w:lang w:val="en-US"/>
        </w:rPr>
        <w:t xml:space="preserve">which </w:t>
      </w:r>
      <w:r w:rsidR="00C32CB6">
        <w:rPr>
          <w:lang w:val="en-US"/>
        </w:rPr>
        <w:t xml:space="preserve">both </w:t>
      </w:r>
      <w:r w:rsidR="00AB397C">
        <w:rPr>
          <w:lang w:val="en-US"/>
        </w:rPr>
        <w:t xml:space="preserve">on the primary market </w:t>
      </w:r>
      <w:r w:rsidR="00C32CB6">
        <w:rPr>
          <w:lang w:val="en-US"/>
        </w:rPr>
        <w:t xml:space="preserve">and </w:t>
      </w:r>
      <w:r w:rsidR="00AB397C">
        <w:rPr>
          <w:lang w:val="en-US"/>
        </w:rPr>
        <w:t xml:space="preserve">on the </w:t>
      </w:r>
      <w:r w:rsidR="001D3639">
        <w:rPr>
          <w:lang w:val="en-US"/>
        </w:rPr>
        <w:t>secondar</w:t>
      </w:r>
      <w:r w:rsidR="00AB397C">
        <w:rPr>
          <w:lang w:val="en-US"/>
        </w:rPr>
        <w:t xml:space="preserve">y market - </w:t>
      </w:r>
      <w:r w:rsidR="00F53E18">
        <w:rPr>
          <w:lang w:val="en-US"/>
        </w:rPr>
        <w:t>by</w:t>
      </w:r>
      <w:r w:rsidR="004B09A3">
        <w:rPr>
          <w:lang w:val="en-US"/>
        </w:rPr>
        <w:t xml:space="preserve"> </w:t>
      </w:r>
      <w:r w:rsidR="00C32CB6">
        <w:rPr>
          <w:lang w:val="en-US"/>
        </w:rPr>
        <w:t>2.8</w:t>
      </w:r>
      <w:r w:rsidR="008B15C2" w:rsidRPr="00F53E18">
        <w:rPr>
          <w:lang w:val="en-US"/>
        </w:rPr>
        <w:t xml:space="preserve">%). </w:t>
      </w:r>
      <w:r w:rsidR="00EC646D">
        <w:rPr>
          <w:lang w:val="en-US"/>
        </w:rPr>
        <w:t xml:space="preserve">Compared </w:t>
      </w:r>
      <w:r w:rsidR="001D3639">
        <w:rPr>
          <w:lang w:val="en-US"/>
        </w:rPr>
        <w:t>to th</w:t>
      </w:r>
      <w:r w:rsidR="00EC646D">
        <w:rPr>
          <w:lang w:val="en-US"/>
        </w:rPr>
        <w:t>e</w:t>
      </w:r>
      <w:r w:rsidR="00AB397C">
        <w:rPr>
          <w:lang w:val="en-US"/>
        </w:rPr>
        <w:t xml:space="preserve"> corresponding quarter of </w:t>
      </w:r>
      <w:r w:rsidR="00866DA3">
        <w:rPr>
          <w:lang w:val="en-US"/>
        </w:rPr>
        <w:t>2018</w:t>
      </w:r>
      <w:r w:rsidR="001D3639">
        <w:rPr>
          <w:lang w:val="en-US"/>
        </w:rPr>
        <w:t>,</w:t>
      </w:r>
      <w:r w:rsidR="00F53E18" w:rsidRPr="00F53E18">
        <w:rPr>
          <w:lang w:val="en-US"/>
        </w:rPr>
        <w:t xml:space="preserve"> </w:t>
      </w:r>
      <w:r w:rsidR="00871864">
        <w:rPr>
          <w:lang w:val="en-US"/>
        </w:rPr>
        <w:t xml:space="preserve">prices of </w:t>
      </w:r>
      <w:r w:rsidR="00F53E18" w:rsidRPr="00F53E18">
        <w:rPr>
          <w:lang w:val="en-US"/>
        </w:rPr>
        <w:t>residential premises incre</w:t>
      </w:r>
      <w:r w:rsidR="00742FC2">
        <w:rPr>
          <w:lang w:val="en-US"/>
        </w:rPr>
        <w:t>a</w:t>
      </w:r>
      <w:r w:rsidR="00F53E18" w:rsidRPr="00F53E18">
        <w:rPr>
          <w:lang w:val="en-US"/>
        </w:rPr>
        <w:t>sed by</w:t>
      </w:r>
      <w:r w:rsidR="00F53E18">
        <w:rPr>
          <w:lang w:val="en-US"/>
        </w:rPr>
        <w:t xml:space="preserve"> </w:t>
      </w:r>
      <w:r w:rsidR="001D3639">
        <w:rPr>
          <w:lang w:val="en-US"/>
        </w:rPr>
        <w:t>9.</w:t>
      </w:r>
      <w:r w:rsidR="00C32CB6">
        <w:rPr>
          <w:lang w:val="en-US"/>
        </w:rPr>
        <w:t>4</w:t>
      </w:r>
      <w:r w:rsidR="00F140E4" w:rsidRPr="00F53E18">
        <w:rPr>
          <w:lang w:val="en-US"/>
        </w:rPr>
        <w:t>% (</w:t>
      </w:r>
      <w:r w:rsidR="00F53E18">
        <w:rPr>
          <w:lang w:val="en-US"/>
        </w:rPr>
        <w:t>of</w:t>
      </w:r>
      <w:r w:rsidR="00665BD6">
        <w:rPr>
          <w:lang w:val="en-US"/>
        </w:rPr>
        <w:t> </w:t>
      </w:r>
      <w:r w:rsidR="00F53E18">
        <w:rPr>
          <w:lang w:val="en-US"/>
        </w:rPr>
        <w:t xml:space="preserve">which </w:t>
      </w:r>
      <w:r w:rsidR="00AB397C">
        <w:rPr>
          <w:lang w:val="en-US"/>
        </w:rPr>
        <w:t>on the primary mar</w:t>
      </w:r>
      <w:bookmarkStart w:id="0" w:name="_GoBack"/>
      <w:bookmarkEnd w:id="0"/>
      <w:r w:rsidR="00AB397C">
        <w:rPr>
          <w:lang w:val="en-US"/>
        </w:rPr>
        <w:t xml:space="preserve">ket - </w:t>
      </w:r>
      <w:r w:rsidR="00F53E18">
        <w:rPr>
          <w:lang w:val="en-US"/>
        </w:rPr>
        <w:t>by</w:t>
      </w:r>
      <w:r w:rsidR="00B83925">
        <w:rPr>
          <w:lang w:val="en-US"/>
        </w:rPr>
        <w:t xml:space="preserve"> </w:t>
      </w:r>
      <w:r w:rsidR="003D1DDA">
        <w:rPr>
          <w:lang w:val="en-US"/>
        </w:rPr>
        <w:t>6.</w:t>
      </w:r>
      <w:r w:rsidR="00C32CB6">
        <w:rPr>
          <w:lang w:val="en-US"/>
        </w:rPr>
        <w:t>5</w:t>
      </w:r>
      <w:r w:rsidR="00F140E4" w:rsidRPr="00F53E18">
        <w:rPr>
          <w:lang w:val="en-US"/>
        </w:rPr>
        <w:t xml:space="preserve">% </w:t>
      </w:r>
      <w:r w:rsidR="00F53E18">
        <w:rPr>
          <w:lang w:val="en-US"/>
        </w:rPr>
        <w:t xml:space="preserve">and </w:t>
      </w:r>
      <w:r w:rsidR="00AB397C">
        <w:rPr>
          <w:lang w:val="en-US"/>
        </w:rPr>
        <w:t xml:space="preserve">on the </w:t>
      </w:r>
      <w:r w:rsidR="001D3639">
        <w:rPr>
          <w:lang w:val="en-US"/>
        </w:rPr>
        <w:t>secondary</w:t>
      </w:r>
      <w:r w:rsidR="00AB397C">
        <w:rPr>
          <w:lang w:val="en-US"/>
        </w:rPr>
        <w:t xml:space="preserve"> market - </w:t>
      </w:r>
      <w:r w:rsidR="00F53E18">
        <w:rPr>
          <w:lang w:val="en-US"/>
        </w:rPr>
        <w:t>by</w:t>
      </w:r>
      <w:r w:rsidR="003D1DDA">
        <w:rPr>
          <w:lang w:val="en-US"/>
        </w:rPr>
        <w:t xml:space="preserve"> </w:t>
      </w:r>
      <w:r w:rsidR="00C32CB6">
        <w:rPr>
          <w:lang w:val="en-US"/>
        </w:rPr>
        <w:t>12.0</w:t>
      </w:r>
      <w:r w:rsidR="00F140E4" w:rsidRPr="00F53E18">
        <w:rPr>
          <w:lang w:val="en-US"/>
        </w:rPr>
        <w:t>%).</w:t>
      </w:r>
    </w:p>
    <w:p w:rsidR="00075C06" w:rsidRDefault="00075C06" w:rsidP="00BD5E55">
      <w:pPr>
        <w:pStyle w:val="Nagwek1"/>
        <w:rPr>
          <w:rFonts w:ascii="Fira Sans" w:hAnsi="Fira Sans"/>
          <w:b/>
          <w:color w:val="auto"/>
          <w:sz w:val="18"/>
          <w:szCs w:val="18"/>
          <w:lang w:val="en-US"/>
        </w:rPr>
      </w:pPr>
    </w:p>
    <w:p w:rsidR="00CC7C9C" w:rsidRDefault="00117B13" w:rsidP="00BD5E55">
      <w:pPr>
        <w:pStyle w:val="Nagwek1"/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</w:pPr>
      <w:r w:rsidRPr="00C2775E">
        <w:rPr>
          <w:rFonts w:ascii="Fira Sans" w:hAnsi="Fira Sans"/>
          <w:b/>
          <w:color w:val="auto"/>
          <w:sz w:val="18"/>
          <w:szCs w:val="18"/>
          <w:lang w:val="en-US"/>
        </w:rPr>
        <w:t>Table</w:t>
      </w:r>
      <w:r w:rsidR="007068CE" w:rsidRPr="00C2775E">
        <w:rPr>
          <w:rFonts w:ascii="Fira Sans" w:hAnsi="Fira Sans"/>
          <w:b/>
          <w:color w:val="auto"/>
          <w:sz w:val="18"/>
          <w:szCs w:val="18"/>
          <w:lang w:val="en-US"/>
        </w:rPr>
        <w:t xml:space="preserve"> 1. </w:t>
      </w:r>
      <w:r w:rsidRPr="00117B13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>Price indices of residential premises in t</w:t>
      </w:r>
      <w:r w:rsidR="006C50D6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 xml:space="preserve">he </w:t>
      </w:r>
      <w:r w:rsidR="00C32CB6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 xml:space="preserve">fourth </w:t>
      </w:r>
      <w:r w:rsidR="00AB397C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 xml:space="preserve">quarter of </w:t>
      </w:r>
      <w:r w:rsidR="00866DA3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>2019</w:t>
      </w:r>
    </w:p>
    <w:tbl>
      <w:tblPr>
        <w:tblStyle w:val="Siatkatabelijasna11"/>
        <w:tblW w:w="81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649"/>
        <w:gridCol w:w="1634"/>
        <w:gridCol w:w="1635"/>
        <w:gridCol w:w="1636"/>
        <w:gridCol w:w="1635"/>
      </w:tblGrid>
      <w:tr w:rsidR="007D15EA" w:rsidRPr="007D15EA" w:rsidTr="00665BD6">
        <w:trPr>
          <w:trHeight w:val="56"/>
          <w:jc w:val="center"/>
        </w:trPr>
        <w:tc>
          <w:tcPr>
            <w:tcW w:w="1649" w:type="dxa"/>
            <w:vMerge w:val="restart"/>
            <w:vAlign w:val="center"/>
          </w:tcPr>
          <w:p w:rsidR="007D15EA" w:rsidRPr="007D15EA" w:rsidRDefault="007D15EA" w:rsidP="007D15EA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7D15EA">
              <w:rPr>
                <w:rFonts w:eastAsia="Times New Roman" w:cs="Arial"/>
                <w:bCs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4905" w:type="dxa"/>
            <w:gridSpan w:val="3"/>
            <w:vAlign w:val="center"/>
          </w:tcPr>
          <w:p w:rsidR="007D15EA" w:rsidRPr="007D15EA" w:rsidRDefault="00C32CB6" w:rsidP="007D15EA">
            <w:pPr>
              <w:keepNext/>
              <w:keepLines/>
              <w:spacing w:before="0" w:after="0" w:line="360" w:lineRule="auto"/>
              <w:jc w:val="center"/>
              <w:outlineLvl w:val="2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IV</w:t>
            </w:r>
            <w:r w:rsidR="007D15EA" w:rsidRPr="007D15EA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quarter</w:t>
            </w:r>
            <w:r w:rsidR="007D15EA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2019</w:t>
            </w:r>
          </w:p>
        </w:tc>
        <w:tc>
          <w:tcPr>
            <w:tcW w:w="1635" w:type="dxa"/>
          </w:tcPr>
          <w:p w:rsidR="007D15EA" w:rsidRPr="007D15EA" w:rsidRDefault="007D15EA" w:rsidP="00C32CB6">
            <w:pPr>
              <w:keepNext/>
              <w:keepLines/>
              <w:spacing w:before="0" w:after="0" w:line="360" w:lineRule="auto"/>
              <w:jc w:val="center"/>
              <w:outlineLvl w:val="2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I-I</w:t>
            </w:r>
            <w:r w:rsidR="00C32CB6">
              <w:rPr>
                <w:rFonts w:eastAsia="Times New Roman" w:cs="Times New Roman"/>
                <w:color w:val="000000"/>
                <w:sz w:val="16"/>
                <w:szCs w:val="16"/>
              </w:rPr>
              <w:t>V</w:t>
            </w:r>
            <w:r w:rsidRPr="007D15EA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quarter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2019</w:t>
            </w:r>
            <w:r w:rsidRPr="007D15EA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7D15EA" w:rsidRPr="007D15EA" w:rsidTr="00665BD6">
        <w:trPr>
          <w:trHeight w:val="56"/>
          <w:jc w:val="center"/>
        </w:trPr>
        <w:tc>
          <w:tcPr>
            <w:tcW w:w="1649" w:type="dxa"/>
            <w:vMerge/>
            <w:tcBorders>
              <w:bottom w:val="single" w:sz="12" w:space="0" w:color="212492"/>
            </w:tcBorders>
            <w:vAlign w:val="center"/>
          </w:tcPr>
          <w:p w:rsidR="007D15EA" w:rsidRPr="007D15EA" w:rsidRDefault="007D15EA" w:rsidP="007D15EA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34" w:type="dxa"/>
            <w:tcBorders>
              <w:bottom w:val="single" w:sz="12" w:space="0" w:color="212492"/>
            </w:tcBorders>
          </w:tcPr>
          <w:p w:rsidR="007D15EA" w:rsidRPr="007D15EA" w:rsidRDefault="00C32CB6" w:rsidP="007D15EA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</w:rPr>
            </w:pPr>
            <w:r>
              <w:rPr>
                <w:rFonts w:eastAsia="Fira Sans Light" w:cs="Times New Roman"/>
                <w:color w:val="000000"/>
                <w:sz w:val="16"/>
                <w:szCs w:val="16"/>
              </w:rPr>
              <w:t>I</w:t>
            </w:r>
            <w:r w:rsidR="001D3639">
              <w:rPr>
                <w:rFonts w:eastAsia="Fira Sans Light" w:cs="Times New Roman"/>
                <w:color w:val="000000"/>
                <w:sz w:val="16"/>
                <w:szCs w:val="16"/>
              </w:rPr>
              <w:t>I</w:t>
            </w:r>
            <w:r w:rsidR="007D15EA">
              <w:rPr>
                <w:rFonts w:eastAsia="Fira Sans Light" w:cs="Times New Roman"/>
                <w:color w:val="000000"/>
                <w:sz w:val="16"/>
                <w:szCs w:val="16"/>
              </w:rPr>
              <w:t>I</w:t>
            </w:r>
            <w:r w:rsidR="007D15EA"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 xml:space="preserve"> quarter</w:t>
            </w:r>
            <w:r w:rsidR="007D15EA">
              <w:rPr>
                <w:rFonts w:eastAsia="Fira Sans Light" w:cs="Times New Roman"/>
                <w:color w:val="000000"/>
                <w:sz w:val="16"/>
                <w:szCs w:val="16"/>
              </w:rPr>
              <w:t xml:space="preserve"> 2019</w:t>
            </w:r>
          </w:p>
          <w:p w:rsidR="007D15EA" w:rsidRPr="007D15EA" w:rsidRDefault="007D15EA" w:rsidP="007D15EA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</w:rPr>
            </w:pPr>
            <w:r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635" w:type="dxa"/>
            <w:tcBorders>
              <w:bottom w:val="single" w:sz="12" w:space="0" w:color="212492"/>
            </w:tcBorders>
            <w:vAlign w:val="center"/>
          </w:tcPr>
          <w:p w:rsidR="007D15EA" w:rsidRPr="007D15EA" w:rsidRDefault="00C32CB6" w:rsidP="007D15EA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</w:rPr>
            </w:pPr>
            <w:r>
              <w:rPr>
                <w:rFonts w:eastAsia="Fira Sans Light" w:cs="Times New Roman"/>
                <w:color w:val="000000"/>
                <w:sz w:val="16"/>
                <w:szCs w:val="16"/>
              </w:rPr>
              <w:t>IV</w:t>
            </w:r>
            <w:r w:rsidR="007D15EA"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 xml:space="preserve"> quarter</w:t>
            </w:r>
            <w:r w:rsidR="007D15EA">
              <w:rPr>
                <w:rFonts w:eastAsia="Fira Sans Light" w:cs="Times New Roman"/>
                <w:color w:val="000000"/>
                <w:sz w:val="16"/>
                <w:szCs w:val="16"/>
              </w:rPr>
              <w:t xml:space="preserve"> 2018</w:t>
            </w:r>
          </w:p>
          <w:p w:rsidR="007D15EA" w:rsidRPr="007D15EA" w:rsidRDefault="007D15EA" w:rsidP="007D15EA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</w:rPr>
            </w:pPr>
            <w:r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635" w:type="dxa"/>
            <w:tcBorders>
              <w:bottom w:val="single" w:sz="12" w:space="0" w:color="212492"/>
            </w:tcBorders>
            <w:vAlign w:val="center"/>
          </w:tcPr>
          <w:p w:rsidR="007D15EA" w:rsidRPr="007D15EA" w:rsidRDefault="007D15EA" w:rsidP="007D15EA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</w:rPr>
            </w:pPr>
            <w:r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>2015=100</w:t>
            </w:r>
          </w:p>
        </w:tc>
        <w:tc>
          <w:tcPr>
            <w:tcW w:w="1635" w:type="dxa"/>
            <w:tcBorders>
              <w:bottom w:val="single" w:sz="12" w:space="0" w:color="212492"/>
            </w:tcBorders>
            <w:vAlign w:val="center"/>
          </w:tcPr>
          <w:p w:rsidR="007D15EA" w:rsidRPr="007D15EA" w:rsidRDefault="007D15EA" w:rsidP="007D15EA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</w:rPr>
            </w:pPr>
            <w:r>
              <w:rPr>
                <w:rFonts w:eastAsia="Fira Sans Light" w:cs="Times New Roman"/>
                <w:color w:val="000000"/>
                <w:sz w:val="16"/>
                <w:szCs w:val="16"/>
              </w:rPr>
              <w:t>I-</w:t>
            </w:r>
            <w:r w:rsidR="00C32CB6">
              <w:rPr>
                <w:rFonts w:eastAsia="Fira Sans Light" w:cs="Times New Roman"/>
                <w:color w:val="000000"/>
                <w:sz w:val="16"/>
                <w:szCs w:val="16"/>
              </w:rPr>
              <w:t>IV</w:t>
            </w:r>
            <w:r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 xml:space="preserve"> quarter</w:t>
            </w:r>
            <w:r>
              <w:rPr>
                <w:rFonts w:eastAsia="Fira Sans Light" w:cs="Times New Roman"/>
                <w:color w:val="000000"/>
                <w:sz w:val="16"/>
                <w:szCs w:val="16"/>
              </w:rPr>
              <w:t xml:space="preserve"> 201</w:t>
            </w:r>
            <w:r w:rsidR="00C32CB6">
              <w:rPr>
                <w:rFonts w:eastAsia="Fira Sans Light" w:cs="Times New Roman"/>
                <w:color w:val="000000"/>
                <w:sz w:val="16"/>
                <w:szCs w:val="16"/>
              </w:rPr>
              <w:t>8</w:t>
            </w:r>
          </w:p>
          <w:p w:rsidR="007D15EA" w:rsidRPr="007D15EA" w:rsidRDefault="007D15EA" w:rsidP="007D15EA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</w:rPr>
            </w:pPr>
            <w:r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>=100</w:t>
            </w:r>
          </w:p>
        </w:tc>
      </w:tr>
      <w:tr w:rsidR="00C32CB6" w:rsidRPr="007D15EA" w:rsidTr="00665BD6">
        <w:trPr>
          <w:trHeight w:val="56"/>
          <w:jc w:val="center"/>
        </w:trPr>
        <w:tc>
          <w:tcPr>
            <w:tcW w:w="1649" w:type="dxa"/>
            <w:vAlign w:val="center"/>
          </w:tcPr>
          <w:p w:rsidR="00C32CB6" w:rsidRPr="007D15EA" w:rsidRDefault="00C32CB6" w:rsidP="00C32CB6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  <w:r w:rsidRPr="007D15EA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634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C32CB6" w:rsidRPr="00C32CB6" w:rsidRDefault="00C32CB6" w:rsidP="00C32CB6">
            <w:pPr>
              <w:jc w:val="right"/>
              <w:rPr>
                <w:b/>
                <w:sz w:val="16"/>
                <w:szCs w:val="16"/>
              </w:rPr>
            </w:pPr>
            <w:r w:rsidRPr="00C32CB6">
              <w:rPr>
                <w:b/>
                <w:sz w:val="16"/>
                <w:szCs w:val="16"/>
              </w:rPr>
              <w:t>102</w:t>
            </w:r>
            <w:r>
              <w:rPr>
                <w:b/>
                <w:sz w:val="16"/>
                <w:szCs w:val="16"/>
              </w:rPr>
              <w:t>.</w:t>
            </w:r>
            <w:r w:rsidRPr="00C32CB6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635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C32CB6" w:rsidRPr="00C32CB6" w:rsidRDefault="00C32CB6" w:rsidP="00C32CB6">
            <w:pPr>
              <w:jc w:val="right"/>
              <w:rPr>
                <w:b/>
                <w:sz w:val="16"/>
                <w:szCs w:val="16"/>
              </w:rPr>
            </w:pPr>
            <w:r w:rsidRPr="00C32CB6">
              <w:rPr>
                <w:b/>
                <w:sz w:val="16"/>
                <w:szCs w:val="16"/>
              </w:rPr>
              <w:t>109</w:t>
            </w:r>
            <w:r>
              <w:rPr>
                <w:b/>
                <w:sz w:val="16"/>
                <w:szCs w:val="16"/>
              </w:rPr>
              <w:t>.</w:t>
            </w:r>
            <w:r w:rsidRPr="00C32CB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35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C32CB6" w:rsidRPr="00C32CB6" w:rsidRDefault="00C32CB6" w:rsidP="00C32CB6">
            <w:pPr>
              <w:jc w:val="right"/>
              <w:rPr>
                <w:b/>
                <w:sz w:val="16"/>
                <w:szCs w:val="16"/>
              </w:rPr>
            </w:pPr>
            <w:r w:rsidRPr="00C32CB6">
              <w:rPr>
                <w:b/>
                <w:sz w:val="16"/>
                <w:szCs w:val="16"/>
              </w:rPr>
              <w:t>127</w:t>
            </w:r>
            <w:r>
              <w:rPr>
                <w:b/>
                <w:sz w:val="16"/>
                <w:szCs w:val="16"/>
              </w:rPr>
              <w:t>.</w:t>
            </w:r>
            <w:r w:rsidRPr="00C32CB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35" w:type="dxa"/>
            <w:tcBorders>
              <w:top w:val="single" w:sz="12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:rsidR="00C32CB6" w:rsidRPr="00C32CB6" w:rsidRDefault="00C32CB6" w:rsidP="00C32CB6">
            <w:pPr>
              <w:jc w:val="right"/>
              <w:rPr>
                <w:b/>
                <w:sz w:val="16"/>
                <w:szCs w:val="16"/>
              </w:rPr>
            </w:pPr>
            <w:r w:rsidRPr="00C32CB6">
              <w:rPr>
                <w:b/>
                <w:sz w:val="16"/>
                <w:szCs w:val="16"/>
              </w:rPr>
              <w:t>108</w:t>
            </w:r>
            <w:r>
              <w:rPr>
                <w:b/>
                <w:sz w:val="16"/>
                <w:szCs w:val="16"/>
              </w:rPr>
              <w:t>.</w:t>
            </w:r>
            <w:r w:rsidRPr="00C32CB6">
              <w:rPr>
                <w:b/>
                <w:sz w:val="16"/>
                <w:szCs w:val="16"/>
              </w:rPr>
              <w:t>7</w:t>
            </w:r>
          </w:p>
        </w:tc>
      </w:tr>
      <w:tr w:rsidR="00C32CB6" w:rsidRPr="007D15EA" w:rsidTr="00665BD6">
        <w:trPr>
          <w:trHeight w:val="56"/>
          <w:jc w:val="center"/>
        </w:trPr>
        <w:tc>
          <w:tcPr>
            <w:tcW w:w="1649" w:type="dxa"/>
            <w:vAlign w:val="center"/>
          </w:tcPr>
          <w:p w:rsidR="00C32CB6" w:rsidRPr="007D15EA" w:rsidRDefault="00C32CB6" w:rsidP="00C32CB6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7D15EA">
              <w:rPr>
                <w:rFonts w:eastAsia="Times New Roman" w:cs="Times New Roman"/>
                <w:color w:val="000000"/>
                <w:sz w:val="16"/>
                <w:szCs w:val="16"/>
              </w:rPr>
              <w:t>Primary market</w:t>
            </w:r>
          </w:p>
        </w:tc>
        <w:tc>
          <w:tcPr>
            <w:tcW w:w="163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C32CB6" w:rsidRPr="00C32CB6" w:rsidRDefault="00C32CB6" w:rsidP="00C32CB6">
            <w:pPr>
              <w:jc w:val="right"/>
              <w:rPr>
                <w:sz w:val="16"/>
                <w:szCs w:val="16"/>
              </w:rPr>
            </w:pPr>
            <w:r w:rsidRPr="00C32CB6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C32CB6">
              <w:rPr>
                <w:sz w:val="16"/>
                <w:szCs w:val="16"/>
              </w:rPr>
              <w:t>8</w:t>
            </w:r>
          </w:p>
        </w:tc>
        <w:tc>
          <w:tcPr>
            <w:tcW w:w="163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C32CB6" w:rsidRPr="00C32CB6" w:rsidRDefault="00C32CB6" w:rsidP="00C32CB6">
            <w:pPr>
              <w:jc w:val="right"/>
              <w:rPr>
                <w:sz w:val="16"/>
                <w:szCs w:val="16"/>
              </w:rPr>
            </w:pPr>
            <w:r w:rsidRPr="00C32CB6">
              <w:rPr>
                <w:sz w:val="16"/>
                <w:szCs w:val="16"/>
              </w:rPr>
              <w:t>106</w:t>
            </w:r>
            <w:r>
              <w:rPr>
                <w:sz w:val="16"/>
                <w:szCs w:val="16"/>
              </w:rPr>
              <w:t>.</w:t>
            </w:r>
            <w:r w:rsidRPr="00C32CB6">
              <w:rPr>
                <w:sz w:val="16"/>
                <w:szCs w:val="16"/>
              </w:rPr>
              <w:t>5</w:t>
            </w:r>
          </w:p>
        </w:tc>
        <w:tc>
          <w:tcPr>
            <w:tcW w:w="163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C32CB6" w:rsidRPr="00C32CB6" w:rsidRDefault="00C32CB6" w:rsidP="00C32CB6">
            <w:pPr>
              <w:jc w:val="right"/>
              <w:rPr>
                <w:sz w:val="16"/>
                <w:szCs w:val="16"/>
              </w:rPr>
            </w:pPr>
            <w:r w:rsidRPr="00C32CB6">
              <w:rPr>
                <w:sz w:val="16"/>
                <w:szCs w:val="16"/>
              </w:rPr>
              <w:t>120</w:t>
            </w:r>
            <w:r>
              <w:rPr>
                <w:sz w:val="16"/>
                <w:szCs w:val="16"/>
              </w:rPr>
              <w:t>.</w:t>
            </w:r>
            <w:r w:rsidRPr="00C32CB6">
              <w:rPr>
                <w:sz w:val="16"/>
                <w:szCs w:val="16"/>
              </w:rPr>
              <w:t>5</w:t>
            </w:r>
          </w:p>
        </w:tc>
        <w:tc>
          <w:tcPr>
            <w:tcW w:w="163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:rsidR="00C32CB6" w:rsidRPr="00C32CB6" w:rsidRDefault="00C32CB6" w:rsidP="00C32CB6">
            <w:pPr>
              <w:jc w:val="right"/>
              <w:rPr>
                <w:sz w:val="16"/>
                <w:szCs w:val="16"/>
              </w:rPr>
            </w:pPr>
            <w:r w:rsidRPr="00C32CB6">
              <w:rPr>
                <w:sz w:val="16"/>
                <w:szCs w:val="16"/>
              </w:rPr>
              <w:t>106</w:t>
            </w:r>
            <w:r>
              <w:rPr>
                <w:sz w:val="16"/>
                <w:szCs w:val="16"/>
              </w:rPr>
              <w:t>.</w:t>
            </w:r>
            <w:r w:rsidRPr="00C32CB6">
              <w:rPr>
                <w:sz w:val="16"/>
                <w:szCs w:val="16"/>
              </w:rPr>
              <w:t>7</w:t>
            </w:r>
          </w:p>
        </w:tc>
      </w:tr>
      <w:tr w:rsidR="00C32CB6" w:rsidRPr="007D15EA" w:rsidTr="00665BD6">
        <w:trPr>
          <w:trHeight w:val="56"/>
          <w:jc w:val="center"/>
        </w:trPr>
        <w:tc>
          <w:tcPr>
            <w:tcW w:w="1649" w:type="dxa"/>
            <w:vAlign w:val="center"/>
          </w:tcPr>
          <w:p w:rsidR="00C32CB6" w:rsidRPr="007D15EA" w:rsidRDefault="00C32CB6" w:rsidP="00C32CB6">
            <w:pPr>
              <w:tabs>
                <w:tab w:val="right" w:leader="dot" w:pos="4156"/>
              </w:tabs>
              <w:spacing w:line="240" w:lineRule="auto"/>
              <w:contextualSpacing/>
              <w:rPr>
                <w:rFonts w:eastAsia="Fira Sans Light" w:cs="Times New Roman"/>
                <w:color w:val="000000"/>
                <w:sz w:val="16"/>
                <w:szCs w:val="16"/>
              </w:rPr>
            </w:pPr>
            <w:r>
              <w:rPr>
                <w:rFonts w:eastAsia="Fira Sans Light" w:cs="Times New Roman"/>
                <w:color w:val="000000"/>
                <w:sz w:val="16"/>
                <w:szCs w:val="16"/>
              </w:rPr>
              <w:t>Seconda</w:t>
            </w:r>
            <w:r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>ry market</w:t>
            </w:r>
          </w:p>
        </w:tc>
        <w:tc>
          <w:tcPr>
            <w:tcW w:w="1634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:rsidR="00C32CB6" w:rsidRPr="00C32CB6" w:rsidRDefault="00C32CB6" w:rsidP="00C32CB6">
            <w:pPr>
              <w:jc w:val="right"/>
              <w:rPr>
                <w:sz w:val="16"/>
                <w:szCs w:val="16"/>
              </w:rPr>
            </w:pPr>
            <w:r w:rsidRPr="00C32CB6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C32CB6">
              <w:rPr>
                <w:sz w:val="16"/>
                <w:szCs w:val="16"/>
              </w:rPr>
              <w:t>8</w:t>
            </w:r>
          </w:p>
        </w:tc>
        <w:tc>
          <w:tcPr>
            <w:tcW w:w="1635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:rsidR="00C32CB6" w:rsidRPr="00C32CB6" w:rsidRDefault="00C32CB6" w:rsidP="00C32CB6">
            <w:pPr>
              <w:jc w:val="right"/>
              <w:rPr>
                <w:sz w:val="16"/>
                <w:szCs w:val="16"/>
              </w:rPr>
            </w:pPr>
            <w:r w:rsidRPr="00C32CB6">
              <w:rPr>
                <w:sz w:val="16"/>
                <w:szCs w:val="16"/>
              </w:rPr>
              <w:t>112</w:t>
            </w:r>
            <w:r>
              <w:rPr>
                <w:sz w:val="16"/>
                <w:szCs w:val="16"/>
              </w:rPr>
              <w:t>.</w:t>
            </w:r>
            <w:r w:rsidRPr="00C32CB6">
              <w:rPr>
                <w:sz w:val="16"/>
                <w:szCs w:val="16"/>
              </w:rPr>
              <w:t>0</w:t>
            </w:r>
          </w:p>
        </w:tc>
        <w:tc>
          <w:tcPr>
            <w:tcW w:w="1635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:rsidR="00C32CB6" w:rsidRPr="00C32CB6" w:rsidRDefault="00C32CB6" w:rsidP="00C32CB6">
            <w:pPr>
              <w:jc w:val="right"/>
              <w:rPr>
                <w:sz w:val="16"/>
                <w:szCs w:val="16"/>
              </w:rPr>
            </w:pPr>
            <w:r w:rsidRPr="00C32CB6">
              <w:rPr>
                <w:sz w:val="16"/>
                <w:szCs w:val="16"/>
              </w:rPr>
              <w:t>133</w:t>
            </w:r>
            <w:r>
              <w:rPr>
                <w:sz w:val="16"/>
                <w:szCs w:val="16"/>
              </w:rPr>
              <w:t>.</w:t>
            </w:r>
            <w:r w:rsidRPr="00C32CB6">
              <w:rPr>
                <w:sz w:val="16"/>
                <w:szCs w:val="16"/>
              </w:rPr>
              <w:t>0</w:t>
            </w:r>
          </w:p>
        </w:tc>
        <w:tc>
          <w:tcPr>
            <w:tcW w:w="1635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</w:tcPr>
          <w:p w:rsidR="00C32CB6" w:rsidRPr="00C32CB6" w:rsidRDefault="00C32CB6" w:rsidP="00C32CB6">
            <w:pPr>
              <w:jc w:val="right"/>
              <w:rPr>
                <w:sz w:val="16"/>
                <w:szCs w:val="16"/>
              </w:rPr>
            </w:pPr>
            <w:r w:rsidRPr="00C32CB6">
              <w:rPr>
                <w:sz w:val="16"/>
                <w:szCs w:val="16"/>
              </w:rPr>
              <w:t>110</w:t>
            </w:r>
            <w:r>
              <w:rPr>
                <w:sz w:val="16"/>
                <w:szCs w:val="16"/>
              </w:rPr>
              <w:t>.</w:t>
            </w:r>
            <w:r w:rsidRPr="00C32CB6">
              <w:rPr>
                <w:sz w:val="16"/>
                <w:szCs w:val="16"/>
              </w:rPr>
              <w:t>4</w:t>
            </w:r>
          </w:p>
        </w:tc>
      </w:tr>
    </w:tbl>
    <w:p w:rsidR="00877C40" w:rsidRDefault="00E96378" w:rsidP="00B0058F">
      <w:pPr>
        <w:spacing w:before="240" w:after="0"/>
        <w:rPr>
          <w:b/>
          <w:sz w:val="18"/>
          <w:lang w:val="en-US"/>
        </w:rPr>
      </w:pPr>
      <w:r>
        <w:rPr>
          <w:b/>
          <w:noProof/>
          <w:sz w:val="18"/>
          <w:szCs w:val="18"/>
        </w:rPr>
        <w:pict>
          <v:shape id="_x0000_s1041" type="#_x0000_t202" style="position:absolute;margin-left:417.55pt;margin-top:1.5pt;width:126.85pt;height:94.7pt;z-index:-251528192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" filled="f" stroked="f">
            <v:textbox style="mso-next-textbox:#_x0000_s1041">
              <w:txbxContent>
                <w:p w:rsidR="009B46C8" w:rsidRPr="00C04936" w:rsidRDefault="009B46C8" w:rsidP="00F364DD">
                  <w:pPr>
                    <w:pStyle w:val="tekstzboku"/>
                    <w:rPr>
                      <w:lang w:val="en-US"/>
                    </w:rPr>
                  </w:pPr>
                  <w:r w:rsidRPr="00602ECE">
                    <w:rPr>
                      <w:lang w:val="en-US"/>
                    </w:rPr>
                    <w:t>Wh</w:t>
                  </w:r>
                  <w:r>
                    <w:rPr>
                      <w:lang w:val="en-US"/>
                    </w:rPr>
                    <w:t xml:space="preserve">en compiling </w:t>
                  </w:r>
                  <w:r w:rsidRPr="00C04936">
                    <w:rPr>
                      <w:lang w:val="en-US"/>
                    </w:rPr>
                    <w:t>price i</w:t>
                  </w:r>
                  <w:r>
                    <w:rPr>
                      <w:lang w:val="en-US"/>
                    </w:rPr>
                    <w:t>ndices</w:t>
                  </w:r>
                  <w:r w:rsidR="00351D92">
                    <w:rPr>
                      <w:lang w:val="en-US"/>
                    </w:rPr>
                    <w:t xml:space="preserve"> of residential premises in 2019</w:t>
                  </w:r>
                  <w:r>
                    <w:rPr>
                      <w:lang w:val="en-US"/>
                    </w:rPr>
                    <w:t>, the secondary mar</w:t>
                  </w:r>
                  <w:r w:rsidR="00B916DE">
                    <w:rPr>
                      <w:lang w:val="en-US"/>
                    </w:rPr>
                    <w:t>ket is assigned a</w:t>
                  </w:r>
                  <w:r w:rsidR="001A0BF7">
                    <w:rPr>
                      <w:lang w:val="en-US"/>
                    </w:rPr>
                    <w:t> </w:t>
                  </w:r>
                  <w:r w:rsidR="00B916DE">
                    <w:rPr>
                      <w:lang w:val="en-US"/>
                    </w:rPr>
                    <w:t>weight of 53.3</w:t>
                  </w:r>
                  <w:r>
                    <w:rPr>
                      <w:lang w:val="en-US"/>
                    </w:rPr>
                    <w:t>%</w:t>
                  </w:r>
                  <w:r w:rsidRPr="00C04936">
                    <w:rPr>
                      <w:lang w:val="en-US"/>
                    </w:rPr>
                    <w:t xml:space="preserve"> a</w:t>
                  </w:r>
                  <w:r>
                    <w:rPr>
                      <w:lang w:val="en-US"/>
                    </w:rPr>
                    <w:t>nd</w:t>
                  </w:r>
                  <w:r w:rsidRPr="00C04936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the</w:t>
                  </w:r>
                  <w:r w:rsidR="001A0BF7">
                    <w:rPr>
                      <w:lang w:val="en-US"/>
                    </w:rPr>
                    <w:t> </w:t>
                  </w:r>
                  <w:r>
                    <w:rPr>
                      <w:lang w:val="en-US"/>
                    </w:rPr>
                    <w:t>pri</w:t>
                  </w:r>
                  <w:r w:rsidR="00B916DE">
                    <w:rPr>
                      <w:lang w:val="en-US"/>
                    </w:rPr>
                    <w:t>mary market – 46.7</w:t>
                  </w:r>
                  <w:r w:rsidR="00CE6424">
                    <w:rPr>
                      <w:lang w:val="en-US"/>
                    </w:rPr>
                    <w:t>%</w:t>
                  </w:r>
                </w:p>
              </w:txbxContent>
            </v:textbox>
            <w10:wrap type="tight"/>
          </v:shape>
        </w:pict>
      </w:r>
      <w:r w:rsidR="00B12F6E" w:rsidRPr="00C2775E">
        <w:rPr>
          <w:b/>
          <w:sz w:val="18"/>
          <w:lang w:val="en-US"/>
        </w:rPr>
        <w:t>Chart</w:t>
      </w:r>
      <w:r w:rsidR="00C44EB3" w:rsidRPr="00C2775E">
        <w:rPr>
          <w:b/>
          <w:sz w:val="18"/>
          <w:lang w:val="en-US"/>
        </w:rPr>
        <w:t xml:space="preserve"> 1. </w:t>
      </w:r>
      <w:r w:rsidR="00B12F6E" w:rsidRPr="00C2775E">
        <w:rPr>
          <w:b/>
          <w:sz w:val="18"/>
          <w:lang w:val="en-US"/>
        </w:rPr>
        <w:t>Weight</w:t>
      </w:r>
      <w:r w:rsidR="00AB397C">
        <w:rPr>
          <w:b/>
          <w:sz w:val="18"/>
          <w:lang w:val="en-US"/>
        </w:rPr>
        <w:t>ing</w:t>
      </w:r>
      <w:r w:rsidR="00B12F6E" w:rsidRPr="00C2775E">
        <w:rPr>
          <w:b/>
          <w:sz w:val="18"/>
          <w:lang w:val="en-US"/>
        </w:rPr>
        <w:t xml:space="preserve"> system used </w:t>
      </w:r>
      <w:r w:rsidR="00AB397C">
        <w:rPr>
          <w:b/>
          <w:sz w:val="18"/>
          <w:lang w:val="en-US"/>
        </w:rPr>
        <w:t>in the compilations of</w:t>
      </w:r>
      <w:r w:rsidR="006C50D6">
        <w:rPr>
          <w:b/>
          <w:sz w:val="18"/>
          <w:lang w:val="en-US"/>
        </w:rPr>
        <w:t xml:space="preserve"> </w:t>
      </w:r>
      <w:r w:rsidR="00B12F6E" w:rsidRPr="00C2775E">
        <w:rPr>
          <w:b/>
          <w:sz w:val="18"/>
          <w:lang w:val="en-US"/>
        </w:rPr>
        <w:t>price ind</w:t>
      </w:r>
      <w:r w:rsidR="00877C40">
        <w:rPr>
          <w:b/>
          <w:sz w:val="18"/>
          <w:lang w:val="en-US"/>
        </w:rPr>
        <w:t>ices of residential premises</w:t>
      </w:r>
      <w:r w:rsidR="00B0058F">
        <w:rPr>
          <w:b/>
          <w:sz w:val="18"/>
          <w:lang w:val="en-US"/>
        </w:rPr>
        <w:t xml:space="preserve"> </w:t>
      </w:r>
      <w:r w:rsidR="00877C40">
        <w:rPr>
          <w:b/>
          <w:sz w:val="18"/>
          <w:lang w:val="en-US"/>
        </w:rPr>
        <w:t xml:space="preserve">in </w:t>
      </w:r>
      <w:r w:rsidR="00351D92">
        <w:rPr>
          <w:b/>
          <w:sz w:val="18"/>
          <w:lang w:val="en-US"/>
        </w:rPr>
        <w:t>2019</w:t>
      </w:r>
    </w:p>
    <w:p w:rsidR="00B54BCC" w:rsidRDefault="00D309C3" w:rsidP="009828B9">
      <w:pPr>
        <w:spacing w:before="0" w:after="0"/>
        <w:ind w:left="680"/>
        <w:rPr>
          <w:b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5075555" cy="1143000"/>
            <wp:effectExtent l="0" t="0" r="0" b="0"/>
            <wp:wrapNone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D309C3" w:rsidRDefault="00D309C3" w:rsidP="001D3639">
      <w:pPr>
        <w:rPr>
          <w:b/>
          <w:sz w:val="18"/>
          <w:lang w:val="en-US"/>
        </w:rPr>
      </w:pPr>
    </w:p>
    <w:p w:rsidR="006E095C" w:rsidRPr="00C04936" w:rsidRDefault="00C04936" w:rsidP="001D3639">
      <w:pPr>
        <w:rPr>
          <w:b/>
          <w:sz w:val="18"/>
          <w:lang w:val="en-US"/>
        </w:rPr>
      </w:pPr>
      <w:r w:rsidRPr="00C04936">
        <w:rPr>
          <w:b/>
          <w:sz w:val="18"/>
          <w:lang w:val="en-US"/>
        </w:rPr>
        <w:t>Chart</w:t>
      </w:r>
      <w:r w:rsidR="00AA6B32" w:rsidRPr="00C04936">
        <w:rPr>
          <w:b/>
          <w:sz w:val="18"/>
          <w:lang w:val="en-US"/>
        </w:rPr>
        <w:t xml:space="preserve"> 2</w:t>
      </w:r>
      <w:r w:rsidR="00D24CF3" w:rsidRPr="00C04936">
        <w:rPr>
          <w:b/>
          <w:sz w:val="18"/>
          <w:lang w:val="en-US"/>
        </w:rPr>
        <w:t xml:space="preserve">. </w:t>
      </w:r>
      <w:r w:rsidR="00B14CB7">
        <w:rPr>
          <w:b/>
          <w:sz w:val="18"/>
          <w:lang w:val="en-US"/>
        </w:rPr>
        <w:t>Quarterly c</w:t>
      </w:r>
      <w:r w:rsidR="001D3639">
        <w:rPr>
          <w:b/>
          <w:sz w:val="18"/>
          <w:lang w:val="en-US"/>
        </w:rPr>
        <w:t>hanges in p</w:t>
      </w:r>
      <w:r>
        <w:rPr>
          <w:b/>
          <w:sz w:val="18"/>
          <w:lang w:val="en-US"/>
        </w:rPr>
        <w:t>rices</w:t>
      </w:r>
      <w:r w:rsidRPr="008A682E">
        <w:rPr>
          <w:b/>
          <w:sz w:val="18"/>
          <w:lang w:val="en-US"/>
        </w:rPr>
        <w:t xml:space="preserve"> of residential premises </w:t>
      </w:r>
      <w:r>
        <w:rPr>
          <w:b/>
          <w:sz w:val="18"/>
          <w:lang w:val="en-US"/>
        </w:rPr>
        <w:t xml:space="preserve">compared </w:t>
      </w:r>
      <w:r w:rsidR="001D3639">
        <w:rPr>
          <w:b/>
          <w:sz w:val="18"/>
          <w:lang w:val="en-US"/>
        </w:rPr>
        <w:t>to</w:t>
      </w:r>
      <w:r>
        <w:rPr>
          <w:b/>
          <w:sz w:val="18"/>
          <w:lang w:val="en-US"/>
        </w:rPr>
        <w:t xml:space="preserve"> the previous quarter</w:t>
      </w:r>
    </w:p>
    <w:p w:rsidR="0087115A" w:rsidRDefault="00665BD6" w:rsidP="006E095C">
      <w:pPr>
        <w:spacing w:before="0" w:after="160" w:line="259" w:lineRule="auto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4586D49B" wp14:editId="01ED4DA3">
            <wp:extent cx="5122545" cy="2918765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E095C" w:rsidRPr="00C93808" w:rsidRDefault="005F2681" w:rsidP="00B14CB7">
      <w:pPr>
        <w:spacing w:before="240" w:after="0" w:line="259" w:lineRule="auto"/>
        <w:ind w:left="709" w:hanging="709"/>
        <w:rPr>
          <w:b/>
          <w:sz w:val="18"/>
          <w:lang w:val="en-US"/>
        </w:rPr>
      </w:pPr>
      <w:r w:rsidRPr="00C2775E">
        <w:rPr>
          <w:b/>
          <w:sz w:val="18"/>
          <w:lang w:val="en-US"/>
        </w:rPr>
        <w:lastRenderedPageBreak/>
        <w:t>Chart</w:t>
      </w:r>
      <w:r w:rsidR="006E095C" w:rsidRPr="00C2775E">
        <w:rPr>
          <w:b/>
          <w:sz w:val="18"/>
          <w:lang w:val="en-US"/>
        </w:rPr>
        <w:t xml:space="preserve"> 3. </w:t>
      </w:r>
      <w:r w:rsidR="00B14CB7">
        <w:rPr>
          <w:b/>
          <w:sz w:val="18"/>
          <w:lang w:val="en-US"/>
        </w:rPr>
        <w:t xml:space="preserve">Quarterly </w:t>
      </w:r>
      <w:r w:rsidR="0057227D">
        <w:rPr>
          <w:b/>
          <w:sz w:val="18"/>
          <w:lang w:val="en-US"/>
        </w:rPr>
        <w:t>Changes in p</w:t>
      </w:r>
      <w:r w:rsidR="00EC646D" w:rsidRPr="00C93808">
        <w:rPr>
          <w:b/>
          <w:sz w:val="18"/>
          <w:lang w:val="en-US"/>
        </w:rPr>
        <w:t xml:space="preserve">rices of residential premises </w:t>
      </w:r>
      <w:r w:rsidR="0057227D">
        <w:rPr>
          <w:b/>
          <w:sz w:val="18"/>
          <w:lang w:val="en-US"/>
        </w:rPr>
        <w:t>c</w:t>
      </w:r>
      <w:r w:rsidR="00C93808" w:rsidRPr="00C93808">
        <w:rPr>
          <w:b/>
          <w:sz w:val="18"/>
          <w:lang w:val="en-US"/>
        </w:rPr>
        <w:t xml:space="preserve">ompared </w:t>
      </w:r>
      <w:r w:rsidR="0057227D">
        <w:rPr>
          <w:b/>
          <w:sz w:val="18"/>
          <w:lang w:val="en-US"/>
        </w:rPr>
        <w:t>to</w:t>
      </w:r>
      <w:r w:rsidR="00C93808" w:rsidRPr="00C93808">
        <w:rPr>
          <w:b/>
          <w:sz w:val="18"/>
          <w:lang w:val="en-US"/>
        </w:rPr>
        <w:t xml:space="preserve"> the c</w:t>
      </w:r>
      <w:r w:rsidR="002D72B8">
        <w:rPr>
          <w:b/>
          <w:sz w:val="18"/>
          <w:lang w:val="en-US"/>
        </w:rPr>
        <w:t xml:space="preserve">orresponding </w:t>
      </w:r>
      <w:r w:rsidR="00B14CB7">
        <w:rPr>
          <w:b/>
          <w:sz w:val="18"/>
          <w:lang w:val="en-US"/>
        </w:rPr>
        <w:br/>
      </w:r>
      <w:r w:rsidR="002D72B8">
        <w:rPr>
          <w:b/>
          <w:sz w:val="18"/>
          <w:lang w:val="en-US"/>
        </w:rPr>
        <w:t>quarter of</w:t>
      </w:r>
      <w:r w:rsidR="00B14CB7">
        <w:rPr>
          <w:b/>
          <w:sz w:val="18"/>
          <w:lang w:val="en-US"/>
        </w:rPr>
        <w:t xml:space="preserve"> </w:t>
      </w:r>
      <w:r w:rsidR="00C93808">
        <w:rPr>
          <w:b/>
          <w:sz w:val="18"/>
          <w:lang w:val="en-US"/>
        </w:rPr>
        <w:t>the previous year</w:t>
      </w:r>
    </w:p>
    <w:p w:rsidR="006E095C" w:rsidRPr="002D72B8" w:rsidRDefault="00665BD6" w:rsidP="005A45AB">
      <w:pPr>
        <w:spacing w:before="0" w:after="160" w:line="259" w:lineRule="auto"/>
        <w:rPr>
          <w:b/>
          <w:sz w:val="18"/>
          <w:lang w:val="en-US"/>
        </w:rPr>
      </w:pPr>
      <w:r>
        <w:rPr>
          <w:noProof/>
          <w:lang w:eastAsia="pl-PL"/>
        </w:rPr>
        <w:drawing>
          <wp:inline distT="0" distB="0" distL="0" distR="0" wp14:anchorId="2C163B83" wp14:editId="1E449366">
            <wp:extent cx="5122545" cy="2640787"/>
            <wp:effectExtent l="0" t="0" r="0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7115A" w:rsidRDefault="00E96378" w:rsidP="0087115A">
      <w:pPr>
        <w:spacing w:before="0" w:after="160" w:line="259" w:lineRule="auto"/>
        <w:rPr>
          <w:b/>
          <w:sz w:val="18"/>
          <w:lang w:val="en-US"/>
        </w:rPr>
      </w:pPr>
      <w:r>
        <w:rPr>
          <w:b/>
          <w:noProof/>
          <w:sz w:val="18"/>
          <w:szCs w:val="18"/>
          <w:lang w:eastAsia="pl-PL"/>
        </w:rPr>
        <w:pict>
          <v:shape id="_x0000_s1042" type="#_x0000_t202" style="position:absolute;margin-left:415.3pt;margin-top:20.95pt;width:137.45pt;height:115.7pt;z-index:-251527168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" filled="f" stroked="f">
            <v:textbox>
              <w:txbxContent>
                <w:p w:rsidR="009B46C8" w:rsidRDefault="009B46C8" w:rsidP="00CC5832">
                  <w:pPr>
                    <w:pStyle w:val="tekstzboku"/>
                    <w:ind w:right="-92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Prices of residential premises</w:t>
                  </w:r>
                  <w:r w:rsidRPr="00A07E99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 xml:space="preserve">in the </w:t>
                  </w:r>
                  <w:r w:rsidR="00665BD6">
                    <w:rPr>
                      <w:lang w:val="en-US"/>
                    </w:rPr>
                    <w:t>fourth</w:t>
                  </w:r>
                  <w:r w:rsidRPr="00A07E99">
                    <w:rPr>
                      <w:lang w:val="en-US"/>
                    </w:rPr>
                    <w:t xml:space="preserve"> quarter </w:t>
                  </w:r>
                  <w:r w:rsidR="00251900">
                    <w:rPr>
                      <w:lang w:val="en-US"/>
                    </w:rPr>
                    <w:t>2019</w:t>
                  </w:r>
                  <w:r w:rsidR="0057227D">
                    <w:rPr>
                      <w:lang w:val="en-US"/>
                    </w:rPr>
                    <w:t xml:space="preserve"> </w:t>
                  </w:r>
                  <w:r w:rsidR="00BE7B43">
                    <w:rPr>
                      <w:lang w:val="en-US"/>
                    </w:rPr>
                    <w:t>were by 2</w:t>
                  </w:r>
                  <w:r w:rsidR="007E1DC4">
                    <w:rPr>
                      <w:lang w:val="en-US"/>
                    </w:rPr>
                    <w:t>7</w:t>
                  </w:r>
                  <w:r w:rsidR="00BE7B43">
                    <w:rPr>
                      <w:lang w:val="en-US"/>
                    </w:rPr>
                    <w:t>.</w:t>
                  </w:r>
                  <w:r w:rsidR="007E1DC4">
                    <w:rPr>
                      <w:lang w:val="en-US"/>
                    </w:rPr>
                    <w:t>1</w:t>
                  </w:r>
                  <w:r w:rsidR="00BE7B43">
                    <w:rPr>
                      <w:lang w:val="en-US"/>
                    </w:rPr>
                    <w:t xml:space="preserve">% higher </w:t>
                  </w:r>
                  <w:r w:rsidR="0057227D">
                    <w:rPr>
                      <w:lang w:val="en-US"/>
                    </w:rPr>
                    <w:t xml:space="preserve">compared </w:t>
                  </w:r>
                  <w:r w:rsidR="00341947">
                    <w:rPr>
                      <w:lang w:val="en-US"/>
                    </w:rPr>
                    <w:t>to</w:t>
                  </w:r>
                  <w:r w:rsidR="00BE7B43">
                    <w:rPr>
                      <w:lang w:val="en-US"/>
                    </w:rPr>
                    <w:t xml:space="preserve"> the average price for 2015 </w:t>
                  </w:r>
                  <w:r w:rsidR="00417B27">
                    <w:rPr>
                      <w:lang w:val="en-US"/>
                    </w:rPr>
                    <w:br/>
                  </w:r>
                  <w:r>
                    <w:rPr>
                      <w:lang w:val="en-US"/>
                    </w:rPr>
                    <w:t>(of which on</w:t>
                  </w:r>
                  <w:r w:rsidR="000645CF">
                    <w:rPr>
                      <w:lang w:val="en-US"/>
                    </w:rPr>
                    <w:t> </w:t>
                  </w:r>
                  <w:r>
                    <w:rPr>
                      <w:lang w:val="en-US"/>
                    </w:rPr>
                    <w:t>the primar</w:t>
                  </w:r>
                  <w:r w:rsidR="00251900">
                    <w:rPr>
                      <w:lang w:val="en-US"/>
                    </w:rPr>
                    <w:t xml:space="preserve">y </w:t>
                  </w:r>
                  <w:r w:rsidR="005F4B77">
                    <w:rPr>
                      <w:lang w:val="en-US"/>
                    </w:rPr>
                    <w:br/>
                  </w:r>
                  <w:r w:rsidR="00251900">
                    <w:rPr>
                      <w:lang w:val="en-US"/>
                    </w:rPr>
                    <w:t xml:space="preserve">market – by </w:t>
                  </w:r>
                  <w:r w:rsidR="007E1DC4">
                    <w:rPr>
                      <w:lang w:val="en-US"/>
                    </w:rPr>
                    <w:t>20.5</w:t>
                  </w:r>
                  <w:r>
                    <w:rPr>
                      <w:lang w:val="en-US"/>
                    </w:rPr>
                    <w:t>% and o</w:t>
                  </w:r>
                  <w:r w:rsidR="00251900">
                    <w:rPr>
                      <w:lang w:val="en-US"/>
                    </w:rPr>
                    <w:t>n</w:t>
                  </w:r>
                  <w:r w:rsidR="000645CF">
                    <w:rPr>
                      <w:lang w:val="en-US"/>
                    </w:rPr>
                    <w:t> </w:t>
                  </w:r>
                  <w:r w:rsidR="00251900">
                    <w:rPr>
                      <w:lang w:val="en-US"/>
                    </w:rPr>
                    <w:t xml:space="preserve">the secondary market – by </w:t>
                  </w:r>
                  <w:r w:rsidR="007E1DC4">
                    <w:rPr>
                      <w:lang w:val="en-US"/>
                    </w:rPr>
                    <w:t>33.0</w:t>
                  </w:r>
                  <w:r w:rsidR="00CE6424">
                    <w:rPr>
                      <w:lang w:val="en-US"/>
                    </w:rPr>
                    <w:t>%)</w:t>
                  </w:r>
                </w:p>
              </w:txbxContent>
            </v:textbox>
            <w10:wrap type="tight"/>
          </v:shape>
        </w:pict>
      </w:r>
      <w:r w:rsidR="005F2681" w:rsidRPr="00C2775E">
        <w:rPr>
          <w:b/>
          <w:sz w:val="18"/>
          <w:lang w:val="en-US"/>
        </w:rPr>
        <w:t>Chart</w:t>
      </w:r>
      <w:r w:rsidR="0087115A" w:rsidRPr="00C2775E">
        <w:rPr>
          <w:b/>
          <w:sz w:val="18"/>
          <w:lang w:val="en-US"/>
        </w:rPr>
        <w:t xml:space="preserve"> 4. </w:t>
      </w:r>
      <w:r w:rsidR="00505EF2">
        <w:rPr>
          <w:b/>
          <w:sz w:val="18"/>
          <w:lang w:val="en-US"/>
        </w:rPr>
        <w:t>Quarterly c</w:t>
      </w:r>
      <w:r w:rsidR="0057227D">
        <w:rPr>
          <w:b/>
          <w:sz w:val="18"/>
          <w:lang w:val="en-US"/>
        </w:rPr>
        <w:t>hanges in p</w:t>
      </w:r>
      <w:r w:rsidR="00BE22CE">
        <w:rPr>
          <w:b/>
          <w:sz w:val="18"/>
          <w:lang w:val="en-US"/>
        </w:rPr>
        <w:t>rices</w:t>
      </w:r>
      <w:r w:rsidR="00BE22CE" w:rsidRPr="008A682E">
        <w:rPr>
          <w:b/>
          <w:sz w:val="18"/>
          <w:lang w:val="en-US"/>
        </w:rPr>
        <w:t xml:space="preserve"> of residential premises </w:t>
      </w:r>
      <w:r w:rsidR="00BE22CE">
        <w:rPr>
          <w:b/>
          <w:sz w:val="18"/>
          <w:lang w:val="en-US"/>
        </w:rPr>
        <w:t xml:space="preserve">compared </w:t>
      </w:r>
      <w:r w:rsidR="0057227D">
        <w:rPr>
          <w:b/>
          <w:sz w:val="18"/>
          <w:lang w:val="en-US"/>
        </w:rPr>
        <w:t>to</w:t>
      </w:r>
      <w:r w:rsidR="00BE22CE">
        <w:rPr>
          <w:b/>
          <w:sz w:val="18"/>
          <w:lang w:val="en-US"/>
        </w:rPr>
        <w:t xml:space="preserve"> 2015</w:t>
      </w:r>
    </w:p>
    <w:p w:rsidR="00B30C2B" w:rsidRPr="00BE22CE" w:rsidRDefault="00665BD6" w:rsidP="0087115A">
      <w:pPr>
        <w:spacing w:before="0" w:after="160" w:line="259" w:lineRule="auto"/>
        <w:rPr>
          <w:b/>
          <w:sz w:val="18"/>
          <w:lang w:val="en-US"/>
        </w:rPr>
      </w:pPr>
      <w:r>
        <w:rPr>
          <w:noProof/>
          <w:lang w:eastAsia="pl-PL"/>
        </w:rPr>
        <w:drawing>
          <wp:inline distT="0" distB="0" distL="0" distR="0" wp14:anchorId="7CAC901C" wp14:editId="5F5FDF0A">
            <wp:extent cx="5122545" cy="3445459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7227D" w:rsidRDefault="0057227D">
      <w:pPr>
        <w:spacing w:before="0" w:after="160" w:line="259" w:lineRule="auto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br w:type="page"/>
      </w:r>
    </w:p>
    <w:p w:rsidR="00F352F0" w:rsidRPr="00730963" w:rsidRDefault="00E96378" w:rsidP="005A45AB">
      <w:pPr>
        <w:spacing w:before="0" w:after="160" w:line="259" w:lineRule="auto"/>
        <w:rPr>
          <w:b/>
          <w:sz w:val="18"/>
          <w:szCs w:val="18"/>
          <w:lang w:val="en-US"/>
        </w:rPr>
      </w:pPr>
      <w:r>
        <w:rPr>
          <w:b/>
          <w:noProof/>
          <w:sz w:val="18"/>
          <w:szCs w:val="18"/>
          <w:lang w:eastAsia="pl-PL"/>
        </w:rPr>
        <w:lastRenderedPageBreak/>
        <w:pict>
          <v:shape id="_x0000_s1046" type="#_x0000_t202" style="position:absolute;margin-left:413.4pt;margin-top:58.25pt;width:140.85pt;height:130.65pt;z-index:-251525120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" filled="f" stroked="f">
            <v:textbox>
              <w:txbxContent>
                <w:p w:rsidR="0057227D" w:rsidRDefault="0057227D" w:rsidP="0057227D">
                  <w:pPr>
                    <w:pStyle w:val="tekstzboku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The highest increase in prices of residential premises in the </w:t>
                  </w:r>
                  <w:r w:rsidR="00B14CB7">
                    <w:rPr>
                      <w:lang w:val="en-US"/>
                    </w:rPr>
                    <w:t>fourth</w:t>
                  </w:r>
                  <w:r w:rsidRPr="00730963">
                    <w:rPr>
                      <w:lang w:val="en-US"/>
                    </w:rPr>
                    <w:t xml:space="preserve"> quarter </w:t>
                  </w:r>
                  <w:r>
                    <w:rPr>
                      <w:lang w:val="en-US"/>
                    </w:rPr>
                    <w:t>2019, compared to the previo</w:t>
                  </w:r>
                  <w:r w:rsidR="00D41C51">
                    <w:rPr>
                      <w:lang w:val="en-US"/>
                    </w:rPr>
                    <w:t>us quarter, was recorded in the Podkarpac</w:t>
                  </w:r>
                  <w:r>
                    <w:rPr>
                      <w:lang w:val="en-US"/>
                    </w:rPr>
                    <w:t>kie Voivodship</w:t>
                  </w:r>
                  <w:r w:rsidRPr="00730963">
                    <w:rPr>
                      <w:lang w:val="en-US"/>
                    </w:rPr>
                    <w:t xml:space="preserve"> (</w:t>
                  </w:r>
                  <w:r>
                    <w:rPr>
                      <w:lang w:val="en-US"/>
                    </w:rPr>
                    <w:t xml:space="preserve">by </w:t>
                  </w:r>
                  <w:r w:rsidR="00D41C51">
                    <w:rPr>
                      <w:lang w:val="en-US"/>
                    </w:rPr>
                    <w:t>5.9</w:t>
                  </w:r>
                  <w:r>
                    <w:rPr>
                      <w:lang w:val="en-US"/>
                    </w:rPr>
                    <w:t>%)</w:t>
                  </w:r>
                  <w:r w:rsidR="00762C47">
                    <w:rPr>
                      <w:lang w:val="en-US"/>
                    </w:rPr>
                    <w:t xml:space="preserve">, </w:t>
                  </w:r>
                  <w:r w:rsidR="00D41C51">
                    <w:rPr>
                      <w:lang w:val="en-US"/>
                    </w:rPr>
                    <w:t xml:space="preserve">but the lowest </w:t>
                  </w:r>
                  <w:r w:rsidR="00505EF2">
                    <w:rPr>
                      <w:lang w:val="en-US"/>
                    </w:rPr>
                    <w:t xml:space="preserve">increase </w:t>
                  </w:r>
                  <w:r w:rsidR="00D41C51">
                    <w:rPr>
                      <w:lang w:val="en-US"/>
                    </w:rPr>
                    <w:t xml:space="preserve">- </w:t>
                  </w:r>
                  <w:r>
                    <w:rPr>
                      <w:lang w:val="en-US"/>
                    </w:rPr>
                    <w:t xml:space="preserve">in the </w:t>
                  </w:r>
                  <w:r w:rsidR="00D41C51">
                    <w:rPr>
                      <w:lang w:val="en-US"/>
                    </w:rPr>
                    <w:t>Lubuskie</w:t>
                  </w:r>
                  <w:r>
                    <w:rPr>
                      <w:lang w:val="en-US"/>
                    </w:rPr>
                    <w:t xml:space="preserve"> Voivodship (by 0.5%)</w:t>
                  </w:r>
                </w:p>
              </w:txbxContent>
            </v:textbox>
            <w10:wrap type="tight"/>
          </v:shape>
        </w:pict>
      </w:r>
      <w:r w:rsidR="00730963" w:rsidRPr="00730963">
        <w:rPr>
          <w:b/>
          <w:sz w:val="18"/>
          <w:szCs w:val="18"/>
          <w:lang w:val="en-US"/>
        </w:rPr>
        <w:t>Table</w:t>
      </w:r>
      <w:r w:rsidR="009E181A" w:rsidRPr="00730963">
        <w:rPr>
          <w:b/>
          <w:sz w:val="18"/>
          <w:szCs w:val="18"/>
          <w:lang w:val="en-US"/>
        </w:rPr>
        <w:t xml:space="preserve"> 2. </w:t>
      </w:r>
      <w:r w:rsidR="00730963" w:rsidRPr="00117B13">
        <w:rPr>
          <w:b/>
          <w:spacing w:val="-2"/>
          <w:sz w:val="18"/>
          <w:shd w:val="clear" w:color="auto" w:fill="FFFFFF"/>
          <w:lang w:val="en-US"/>
        </w:rPr>
        <w:t>Price indices of residential premises</w:t>
      </w:r>
      <w:r w:rsidR="00730963" w:rsidRPr="00730963">
        <w:rPr>
          <w:b/>
          <w:spacing w:val="-2"/>
          <w:sz w:val="18"/>
          <w:shd w:val="clear" w:color="auto" w:fill="FFFFFF"/>
          <w:lang w:val="en-US"/>
        </w:rPr>
        <w:t xml:space="preserve"> b</w:t>
      </w:r>
      <w:r w:rsidR="006C50D6">
        <w:rPr>
          <w:b/>
          <w:spacing w:val="-2"/>
          <w:sz w:val="18"/>
          <w:shd w:val="clear" w:color="auto" w:fill="FFFFFF"/>
          <w:lang w:val="en-US"/>
        </w:rPr>
        <w:t xml:space="preserve">y voivodships in the </w:t>
      </w:r>
      <w:r w:rsidR="007E1DC4">
        <w:rPr>
          <w:b/>
          <w:spacing w:val="-2"/>
          <w:sz w:val="18"/>
          <w:shd w:val="clear" w:color="auto" w:fill="FFFFFF"/>
          <w:lang w:val="en-US"/>
        </w:rPr>
        <w:t>fourth</w:t>
      </w:r>
      <w:r w:rsidR="00730963">
        <w:rPr>
          <w:b/>
          <w:spacing w:val="-2"/>
          <w:sz w:val="18"/>
          <w:shd w:val="clear" w:color="auto" w:fill="FFFFFF"/>
          <w:lang w:val="en-US"/>
        </w:rPr>
        <w:t xml:space="preserve"> quarter </w:t>
      </w:r>
      <w:r w:rsidR="00351D92">
        <w:rPr>
          <w:b/>
          <w:spacing w:val="-2"/>
          <w:sz w:val="18"/>
          <w:shd w:val="clear" w:color="auto" w:fill="FFFFFF"/>
          <w:lang w:val="en-US"/>
        </w:rPr>
        <w:t>2019</w:t>
      </w:r>
    </w:p>
    <w:tbl>
      <w:tblPr>
        <w:tblpPr w:leftFromText="142" w:rightFromText="142" w:vertAnchor="text" w:horzAnchor="margin" w:tblpXSpec="center" w:tblpY="1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94"/>
        <w:gridCol w:w="2278"/>
        <w:gridCol w:w="2278"/>
        <w:gridCol w:w="18"/>
      </w:tblGrid>
      <w:tr w:rsidR="00F95B4F" w:rsidRPr="00F95B4F" w:rsidTr="00F53E18">
        <w:trPr>
          <w:trHeight w:val="57"/>
        </w:trPr>
        <w:tc>
          <w:tcPr>
            <w:tcW w:w="3494" w:type="dxa"/>
            <w:vMerge w:val="restart"/>
            <w:vAlign w:val="center"/>
          </w:tcPr>
          <w:p w:rsidR="00F95B4F" w:rsidRPr="0057227D" w:rsidRDefault="00730963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val="en-GB" w:eastAsia="pl-PL"/>
              </w:rPr>
            </w:pPr>
            <w:r w:rsidRPr="0057227D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t>SPECIFICATION</w:t>
            </w:r>
          </w:p>
        </w:tc>
        <w:tc>
          <w:tcPr>
            <w:tcW w:w="4574" w:type="dxa"/>
            <w:gridSpan w:val="3"/>
            <w:vAlign w:val="center"/>
          </w:tcPr>
          <w:p w:rsidR="00F95B4F" w:rsidRPr="0057227D" w:rsidRDefault="00C32CB6" w:rsidP="0057227D">
            <w:pPr>
              <w:keepNext/>
              <w:keepLines/>
              <w:spacing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IV</w:t>
            </w:r>
            <w:r w:rsidR="00730963" w:rsidRPr="0057227D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 quarter</w:t>
            </w:r>
            <w:r w:rsidR="00351D92" w:rsidRPr="0057227D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 2019</w:t>
            </w:r>
          </w:p>
        </w:tc>
      </w:tr>
      <w:tr w:rsidR="00F95B4F" w:rsidRPr="00F95B4F" w:rsidTr="00F53E18">
        <w:trPr>
          <w:gridAfter w:val="1"/>
          <w:wAfter w:w="18" w:type="dxa"/>
          <w:trHeight w:val="57"/>
        </w:trPr>
        <w:tc>
          <w:tcPr>
            <w:tcW w:w="3494" w:type="dxa"/>
            <w:vMerge/>
            <w:tcBorders>
              <w:bottom w:val="single" w:sz="12" w:space="0" w:color="212492"/>
            </w:tcBorders>
            <w:vAlign w:val="center"/>
          </w:tcPr>
          <w:p w:rsidR="00F95B4F" w:rsidRPr="0057227D" w:rsidRDefault="00F95B4F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val="en-GB" w:eastAsia="pl-PL"/>
              </w:rPr>
            </w:pPr>
          </w:p>
        </w:tc>
        <w:tc>
          <w:tcPr>
            <w:tcW w:w="2278" w:type="dxa"/>
            <w:tcBorders>
              <w:bottom w:val="single" w:sz="12" w:space="0" w:color="212492"/>
            </w:tcBorders>
            <w:vAlign w:val="center"/>
          </w:tcPr>
          <w:p w:rsidR="009C3C87" w:rsidRPr="0057227D" w:rsidRDefault="007E1DC4" w:rsidP="0057227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57227D" w:rsidRPr="0057227D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151B91" w:rsidRPr="0057227D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F413E7" w:rsidRPr="0057227D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730963" w:rsidRPr="0057227D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quarter</w:t>
            </w:r>
            <w:r w:rsidR="00151B91" w:rsidRPr="0057227D">
              <w:rPr>
                <w:color w:val="000000" w:themeColor="text1"/>
                <w:sz w:val="16"/>
                <w:szCs w:val="16"/>
                <w:lang w:val="en-GB"/>
              </w:rPr>
              <w:t xml:space="preserve"> 2019</w:t>
            </w:r>
            <w:r w:rsidR="0057227D" w:rsidRPr="0057227D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9C3C87" w:rsidRPr="0057227D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2278" w:type="dxa"/>
            <w:vAlign w:val="center"/>
          </w:tcPr>
          <w:p w:rsidR="009C3C87" w:rsidRPr="0057227D" w:rsidRDefault="00C32CB6" w:rsidP="0057227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IV</w:t>
            </w:r>
            <w:r w:rsidR="00F413E7" w:rsidRPr="0057227D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730963" w:rsidRPr="0057227D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quarter</w:t>
            </w:r>
            <w:r w:rsidR="00730963" w:rsidRPr="0057227D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351D92" w:rsidRPr="0057227D">
              <w:rPr>
                <w:color w:val="000000" w:themeColor="text1"/>
                <w:sz w:val="16"/>
                <w:szCs w:val="16"/>
                <w:lang w:val="en-GB"/>
              </w:rPr>
              <w:t>2018</w:t>
            </w:r>
            <w:r w:rsidR="0057227D" w:rsidRPr="0057227D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9C3C87" w:rsidRPr="0057227D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</w:tr>
      <w:tr w:rsidR="00B14CB7" w:rsidRPr="00F95B4F" w:rsidTr="00416F7B">
        <w:trPr>
          <w:trHeight w:val="57"/>
        </w:trPr>
        <w:tc>
          <w:tcPr>
            <w:tcW w:w="3494" w:type="dxa"/>
            <w:tcBorders>
              <w:top w:val="single" w:sz="12" w:space="0" w:color="212492"/>
            </w:tcBorders>
            <w:vAlign w:val="center"/>
          </w:tcPr>
          <w:p w:rsidR="00B14CB7" w:rsidRPr="00F95B4F" w:rsidRDefault="00B14CB7" w:rsidP="00B14CB7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2278" w:type="dxa"/>
            <w:tcBorders>
              <w:top w:val="single" w:sz="12" w:space="0" w:color="212492"/>
            </w:tcBorders>
          </w:tcPr>
          <w:p w:rsidR="00B14CB7" w:rsidRPr="00F23AC0" w:rsidRDefault="00B14CB7" w:rsidP="00B14CB7">
            <w:pPr>
              <w:jc w:val="center"/>
              <w:rPr>
                <w:b/>
                <w:sz w:val="16"/>
                <w:szCs w:val="16"/>
              </w:rPr>
            </w:pPr>
            <w:r w:rsidRPr="00F23AC0">
              <w:rPr>
                <w:b/>
                <w:sz w:val="16"/>
                <w:szCs w:val="16"/>
              </w:rPr>
              <w:t>102</w:t>
            </w:r>
            <w:r>
              <w:rPr>
                <w:b/>
                <w:sz w:val="16"/>
                <w:szCs w:val="16"/>
              </w:rPr>
              <w:t>.</w:t>
            </w:r>
            <w:r w:rsidRPr="00F23AC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296" w:type="dxa"/>
            <w:gridSpan w:val="2"/>
            <w:tcBorders>
              <w:top w:val="single" w:sz="12" w:space="0" w:color="212492"/>
            </w:tcBorders>
          </w:tcPr>
          <w:p w:rsidR="00B14CB7" w:rsidRPr="009F6FF1" w:rsidRDefault="00B14CB7" w:rsidP="00B14CB7">
            <w:pPr>
              <w:jc w:val="center"/>
              <w:rPr>
                <w:b/>
                <w:sz w:val="16"/>
                <w:szCs w:val="16"/>
              </w:rPr>
            </w:pPr>
            <w:r w:rsidRPr="009F6FF1">
              <w:rPr>
                <w:b/>
                <w:sz w:val="16"/>
                <w:szCs w:val="16"/>
              </w:rPr>
              <w:t>109</w:t>
            </w:r>
            <w:r>
              <w:rPr>
                <w:b/>
                <w:sz w:val="16"/>
                <w:szCs w:val="16"/>
              </w:rPr>
              <w:t>.</w:t>
            </w:r>
            <w:r w:rsidRPr="009F6FF1">
              <w:rPr>
                <w:b/>
                <w:sz w:val="16"/>
                <w:szCs w:val="16"/>
              </w:rPr>
              <w:t>4</w:t>
            </w:r>
          </w:p>
        </w:tc>
      </w:tr>
      <w:tr w:rsidR="00B14CB7" w:rsidRPr="00F95B4F" w:rsidTr="00416F7B">
        <w:trPr>
          <w:trHeight w:val="57"/>
        </w:trPr>
        <w:tc>
          <w:tcPr>
            <w:tcW w:w="3494" w:type="dxa"/>
            <w:vAlign w:val="center"/>
          </w:tcPr>
          <w:p w:rsidR="00B14CB7" w:rsidRPr="00F95B4F" w:rsidRDefault="00B14CB7" w:rsidP="00B14C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Dolnośląskie </w:t>
            </w:r>
          </w:p>
        </w:tc>
        <w:tc>
          <w:tcPr>
            <w:tcW w:w="2278" w:type="dxa"/>
          </w:tcPr>
          <w:p w:rsidR="00B14CB7" w:rsidRPr="00F23AC0" w:rsidRDefault="00B14CB7" w:rsidP="00B14CB7">
            <w:pPr>
              <w:jc w:val="center"/>
              <w:rPr>
                <w:sz w:val="16"/>
                <w:szCs w:val="16"/>
              </w:rPr>
            </w:pPr>
            <w:r w:rsidRPr="00F23AC0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.</w:t>
            </w:r>
            <w:r w:rsidRPr="00F23AC0">
              <w:rPr>
                <w:sz w:val="16"/>
                <w:szCs w:val="16"/>
              </w:rPr>
              <w:t>0</w:t>
            </w:r>
          </w:p>
        </w:tc>
        <w:tc>
          <w:tcPr>
            <w:tcW w:w="2296" w:type="dxa"/>
            <w:gridSpan w:val="2"/>
          </w:tcPr>
          <w:p w:rsidR="00B14CB7" w:rsidRPr="009F6FF1" w:rsidRDefault="00B14CB7" w:rsidP="00B14CB7">
            <w:pPr>
              <w:jc w:val="center"/>
              <w:rPr>
                <w:sz w:val="16"/>
                <w:szCs w:val="16"/>
              </w:rPr>
            </w:pPr>
            <w:r w:rsidRPr="009F6FF1">
              <w:rPr>
                <w:sz w:val="16"/>
                <w:szCs w:val="16"/>
              </w:rPr>
              <w:t>106</w:t>
            </w:r>
            <w:r>
              <w:rPr>
                <w:sz w:val="16"/>
                <w:szCs w:val="16"/>
              </w:rPr>
              <w:t>.</w:t>
            </w:r>
            <w:r w:rsidRPr="009F6FF1">
              <w:rPr>
                <w:sz w:val="16"/>
                <w:szCs w:val="16"/>
              </w:rPr>
              <w:t>7</w:t>
            </w:r>
          </w:p>
        </w:tc>
      </w:tr>
      <w:tr w:rsidR="00B14CB7" w:rsidRPr="00F95B4F" w:rsidTr="00416F7B">
        <w:trPr>
          <w:trHeight w:val="57"/>
        </w:trPr>
        <w:tc>
          <w:tcPr>
            <w:tcW w:w="3494" w:type="dxa"/>
            <w:vAlign w:val="center"/>
          </w:tcPr>
          <w:p w:rsidR="00B14CB7" w:rsidRPr="00F95B4F" w:rsidRDefault="00B14CB7" w:rsidP="00B14C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Kujawsko-Pomorskie </w:t>
            </w:r>
          </w:p>
        </w:tc>
        <w:tc>
          <w:tcPr>
            <w:tcW w:w="2278" w:type="dxa"/>
          </w:tcPr>
          <w:p w:rsidR="00B14CB7" w:rsidRPr="00F23AC0" w:rsidRDefault="00B14CB7" w:rsidP="00B14CB7">
            <w:pPr>
              <w:jc w:val="center"/>
              <w:rPr>
                <w:sz w:val="16"/>
                <w:szCs w:val="16"/>
              </w:rPr>
            </w:pPr>
            <w:r w:rsidRPr="00F23AC0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>.</w:t>
            </w:r>
            <w:r w:rsidRPr="00F23AC0">
              <w:rPr>
                <w:sz w:val="16"/>
                <w:szCs w:val="16"/>
              </w:rPr>
              <w:t>7</w:t>
            </w:r>
          </w:p>
        </w:tc>
        <w:tc>
          <w:tcPr>
            <w:tcW w:w="2296" w:type="dxa"/>
            <w:gridSpan w:val="2"/>
          </w:tcPr>
          <w:p w:rsidR="00B14CB7" w:rsidRPr="009F6FF1" w:rsidRDefault="00B14CB7" w:rsidP="00B14CB7">
            <w:pPr>
              <w:jc w:val="center"/>
              <w:rPr>
                <w:sz w:val="16"/>
                <w:szCs w:val="16"/>
              </w:rPr>
            </w:pPr>
            <w:r w:rsidRPr="009F6FF1">
              <w:rPr>
                <w:sz w:val="16"/>
                <w:szCs w:val="16"/>
              </w:rPr>
              <w:t>110</w:t>
            </w:r>
            <w:r>
              <w:rPr>
                <w:sz w:val="16"/>
                <w:szCs w:val="16"/>
              </w:rPr>
              <w:t>.</w:t>
            </w:r>
            <w:r w:rsidRPr="009F6FF1">
              <w:rPr>
                <w:sz w:val="16"/>
                <w:szCs w:val="16"/>
              </w:rPr>
              <w:t>7</w:t>
            </w:r>
          </w:p>
        </w:tc>
      </w:tr>
      <w:tr w:rsidR="00B14CB7" w:rsidRPr="00F95B4F" w:rsidTr="00416F7B">
        <w:trPr>
          <w:trHeight w:val="57"/>
        </w:trPr>
        <w:tc>
          <w:tcPr>
            <w:tcW w:w="3494" w:type="dxa"/>
            <w:vAlign w:val="center"/>
          </w:tcPr>
          <w:p w:rsidR="00B14CB7" w:rsidRPr="00F95B4F" w:rsidRDefault="00B14CB7" w:rsidP="00B14C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Lubelskie </w:t>
            </w:r>
          </w:p>
        </w:tc>
        <w:tc>
          <w:tcPr>
            <w:tcW w:w="2278" w:type="dxa"/>
          </w:tcPr>
          <w:p w:rsidR="00B14CB7" w:rsidRPr="00F23AC0" w:rsidRDefault="00B14CB7" w:rsidP="00B14CB7">
            <w:pPr>
              <w:jc w:val="center"/>
              <w:rPr>
                <w:sz w:val="16"/>
                <w:szCs w:val="16"/>
              </w:rPr>
            </w:pPr>
            <w:r w:rsidRPr="00F23AC0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F23AC0">
              <w:rPr>
                <w:sz w:val="16"/>
                <w:szCs w:val="16"/>
              </w:rPr>
              <w:t>0</w:t>
            </w:r>
          </w:p>
        </w:tc>
        <w:tc>
          <w:tcPr>
            <w:tcW w:w="2296" w:type="dxa"/>
            <w:gridSpan w:val="2"/>
          </w:tcPr>
          <w:p w:rsidR="00B14CB7" w:rsidRPr="009F6FF1" w:rsidRDefault="00B14CB7" w:rsidP="00B14CB7">
            <w:pPr>
              <w:jc w:val="center"/>
              <w:rPr>
                <w:sz w:val="16"/>
                <w:szCs w:val="16"/>
              </w:rPr>
            </w:pPr>
            <w:r w:rsidRPr="009F6FF1">
              <w:rPr>
                <w:sz w:val="16"/>
                <w:szCs w:val="16"/>
              </w:rPr>
              <w:t>107</w:t>
            </w:r>
            <w:r>
              <w:rPr>
                <w:sz w:val="16"/>
                <w:szCs w:val="16"/>
              </w:rPr>
              <w:t>.</w:t>
            </w:r>
            <w:r w:rsidRPr="009F6FF1">
              <w:rPr>
                <w:sz w:val="16"/>
                <w:szCs w:val="16"/>
              </w:rPr>
              <w:t>5</w:t>
            </w:r>
          </w:p>
        </w:tc>
      </w:tr>
      <w:tr w:rsidR="00B14CB7" w:rsidRPr="00F95B4F" w:rsidTr="00416F7B">
        <w:trPr>
          <w:trHeight w:val="57"/>
        </w:trPr>
        <w:tc>
          <w:tcPr>
            <w:tcW w:w="3494" w:type="dxa"/>
            <w:vAlign w:val="center"/>
          </w:tcPr>
          <w:p w:rsidR="00B14CB7" w:rsidRPr="00F95B4F" w:rsidRDefault="00B14CB7" w:rsidP="00B14C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Lubuskie </w:t>
            </w:r>
          </w:p>
        </w:tc>
        <w:tc>
          <w:tcPr>
            <w:tcW w:w="2278" w:type="dxa"/>
          </w:tcPr>
          <w:p w:rsidR="00B14CB7" w:rsidRPr="00F23AC0" w:rsidRDefault="00B14CB7" w:rsidP="00B14CB7">
            <w:pPr>
              <w:jc w:val="center"/>
              <w:rPr>
                <w:sz w:val="16"/>
                <w:szCs w:val="16"/>
              </w:rPr>
            </w:pPr>
            <w:r w:rsidRPr="00F23AC0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.</w:t>
            </w:r>
            <w:r w:rsidRPr="00F23AC0">
              <w:rPr>
                <w:sz w:val="16"/>
                <w:szCs w:val="16"/>
              </w:rPr>
              <w:t>5</w:t>
            </w:r>
          </w:p>
        </w:tc>
        <w:tc>
          <w:tcPr>
            <w:tcW w:w="2296" w:type="dxa"/>
            <w:gridSpan w:val="2"/>
          </w:tcPr>
          <w:p w:rsidR="00B14CB7" w:rsidRPr="009F6FF1" w:rsidRDefault="00B14CB7" w:rsidP="00B14CB7">
            <w:pPr>
              <w:jc w:val="center"/>
              <w:rPr>
                <w:sz w:val="16"/>
                <w:szCs w:val="16"/>
              </w:rPr>
            </w:pPr>
            <w:r w:rsidRPr="009F6FF1">
              <w:rPr>
                <w:sz w:val="16"/>
                <w:szCs w:val="16"/>
              </w:rPr>
              <w:t>109</w:t>
            </w:r>
            <w:r>
              <w:rPr>
                <w:sz w:val="16"/>
                <w:szCs w:val="16"/>
              </w:rPr>
              <w:t>.</w:t>
            </w:r>
            <w:r w:rsidRPr="009F6FF1">
              <w:rPr>
                <w:sz w:val="16"/>
                <w:szCs w:val="16"/>
              </w:rPr>
              <w:t>5</w:t>
            </w:r>
          </w:p>
        </w:tc>
      </w:tr>
      <w:tr w:rsidR="00B14CB7" w:rsidRPr="00F95B4F" w:rsidTr="00416F7B">
        <w:trPr>
          <w:trHeight w:val="57"/>
        </w:trPr>
        <w:tc>
          <w:tcPr>
            <w:tcW w:w="3494" w:type="dxa"/>
            <w:vAlign w:val="center"/>
          </w:tcPr>
          <w:p w:rsidR="00B14CB7" w:rsidRPr="00F95B4F" w:rsidRDefault="00B14CB7" w:rsidP="00B14C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Łódzkie </w:t>
            </w:r>
          </w:p>
        </w:tc>
        <w:tc>
          <w:tcPr>
            <w:tcW w:w="2278" w:type="dxa"/>
          </w:tcPr>
          <w:p w:rsidR="00B14CB7" w:rsidRPr="00F23AC0" w:rsidRDefault="00B14CB7" w:rsidP="00B14CB7">
            <w:pPr>
              <w:jc w:val="center"/>
              <w:rPr>
                <w:sz w:val="16"/>
                <w:szCs w:val="16"/>
              </w:rPr>
            </w:pPr>
            <w:r w:rsidRPr="00F23AC0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>.</w:t>
            </w:r>
            <w:r w:rsidRPr="00F23AC0">
              <w:rPr>
                <w:sz w:val="16"/>
                <w:szCs w:val="16"/>
              </w:rPr>
              <w:t>5</w:t>
            </w:r>
          </w:p>
        </w:tc>
        <w:tc>
          <w:tcPr>
            <w:tcW w:w="2296" w:type="dxa"/>
            <w:gridSpan w:val="2"/>
          </w:tcPr>
          <w:p w:rsidR="00B14CB7" w:rsidRPr="009F6FF1" w:rsidRDefault="00B14CB7" w:rsidP="00B14CB7">
            <w:pPr>
              <w:jc w:val="center"/>
              <w:rPr>
                <w:sz w:val="16"/>
                <w:szCs w:val="16"/>
              </w:rPr>
            </w:pPr>
            <w:r w:rsidRPr="009F6FF1">
              <w:rPr>
                <w:sz w:val="16"/>
                <w:szCs w:val="16"/>
              </w:rPr>
              <w:t>110</w:t>
            </w:r>
            <w:r>
              <w:rPr>
                <w:sz w:val="16"/>
                <w:szCs w:val="16"/>
              </w:rPr>
              <w:t>.</w:t>
            </w:r>
            <w:r w:rsidRPr="009F6FF1">
              <w:rPr>
                <w:sz w:val="16"/>
                <w:szCs w:val="16"/>
              </w:rPr>
              <w:t>0</w:t>
            </w:r>
          </w:p>
        </w:tc>
      </w:tr>
      <w:tr w:rsidR="00B14CB7" w:rsidRPr="00F95B4F" w:rsidTr="00416F7B">
        <w:trPr>
          <w:trHeight w:val="57"/>
        </w:trPr>
        <w:tc>
          <w:tcPr>
            <w:tcW w:w="3494" w:type="dxa"/>
            <w:vAlign w:val="center"/>
          </w:tcPr>
          <w:p w:rsidR="00B14CB7" w:rsidRPr="00F95B4F" w:rsidRDefault="00B14CB7" w:rsidP="00B14C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Małopolskie </w:t>
            </w:r>
          </w:p>
        </w:tc>
        <w:tc>
          <w:tcPr>
            <w:tcW w:w="2278" w:type="dxa"/>
          </w:tcPr>
          <w:p w:rsidR="00B14CB7" w:rsidRPr="00F23AC0" w:rsidRDefault="00B14CB7" w:rsidP="00B14CB7">
            <w:pPr>
              <w:jc w:val="center"/>
              <w:rPr>
                <w:sz w:val="16"/>
                <w:szCs w:val="16"/>
              </w:rPr>
            </w:pPr>
            <w:r w:rsidRPr="00F23AC0">
              <w:rPr>
                <w:sz w:val="16"/>
                <w:szCs w:val="16"/>
              </w:rPr>
              <w:t>105</w:t>
            </w:r>
            <w:r>
              <w:rPr>
                <w:sz w:val="16"/>
                <w:szCs w:val="16"/>
              </w:rPr>
              <w:t>.</w:t>
            </w:r>
            <w:r w:rsidRPr="00F23AC0">
              <w:rPr>
                <w:sz w:val="16"/>
                <w:szCs w:val="16"/>
              </w:rPr>
              <w:t>2</w:t>
            </w:r>
          </w:p>
        </w:tc>
        <w:tc>
          <w:tcPr>
            <w:tcW w:w="2296" w:type="dxa"/>
            <w:gridSpan w:val="2"/>
          </w:tcPr>
          <w:p w:rsidR="00B14CB7" w:rsidRPr="009F6FF1" w:rsidRDefault="00B14CB7" w:rsidP="00B14CB7">
            <w:pPr>
              <w:jc w:val="center"/>
              <w:rPr>
                <w:sz w:val="16"/>
                <w:szCs w:val="16"/>
              </w:rPr>
            </w:pPr>
            <w:r w:rsidRPr="009F6FF1">
              <w:rPr>
                <w:sz w:val="16"/>
                <w:szCs w:val="16"/>
              </w:rPr>
              <w:t>106</w:t>
            </w:r>
            <w:r>
              <w:rPr>
                <w:sz w:val="16"/>
                <w:szCs w:val="16"/>
              </w:rPr>
              <w:t>.</w:t>
            </w:r>
            <w:r w:rsidRPr="009F6FF1">
              <w:rPr>
                <w:sz w:val="16"/>
                <w:szCs w:val="16"/>
              </w:rPr>
              <w:t>6</w:t>
            </w:r>
          </w:p>
        </w:tc>
      </w:tr>
      <w:tr w:rsidR="00B14CB7" w:rsidRPr="00F95B4F" w:rsidTr="00416F7B">
        <w:trPr>
          <w:trHeight w:val="57"/>
        </w:trPr>
        <w:tc>
          <w:tcPr>
            <w:tcW w:w="3494" w:type="dxa"/>
            <w:vAlign w:val="center"/>
          </w:tcPr>
          <w:p w:rsidR="00B14CB7" w:rsidRPr="00F95B4F" w:rsidRDefault="00B14CB7" w:rsidP="00B14C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Mazowieckie </w:t>
            </w:r>
          </w:p>
        </w:tc>
        <w:tc>
          <w:tcPr>
            <w:tcW w:w="2278" w:type="dxa"/>
          </w:tcPr>
          <w:p w:rsidR="00B14CB7" w:rsidRPr="00F23AC0" w:rsidRDefault="00B14CB7" w:rsidP="00B14CB7">
            <w:pPr>
              <w:jc w:val="center"/>
              <w:rPr>
                <w:sz w:val="16"/>
                <w:szCs w:val="16"/>
              </w:rPr>
            </w:pPr>
            <w:r w:rsidRPr="00F23AC0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F23AC0">
              <w:rPr>
                <w:sz w:val="16"/>
                <w:szCs w:val="16"/>
              </w:rPr>
              <w:t>7</w:t>
            </w:r>
          </w:p>
        </w:tc>
        <w:tc>
          <w:tcPr>
            <w:tcW w:w="2296" w:type="dxa"/>
            <w:gridSpan w:val="2"/>
          </w:tcPr>
          <w:p w:rsidR="00B14CB7" w:rsidRPr="009F6FF1" w:rsidRDefault="00B14CB7" w:rsidP="00B14CB7">
            <w:pPr>
              <w:jc w:val="center"/>
              <w:rPr>
                <w:sz w:val="16"/>
                <w:szCs w:val="16"/>
              </w:rPr>
            </w:pPr>
            <w:r w:rsidRPr="009F6FF1">
              <w:rPr>
                <w:sz w:val="16"/>
                <w:szCs w:val="16"/>
              </w:rPr>
              <w:t>110</w:t>
            </w:r>
            <w:r>
              <w:rPr>
                <w:sz w:val="16"/>
                <w:szCs w:val="16"/>
              </w:rPr>
              <w:t>.</w:t>
            </w:r>
            <w:r w:rsidRPr="009F6FF1">
              <w:rPr>
                <w:sz w:val="16"/>
                <w:szCs w:val="16"/>
              </w:rPr>
              <w:t>7</w:t>
            </w:r>
          </w:p>
        </w:tc>
      </w:tr>
      <w:tr w:rsidR="00B14CB7" w:rsidRPr="00F95B4F" w:rsidTr="00416F7B">
        <w:trPr>
          <w:trHeight w:val="57"/>
        </w:trPr>
        <w:tc>
          <w:tcPr>
            <w:tcW w:w="3494" w:type="dxa"/>
            <w:vAlign w:val="center"/>
          </w:tcPr>
          <w:p w:rsidR="00B14CB7" w:rsidRPr="00F95B4F" w:rsidRDefault="00B14CB7" w:rsidP="00B14C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Opolskie </w:t>
            </w:r>
          </w:p>
        </w:tc>
        <w:tc>
          <w:tcPr>
            <w:tcW w:w="2278" w:type="dxa"/>
          </w:tcPr>
          <w:p w:rsidR="00B14CB7" w:rsidRPr="00F23AC0" w:rsidRDefault="00B14CB7" w:rsidP="00B14CB7">
            <w:pPr>
              <w:jc w:val="center"/>
              <w:rPr>
                <w:sz w:val="16"/>
                <w:szCs w:val="16"/>
              </w:rPr>
            </w:pPr>
            <w:r w:rsidRPr="00F23AC0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.</w:t>
            </w:r>
            <w:r w:rsidRPr="00F23AC0">
              <w:rPr>
                <w:sz w:val="16"/>
                <w:szCs w:val="16"/>
              </w:rPr>
              <w:t>2</w:t>
            </w:r>
          </w:p>
        </w:tc>
        <w:tc>
          <w:tcPr>
            <w:tcW w:w="2296" w:type="dxa"/>
            <w:gridSpan w:val="2"/>
          </w:tcPr>
          <w:p w:rsidR="00B14CB7" w:rsidRPr="009F6FF1" w:rsidRDefault="00B14CB7" w:rsidP="00B14CB7">
            <w:pPr>
              <w:jc w:val="center"/>
              <w:rPr>
                <w:sz w:val="16"/>
                <w:szCs w:val="16"/>
              </w:rPr>
            </w:pPr>
            <w:r w:rsidRPr="009F6FF1">
              <w:rPr>
                <w:sz w:val="16"/>
                <w:szCs w:val="16"/>
              </w:rPr>
              <w:t>107</w:t>
            </w:r>
            <w:r>
              <w:rPr>
                <w:sz w:val="16"/>
                <w:szCs w:val="16"/>
              </w:rPr>
              <w:t>.</w:t>
            </w:r>
            <w:r w:rsidRPr="009F6FF1">
              <w:rPr>
                <w:sz w:val="16"/>
                <w:szCs w:val="16"/>
              </w:rPr>
              <w:t>5</w:t>
            </w:r>
          </w:p>
        </w:tc>
      </w:tr>
      <w:tr w:rsidR="00B14CB7" w:rsidRPr="00F95B4F" w:rsidTr="00416F7B">
        <w:trPr>
          <w:trHeight w:val="57"/>
        </w:trPr>
        <w:tc>
          <w:tcPr>
            <w:tcW w:w="3494" w:type="dxa"/>
            <w:vAlign w:val="center"/>
          </w:tcPr>
          <w:p w:rsidR="00B14CB7" w:rsidRPr="00F95B4F" w:rsidRDefault="00B14CB7" w:rsidP="00B14C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Podkarpackie </w:t>
            </w:r>
          </w:p>
        </w:tc>
        <w:tc>
          <w:tcPr>
            <w:tcW w:w="2278" w:type="dxa"/>
          </w:tcPr>
          <w:p w:rsidR="00B14CB7" w:rsidRPr="00F23AC0" w:rsidRDefault="00B14CB7" w:rsidP="00B14CB7">
            <w:pPr>
              <w:jc w:val="center"/>
              <w:rPr>
                <w:sz w:val="16"/>
                <w:szCs w:val="16"/>
              </w:rPr>
            </w:pPr>
            <w:r w:rsidRPr="00F23AC0">
              <w:rPr>
                <w:sz w:val="16"/>
                <w:szCs w:val="16"/>
              </w:rPr>
              <w:t>105</w:t>
            </w:r>
            <w:r>
              <w:rPr>
                <w:sz w:val="16"/>
                <w:szCs w:val="16"/>
              </w:rPr>
              <w:t>.</w:t>
            </w:r>
            <w:r w:rsidRPr="00F23AC0">
              <w:rPr>
                <w:sz w:val="16"/>
                <w:szCs w:val="16"/>
              </w:rPr>
              <w:t>9</w:t>
            </w:r>
          </w:p>
        </w:tc>
        <w:tc>
          <w:tcPr>
            <w:tcW w:w="2296" w:type="dxa"/>
            <w:gridSpan w:val="2"/>
          </w:tcPr>
          <w:p w:rsidR="00B14CB7" w:rsidRPr="009F6FF1" w:rsidRDefault="00B14CB7" w:rsidP="00B14CB7">
            <w:pPr>
              <w:jc w:val="center"/>
              <w:rPr>
                <w:sz w:val="16"/>
                <w:szCs w:val="16"/>
              </w:rPr>
            </w:pPr>
            <w:r w:rsidRPr="009F6FF1">
              <w:rPr>
                <w:sz w:val="16"/>
                <w:szCs w:val="16"/>
              </w:rPr>
              <w:t>113</w:t>
            </w:r>
            <w:r>
              <w:rPr>
                <w:sz w:val="16"/>
                <w:szCs w:val="16"/>
              </w:rPr>
              <w:t>.</w:t>
            </w:r>
            <w:r w:rsidRPr="009F6FF1">
              <w:rPr>
                <w:sz w:val="16"/>
                <w:szCs w:val="16"/>
              </w:rPr>
              <w:t>0</w:t>
            </w:r>
          </w:p>
        </w:tc>
      </w:tr>
      <w:tr w:rsidR="00B14CB7" w:rsidRPr="00F95B4F" w:rsidTr="00416F7B">
        <w:trPr>
          <w:trHeight w:val="57"/>
        </w:trPr>
        <w:tc>
          <w:tcPr>
            <w:tcW w:w="3494" w:type="dxa"/>
            <w:vAlign w:val="center"/>
          </w:tcPr>
          <w:p w:rsidR="00B14CB7" w:rsidRPr="00F95B4F" w:rsidRDefault="00B14CB7" w:rsidP="00B14C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Podlaskie </w:t>
            </w:r>
          </w:p>
        </w:tc>
        <w:tc>
          <w:tcPr>
            <w:tcW w:w="2278" w:type="dxa"/>
          </w:tcPr>
          <w:p w:rsidR="00B14CB7" w:rsidRPr="00F23AC0" w:rsidRDefault="00B14CB7" w:rsidP="00B14CB7">
            <w:pPr>
              <w:jc w:val="center"/>
              <w:rPr>
                <w:sz w:val="16"/>
                <w:szCs w:val="16"/>
              </w:rPr>
            </w:pPr>
            <w:r w:rsidRPr="00F23AC0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F23AC0">
              <w:rPr>
                <w:sz w:val="16"/>
                <w:szCs w:val="16"/>
              </w:rPr>
              <w:t>6</w:t>
            </w:r>
          </w:p>
        </w:tc>
        <w:tc>
          <w:tcPr>
            <w:tcW w:w="2296" w:type="dxa"/>
            <w:gridSpan w:val="2"/>
          </w:tcPr>
          <w:p w:rsidR="00B14CB7" w:rsidRPr="009F6FF1" w:rsidRDefault="00B14CB7" w:rsidP="00B14CB7">
            <w:pPr>
              <w:jc w:val="center"/>
              <w:rPr>
                <w:sz w:val="16"/>
                <w:szCs w:val="16"/>
              </w:rPr>
            </w:pPr>
            <w:r w:rsidRPr="009F6FF1">
              <w:rPr>
                <w:sz w:val="16"/>
                <w:szCs w:val="16"/>
              </w:rPr>
              <w:t>109</w:t>
            </w:r>
            <w:r>
              <w:rPr>
                <w:sz w:val="16"/>
                <w:szCs w:val="16"/>
              </w:rPr>
              <w:t>.</w:t>
            </w:r>
            <w:r w:rsidRPr="009F6FF1">
              <w:rPr>
                <w:sz w:val="16"/>
                <w:szCs w:val="16"/>
              </w:rPr>
              <w:t>9</w:t>
            </w:r>
          </w:p>
        </w:tc>
      </w:tr>
      <w:tr w:rsidR="00B14CB7" w:rsidRPr="00F95B4F" w:rsidTr="00416F7B">
        <w:trPr>
          <w:trHeight w:val="57"/>
        </w:trPr>
        <w:tc>
          <w:tcPr>
            <w:tcW w:w="3494" w:type="dxa"/>
            <w:vAlign w:val="center"/>
          </w:tcPr>
          <w:p w:rsidR="00B14CB7" w:rsidRPr="00F95B4F" w:rsidRDefault="00B14CB7" w:rsidP="00B14C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Pomorskie </w:t>
            </w:r>
          </w:p>
        </w:tc>
        <w:tc>
          <w:tcPr>
            <w:tcW w:w="2278" w:type="dxa"/>
          </w:tcPr>
          <w:p w:rsidR="00B14CB7" w:rsidRPr="00F23AC0" w:rsidRDefault="00B14CB7" w:rsidP="00B14CB7">
            <w:pPr>
              <w:jc w:val="center"/>
              <w:rPr>
                <w:sz w:val="16"/>
                <w:szCs w:val="16"/>
              </w:rPr>
            </w:pPr>
            <w:r w:rsidRPr="00F23AC0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>.</w:t>
            </w:r>
            <w:r w:rsidRPr="00F23AC0">
              <w:rPr>
                <w:sz w:val="16"/>
                <w:szCs w:val="16"/>
              </w:rPr>
              <w:t>6</w:t>
            </w:r>
          </w:p>
        </w:tc>
        <w:tc>
          <w:tcPr>
            <w:tcW w:w="2296" w:type="dxa"/>
            <w:gridSpan w:val="2"/>
          </w:tcPr>
          <w:p w:rsidR="00B14CB7" w:rsidRPr="009F6FF1" w:rsidRDefault="00B14CB7" w:rsidP="00B14CB7">
            <w:pPr>
              <w:jc w:val="center"/>
              <w:rPr>
                <w:sz w:val="16"/>
                <w:szCs w:val="16"/>
              </w:rPr>
            </w:pPr>
            <w:r w:rsidRPr="009F6FF1">
              <w:rPr>
                <w:sz w:val="16"/>
                <w:szCs w:val="16"/>
              </w:rPr>
              <w:t>110</w:t>
            </w:r>
            <w:r>
              <w:rPr>
                <w:sz w:val="16"/>
                <w:szCs w:val="16"/>
              </w:rPr>
              <w:t>.</w:t>
            </w:r>
            <w:r w:rsidRPr="009F6FF1">
              <w:rPr>
                <w:sz w:val="16"/>
                <w:szCs w:val="16"/>
              </w:rPr>
              <w:t>3</w:t>
            </w:r>
          </w:p>
        </w:tc>
      </w:tr>
      <w:tr w:rsidR="00B14CB7" w:rsidRPr="00F95B4F" w:rsidTr="00416F7B">
        <w:trPr>
          <w:trHeight w:val="57"/>
        </w:trPr>
        <w:tc>
          <w:tcPr>
            <w:tcW w:w="3494" w:type="dxa"/>
            <w:vAlign w:val="center"/>
          </w:tcPr>
          <w:p w:rsidR="00B14CB7" w:rsidRPr="00F95B4F" w:rsidRDefault="00B14CB7" w:rsidP="00B14C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Śląskie </w:t>
            </w:r>
          </w:p>
        </w:tc>
        <w:tc>
          <w:tcPr>
            <w:tcW w:w="2278" w:type="dxa"/>
          </w:tcPr>
          <w:p w:rsidR="00B14CB7" w:rsidRPr="00F23AC0" w:rsidRDefault="00B14CB7" w:rsidP="00B14CB7">
            <w:pPr>
              <w:jc w:val="center"/>
              <w:rPr>
                <w:sz w:val="16"/>
                <w:szCs w:val="16"/>
              </w:rPr>
            </w:pPr>
            <w:r w:rsidRPr="00F23AC0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F23AC0">
              <w:rPr>
                <w:sz w:val="16"/>
                <w:szCs w:val="16"/>
              </w:rPr>
              <w:t>4</w:t>
            </w:r>
          </w:p>
        </w:tc>
        <w:tc>
          <w:tcPr>
            <w:tcW w:w="2296" w:type="dxa"/>
            <w:gridSpan w:val="2"/>
          </w:tcPr>
          <w:p w:rsidR="00B14CB7" w:rsidRPr="009F6FF1" w:rsidRDefault="00B14CB7" w:rsidP="00B14CB7">
            <w:pPr>
              <w:jc w:val="center"/>
              <w:rPr>
                <w:sz w:val="16"/>
                <w:szCs w:val="16"/>
              </w:rPr>
            </w:pPr>
            <w:r w:rsidRPr="009F6FF1">
              <w:rPr>
                <w:sz w:val="16"/>
                <w:szCs w:val="16"/>
              </w:rPr>
              <w:t>111</w:t>
            </w:r>
            <w:r>
              <w:rPr>
                <w:sz w:val="16"/>
                <w:szCs w:val="16"/>
              </w:rPr>
              <w:t>.</w:t>
            </w:r>
            <w:r w:rsidRPr="009F6FF1">
              <w:rPr>
                <w:sz w:val="16"/>
                <w:szCs w:val="16"/>
              </w:rPr>
              <w:t>5</w:t>
            </w:r>
          </w:p>
        </w:tc>
      </w:tr>
      <w:tr w:rsidR="00B14CB7" w:rsidRPr="00F95B4F" w:rsidTr="00416F7B">
        <w:trPr>
          <w:trHeight w:val="57"/>
        </w:trPr>
        <w:tc>
          <w:tcPr>
            <w:tcW w:w="3494" w:type="dxa"/>
            <w:vAlign w:val="center"/>
          </w:tcPr>
          <w:p w:rsidR="00B14CB7" w:rsidRPr="00F95B4F" w:rsidRDefault="00B14CB7" w:rsidP="00B14C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Świętokrzyskie </w:t>
            </w:r>
          </w:p>
        </w:tc>
        <w:tc>
          <w:tcPr>
            <w:tcW w:w="2278" w:type="dxa"/>
          </w:tcPr>
          <w:p w:rsidR="00B14CB7" w:rsidRPr="00F23AC0" w:rsidRDefault="00B14CB7" w:rsidP="00B14CB7">
            <w:pPr>
              <w:jc w:val="center"/>
              <w:rPr>
                <w:sz w:val="16"/>
                <w:szCs w:val="16"/>
              </w:rPr>
            </w:pPr>
            <w:r w:rsidRPr="00F23AC0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F23AC0">
              <w:rPr>
                <w:sz w:val="16"/>
                <w:szCs w:val="16"/>
              </w:rPr>
              <w:t>4</w:t>
            </w:r>
          </w:p>
        </w:tc>
        <w:tc>
          <w:tcPr>
            <w:tcW w:w="2296" w:type="dxa"/>
            <w:gridSpan w:val="2"/>
          </w:tcPr>
          <w:p w:rsidR="00B14CB7" w:rsidRPr="009F6FF1" w:rsidRDefault="00B14CB7" w:rsidP="00B14CB7">
            <w:pPr>
              <w:jc w:val="center"/>
              <w:rPr>
                <w:sz w:val="16"/>
                <w:szCs w:val="16"/>
              </w:rPr>
            </w:pPr>
            <w:r w:rsidRPr="009F6FF1">
              <w:rPr>
                <w:sz w:val="16"/>
                <w:szCs w:val="16"/>
              </w:rPr>
              <w:t>112</w:t>
            </w:r>
            <w:r>
              <w:rPr>
                <w:sz w:val="16"/>
                <w:szCs w:val="16"/>
              </w:rPr>
              <w:t>.</w:t>
            </w:r>
            <w:r w:rsidRPr="009F6FF1">
              <w:rPr>
                <w:sz w:val="16"/>
                <w:szCs w:val="16"/>
              </w:rPr>
              <w:t>4</w:t>
            </w:r>
          </w:p>
        </w:tc>
      </w:tr>
      <w:tr w:rsidR="00B14CB7" w:rsidRPr="00F95B4F" w:rsidTr="00416F7B">
        <w:trPr>
          <w:trHeight w:val="57"/>
        </w:trPr>
        <w:tc>
          <w:tcPr>
            <w:tcW w:w="3494" w:type="dxa"/>
            <w:vAlign w:val="center"/>
          </w:tcPr>
          <w:p w:rsidR="00B14CB7" w:rsidRPr="00F95B4F" w:rsidRDefault="00B14CB7" w:rsidP="00B14C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Warmińsko-Mazurskie </w:t>
            </w:r>
          </w:p>
        </w:tc>
        <w:tc>
          <w:tcPr>
            <w:tcW w:w="2278" w:type="dxa"/>
          </w:tcPr>
          <w:p w:rsidR="00B14CB7" w:rsidRPr="00F23AC0" w:rsidRDefault="00B14CB7" w:rsidP="00B14CB7">
            <w:pPr>
              <w:jc w:val="center"/>
              <w:rPr>
                <w:sz w:val="16"/>
                <w:szCs w:val="16"/>
              </w:rPr>
            </w:pPr>
            <w:r w:rsidRPr="00F23AC0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F23AC0">
              <w:rPr>
                <w:sz w:val="16"/>
                <w:szCs w:val="16"/>
              </w:rPr>
              <w:t>0</w:t>
            </w:r>
          </w:p>
        </w:tc>
        <w:tc>
          <w:tcPr>
            <w:tcW w:w="2296" w:type="dxa"/>
            <w:gridSpan w:val="2"/>
          </w:tcPr>
          <w:p w:rsidR="00B14CB7" w:rsidRPr="009F6FF1" w:rsidRDefault="00B14CB7" w:rsidP="00B14CB7">
            <w:pPr>
              <w:jc w:val="center"/>
              <w:rPr>
                <w:sz w:val="16"/>
                <w:szCs w:val="16"/>
              </w:rPr>
            </w:pPr>
            <w:r w:rsidRPr="009F6FF1">
              <w:rPr>
                <w:sz w:val="16"/>
                <w:szCs w:val="16"/>
              </w:rPr>
              <w:t>107</w:t>
            </w:r>
            <w:r>
              <w:rPr>
                <w:sz w:val="16"/>
                <w:szCs w:val="16"/>
              </w:rPr>
              <w:t>.</w:t>
            </w:r>
            <w:r w:rsidRPr="009F6FF1">
              <w:rPr>
                <w:sz w:val="16"/>
                <w:szCs w:val="16"/>
              </w:rPr>
              <w:t>2</w:t>
            </w:r>
          </w:p>
        </w:tc>
      </w:tr>
      <w:tr w:rsidR="00B14CB7" w:rsidRPr="00F95B4F" w:rsidTr="00416F7B">
        <w:trPr>
          <w:trHeight w:val="57"/>
        </w:trPr>
        <w:tc>
          <w:tcPr>
            <w:tcW w:w="3494" w:type="dxa"/>
            <w:vAlign w:val="center"/>
          </w:tcPr>
          <w:p w:rsidR="00B14CB7" w:rsidRPr="00F95B4F" w:rsidRDefault="00B14CB7" w:rsidP="00B14C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Wielkopolskie </w:t>
            </w:r>
          </w:p>
        </w:tc>
        <w:tc>
          <w:tcPr>
            <w:tcW w:w="2278" w:type="dxa"/>
          </w:tcPr>
          <w:p w:rsidR="00B14CB7" w:rsidRPr="00F23AC0" w:rsidRDefault="00B14CB7" w:rsidP="00B14CB7">
            <w:pPr>
              <w:jc w:val="center"/>
              <w:rPr>
                <w:sz w:val="16"/>
                <w:szCs w:val="16"/>
              </w:rPr>
            </w:pPr>
            <w:r w:rsidRPr="00F23AC0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.</w:t>
            </w:r>
            <w:r w:rsidRPr="00F23AC0">
              <w:rPr>
                <w:sz w:val="16"/>
                <w:szCs w:val="16"/>
              </w:rPr>
              <w:t>4</w:t>
            </w:r>
          </w:p>
        </w:tc>
        <w:tc>
          <w:tcPr>
            <w:tcW w:w="2296" w:type="dxa"/>
            <w:gridSpan w:val="2"/>
          </w:tcPr>
          <w:p w:rsidR="00B14CB7" w:rsidRPr="009F6FF1" w:rsidRDefault="00B14CB7" w:rsidP="00B14CB7">
            <w:pPr>
              <w:jc w:val="center"/>
              <w:rPr>
                <w:sz w:val="16"/>
                <w:szCs w:val="16"/>
              </w:rPr>
            </w:pPr>
            <w:r w:rsidRPr="009F6FF1">
              <w:rPr>
                <w:sz w:val="16"/>
                <w:szCs w:val="16"/>
              </w:rPr>
              <w:t>108</w:t>
            </w:r>
            <w:r>
              <w:rPr>
                <w:sz w:val="16"/>
                <w:szCs w:val="16"/>
              </w:rPr>
              <w:t>.</w:t>
            </w:r>
            <w:r w:rsidRPr="009F6FF1">
              <w:rPr>
                <w:sz w:val="16"/>
                <w:szCs w:val="16"/>
              </w:rPr>
              <w:t>3</w:t>
            </w:r>
          </w:p>
        </w:tc>
      </w:tr>
      <w:tr w:rsidR="00B14CB7" w:rsidRPr="00F95B4F" w:rsidTr="00416F7B">
        <w:trPr>
          <w:trHeight w:val="57"/>
        </w:trPr>
        <w:tc>
          <w:tcPr>
            <w:tcW w:w="3494" w:type="dxa"/>
            <w:vAlign w:val="center"/>
          </w:tcPr>
          <w:p w:rsidR="00B14CB7" w:rsidRPr="00F95B4F" w:rsidRDefault="00B14CB7" w:rsidP="00B14C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Zachodniopomorskie </w:t>
            </w:r>
          </w:p>
        </w:tc>
        <w:tc>
          <w:tcPr>
            <w:tcW w:w="2278" w:type="dxa"/>
          </w:tcPr>
          <w:p w:rsidR="00B14CB7" w:rsidRPr="00F23AC0" w:rsidRDefault="00B14CB7" w:rsidP="00B14CB7">
            <w:pPr>
              <w:jc w:val="center"/>
              <w:rPr>
                <w:sz w:val="16"/>
                <w:szCs w:val="16"/>
              </w:rPr>
            </w:pPr>
            <w:r w:rsidRPr="00F23AC0">
              <w:rPr>
                <w:sz w:val="16"/>
                <w:szCs w:val="16"/>
              </w:rPr>
              <w:t>104</w:t>
            </w:r>
            <w:r>
              <w:rPr>
                <w:sz w:val="16"/>
                <w:szCs w:val="16"/>
              </w:rPr>
              <w:t>.</w:t>
            </w:r>
            <w:r w:rsidRPr="00F23AC0">
              <w:rPr>
                <w:sz w:val="16"/>
                <w:szCs w:val="16"/>
              </w:rPr>
              <w:t>9</w:t>
            </w:r>
          </w:p>
        </w:tc>
        <w:tc>
          <w:tcPr>
            <w:tcW w:w="2296" w:type="dxa"/>
            <w:gridSpan w:val="2"/>
          </w:tcPr>
          <w:p w:rsidR="00B14CB7" w:rsidRPr="009F6FF1" w:rsidRDefault="00B14CB7" w:rsidP="00B14CB7">
            <w:pPr>
              <w:jc w:val="center"/>
              <w:rPr>
                <w:sz w:val="16"/>
                <w:szCs w:val="16"/>
              </w:rPr>
            </w:pPr>
            <w:r w:rsidRPr="009F6FF1">
              <w:rPr>
                <w:sz w:val="16"/>
                <w:szCs w:val="16"/>
              </w:rPr>
              <w:t>112</w:t>
            </w:r>
            <w:r>
              <w:rPr>
                <w:sz w:val="16"/>
                <w:szCs w:val="16"/>
              </w:rPr>
              <w:t>.</w:t>
            </w:r>
            <w:r w:rsidRPr="009F6FF1">
              <w:rPr>
                <w:sz w:val="16"/>
                <w:szCs w:val="16"/>
              </w:rPr>
              <w:t>8</w:t>
            </w:r>
          </w:p>
        </w:tc>
      </w:tr>
    </w:tbl>
    <w:p w:rsidR="00E01393" w:rsidRDefault="00E01393" w:rsidP="00E76D26">
      <w:pPr>
        <w:rPr>
          <w:b/>
          <w:sz w:val="18"/>
          <w:szCs w:val="18"/>
          <w:shd w:val="clear" w:color="auto" w:fill="FFFFFF"/>
        </w:rPr>
      </w:pPr>
    </w:p>
    <w:p w:rsidR="0059548E" w:rsidRPr="00001C5B" w:rsidRDefault="0059548E" w:rsidP="00E76D26">
      <w:pPr>
        <w:rPr>
          <w:sz w:val="18"/>
        </w:rPr>
        <w:sectPr w:rsidR="0059548E" w:rsidRPr="00001C5B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CA7351" w:rsidRPr="00742FC2" w:rsidTr="00F53E18">
        <w:trPr>
          <w:trHeight w:val="1912"/>
        </w:trPr>
        <w:tc>
          <w:tcPr>
            <w:tcW w:w="4379" w:type="dxa"/>
          </w:tcPr>
          <w:p w:rsidR="00EF53D1" w:rsidRPr="004802D4" w:rsidRDefault="00EF53D1" w:rsidP="001531F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802D4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:rsidR="00EF53D1" w:rsidRPr="004802D4" w:rsidRDefault="00EF53D1" w:rsidP="001531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4802D4">
              <w:rPr>
                <w:rFonts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EF53D1" w:rsidRPr="0026348E" w:rsidRDefault="0026348E" w:rsidP="001531F8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26348E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Director Ewa Adach-Stankiewicz</w:t>
            </w:r>
          </w:p>
          <w:p w:rsidR="00EF53D1" w:rsidRPr="008F3638" w:rsidRDefault="004C2285" w:rsidP="001531F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26348E" w:rsidRPr="0026348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tel. (+48) </w:t>
            </w:r>
            <w:r w:rsidRPr="004C228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695 255 067</w:t>
            </w:r>
          </w:p>
          <w:p w:rsidR="00CA7351" w:rsidRPr="004C2285" w:rsidRDefault="00CA7351" w:rsidP="001531F8">
            <w:pPr>
              <w:pStyle w:val="Nagwek3"/>
              <w:spacing w:before="0" w:line="276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942" w:type="dxa"/>
          </w:tcPr>
          <w:p w:rsidR="0026348E" w:rsidRPr="0026348E" w:rsidRDefault="0026348E" w:rsidP="001531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26348E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Pr="0026348E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Pr="0026348E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Spokeperson for the President </w:t>
            </w:r>
          </w:p>
          <w:p w:rsidR="0026348E" w:rsidRPr="0026348E" w:rsidRDefault="0026348E" w:rsidP="001531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26348E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Statistics Poland</w:t>
            </w:r>
          </w:p>
          <w:p w:rsidR="0026348E" w:rsidRPr="0026348E" w:rsidRDefault="0026348E" w:rsidP="001531F8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26348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</w:t>
            </w:r>
            <w:r w:rsidRPr="0026348E">
              <w:rPr>
                <w:rFonts w:ascii="Fira Sans" w:hAnsi="Fira Sans" w:cs="Arial"/>
                <w:b/>
                <w:color w:val="auto"/>
                <w:sz w:val="20"/>
                <w:szCs w:val="28"/>
                <w:lang w:val="en-US"/>
              </w:rPr>
              <w:t xml:space="preserve"> Banaszek</w:t>
            </w:r>
          </w:p>
          <w:p w:rsidR="0026348E" w:rsidRPr="008F3638" w:rsidRDefault="0026348E" w:rsidP="001531F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:rsidR="00CA7351" w:rsidRPr="0026348E" w:rsidRDefault="00CA7351" w:rsidP="001531F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</w:p>
        </w:tc>
      </w:tr>
    </w:tbl>
    <w:p w:rsidR="00CA7351" w:rsidRPr="0026348E" w:rsidRDefault="00CA7351" w:rsidP="00CA7351">
      <w:pPr>
        <w:rPr>
          <w:sz w:val="20"/>
          <w:lang w:val="en-US"/>
        </w:rPr>
      </w:pPr>
    </w:p>
    <w:p w:rsidR="00CA7351" w:rsidRPr="0026348E" w:rsidRDefault="00CA7351" w:rsidP="00CA7351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CA7351" w:rsidRPr="00742FC2" w:rsidTr="00F53E18">
        <w:trPr>
          <w:trHeight w:val="610"/>
        </w:trPr>
        <w:tc>
          <w:tcPr>
            <w:tcW w:w="2721" w:type="pct"/>
            <w:vMerge w:val="restart"/>
            <w:vAlign w:val="center"/>
          </w:tcPr>
          <w:p w:rsidR="001531F8" w:rsidRPr="00451870" w:rsidRDefault="001531F8" w:rsidP="001531F8">
            <w:pPr>
              <w:rPr>
                <w:b/>
                <w:sz w:val="20"/>
                <w:lang w:val="en-US"/>
              </w:rPr>
            </w:pPr>
            <w:r w:rsidRPr="00451870">
              <w:rPr>
                <w:b/>
                <w:sz w:val="20"/>
                <w:lang w:val="en-US"/>
              </w:rPr>
              <w:t>Press Office</w:t>
            </w:r>
          </w:p>
          <w:p w:rsidR="001531F8" w:rsidRPr="00451870" w:rsidRDefault="001531F8" w:rsidP="001531F8">
            <w:pPr>
              <w:rPr>
                <w:sz w:val="20"/>
                <w:lang w:val="en-US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451870">
              <w:rPr>
                <w:sz w:val="20"/>
                <w:lang w:val="en-US"/>
              </w:rPr>
              <w:t>608 34 91</w:t>
            </w:r>
            <w:r w:rsidR="00C32CB6">
              <w:rPr>
                <w:sz w:val="20"/>
                <w:lang w:val="en-US"/>
              </w:rPr>
              <w:t>.</w:t>
            </w:r>
            <w:r w:rsidRPr="00451870">
              <w:rPr>
                <w:sz w:val="20"/>
                <w:lang w:val="en-US"/>
              </w:rPr>
              <w:t xml:space="preserve"> 608 38 04 </w:t>
            </w:r>
          </w:p>
          <w:p w:rsidR="00CA7351" w:rsidRPr="00EE456A" w:rsidRDefault="001531F8" w:rsidP="001531F8">
            <w:pPr>
              <w:rPr>
                <w:sz w:val="18"/>
                <w:lang w:val="en-US"/>
              </w:rPr>
            </w:pPr>
            <w:r w:rsidRPr="00451870">
              <w:rPr>
                <w:b/>
                <w:sz w:val="20"/>
                <w:lang w:val="en-US"/>
              </w:rPr>
              <w:t>e-mail:</w:t>
            </w:r>
            <w:r w:rsidRPr="00451870">
              <w:rPr>
                <w:sz w:val="20"/>
                <w:lang w:val="en-US"/>
              </w:rPr>
              <w:t xml:space="preserve"> </w:t>
            </w:r>
            <w:hyperlink r:id="rId20" w:history="1">
              <w:r w:rsidRPr="00451870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CA7351" w:rsidRPr="00EE456A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 w:rsidRPr="00B62AC7">
              <w:rPr>
                <w:sz w:val="20"/>
                <w:lang w:val="en-US"/>
              </w:rPr>
              <w:t>www.stat.gov.pl</w:t>
            </w:r>
            <w:r w:rsidR="006B3F47">
              <w:rPr>
                <w:sz w:val="20"/>
                <w:lang w:val="en-US"/>
              </w:rPr>
              <w:t>/en/</w:t>
            </w:r>
          </w:p>
        </w:tc>
      </w:tr>
      <w:tr w:rsidR="00CA7351" w:rsidRPr="00B62AC7" w:rsidTr="00F53E18">
        <w:trPr>
          <w:trHeight w:val="436"/>
        </w:trPr>
        <w:tc>
          <w:tcPr>
            <w:tcW w:w="2721" w:type="pct"/>
            <w:vMerge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Pr="00B62AC7" w:rsidRDefault="006B3F47" w:rsidP="00CA7351">
            <w:pPr>
              <w:rPr>
                <w:sz w:val="18"/>
                <w:lang w:val="en-US"/>
              </w:rPr>
            </w:pPr>
            <w:r>
              <w:rPr>
                <w:sz w:val="20"/>
                <w:lang w:val="en-US"/>
              </w:rPr>
              <w:t>@StatPoland</w:t>
            </w:r>
          </w:p>
        </w:tc>
      </w:tr>
      <w:tr w:rsidR="00CA7351" w:rsidRPr="00B62AC7" w:rsidTr="00F53E18">
        <w:trPr>
          <w:trHeight w:val="436"/>
        </w:trPr>
        <w:tc>
          <w:tcPr>
            <w:tcW w:w="2721" w:type="pct"/>
            <w:vMerge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Pr="00B62AC7" w:rsidRDefault="00CA7351" w:rsidP="00CA7351">
            <w:pPr>
              <w:rPr>
                <w:sz w:val="20"/>
                <w:lang w:val="en-US"/>
              </w:rPr>
            </w:pPr>
            <w:r w:rsidRPr="00B62AC7">
              <w:rPr>
                <w:sz w:val="20"/>
                <w:lang w:val="en-US"/>
              </w:rPr>
              <w:t>@GlownyUrzadStatystyczny</w:t>
            </w:r>
          </w:p>
        </w:tc>
      </w:tr>
    </w:tbl>
    <w:p w:rsidR="00D261A2" w:rsidRPr="00B62AC7" w:rsidRDefault="00E96378" w:rsidP="00E76D26">
      <w:pPr>
        <w:rPr>
          <w:sz w:val="18"/>
          <w:lang w:val="en-US"/>
        </w:rPr>
      </w:pPr>
      <w:r>
        <w:rPr>
          <w:noProof/>
          <w:sz w:val="18"/>
          <w:lang w:eastAsia="pl-PL"/>
        </w:rPr>
        <w:pict>
          <v:shape id="_x0000_s1029" type="#_x0000_t202" style="position:absolute;margin-left:1.5pt;margin-top:33.5pt;width:516.5pt;height:349.85pt;z-index:25169100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fillcolor="#f2f2f2 [3052]" strokecolor="white [3212]">
            <v:textbox style="mso-next-textbox:#_x0000_s1029">
              <w:txbxContent>
                <w:p w:rsidR="009B46C8" w:rsidRDefault="009B46C8" w:rsidP="00AB6D25">
                  <w:pPr>
                    <w:rPr>
                      <w:b/>
                    </w:rPr>
                  </w:pPr>
                </w:p>
                <w:p w:rsidR="009B46C8" w:rsidRPr="00C2775E" w:rsidRDefault="009B46C8" w:rsidP="00EF53D1">
                  <w:pPr>
                    <w:rPr>
                      <w:b/>
                      <w:lang w:val="en-US"/>
                    </w:rPr>
                  </w:pPr>
                  <w:r w:rsidRPr="00C2775E">
                    <w:rPr>
                      <w:b/>
                      <w:lang w:val="en-US"/>
                    </w:rPr>
                    <w:t>Related information</w:t>
                  </w:r>
                </w:p>
                <w:p w:rsidR="009B46C8" w:rsidRPr="00B62AC7" w:rsidRDefault="00E96378" w:rsidP="00EF53D1">
                  <w:pPr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  <w:hyperlink r:id="rId24" w:history="1">
                    <w:r w:rsidR="009B46C8" w:rsidRPr="00B62AC7">
                      <w:rPr>
                        <w:rStyle w:val="Hipercze"/>
                        <w:rFonts w:cstheme="minorBidi"/>
                        <w:color w:val="001D77"/>
                        <w:sz w:val="18"/>
                        <w:szCs w:val="18"/>
                        <w:lang w:val="en-US"/>
                      </w:rPr>
                      <w:t>Price indices of residential premises by voivodships</w:t>
                    </w:r>
                  </w:hyperlink>
                </w:p>
                <w:p w:rsidR="009B46C8" w:rsidRPr="00B62AC7" w:rsidRDefault="00E96378" w:rsidP="00EF53D1">
                  <w:pPr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  <w:hyperlink r:id="rId25" w:history="1">
                    <w:r w:rsidR="009B46C8" w:rsidRPr="00B62AC7">
                      <w:rPr>
                        <w:rStyle w:val="Hipercze"/>
                        <w:rFonts w:cstheme="minorBidi"/>
                        <w:color w:val="001D77"/>
                        <w:sz w:val="18"/>
                        <w:szCs w:val="18"/>
                        <w:lang w:val="en-US"/>
                      </w:rPr>
                      <w:t>Price of one square meter of usable floor space of a residential building</w:t>
                    </w:r>
                  </w:hyperlink>
                </w:p>
                <w:p w:rsidR="009B46C8" w:rsidRPr="0026348E" w:rsidRDefault="0026348E" w:rsidP="00CA7351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r w:rsidRPr="0026348E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  <w:fldChar w:fldCharType="begin"/>
                  </w:r>
                  <w: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  <w:instrText>HYPERLINK "https://stat.gov.pl/en/topics/municipal-infrastructure/municipal-infrastructure/real-estate-sales-in-2018,2,11.html"</w:instrText>
                  </w:r>
                  <w:r w:rsidRPr="0026348E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  <w:fldChar w:fldCharType="separate"/>
                  </w:r>
                  <w:r w:rsidR="009B46C8" w:rsidRPr="0026348E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  <w:t>Real Estate Sales in 201</w:t>
                  </w:r>
                  <w:r w:rsidRPr="0026348E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  <w:t>8</w:t>
                  </w:r>
                </w:p>
                <w:p w:rsidR="009B46C8" w:rsidRPr="00EF53D1" w:rsidRDefault="0026348E" w:rsidP="00CA7351">
                  <w:pPr>
                    <w:rPr>
                      <w:b/>
                      <w:color w:val="000000" w:themeColor="text1"/>
                      <w:szCs w:val="24"/>
                      <w:lang w:val="en-US"/>
                    </w:rPr>
                  </w:pPr>
                  <w:r w:rsidRPr="0026348E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  <w:fldChar w:fldCharType="end"/>
                  </w:r>
                </w:p>
                <w:p w:rsidR="009B46C8" w:rsidRPr="004802D4" w:rsidRDefault="009B46C8" w:rsidP="00EF53D1">
                  <w:pPr>
                    <w:rPr>
                      <w:b/>
                      <w:color w:val="000000" w:themeColor="text1"/>
                      <w:szCs w:val="24"/>
                      <w:lang w:val="en-US"/>
                    </w:rPr>
                  </w:pPr>
                  <w:r w:rsidRPr="004802D4">
                    <w:rPr>
                      <w:b/>
                      <w:color w:val="000000" w:themeColor="text1"/>
                      <w:szCs w:val="24"/>
                      <w:lang w:val="en-US"/>
                    </w:rPr>
                    <w:t>Data available in databases</w:t>
                  </w:r>
                </w:p>
                <w:p w:rsidR="009B46C8" w:rsidRPr="00B62AC7" w:rsidRDefault="00E96378" w:rsidP="00CA7351">
                  <w:pPr>
                    <w:rPr>
                      <w:rFonts w:cs="Fira Sans"/>
                      <w:color w:val="001D77"/>
                      <w:sz w:val="18"/>
                      <w:szCs w:val="18"/>
                      <w:lang w:val="en-US"/>
                    </w:rPr>
                  </w:pPr>
                  <w:hyperlink r:id="rId26" w:history="1">
                    <w:r w:rsidR="009B46C8" w:rsidRPr="00B62AC7">
                      <w:rPr>
                        <w:rStyle w:val="Hipercze"/>
                        <w:rFonts w:cs="Fira Sans"/>
                        <w:color w:val="001D77"/>
                        <w:sz w:val="18"/>
                        <w:szCs w:val="18"/>
                        <w:lang w:val="en-US"/>
                      </w:rPr>
                      <w:t>Knowledge Databases (DBW) Prices</w:t>
                    </w:r>
                  </w:hyperlink>
                </w:p>
                <w:p w:rsidR="009B46C8" w:rsidRPr="0026348E" w:rsidRDefault="00E96378" w:rsidP="00CA7351">
                  <w:pPr>
                    <w:rPr>
                      <w:color w:val="001D77"/>
                      <w:szCs w:val="24"/>
                      <w:lang w:val="en-US"/>
                    </w:rPr>
                  </w:pPr>
                  <w:hyperlink r:id="rId27" w:history="1">
                    <w:r w:rsidR="0026348E" w:rsidRPr="0026348E">
                      <w:rPr>
                        <w:rStyle w:val="Hipercze"/>
                        <w:rFonts w:cstheme="minorBidi"/>
                        <w:color w:val="001D77"/>
                        <w:szCs w:val="24"/>
                        <w:lang w:val="en-US"/>
                      </w:rPr>
                      <w:t>Local Data Bank – Real Estate Market</w:t>
                    </w:r>
                  </w:hyperlink>
                </w:p>
                <w:p w:rsidR="0026348E" w:rsidRPr="0026348E" w:rsidRDefault="0026348E" w:rsidP="00CA7351">
                  <w:pPr>
                    <w:rPr>
                      <w:color w:val="001D77"/>
                      <w:szCs w:val="24"/>
                      <w:lang w:val="en-US"/>
                    </w:rPr>
                  </w:pPr>
                </w:p>
                <w:p w:rsidR="009B46C8" w:rsidRPr="004802D4" w:rsidRDefault="009B46C8" w:rsidP="00EF53D1">
                  <w:pPr>
                    <w:rPr>
                      <w:b/>
                      <w:color w:val="000000" w:themeColor="text1"/>
                      <w:szCs w:val="24"/>
                      <w:lang w:val="en-US"/>
                    </w:rPr>
                  </w:pPr>
                  <w:r w:rsidRPr="004802D4">
                    <w:rPr>
                      <w:b/>
                      <w:color w:val="000000" w:themeColor="text1"/>
                      <w:szCs w:val="24"/>
                      <w:lang w:val="en-US"/>
                    </w:rPr>
                    <w:t>Te</w:t>
                  </w:r>
                  <w:r>
                    <w:rPr>
                      <w:b/>
                      <w:color w:val="000000" w:themeColor="text1"/>
                      <w:szCs w:val="24"/>
                      <w:lang w:val="en-US"/>
                    </w:rPr>
                    <w:t>rms used in official statistics</w:t>
                  </w:r>
                </w:p>
                <w:p w:rsidR="009B46C8" w:rsidRPr="00B62AC7" w:rsidRDefault="00E96378" w:rsidP="00EF53D1">
                  <w:pPr>
                    <w:rPr>
                      <w:color w:val="001D77"/>
                      <w:lang w:val="en-US"/>
                    </w:rPr>
                  </w:pPr>
                  <w:hyperlink r:id="rId28" w:history="1">
                    <w:r w:rsidR="009B46C8" w:rsidRPr="00B62AC7">
                      <w:rPr>
                        <w:rStyle w:val="Hipercze"/>
                        <w:rFonts w:cstheme="minorBidi"/>
                        <w:color w:val="001D77"/>
                        <w:lang w:val="en-US"/>
                      </w:rPr>
                      <w:t>Real estate turnover</w:t>
                    </w:r>
                  </w:hyperlink>
                </w:p>
                <w:p w:rsidR="009B46C8" w:rsidRPr="00B62AC7" w:rsidRDefault="00E96378" w:rsidP="00EF53D1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9" w:history="1">
                    <w:r w:rsidR="009B46C8" w:rsidRPr="00B62AC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Register of Real Estate Prices and Values</w:t>
                    </w:r>
                  </w:hyperlink>
                </w:p>
                <w:p w:rsidR="009B46C8" w:rsidRPr="00B62AC7" w:rsidRDefault="00E96378" w:rsidP="00EF53D1">
                  <w:pPr>
                    <w:spacing w:line="240" w:lineRule="auto"/>
                    <w:rPr>
                      <w:rFonts w:cs="Arial"/>
                      <w:color w:val="001D77"/>
                      <w:sz w:val="18"/>
                      <w:szCs w:val="30"/>
                      <w:u w:val="single"/>
                      <w:shd w:val="clear" w:color="auto" w:fill="F0F0F0"/>
                      <w:lang w:val="en-US"/>
                    </w:rPr>
                  </w:pPr>
                  <w:hyperlink r:id="rId30" w:history="1">
                    <w:r w:rsidR="009B46C8" w:rsidRPr="00B62AC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Premises</w:t>
                    </w:r>
                  </w:hyperlink>
                </w:p>
                <w:p w:rsidR="009B46C8" w:rsidRPr="00B86DF8" w:rsidRDefault="009B46C8" w:rsidP="00AB6D25">
                  <w:pPr>
                    <w:rPr>
                      <w:rFonts w:cs="Arial"/>
                      <w:color w:val="001D77"/>
                      <w:sz w:val="18"/>
                      <w:szCs w:val="30"/>
                      <w:u w:val="single"/>
                      <w:shd w:val="clear" w:color="auto" w:fill="F0F0F0"/>
                      <w:lang w:val="en-US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D261A2" w:rsidRPr="00B62AC7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E3F" w:rsidRDefault="002A7E3F" w:rsidP="000662E2">
      <w:pPr>
        <w:spacing w:after="0" w:line="240" w:lineRule="auto"/>
      </w:pPr>
      <w:r>
        <w:separator/>
      </w:r>
    </w:p>
  </w:endnote>
  <w:endnote w:type="continuationSeparator" w:id="0">
    <w:p w:rsidR="002A7E3F" w:rsidRDefault="002A7E3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963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963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9637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E3F" w:rsidRDefault="002A7E3F" w:rsidP="000662E2">
      <w:pPr>
        <w:spacing w:after="0" w:line="240" w:lineRule="auto"/>
      </w:pPr>
      <w:r>
        <w:separator/>
      </w:r>
    </w:p>
  </w:footnote>
  <w:footnote w:type="continuationSeparator" w:id="0">
    <w:p w:rsidR="002A7E3F" w:rsidRDefault="002A7E3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C8" w:rsidRDefault="00E96378">
    <w:pPr>
      <w:pStyle w:val="Nagwek"/>
    </w:pPr>
    <w:r>
      <w:rPr>
        <w:noProof/>
        <w:lang w:eastAsia="pl-PL"/>
      </w:rPr>
      <w:pict>
        <v:rect id="Prostokąt 24" o:spid="_x0000_s2058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9B46C8" w:rsidRDefault="009B46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C8" w:rsidRDefault="009B46C8">
    <w:pPr>
      <w:pStyle w:val="Nagwek"/>
      <w:rPr>
        <w:noProof/>
        <w:lang w:eastAsia="pl-PL"/>
      </w:rPr>
    </w:pPr>
    <w:r w:rsidRPr="00981C2B">
      <w:rPr>
        <w:noProof/>
        <w:lang w:eastAsia="pl-PL"/>
      </w:rPr>
      <w:drawing>
        <wp:inline distT="0" distB="0" distL="0" distR="0">
          <wp:extent cx="2080803" cy="71965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ang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803" cy="71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6378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11pt;margin-top:61.65pt;width:112.8pt;height:26.5pt;z-index:25166950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<v:textbox style="mso-next-textbox:#_x0000_s2055">
            <w:txbxContent>
              <w:p w:rsidR="009B46C8" w:rsidRPr="00C97596" w:rsidRDefault="001D3639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0</w:t>
                </w:r>
                <w:r w:rsidR="00C32CB6">
                  <w:rPr>
                    <w:rFonts w:ascii="Fira Sans SemiBold" w:hAnsi="Fira Sans SemiBold"/>
                    <w:color w:val="001D77"/>
                  </w:rPr>
                  <w:t>6</w:t>
                </w:r>
                <w:r w:rsidR="004B09A3">
                  <w:rPr>
                    <w:rFonts w:ascii="Fira Sans SemiBold" w:hAnsi="Fira Sans SemiBold"/>
                    <w:color w:val="001D77"/>
                  </w:rPr>
                  <w:t>.</w:t>
                </w:r>
                <w:r>
                  <w:rPr>
                    <w:rFonts w:ascii="Fira Sans SemiBold" w:hAnsi="Fira Sans SemiBold"/>
                    <w:color w:val="001D77"/>
                  </w:rPr>
                  <w:t>0</w:t>
                </w:r>
                <w:r w:rsidR="00C32CB6">
                  <w:rPr>
                    <w:rFonts w:ascii="Fira Sans SemiBold" w:hAnsi="Fira Sans SemiBold"/>
                    <w:color w:val="001D77"/>
                  </w:rPr>
                  <w:t>4.</w:t>
                </w:r>
                <w:r>
                  <w:rPr>
                    <w:rFonts w:ascii="Fira Sans SemiBold" w:hAnsi="Fira Sans SemiBold"/>
                    <w:color w:val="001D77"/>
                  </w:rPr>
                  <w:t>2020</w:t>
                </w:r>
              </w:p>
            </w:txbxContent>
          </v:textbox>
        </v:shape>
      </w:pict>
    </w:r>
    <w:r w:rsidR="00E96378">
      <w:rPr>
        <w:noProof/>
        <w:lang w:eastAsia="pl-PL"/>
      </w:rPr>
      <w:pict>
        <v:shape id="Schemat blokowy: opóźnienie 6" o:spid="_x0000_s2057" style="position:absolute;margin-left:396.6pt;margin-top:15.65pt;width:162.25pt;height:28.15pt;flip:x;z-index:251668480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9B46C8" w:rsidRPr="003C6C8D" w:rsidRDefault="009B46C8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  <w:r w:rsidR="00E96378">
      <w:rPr>
        <w:noProof/>
        <w:lang w:eastAsia="pl-PL"/>
      </w:rPr>
      <w:pict>
        <v:rect id="Prostokąt 10" o:spid="_x0000_s2056" style="position:absolute;margin-left:411.1pt;margin-top:40.3pt;width:147.4pt;height:1803.55pt;z-index:-251650048;visibility:visible;mso-position-horizontal:absolute;mso-position-horizontal-relative:text;mso-position-vertical-relative:text;mso-width-relative:margin;mso-height-relative:margin;v-text-anchor:middle" wrapcoords="-110 0 -110 21591 21600 21591 21600 0 -110 0" fillcolor="#f2f2f2" stroked="f" strokeweight="1pt">
          <v:path arrowok="t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C8" w:rsidRDefault="009B46C8">
    <w:pPr>
      <w:pStyle w:val="Nagwek"/>
    </w:pPr>
  </w:p>
  <w:p w:rsidR="009B46C8" w:rsidRDefault="009B46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1.95pt;height:121.95pt;visibility:visible;mso-wrap-style:square" o:bullet="t">
        <v:imagedata r:id="rId1" o:title=""/>
      </v:shape>
    </w:pict>
  </w:numPicBullet>
  <w:numPicBullet w:numPicBulletId="1">
    <w:pict>
      <v:shape id="_x0000_i1027" type="#_x0000_t75" style="width:121.95pt;height:121.9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5E2"/>
    <w:rsid w:val="00001C5B"/>
    <w:rsid w:val="00003437"/>
    <w:rsid w:val="00004870"/>
    <w:rsid w:val="0000709F"/>
    <w:rsid w:val="000108B8"/>
    <w:rsid w:val="00015039"/>
    <w:rsid w:val="000152F5"/>
    <w:rsid w:val="000359A8"/>
    <w:rsid w:val="0004582E"/>
    <w:rsid w:val="000470AA"/>
    <w:rsid w:val="00053CA1"/>
    <w:rsid w:val="00053FC8"/>
    <w:rsid w:val="000574B9"/>
    <w:rsid w:val="00057CA1"/>
    <w:rsid w:val="00057DB8"/>
    <w:rsid w:val="000645CF"/>
    <w:rsid w:val="000662E2"/>
    <w:rsid w:val="00066883"/>
    <w:rsid w:val="00074DD8"/>
    <w:rsid w:val="00075C06"/>
    <w:rsid w:val="000806F7"/>
    <w:rsid w:val="000841E8"/>
    <w:rsid w:val="00087F0A"/>
    <w:rsid w:val="000904CB"/>
    <w:rsid w:val="00097840"/>
    <w:rsid w:val="000A2B95"/>
    <w:rsid w:val="000B0727"/>
    <w:rsid w:val="000B670C"/>
    <w:rsid w:val="000C03C0"/>
    <w:rsid w:val="000C135D"/>
    <w:rsid w:val="000C4A9C"/>
    <w:rsid w:val="000D1D43"/>
    <w:rsid w:val="000D225C"/>
    <w:rsid w:val="000D2A5C"/>
    <w:rsid w:val="000D6F7D"/>
    <w:rsid w:val="000E0918"/>
    <w:rsid w:val="000E27C8"/>
    <w:rsid w:val="000E729C"/>
    <w:rsid w:val="000F4033"/>
    <w:rsid w:val="000F4F85"/>
    <w:rsid w:val="000F6D5A"/>
    <w:rsid w:val="001003B7"/>
    <w:rsid w:val="001011C3"/>
    <w:rsid w:val="001034CE"/>
    <w:rsid w:val="00110D87"/>
    <w:rsid w:val="001121DF"/>
    <w:rsid w:val="00114DB9"/>
    <w:rsid w:val="00116087"/>
    <w:rsid w:val="00116B3F"/>
    <w:rsid w:val="00117B13"/>
    <w:rsid w:val="00124E28"/>
    <w:rsid w:val="00126565"/>
    <w:rsid w:val="00130296"/>
    <w:rsid w:val="00133BDA"/>
    <w:rsid w:val="00140AD8"/>
    <w:rsid w:val="001423B6"/>
    <w:rsid w:val="00144766"/>
    <w:rsid w:val="001448A7"/>
    <w:rsid w:val="001461CC"/>
    <w:rsid w:val="00146621"/>
    <w:rsid w:val="0015044B"/>
    <w:rsid w:val="00151B91"/>
    <w:rsid w:val="001531F8"/>
    <w:rsid w:val="00162325"/>
    <w:rsid w:val="00171C8A"/>
    <w:rsid w:val="001951DA"/>
    <w:rsid w:val="00195BF1"/>
    <w:rsid w:val="001A0198"/>
    <w:rsid w:val="001A0BF7"/>
    <w:rsid w:val="001A15C5"/>
    <w:rsid w:val="001A297A"/>
    <w:rsid w:val="001A3839"/>
    <w:rsid w:val="001B12D0"/>
    <w:rsid w:val="001C3269"/>
    <w:rsid w:val="001D1DB4"/>
    <w:rsid w:val="001D3639"/>
    <w:rsid w:val="001E1388"/>
    <w:rsid w:val="001F043B"/>
    <w:rsid w:val="001F6AC4"/>
    <w:rsid w:val="00200AEC"/>
    <w:rsid w:val="00202CB0"/>
    <w:rsid w:val="00213227"/>
    <w:rsid w:val="00251900"/>
    <w:rsid w:val="002535A3"/>
    <w:rsid w:val="002574F1"/>
    <w:rsid w:val="002574F9"/>
    <w:rsid w:val="00262B61"/>
    <w:rsid w:val="0026348E"/>
    <w:rsid w:val="00266F56"/>
    <w:rsid w:val="00276811"/>
    <w:rsid w:val="00282699"/>
    <w:rsid w:val="0028505D"/>
    <w:rsid w:val="00287AF2"/>
    <w:rsid w:val="00291813"/>
    <w:rsid w:val="002926DF"/>
    <w:rsid w:val="00293B62"/>
    <w:rsid w:val="002940EF"/>
    <w:rsid w:val="00296697"/>
    <w:rsid w:val="002A160D"/>
    <w:rsid w:val="002A453B"/>
    <w:rsid w:val="002A7E3F"/>
    <w:rsid w:val="002B0472"/>
    <w:rsid w:val="002B04E4"/>
    <w:rsid w:val="002B3B27"/>
    <w:rsid w:val="002B6B12"/>
    <w:rsid w:val="002D2BEB"/>
    <w:rsid w:val="002D5D8C"/>
    <w:rsid w:val="002D72B8"/>
    <w:rsid w:val="002E46B7"/>
    <w:rsid w:val="002E6140"/>
    <w:rsid w:val="002E6985"/>
    <w:rsid w:val="002E71B6"/>
    <w:rsid w:val="002F03BC"/>
    <w:rsid w:val="002F4A00"/>
    <w:rsid w:val="002F6F06"/>
    <w:rsid w:val="002F77C8"/>
    <w:rsid w:val="0030246A"/>
    <w:rsid w:val="00304F22"/>
    <w:rsid w:val="00306C7C"/>
    <w:rsid w:val="00322EDD"/>
    <w:rsid w:val="00332320"/>
    <w:rsid w:val="00333542"/>
    <w:rsid w:val="00341947"/>
    <w:rsid w:val="00344C07"/>
    <w:rsid w:val="00347D72"/>
    <w:rsid w:val="00351D92"/>
    <w:rsid w:val="003563F6"/>
    <w:rsid w:val="00357611"/>
    <w:rsid w:val="003601A9"/>
    <w:rsid w:val="0036562A"/>
    <w:rsid w:val="00367237"/>
    <w:rsid w:val="0037077F"/>
    <w:rsid w:val="00371102"/>
    <w:rsid w:val="00371AA7"/>
    <w:rsid w:val="00372411"/>
    <w:rsid w:val="00373882"/>
    <w:rsid w:val="003843DB"/>
    <w:rsid w:val="00393761"/>
    <w:rsid w:val="00395FE6"/>
    <w:rsid w:val="00397D18"/>
    <w:rsid w:val="003A1B36"/>
    <w:rsid w:val="003A4393"/>
    <w:rsid w:val="003B1454"/>
    <w:rsid w:val="003B18B6"/>
    <w:rsid w:val="003B46F7"/>
    <w:rsid w:val="003B56C8"/>
    <w:rsid w:val="003C138C"/>
    <w:rsid w:val="003C59E0"/>
    <w:rsid w:val="003C6C8D"/>
    <w:rsid w:val="003D14C1"/>
    <w:rsid w:val="003D1DDA"/>
    <w:rsid w:val="003D4F95"/>
    <w:rsid w:val="003D5F42"/>
    <w:rsid w:val="003D60A9"/>
    <w:rsid w:val="003D6185"/>
    <w:rsid w:val="003F4C97"/>
    <w:rsid w:val="003F7FE6"/>
    <w:rsid w:val="00400193"/>
    <w:rsid w:val="00403C1A"/>
    <w:rsid w:val="00416BEF"/>
    <w:rsid w:val="004178B0"/>
    <w:rsid w:val="00417B27"/>
    <w:rsid w:val="004212E7"/>
    <w:rsid w:val="00423C60"/>
    <w:rsid w:val="0042446D"/>
    <w:rsid w:val="00427BF8"/>
    <w:rsid w:val="004313A1"/>
    <w:rsid w:val="00431C02"/>
    <w:rsid w:val="00431FFC"/>
    <w:rsid w:val="004347C3"/>
    <w:rsid w:val="00437162"/>
    <w:rsid w:val="00437395"/>
    <w:rsid w:val="00437A70"/>
    <w:rsid w:val="00445047"/>
    <w:rsid w:val="00451870"/>
    <w:rsid w:val="00462BE1"/>
    <w:rsid w:val="00463E39"/>
    <w:rsid w:val="004657FC"/>
    <w:rsid w:val="004733F6"/>
    <w:rsid w:val="00474E69"/>
    <w:rsid w:val="00480C23"/>
    <w:rsid w:val="00482A0D"/>
    <w:rsid w:val="00483BBF"/>
    <w:rsid w:val="0049621B"/>
    <w:rsid w:val="004A3D09"/>
    <w:rsid w:val="004B09A3"/>
    <w:rsid w:val="004C03B9"/>
    <w:rsid w:val="004C1895"/>
    <w:rsid w:val="004C2285"/>
    <w:rsid w:val="004C6D40"/>
    <w:rsid w:val="004D4E8A"/>
    <w:rsid w:val="004E0A1B"/>
    <w:rsid w:val="004E6E19"/>
    <w:rsid w:val="004F0C3C"/>
    <w:rsid w:val="004F407F"/>
    <w:rsid w:val="004F5944"/>
    <w:rsid w:val="004F63FC"/>
    <w:rsid w:val="00505A92"/>
    <w:rsid w:val="00505EF2"/>
    <w:rsid w:val="0051704F"/>
    <w:rsid w:val="005203F1"/>
    <w:rsid w:val="00521BC3"/>
    <w:rsid w:val="00522E01"/>
    <w:rsid w:val="00525655"/>
    <w:rsid w:val="00531FB4"/>
    <w:rsid w:val="005326DA"/>
    <w:rsid w:val="00533632"/>
    <w:rsid w:val="00541E6E"/>
    <w:rsid w:val="0054251F"/>
    <w:rsid w:val="00544C28"/>
    <w:rsid w:val="00550D92"/>
    <w:rsid w:val="005520D8"/>
    <w:rsid w:val="00556CF1"/>
    <w:rsid w:val="00563A09"/>
    <w:rsid w:val="005707B3"/>
    <w:rsid w:val="0057227D"/>
    <w:rsid w:val="00573E8B"/>
    <w:rsid w:val="005762A7"/>
    <w:rsid w:val="00577B61"/>
    <w:rsid w:val="00577E69"/>
    <w:rsid w:val="005916D7"/>
    <w:rsid w:val="0059548E"/>
    <w:rsid w:val="005A45AB"/>
    <w:rsid w:val="005A4B04"/>
    <w:rsid w:val="005A698C"/>
    <w:rsid w:val="005A77FF"/>
    <w:rsid w:val="005B370F"/>
    <w:rsid w:val="005B4788"/>
    <w:rsid w:val="005D0622"/>
    <w:rsid w:val="005E0799"/>
    <w:rsid w:val="005E2468"/>
    <w:rsid w:val="005E3B8D"/>
    <w:rsid w:val="005E5558"/>
    <w:rsid w:val="005F2681"/>
    <w:rsid w:val="005F4B77"/>
    <w:rsid w:val="005F5A2A"/>
    <w:rsid w:val="005F5A80"/>
    <w:rsid w:val="005F65FB"/>
    <w:rsid w:val="00600DCF"/>
    <w:rsid w:val="00602ECE"/>
    <w:rsid w:val="006044FF"/>
    <w:rsid w:val="00607CC5"/>
    <w:rsid w:val="00614519"/>
    <w:rsid w:val="0061700A"/>
    <w:rsid w:val="006228D1"/>
    <w:rsid w:val="00633014"/>
    <w:rsid w:val="0063437B"/>
    <w:rsid w:val="0064187B"/>
    <w:rsid w:val="0064699F"/>
    <w:rsid w:val="00652F27"/>
    <w:rsid w:val="00653B61"/>
    <w:rsid w:val="00663083"/>
    <w:rsid w:val="00665BD6"/>
    <w:rsid w:val="006673CA"/>
    <w:rsid w:val="00672450"/>
    <w:rsid w:val="00673C26"/>
    <w:rsid w:val="006769CE"/>
    <w:rsid w:val="006812AF"/>
    <w:rsid w:val="0068327D"/>
    <w:rsid w:val="00687D47"/>
    <w:rsid w:val="00694AF0"/>
    <w:rsid w:val="006A2E32"/>
    <w:rsid w:val="006A3AD7"/>
    <w:rsid w:val="006A4686"/>
    <w:rsid w:val="006B0714"/>
    <w:rsid w:val="006B0E9E"/>
    <w:rsid w:val="006B20B0"/>
    <w:rsid w:val="006B3F47"/>
    <w:rsid w:val="006B5AE4"/>
    <w:rsid w:val="006B7192"/>
    <w:rsid w:val="006C24D2"/>
    <w:rsid w:val="006C50D6"/>
    <w:rsid w:val="006C723C"/>
    <w:rsid w:val="006D1507"/>
    <w:rsid w:val="006D4054"/>
    <w:rsid w:val="006E01B6"/>
    <w:rsid w:val="006E02EC"/>
    <w:rsid w:val="006E095C"/>
    <w:rsid w:val="006F46FF"/>
    <w:rsid w:val="006F57E5"/>
    <w:rsid w:val="0070110C"/>
    <w:rsid w:val="007068CE"/>
    <w:rsid w:val="0071184B"/>
    <w:rsid w:val="00713D6B"/>
    <w:rsid w:val="007211B1"/>
    <w:rsid w:val="00730963"/>
    <w:rsid w:val="007343FA"/>
    <w:rsid w:val="00742FC2"/>
    <w:rsid w:val="00746187"/>
    <w:rsid w:val="00746E58"/>
    <w:rsid w:val="007613CA"/>
    <w:rsid w:val="0076254F"/>
    <w:rsid w:val="00762C47"/>
    <w:rsid w:val="007704D1"/>
    <w:rsid w:val="00773983"/>
    <w:rsid w:val="0077463A"/>
    <w:rsid w:val="007801F5"/>
    <w:rsid w:val="00783415"/>
    <w:rsid w:val="00783CA4"/>
    <w:rsid w:val="007842FB"/>
    <w:rsid w:val="00785DE5"/>
    <w:rsid w:val="00786124"/>
    <w:rsid w:val="0079514B"/>
    <w:rsid w:val="007A2DC1"/>
    <w:rsid w:val="007B0DC0"/>
    <w:rsid w:val="007B0E88"/>
    <w:rsid w:val="007B6C60"/>
    <w:rsid w:val="007C36C0"/>
    <w:rsid w:val="007D15EA"/>
    <w:rsid w:val="007D3319"/>
    <w:rsid w:val="007D335D"/>
    <w:rsid w:val="007D787C"/>
    <w:rsid w:val="007E1DC4"/>
    <w:rsid w:val="007E2C09"/>
    <w:rsid w:val="007E3314"/>
    <w:rsid w:val="007E4B03"/>
    <w:rsid w:val="007F0D10"/>
    <w:rsid w:val="007F324B"/>
    <w:rsid w:val="0080553C"/>
    <w:rsid w:val="00805B46"/>
    <w:rsid w:val="00807A9E"/>
    <w:rsid w:val="008115B1"/>
    <w:rsid w:val="0081672B"/>
    <w:rsid w:val="0081720D"/>
    <w:rsid w:val="0082084A"/>
    <w:rsid w:val="00825DC2"/>
    <w:rsid w:val="00834AD3"/>
    <w:rsid w:val="00836A8E"/>
    <w:rsid w:val="00843795"/>
    <w:rsid w:val="008464A2"/>
    <w:rsid w:val="00847F0F"/>
    <w:rsid w:val="00852448"/>
    <w:rsid w:val="00855753"/>
    <w:rsid w:val="00866DA3"/>
    <w:rsid w:val="0087115A"/>
    <w:rsid w:val="00871864"/>
    <w:rsid w:val="00874D83"/>
    <w:rsid w:val="00877C40"/>
    <w:rsid w:val="0088088D"/>
    <w:rsid w:val="0088258A"/>
    <w:rsid w:val="0088490C"/>
    <w:rsid w:val="00885566"/>
    <w:rsid w:val="00886332"/>
    <w:rsid w:val="008A080B"/>
    <w:rsid w:val="008A26D9"/>
    <w:rsid w:val="008A6DEF"/>
    <w:rsid w:val="008B15C2"/>
    <w:rsid w:val="008B6C72"/>
    <w:rsid w:val="008C0C29"/>
    <w:rsid w:val="008C2F01"/>
    <w:rsid w:val="008C3AD3"/>
    <w:rsid w:val="008D0769"/>
    <w:rsid w:val="008D1A46"/>
    <w:rsid w:val="008D6BB0"/>
    <w:rsid w:val="008E2F67"/>
    <w:rsid w:val="008F3638"/>
    <w:rsid w:val="008F4441"/>
    <w:rsid w:val="008F6F31"/>
    <w:rsid w:val="008F74DF"/>
    <w:rsid w:val="0090392A"/>
    <w:rsid w:val="00907E1E"/>
    <w:rsid w:val="009127BA"/>
    <w:rsid w:val="00916910"/>
    <w:rsid w:val="00921153"/>
    <w:rsid w:val="009227A6"/>
    <w:rsid w:val="00923C49"/>
    <w:rsid w:val="00933EC1"/>
    <w:rsid w:val="00944210"/>
    <w:rsid w:val="009530DB"/>
    <w:rsid w:val="00953676"/>
    <w:rsid w:val="0096551C"/>
    <w:rsid w:val="009705EE"/>
    <w:rsid w:val="00977927"/>
    <w:rsid w:val="0098135C"/>
    <w:rsid w:val="0098156A"/>
    <w:rsid w:val="00981C2B"/>
    <w:rsid w:val="009828B9"/>
    <w:rsid w:val="009866EF"/>
    <w:rsid w:val="00990C87"/>
    <w:rsid w:val="00991BAC"/>
    <w:rsid w:val="0099386D"/>
    <w:rsid w:val="00993B2B"/>
    <w:rsid w:val="00996EC5"/>
    <w:rsid w:val="009A6EA0"/>
    <w:rsid w:val="009B46C8"/>
    <w:rsid w:val="009C1335"/>
    <w:rsid w:val="009C1AB2"/>
    <w:rsid w:val="009C3C87"/>
    <w:rsid w:val="009C7251"/>
    <w:rsid w:val="009D7487"/>
    <w:rsid w:val="009D7EA7"/>
    <w:rsid w:val="009E09D9"/>
    <w:rsid w:val="009E181A"/>
    <w:rsid w:val="009E2E91"/>
    <w:rsid w:val="009F7474"/>
    <w:rsid w:val="00A01C7B"/>
    <w:rsid w:val="00A07E99"/>
    <w:rsid w:val="00A119BE"/>
    <w:rsid w:val="00A1305E"/>
    <w:rsid w:val="00A139F5"/>
    <w:rsid w:val="00A26FE1"/>
    <w:rsid w:val="00A32458"/>
    <w:rsid w:val="00A365F4"/>
    <w:rsid w:val="00A36A68"/>
    <w:rsid w:val="00A42229"/>
    <w:rsid w:val="00A4228F"/>
    <w:rsid w:val="00A42BEF"/>
    <w:rsid w:val="00A47D80"/>
    <w:rsid w:val="00A53132"/>
    <w:rsid w:val="00A563F2"/>
    <w:rsid w:val="00A566E8"/>
    <w:rsid w:val="00A57627"/>
    <w:rsid w:val="00A65754"/>
    <w:rsid w:val="00A665AD"/>
    <w:rsid w:val="00A676B2"/>
    <w:rsid w:val="00A810F9"/>
    <w:rsid w:val="00A86ECC"/>
    <w:rsid w:val="00A86FCC"/>
    <w:rsid w:val="00AA6B32"/>
    <w:rsid w:val="00AA710D"/>
    <w:rsid w:val="00AB1D28"/>
    <w:rsid w:val="00AB2FF4"/>
    <w:rsid w:val="00AB397C"/>
    <w:rsid w:val="00AB6D25"/>
    <w:rsid w:val="00AD13BB"/>
    <w:rsid w:val="00AD2379"/>
    <w:rsid w:val="00AD25B8"/>
    <w:rsid w:val="00AD30C3"/>
    <w:rsid w:val="00AD3EDF"/>
    <w:rsid w:val="00AD4ECB"/>
    <w:rsid w:val="00AD70D1"/>
    <w:rsid w:val="00AE2D4B"/>
    <w:rsid w:val="00AE3070"/>
    <w:rsid w:val="00AE4F99"/>
    <w:rsid w:val="00B0058F"/>
    <w:rsid w:val="00B03365"/>
    <w:rsid w:val="00B0437F"/>
    <w:rsid w:val="00B05AE7"/>
    <w:rsid w:val="00B0739B"/>
    <w:rsid w:val="00B11B69"/>
    <w:rsid w:val="00B12F6E"/>
    <w:rsid w:val="00B14952"/>
    <w:rsid w:val="00B14CB7"/>
    <w:rsid w:val="00B30C2B"/>
    <w:rsid w:val="00B31E5A"/>
    <w:rsid w:val="00B47416"/>
    <w:rsid w:val="00B54BCC"/>
    <w:rsid w:val="00B55189"/>
    <w:rsid w:val="00B62AC7"/>
    <w:rsid w:val="00B653AB"/>
    <w:rsid w:val="00B65F9E"/>
    <w:rsid w:val="00B66B19"/>
    <w:rsid w:val="00B67457"/>
    <w:rsid w:val="00B714E0"/>
    <w:rsid w:val="00B73097"/>
    <w:rsid w:val="00B76A98"/>
    <w:rsid w:val="00B7755D"/>
    <w:rsid w:val="00B83925"/>
    <w:rsid w:val="00B86DF8"/>
    <w:rsid w:val="00B870B3"/>
    <w:rsid w:val="00B914E9"/>
    <w:rsid w:val="00B916DE"/>
    <w:rsid w:val="00B9401E"/>
    <w:rsid w:val="00B94D3E"/>
    <w:rsid w:val="00B956EE"/>
    <w:rsid w:val="00BA00F2"/>
    <w:rsid w:val="00BA2BA1"/>
    <w:rsid w:val="00BA3562"/>
    <w:rsid w:val="00BA3B26"/>
    <w:rsid w:val="00BA474D"/>
    <w:rsid w:val="00BA6018"/>
    <w:rsid w:val="00BB2630"/>
    <w:rsid w:val="00BB4F09"/>
    <w:rsid w:val="00BB5809"/>
    <w:rsid w:val="00BD4E33"/>
    <w:rsid w:val="00BD5E55"/>
    <w:rsid w:val="00BE22CE"/>
    <w:rsid w:val="00BE7B43"/>
    <w:rsid w:val="00BF0C5F"/>
    <w:rsid w:val="00BF1B1F"/>
    <w:rsid w:val="00BF5920"/>
    <w:rsid w:val="00C030DE"/>
    <w:rsid w:val="00C04936"/>
    <w:rsid w:val="00C1695A"/>
    <w:rsid w:val="00C2101F"/>
    <w:rsid w:val="00C22105"/>
    <w:rsid w:val="00C244B6"/>
    <w:rsid w:val="00C25A0A"/>
    <w:rsid w:val="00C2775E"/>
    <w:rsid w:val="00C3032C"/>
    <w:rsid w:val="00C32CB6"/>
    <w:rsid w:val="00C356C0"/>
    <w:rsid w:val="00C366D2"/>
    <w:rsid w:val="00C3702F"/>
    <w:rsid w:val="00C44EB3"/>
    <w:rsid w:val="00C4500A"/>
    <w:rsid w:val="00C45AAB"/>
    <w:rsid w:val="00C47F04"/>
    <w:rsid w:val="00C55682"/>
    <w:rsid w:val="00C56EEC"/>
    <w:rsid w:val="00C64A37"/>
    <w:rsid w:val="00C7158E"/>
    <w:rsid w:val="00C7250B"/>
    <w:rsid w:val="00C72FC4"/>
    <w:rsid w:val="00C7346B"/>
    <w:rsid w:val="00C737F5"/>
    <w:rsid w:val="00C7541C"/>
    <w:rsid w:val="00C77C0E"/>
    <w:rsid w:val="00C85CE7"/>
    <w:rsid w:val="00C90318"/>
    <w:rsid w:val="00C91687"/>
    <w:rsid w:val="00C924A8"/>
    <w:rsid w:val="00C93808"/>
    <w:rsid w:val="00C945FE"/>
    <w:rsid w:val="00C96FAA"/>
    <w:rsid w:val="00C97A04"/>
    <w:rsid w:val="00CA107B"/>
    <w:rsid w:val="00CA484D"/>
    <w:rsid w:val="00CA4FB6"/>
    <w:rsid w:val="00CA7351"/>
    <w:rsid w:val="00CB1805"/>
    <w:rsid w:val="00CC20A6"/>
    <w:rsid w:val="00CC5832"/>
    <w:rsid w:val="00CC739E"/>
    <w:rsid w:val="00CC7C9C"/>
    <w:rsid w:val="00CD1D82"/>
    <w:rsid w:val="00CD5410"/>
    <w:rsid w:val="00CD58B7"/>
    <w:rsid w:val="00CE6424"/>
    <w:rsid w:val="00CF3D9C"/>
    <w:rsid w:val="00CF4099"/>
    <w:rsid w:val="00D00796"/>
    <w:rsid w:val="00D11B38"/>
    <w:rsid w:val="00D156B6"/>
    <w:rsid w:val="00D23DF2"/>
    <w:rsid w:val="00D24CF3"/>
    <w:rsid w:val="00D261A2"/>
    <w:rsid w:val="00D309C3"/>
    <w:rsid w:val="00D30B17"/>
    <w:rsid w:val="00D340FA"/>
    <w:rsid w:val="00D346A4"/>
    <w:rsid w:val="00D41C51"/>
    <w:rsid w:val="00D430A0"/>
    <w:rsid w:val="00D434D0"/>
    <w:rsid w:val="00D616D2"/>
    <w:rsid w:val="00D63B5F"/>
    <w:rsid w:val="00D70EF7"/>
    <w:rsid w:val="00D74B00"/>
    <w:rsid w:val="00D80A54"/>
    <w:rsid w:val="00D8397C"/>
    <w:rsid w:val="00D84AB9"/>
    <w:rsid w:val="00D94EED"/>
    <w:rsid w:val="00D96026"/>
    <w:rsid w:val="00DA399D"/>
    <w:rsid w:val="00DA7A12"/>
    <w:rsid w:val="00DA7C1C"/>
    <w:rsid w:val="00DB147A"/>
    <w:rsid w:val="00DB1B7A"/>
    <w:rsid w:val="00DC1228"/>
    <w:rsid w:val="00DC6708"/>
    <w:rsid w:val="00DE0F55"/>
    <w:rsid w:val="00DE5CD1"/>
    <w:rsid w:val="00E01393"/>
    <w:rsid w:val="00E01436"/>
    <w:rsid w:val="00E025F8"/>
    <w:rsid w:val="00E045BD"/>
    <w:rsid w:val="00E07DBA"/>
    <w:rsid w:val="00E17B77"/>
    <w:rsid w:val="00E23337"/>
    <w:rsid w:val="00E259EA"/>
    <w:rsid w:val="00E32061"/>
    <w:rsid w:val="00E33AFB"/>
    <w:rsid w:val="00E36CE6"/>
    <w:rsid w:val="00E42FF9"/>
    <w:rsid w:val="00E47048"/>
    <w:rsid w:val="00E4714C"/>
    <w:rsid w:val="00E47437"/>
    <w:rsid w:val="00E51AEB"/>
    <w:rsid w:val="00E522A7"/>
    <w:rsid w:val="00E54452"/>
    <w:rsid w:val="00E56DF4"/>
    <w:rsid w:val="00E664C5"/>
    <w:rsid w:val="00E671A2"/>
    <w:rsid w:val="00E728B9"/>
    <w:rsid w:val="00E75984"/>
    <w:rsid w:val="00E76D26"/>
    <w:rsid w:val="00E80DC2"/>
    <w:rsid w:val="00E82CFE"/>
    <w:rsid w:val="00E866C0"/>
    <w:rsid w:val="00E9407E"/>
    <w:rsid w:val="00E945B7"/>
    <w:rsid w:val="00E96378"/>
    <w:rsid w:val="00E970BA"/>
    <w:rsid w:val="00EA11F2"/>
    <w:rsid w:val="00EA5966"/>
    <w:rsid w:val="00EA6148"/>
    <w:rsid w:val="00EB1390"/>
    <w:rsid w:val="00EB2C71"/>
    <w:rsid w:val="00EB4340"/>
    <w:rsid w:val="00EB556D"/>
    <w:rsid w:val="00EB5A7D"/>
    <w:rsid w:val="00EB780E"/>
    <w:rsid w:val="00EC646D"/>
    <w:rsid w:val="00ED5044"/>
    <w:rsid w:val="00ED55C0"/>
    <w:rsid w:val="00ED682B"/>
    <w:rsid w:val="00EE41D5"/>
    <w:rsid w:val="00EE456A"/>
    <w:rsid w:val="00EE4611"/>
    <w:rsid w:val="00EF3DC7"/>
    <w:rsid w:val="00EF4160"/>
    <w:rsid w:val="00EF53D1"/>
    <w:rsid w:val="00F037A4"/>
    <w:rsid w:val="00F06319"/>
    <w:rsid w:val="00F111EF"/>
    <w:rsid w:val="00F11DE6"/>
    <w:rsid w:val="00F12112"/>
    <w:rsid w:val="00F140E4"/>
    <w:rsid w:val="00F27C8F"/>
    <w:rsid w:val="00F31DFD"/>
    <w:rsid w:val="00F32749"/>
    <w:rsid w:val="00F352F0"/>
    <w:rsid w:val="00F364DD"/>
    <w:rsid w:val="00F37172"/>
    <w:rsid w:val="00F413E7"/>
    <w:rsid w:val="00F4477E"/>
    <w:rsid w:val="00F503E2"/>
    <w:rsid w:val="00F50E87"/>
    <w:rsid w:val="00F53E18"/>
    <w:rsid w:val="00F655C8"/>
    <w:rsid w:val="00F6670A"/>
    <w:rsid w:val="00F67D8F"/>
    <w:rsid w:val="00F70A90"/>
    <w:rsid w:val="00F802BE"/>
    <w:rsid w:val="00F80E93"/>
    <w:rsid w:val="00F83BF4"/>
    <w:rsid w:val="00F86024"/>
    <w:rsid w:val="00F8611A"/>
    <w:rsid w:val="00F94B6A"/>
    <w:rsid w:val="00F95B4F"/>
    <w:rsid w:val="00FA5128"/>
    <w:rsid w:val="00FA6812"/>
    <w:rsid w:val="00FB42D4"/>
    <w:rsid w:val="00FB5906"/>
    <w:rsid w:val="00FB762F"/>
    <w:rsid w:val="00FC2AED"/>
    <w:rsid w:val="00FC370E"/>
    <w:rsid w:val="00FC4E4F"/>
    <w:rsid w:val="00FC5121"/>
    <w:rsid w:val="00FD22C1"/>
    <w:rsid w:val="00FD5EA7"/>
    <w:rsid w:val="00FE1D60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719CB122-C42E-4FFF-B8D3-84673F27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26" Type="http://schemas.openxmlformats.org/officeDocument/2006/relationships/hyperlink" Target="http://swaid.stat.gov.pl/EN/SitePagesDBW/Ceny.aspx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5" Type="http://schemas.openxmlformats.org/officeDocument/2006/relationships/hyperlink" Target="http://stat.gov.pl/en/latest-statistical-news/communications-and-announcements/list-of-communiques-and-announcements/price-of-one-square-meter-of-usable-floor-space-of-a-residential-building-in-the-third-quarter-of-2018,270,20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metainformations/glossary/terms-used-in-official-statistics/3015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latest-statistical-news/communications-and-announcements/8,2019,category.html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image" Target="media/image7.png"/><Relationship Id="rId28" Type="http://schemas.openxmlformats.org/officeDocument/2006/relationships/hyperlink" Target="http://stat.gov.pl/en/metainformations/glossary/terms-used-in-official-statistics/966,term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eader" Target="header3.xml"/><Relationship Id="rId30" Type="http://schemas.openxmlformats.org/officeDocument/2006/relationships/hyperlink" Target="http://stat.gov.pl/en/metainformations/glossary/terms-used-in-official-statistics/1984,term.html" TargetMode="Externa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image" Target="media/image6.png"/><Relationship Id="rId27" Type="http://schemas.openxmlformats.org/officeDocument/2006/relationships/hyperlink" Target="https://bdl.stat.gov.pl/BDL/dane/podgrup/tem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\W8_Nieruchomo&#347;ci\11_Informacje_sygnalne\Wska&#378;niki%20cen%20lokali%20mieszkalnych\2019\3.%20kwarta&#322;%202019\Wykresy_do_info_syg_III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11_Informacje_sygnalne\Wska&#378;niki%20cen%20lokali%20mieszkalnych\2019\4.%20kwarta&#322;%202019\Wykresy_do_info_syg_IV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Cmfgus01a\d04\W8_Nieruchomo&#347;ci\11_Informacje_sygnalne\Wska&#378;niki%20cen%20lokali%20mieszkalnych\2019\4.%20kwarta&#322;%202019\Wykresy_do_info_syg_IV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11_Informacje_sygnalne\Wska&#378;niki%20cen%20lokali%20mieszkalnych\2019\4.%20kwarta&#322;%202019\Wykresy_do_info_syg_IV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wykres_1_ang!$B$2</c:f>
              <c:strCache>
                <c:ptCount val="1"/>
                <c:pt idx="0">
                  <c:v>primary market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chemeClr val="tx1">
                  <a:tint val="75000"/>
                </a:schemeClr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wykres_1_ang!$A$3</c:f>
              <c:strCache>
                <c:ptCount val="1"/>
                <c:pt idx="0">
                  <c:v>Poland</c:v>
                </c:pt>
              </c:strCache>
            </c:strRef>
          </c:cat>
          <c:val>
            <c:numRef>
              <c:f>wykres_1_ang!$B$3</c:f>
              <c:numCache>
                <c:formatCode>0.0%</c:formatCode>
                <c:ptCount val="1"/>
                <c:pt idx="0">
                  <c:v>0.46700000000000003</c:v>
                </c:pt>
              </c:numCache>
            </c:numRef>
          </c:val>
        </c:ser>
        <c:ser>
          <c:idx val="2"/>
          <c:order val="1"/>
          <c:tx>
            <c:strRef>
              <c:f>wykres_1_ang!$C$2</c:f>
              <c:strCache>
                <c:ptCount val="1"/>
                <c:pt idx="0">
                  <c:v>secondary market</c:v>
                </c:pt>
              </c:strCache>
            </c:strRef>
          </c:tx>
          <c:spPr>
            <a:solidFill>
              <a:srgbClr val="008542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wykres_1_ang!$A$3</c:f>
              <c:strCache>
                <c:ptCount val="1"/>
                <c:pt idx="0">
                  <c:v>Poland</c:v>
                </c:pt>
              </c:strCache>
            </c:strRef>
          </c:cat>
          <c:val>
            <c:numRef>
              <c:f>wykres_1_ang!$C$3</c:f>
              <c:numCache>
                <c:formatCode>0.0%</c:formatCode>
                <c:ptCount val="1"/>
                <c:pt idx="0">
                  <c:v>0.53300000000000003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84719680"/>
        <c:axId val="784710432"/>
      </c:barChart>
      <c:catAx>
        <c:axId val="78471968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784710432"/>
        <c:crosses val="autoZero"/>
        <c:auto val="1"/>
        <c:lblAlgn val="ctr"/>
        <c:lblOffset val="100"/>
        <c:noMultiLvlLbl val="0"/>
      </c:catAx>
      <c:valAx>
        <c:axId val="784710432"/>
        <c:scaling>
          <c:orientation val="minMax"/>
        </c:scaling>
        <c:delete val="1"/>
        <c:axPos val="t"/>
        <c:majorGridlines>
          <c:spPr>
            <a:ln>
              <a:noFill/>
              <a:prstDash val="solid"/>
            </a:ln>
          </c:spPr>
        </c:majorGridlines>
        <c:numFmt formatCode="0%" sourceLinked="1"/>
        <c:majorTickMark val="out"/>
        <c:minorTickMark val="none"/>
        <c:tickLblPos val="none"/>
        <c:crossAx val="784719680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90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6.6410348762187561E-3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786749482401656E-2"/>
          <c:y val="6.64778684648753E-2"/>
          <c:w val="0.94178053830227748"/>
          <c:h val="0.69962411682873848"/>
        </c:manualLayout>
      </c:layout>
      <c:lineChart>
        <c:grouping val="standard"/>
        <c:varyColors val="0"/>
        <c:ser>
          <c:idx val="0"/>
          <c:order val="0"/>
          <c:tx>
            <c:strRef>
              <c:f>wykres_2_ang!$A$9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wykres_2_ang!$B$7:$AN$8</c:f>
              <c:multiLvlStrCache>
                <c:ptCount val="39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I</c:v>
                  </c:pt>
                  <c:pt idx="36">
                    <c:v>II</c:v>
                  </c:pt>
                  <c:pt idx="37">
                    <c:v>III</c:v>
                  </c:pt>
                  <c:pt idx="38">
                    <c:v>IV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</c:lvl>
              </c:multiLvlStrCache>
            </c:multiLvlStrRef>
          </c:cat>
          <c:val>
            <c:numRef>
              <c:f>wykres_2_ang!$B$9:$AN$9</c:f>
              <c:numCache>
                <c:formatCode>General</c:formatCode>
                <c:ptCount val="39"/>
                <c:pt idx="0">
                  <c:v>1.2</c:v>
                </c:pt>
                <c:pt idx="1">
                  <c:v>9.9999999999994302E-2</c:v>
                </c:pt>
                <c:pt idx="2">
                  <c:v>-9.9999999999994302E-2</c:v>
                </c:pt>
                <c:pt idx="3">
                  <c:v>-9.9999999999994302E-2</c:v>
                </c:pt>
                <c:pt idx="4">
                  <c:v>0.70000000000000295</c:v>
                </c:pt>
                <c:pt idx="5">
                  <c:v>-1.0999999999999901</c:v>
                </c:pt>
                <c:pt idx="6">
                  <c:v>-0.5</c:v>
                </c:pt>
                <c:pt idx="7">
                  <c:v>-1.4000000000000099</c:v>
                </c:pt>
                <c:pt idx="8">
                  <c:v>-0.70000000000000295</c:v>
                </c:pt>
                <c:pt idx="9">
                  <c:v>-1.4000000000000099</c:v>
                </c:pt>
                <c:pt idx="10">
                  <c:v>-1.0999999999999901</c:v>
                </c:pt>
                <c:pt idx="11">
                  <c:v>-2.5999999999999899</c:v>
                </c:pt>
                <c:pt idx="12">
                  <c:v>-0.20000000000000301</c:v>
                </c:pt>
                <c:pt idx="13">
                  <c:v>-9.9999999999994302E-2</c:v>
                </c:pt>
                <c:pt idx="14">
                  <c:v>9.9999999999994302E-2</c:v>
                </c:pt>
                <c:pt idx="15">
                  <c:v>-0.29999999999999699</c:v>
                </c:pt>
                <c:pt idx="16">
                  <c:v>2.2000000000000002</c:v>
                </c:pt>
                <c:pt idx="17">
                  <c:v>-0.59999999999999398</c:v>
                </c:pt>
                <c:pt idx="18">
                  <c:v>0.20000000000000301</c:v>
                </c:pt>
                <c:pt idx="19">
                  <c:v>0.20000000000000301</c:v>
                </c:pt>
                <c:pt idx="20">
                  <c:v>1.4000000000000099</c:v>
                </c:pt>
                <c:pt idx="21">
                  <c:v>0.20000000000000301</c:v>
                </c:pt>
                <c:pt idx="22">
                  <c:v>-0.70000000000000295</c:v>
                </c:pt>
                <c:pt idx="23">
                  <c:v>9.9999999999994302E-2</c:v>
                </c:pt>
                <c:pt idx="24">
                  <c:v>0.79999999999999705</c:v>
                </c:pt>
                <c:pt idx="25">
                  <c:v>1.9000000000000099</c:v>
                </c:pt>
                <c:pt idx="26">
                  <c:v>1.0999999999999901</c:v>
                </c:pt>
                <c:pt idx="27">
                  <c:v>-0.5</c:v>
                </c:pt>
                <c:pt idx="28">
                  <c:v>2</c:v>
                </c:pt>
                <c:pt idx="29">
                  <c:v>1</c:v>
                </c:pt>
                <c:pt idx="30">
                  <c:v>1.3</c:v>
                </c:pt>
                <c:pt idx="31">
                  <c:v>1.5</c:v>
                </c:pt>
                <c:pt idx="32">
                  <c:v>2.2999999999999998</c:v>
                </c:pt>
                <c:pt idx="33">
                  <c:v>1.3</c:v>
                </c:pt>
                <c:pt idx="34">
                  <c:v>2.4000000000000101</c:v>
                </c:pt>
                <c:pt idx="35">
                  <c:v>1.9000000000000099</c:v>
                </c:pt>
                <c:pt idx="36">
                  <c:v>2.2999999999999998</c:v>
                </c:pt>
                <c:pt idx="37">
                  <c:v>2.0999999999999899</c:v>
                </c:pt>
                <c:pt idx="38">
                  <c:v>2.8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wykres_2_ang!$A$10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wykres_2_ang!$B$7:$AN$8</c:f>
              <c:multiLvlStrCache>
                <c:ptCount val="39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I</c:v>
                  </c:pt>
                  <c:pt idx="36">
                    <c:v>II</c:v>
                  </c:pt>
                  <c:pt idx="37">
                    <c:v>III</c:v>
                  </c:pt>
                  <c:pt idx="38">
                    <c:v>IV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</c:lvl>
              </c:multiLvlStrCache>
            </c:multiLvlStrRef>
          </c:cat>
          <c:val>
            <c:numRef>
              <c:f>wykres_2_ang!$B$10:$AN$10</c:f>
              <c:numCache>
                <c:formatCode>General</c:formatCode>
                <c:ptCount val="39"/>
                <c:pt idx="0">
                  <c:v>-0.59999999999999398</c:v>
                </c:pt>
                <c:pt idx="1">
                  <c:v>1.0999999999999901</c:v>
                </c:pt>
                <c:pt idx="2">
                  <c:v>1.8</c:v>
                </c:pt>
                <c:pt idx="3">
                  <c:v>-0.59999999999999398</c:v>
                </c:pt>
                <c:pt idx="4">
                  <c:v>-0.20000000000000301</c:v>
                </c:pt>
                <c:pt idx="5">
                  <c:v>-0.29999999999999699</c:v>
                </c:pt>
                <c:pt idx="6">
                  <c:v>1.0999999999999901</c:v>
                </c:pt>
                <c:pt idx="7">
                  <c:v>-0.20000000000000301</c:v>
                </c:pt>
                <c:pt idx="8">
                  <c:v>-0.59999999999999398</c:v>
                </c:pt>
                <c:pt idx="9">
                  <c:v>-0.79999999999999705</c:v>
                </c:pt>
                <c:pt idx="10">
                  <c:v>9.9999999999994302E-2</c:v>
                </c:pt>
                <c:pt idx="11">
                  <c:v>-3.2</c:v>
                </c:pt>
                <c:pt idx="12">
                  <c:v>-0.90000000000000602</c:v>
                </c:pt>
                <c:pt idx="13">
                  <c:v>-1.3</c:v>
                </c:pt>
                <c:pt idx="14">
                  <c:v>-9.9999999999994302E-2</c:v>
                </c:pt>
                <c:pt idx="15">
                  <c:v>-0.79999999999999705</c:v>
                </c:pt>
                <c:pt idx="16">
                  <c:v>3.2</c:v>
                </c:pt>
                <c:pt idx="17">
                  <c:v>-0.70000000000000295</c:v>
                </c:pt>
                <c:pt idx="18">
                  <c:v>0.79999999999999705</c:v>
                </c:pt>
                <c:pt idx="19">
                  <c:v>0.5</c:v>
                </c:pt>
                <c:pt idx="20">
                  <c:v>1.5</c:v>
                </c:pt>
                <c:pt idx="21">
                  <c:v>0.40000000000000602</c:v>
                </c:pt>
                <c:pt idx="22">
                  <c:v>-1</c:v>
                </c:pt>
                <c:pt idx="23">
                  <c:v>0.59999999999999398</c:v>
                </c:pt>
                <c:pt idx="24">
                  <c:v>-1</c:v>
                </c:pt>
                <c:pt idx="25">
                  <c:v>1.9000000000000099</c:v>
                </c:pt>
                <c:pt idx="26">
                  <c:v>1.9000000000000099</c:v>
                </c:pt>
                <c:pt idx="27">
                  <c:v>-0.90000000000000602</c:v>
                </c:pt>
                <c:pt idx="28">
                  <c:v>1.5</c:v>
                </c:pt>
                <c:pt idx="29">
                  <c:v>1</c:v>
                </c:pt>
                <c:pt idx="30">
                  <c:v>1.4000000000000099</c:v>
                </c:pt>
                <c:pt idx="31">
                  <c:v>1.4000000000000099</c:v>
                </c:pt>
                <c:pt idx="32">
                  <c:v>1.5</c:v>
                </c:pt>
                <c:pt idx="33">
                  <c:v>0.29999999999999699</c:v>
                </c:pt>
                <c:pt idx="34">
                  <c:v>3</c:v>
                </c:pt>
                <c:pt idx="35">
                  <c:v>1.5999999999999901</c:v>
                </c:pt>
                <c:pt idx="36">
                  <c:v>1.5999999999999901</c:v>
                </c:pt>
                <c:pt idx="37">
                  <c:v>0.40000000000000602</c:v>
                </c:pt>
                <c:pt idx="38">
                  <c:v>2.8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wykres_2_ang!$A$11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multiLvlStrRef>
              <c:f>wykres_2_ang!$B$7:$AN$8</c:f>
              <c:multiLvlStrCache>
                <c:ptCount val="39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I</c:v>
                  </c:pt>
                  <c:pt idx="36">
                    <c:v>II</c:v>
                  </c:pt>
                  <c:pt idx="37">
                    <c:v>III</c:v>
                  </c:pt>
                  <c:pt idx="38">
                    <c:v>IV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</c:lvl>
              </c:multiLvlStrCache>
            </c:multiLvlStrRef>
          </c:cat>
          <c:val>
            <c:numRef>
              <c:f>wykres_2_ang!$B$11:$AN$11</c:f>
              <c:numCache>
                <c:formatCode>General</c:formatCode>
                <c:ptCount val="39"/>
                <c:pt idx="0">
                  <c:v>2.0999999999999899</c:v>
                </c:pt>
                <c:pt idx="1">
                  <c:v>-0.29999999999999699</c:v>
                </c:pt>
                <c:pt idx="2">
                  <c:v>-1</c:v>
                </c:pt>
                <c:pt idx="3">
                  <c:v>0.20000000000000301</c:v>
                </c:pt>
                <c:pt idx="4">
                  <c:v>1.0999999999999901</c:v>
                </c:pt>
                <c:pt idx="5">
                  <c:v>-1.5</c:v>
                </c:pt>
                <c:pt idx="6">
                  <c:v>-1.2</c:v>
                </c:pt>
                <c:pt idx="7">
                  <c:v>-1.9000000000000099</c:v>
                </c:pt>
                <c:pt idx="8">
                  <c:v>-0.70000000000000295</c:v>
                </c:pt>
                <c:pt idx="9">
                  <c:v>-1.7</c:v>
                </c:pt>
                <c:pt idx="10">
                  <c:v>-1.8</c:v>
                </c:pt>
                <c:pt idx="11">
                  <c:v>-2.0999999999999899</c:v>
                </c:pt>
                <c:pt idx="12">
                  <c:v>0.29999999999999699</c:v>
                </c:pt>
                <c:pt idx="13">
                  <c:v>0.79999999999999705</c:v>
                </c:pt>
                <c:pt idx="14">
                  <c:v>9.9999999999994302E-2</c:v>
                </c:pt>
                <c:pt idx="15">
                  <c:v>0</c:v>
                </c:pt>
                <c:pt idx="16">
                  <c:v>1.4000000000000099</c:v>
                </c:pt>
                <c:pt idx="17">
                  <c:v>-0.59999999999999398</c:v>
                </c:pt>
                <c:pt idx="18">
                  <c:v>-0.29999999999999699</c:v>
                </c:pt>
                <c:pt idx="19">
                  <c:v>-9.9999999999994302E-2</c:v>
                </c:pt>
                <c:pt idx="20">
                  <c:v>1.3</c:v>
                </c:pt>
                <c:pt idx="21">
                  <c:v>9.9999999999994302E-2</c:v>
                </c:pt>
                <c:pt idx="22">
                  <c:v>-0.5</c:v>
                </c:pt>
                <c:pt idx="23">
                  <c:v>-0.29999999999999699</c:v>
                </c:pt>
                <c:pt idx="24">
                  <c:v>2.5</c:v>
                </c:pt>
                <c:pt idx="25">
                  <c:v>1.8</c:v>
                </c:pt>
                <c:pt idx="26">
                  <c:v>0.40000000000000602</c:v>
                </c:pt>
                <c:pt idx="27">
                  <c:v>-9.9999999999994302E-2</c:v>
                </c:pt>
                <c:pt idx="28">
                  <c:v>2.5</c:v>
                </c:pt>
                <c:pt idx="29">
                  <c:v>1</c:v>
                </c:pt>
                <c:pt idx="30">
                  <c:v>1.0999999999999901</c:v>
                </c:pt>
                <c:pt idx="31">
                  <c:v>1.5999999999999901</c:v>
                </c:pt>
                <c:pt idx="32">
                  <c:v>2.9000000000000101</c:v>
                </c:pt>
                <c:pt idx="33">
                  <c:v>2.0999999999999899</c:v>
                </c:pt>
                <c:pt idx="34">
                  <c:v>1.8</c:v>
                </c:pt>
                <c:pt idx="35">
                  <c:v>2.2000000000000002</c:v>
                </c:pt>
                <c:pt idx="36">
                  <c:v>3</c:v>
                </c:pt>
                <c:pt idx="37">
                  <c:v>3.5</c:v>
                </c:pt>
                <c:pt idx="38">
                  <c:v>2.8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84721856"/>
        <c:axId val="784710976"/>
      </c:lineChart>
      <c:catAx>
        <c:axId val="784721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4710976"/>
        <c:crosses val="autoZero"/>
        <c:auto val="0"/>
        <c:lblAlgn val="ctr"/>
        <c:lblOffset val="100"/>
        <c:noMultiLvlLbl val="0"/>
      </c:catAx>
      <c:valAx>
        <c:axId val="784710976"/>
        <c:scaling>
          <c:orientation val="minMax"/>
          <c:max val="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472185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418545507898469"/>
          <c:y val="0.93695196032507266"/>
          <c:w val="0.55162908984203063"/>
          <c:h val="6.30480396749273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7586206896551721E-2"/>
          <c:y val="7.9320113314447591E-2"/>
          <c:w val="0.94097816612640783"/>
          <c:h val="0.65759128593774274"/>
        </c:manualLayout>
      </c:layout>
      <c:lineChart>
        <c:grouping val="standard"/>
        <c:varyColors val="0"/>
        <c:ser>
          <c:idx val="0"/>
          <c:order val="0"/>
          <c:tx>
            <c:strRef>
              <c:f>wykres_3_ang!$A$9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ysClr val="window" lastClr="FFFFFF">
                    <a:lumMod val="65000"/>
                  </a:sysClr>
                </a:solidFill>
              </a:ln>
              <a:effectLst/>
            </c:spPr>
          </c:marker>
          <c:cat>
            <c:multiLvlStrRef>
              <c:f>wykres_3_ang!$B$7:$AK$8</c:f>
              <c:multiLvlStrCache>
                <c:ptCount val="3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</c:lvl>
              </c:multiLvlStrCache>
            </c:multiLvlStrRef>
          </c:cat>
          <c:val>
            <c:numRef>
              <c:f>wykres_3_ang!$B$9:$AK$9</c:f>
              <c:numCache>
                <c:formatCode>General</c:formatCode>
                <c:ptCount val="36"/>
                <c:pt idx="0">
                  <c:v>1.0999999999999901</c:v>
                </c:pt>
                <c:pt idx="1">
                  <c:v>0.59999999999999398</c:v>
                </c:pt>
                <c:pt idx="2">
                  <c:v>-0.59999999999999398</c:v>
                </c:pt>
                <c:pt idx="3">
                  <c:v>-1</c:v>
                </c:pt>
                <c:pt idx="4">
                  <c:v>-2.2999999999999998</c:v>
                </c:pt>
                <c:pt idx="5">
                  <c:v>-3.7</c:v>
                </c:pt>
                <c:pt idx="6">
                  <c:v>-3.9000000000000101</c:v>
                </c:pt>
                <c:pt idx="7">
                  <c:v>-4.5</c:v>
                </c:pt>
                <c:pt idx="8">
                  <c:v>-5.7</c:v>
                </c:pt>
                <c:pt idx="9">
                  <c:v>-5.2</c:v>
                </c:pt>
                <c:pt idx="10">
                  <c:v>-4</c:v>
                </c:pt>
                <c:pt idx="11">
                  <c:v>-2.8</c:v>
                </c:pt>
                <c:pt idx="12">
                  <c:v>-0.5</c:v>
                </c:pt>
                <c:pt idx="13">
                  <c:v>1.9000000000000099</c:v>
                </c:pt>
                <c:pt idx="14">
                  <c:v>1.4000000000000099</c:v>
                </c:pt>
                <c:pt idx="15">
                  <c:v>1.5</c:v>
                </c:pt>
                <c:pt idx="16">
                  <c:v>2</c:v>
                </c:pt>
                <c:pt idx="17">
                  <c:v>1.2</c:v>
                </c:pt>
                <c:pt idx="18">
                  <c:v>2</c:v>
                </c:pt>
                <c:pt idx="19">
                  <c:v>1.0999999999999901</c:v>
                </c:pt>
                <c:pt idx="20">
                  <c:v>1</c:v>
                </c:pt>
                <c:pt idx="21">
                  <c:v>0.40000000000000602</c:v>
                </c:pt>
                <c:pt idx="22">
                  <c:v>2.0999999999999899</c:v>
                </c:pt>
                <c:pt idx="23">
                  <c:v>3.9000000000000101</c:v>
                </c:pt>
                <c:pt idx="24">
                  <c:v>3.3</c:v>
                </c:pt>
                <c:pt idx="25">
                  <c:v>4.5999999999999899</c:v>
                </c:pt>
                <c:pt idx="26">
                  <c:v>3.5999999999999899</c:v>
                </c:pt>
                <c:pt idx="27">
                  <c:v>3.8</c:v>
                </c:pt>
                <c:pt idx="28">
                  <c:v>5.9000000000000101</c:v>
                </c:pt>
                <c:pt idx="29">
                  <c:v>6.2</c:v>
                </c:pt>
                <c:pt idx="30">
                  <c:v>6.5999999999999899</c:v>
                </c:pt>
                <c:pt idx="31">
                  <c:v>7.7</c:v>
                </c:pt>
                <c:pt idx="32">
                  <c:v>8.0999999999999908</c:v>
                </c:pt>
                <c:pt idx="33">
                  <c:v>8.0999999999999908</c:v>
                </c:pt>
                <c:pt idx="34" formatCode="0.0">
                  <c:v>9</c:v>
                </c:pt>
                <c:pt idx="35" formatCode="0.0">
                  <c:v>9.4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wykres_3_ang!$A$10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  <a:effectLst/>
            </c:spPr>
          </c:marker>
          <c:cat>
            <c:multiLvlStrRef>
              <c:f>wykres_3_ang!$B$7:$AK$8</c:f>
              <c:multiLvlStrCache>
                <c:ptCount val="3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</c:lvl>
              </c:multiLvlStrCache>
            </c:multiLvlStrRef>
          </c:cat>
          <c:val>
            <c:numRef>
              <c:f>wykres_3_ang!$B$10:$AK$10</c:f>
              <c:numCache>
                <c:formatCode>General</c:formatCode>
                <c:ptCount val="36"/>
                <c:pt idx="0">
                  <c:v>1.7</c:v>
                </c:pt>
                <c:pt idx="1">
                  <c:v>2.0999999999999899</c:v>
                </c:pt>
                <c:pt idx="2">
                  <c:v>0.70000000000000295</c:v>
                </c:pt>
                <c:pt idx="3">
                  <c:v>0</c:v>
                </c:pt>
                <c:pt idx="4">
                  <c:v>0.40000000000000602</c:v>
                </c:pt>
                <c:pt idx="5">
                  <c:v>0</c:v>
                </c:pt>
                <c:pt idx="6">
                  <c:v>-0.5</c:v>
                </c:pt>
                <c:pt idx="7">
                  <c:v>-1.5</c:v>
                </c:pt>
                <c:pt idx="8">
                  <c:v>-4.5</c:v>
                </c:pt>
                <c:pt idx="9">
                  <c:v>-4.7</c:v>
                </c:pt>
                <c:pt idx="10">
                  <c:v>-5.2</c:v>
                </c:pt>
                <c:pt idx="11">
                  <c:v>-5.4000000000000101</c:v>
                </c:pt>
                <c:pt idx="12">
                  <c:v>-3.0999999999999899</c:v>
                </c:pt>
                <c:pt idx="13">
                  <c:v>0.90000000000000602</c:v>
                </c:pt>
                <c:pt idx="14">
                  <c:v>1.5999999999999901</c:v>
                </c:pt>
                <c:pt idx="15">
                  <c:v>2.5</c:v>
                </c:pt>
                <c:pt idx="16">
                  <c:v>3.8</c:v>
                </c:pt>
                <c:pt idx="17">
                  <c:v>2.0999999999999899</c:v>
                </c:pt>
                <c:pt idx="18">
                  <c:v>3.2</c:v>
                </c:pt>
                <c:pt idx="19">
                  <c:v>1.4000000000000099</c:v>
                </c:pt>
                <c:pt idx="20">
                  <c:v>1.5</c:v>
                </c:pt>
                <c:pt idx="21">
                  <c:v>-1</c:v>
                </c:pt>
                <c:pt idx="22">
                  <c:v>0.5</c:v>
                </c:pt>
                <c:pt idx="23">
                  <c:v>3.4000000000000101</c:v>
                </c:pt>
                <c:pt idx="24">
                  <c:v>1.9000000000000099</c:v>
                </c:pt>
                <c:pt idx="25">
                  <c:v>4.4000000000000101</c:v>
                </c:pt>
                <c:pt idx="26">
                  <c:v>3.5</c:v>
                </c:pt>
                <c:pt idx="27">
                  <c:v>3</c:v>
                </c:pt>
                <c:pt idx="28">
                  <c:v>5.4000000000000101</c:v>
                </c:pt>
                <c:pt idx="29">
                  <c:v>5.4000000000000101</c:v>
                </c:pt>
                <c:pt idx="30">
                  <c:v>4.7</c:v>
                </c:pt>
                <c:pt idx="31">
                  <c:v>6.3</c:v>
                </c:pt>
                <c:pt idx="32">
                  <c:v>6.5</c:v>
                </c:pt>
                <c:pt idx="33">
                  <c:v>6.5999999999999899</c:v>
                </c:pt>
                <c:pt idx="34">
                  <c:v>6.7</c:v>
                </c:pt>
                <c:pt idx="35">
                  <c:v>6.5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wykres_3_ang!$A$11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  <a:effectLst/>
            </c:spPr>
          </c:marker>
          <c:cat>
            <c:multiLvlStrRef>
              <c:f>wykres_3_ang!$B$7:$AK$8</c:f>
              <c:multiLvlStrCache>
                <c:ptCount val="3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</c:lvl>
              </c:multiLvlStrCache>
            </c:multiLvlStrRef>
          </c:cat>
          <c:val>
            <c:numRef>
              <c:f>wykres_3_ang!$B$11:$AK$11</c:f>
              <c:numCache>
                <c:formatCode>General</c:formatCode>
                <c:ptCount val="36"/>
                <c:pt idx="0">
                  <c:v>1</c:v>
                </c:pt>
                <c:pt idx="1">
                  <c:v>0</c:v>
                </c:pt>
                <c:pt idx="2">
                  <c:v>-1.2</c:v>
                </c:pt>
                <c:pt idx="3">
                  <c:v>-1.4000000000000099</c:v>
                </c:pt>
                <c:pt idx="4">
                  <c:v>-3.5</c:v>
                </c:pt>
                <c:pt idx="5">
                  <c:v>-5.2</c:v>
                </c:pt>
                <c:pt idx="6">
                  <c:v>-5.4000000000000101</c:v>
                </c:pt>
                <c:pt idx="7">
                  <c:v>-6</c:v>
                </c:pt>
                <c:pt idx="8">
                  <c:v>-6.2</c:v>
                </c:pt>
                <c:pt idx="9">
                  <c:v>-5.2</c:v>
                </c:pt>
                <c:pt idx="10">
                  <c:v>-2.8</c:v>
                </c:pt>
                <c:pt idx="11">
                  <c:v>-0.90000000000000602</c:v>
                </c:pt>
                <c:pt idx="12">
                  <c:v>1.2</c:v>
                </c:pt>
                <c:pt idx="13">
                  <c:v>2.2999999999999998</c:v>
                </c:pt>
                <c:pt idx="14">
                  <c:v>0.90000000000000602</c:v>
                </c:pt>
                <c:pt idx="15">
                  <c:v>0.5</c:v>
                </c:pt>
                <c:pt idx="16">
                  <c:v>0.40000000000000602</c:v>
                </c:pt>
                <c:pt idx="17">
                  <c:v>0.29999999999999699</c:v>
                </c:pt>
                <c:pt idx="18">
                  <c:v>1</c:v>
                </c:pt>
                <c:pt idx="19">
                  <c:v>0.79999999999999705</c:v>
                </c:pt>
                <c:pt idx="20">
                  <c:v>0.59999999999999398</c:v>
                </c:pt>
                <c:pt idx="21">
                  <c:v>1.8</c:v>
                </c:pt>
                <c:pt idx="22">
                  <c:v>3.5</c:v>
                </c:pt>
                <c:pt idx="23">
                  <c:v>4.4000000000000101</c:v>
                </c:pt>
                <c:pt idx="24">
                  <c:v>4.7</c:v>
                </c:pt>
                <c:pt idx="25">
                  <c:v>4.7</c:v>
                </c:pt>
                <c:pt idx="26">
                  <c:v>3.8</c:v>
                </c:pt>
                <c:pt idx="27">
                  <c:v>4.5999999999999899</c:v>
                </c:pt>
                <c:pt idx="28">
                  <c:v>6.3</c:v>
                </c:pt>
                <c:pt idx="29">
                  <c:v>6.8</c:v>
                </c:pt>
                <c:pt idx="30">
                  <c:v>7.9000000000000101</c:v>
                </c:pt>
                <c:pt idx="31">
                  <c:v>8.6999999999999993</c:v>
                </c:pt>
                <c:pt idx="32">
                  <c:v>9.3000000000000007</c:v>
                </c:pt>
                <c:pt idx="33">
                  <c:v>9.4000000000000092</c:v>
                </c:pt>
                <c:pt idx="34">
                  <c:v>10.9</c:v>
                </c:pt>
                <c:pt idx="35" formatCode="0.0">
                  <c:v>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84723488"/>
        <c:axId val="784716416"/>
      </c:lineChart>
      <c:catAx>
        <c:axId val="784723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4716416"/>
        <c:crosses val="autoZero"/>
        <c:auto val="0"/>
        <c:lblAlgn val="ctr"/>
        <c:lblOffset val="100"/>
        <c:noMultiLvlLbl val="0"/>
      </c:catAx>
      <c:valAx>
        <c:axId val="784716416"/>
        <c:scaling>
          <c:orientation val="minMax"/>
          <c:max val="12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80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%</a:t>
                </a:r>
                <a:endParaRPr lang="pl-PL"/>
              </a:p>
            </c:rich>
          </c:tx>
          <c:layout>
            <c:manualLayout>
              <c:xMode val="edge"/>
              <c:yMode val="edge"/>
              <c:x val="1.2388373357383865E-3"/>
              <c:y val="3.7506675301950893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4723488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101020098408114"/>
          <c:y val="0.94772931555151796"/>
          <c:w val="0.67797940281637348"/>
          <c:h val="5.22706844484820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4896398819712756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0134494057807989E-2"/>
          <c:y val="6.2700661000944291E-2"/>
          <c:w val="0.92709117882003877"/>
          <c:h val="0.70307094049504437"/>
        </c:manualLayout>
      </c:layout>
      <c:lineChart>
        <c:grouping val="standard"/>
        <c:varyColors val="0"/>
        <c:ser>
          <c:idx val="0"/>
          <c:order val="0"/>
          <c:tx>
            <c:strRef>
              <c:f>wykres_4_ang!$A$9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wykres_4_ang!$B$7:$AO$8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wykres_4_ang!$B$9:$AO$9</c:f>
              <c:numCache>
                <c:formatCode>0.0</c:formatCode>
                <c:ptCount val="40"/>
                <c:pt idx="0">
                  <c:v>4.5999999999999996</c:v>
                </c:pt>
                <c:pt idx="1">
                  <c:v>5.9</c:v>
                </c:pt>
                <c:pt idx="2">
                  <c:v>6</c:v>
                </c:pt>
                <c:pt idx="3">
                  <c:v>5.9</c:v>
                </c:pt>
                <c:pt idx="4">
                  <c:v>5.9</c:v>
                </c:pt>
                <c:pt idx="5">
                  <c:v>6.6</c:v>
                </c:pt>
                <c:pt idx="6">
                  <c:v>5.4</c:v>
                </c:pt>
                <c:pt idx="7">
                  <c:v>4.9000000000000004</c:v>
                </c:pt>
                <c:pt idx="8">
                  <c:v>3.5</c:v>
                </c:pt>
                <c:pt idx="9">
                  <c:v>2.8</c:v>
                </c:pt>
                <c:pt idx="10">
                  <c:v>1.4</c:v>
                </c:pt>
                <c:pt idx="11">
                  <c:v>0.3</c:v>
                </c:pt>
                <c:pt idx="12">
                  <c:v>-2.2999999999999998</c:v>
                </c:pt>
                <c:pt idx="13">
                  <c:v>-2.5</c:v>
                </c:pt>
                <c:pt idx="14">
                  <c:v>-2.6</c:v>
                </c:pt>
                <c:pt idx="15">
                  <c:v>-2.5</c:v>
                </c:pt>
                <c:pt idx="16">
                  <c:v>-2.8</c:v>
                </c:pt>
                <c:pt idx="17">
                  <c:v>-0.7</c:v>
                </c:pt>
                <c:pt idx="18">
                  <c:v>-1.3</c:v>
                </c:pt>
                <c:pt idx="19">
                  <c:v>-1.1000000000000001</c:v>
                </c:pt>
                <c:pt idx="20">
                  <c:v>-0.9</c:v>
                </c:pt>
                <c:pt idx="21">
                  <c:v>0.4</c:v>
                </c:pt>
                <c:pt idx="22">
                  <c:v>0.6</c:v>
                </c:pt>
                <c:pt idx="23">
                  <c:v>-0.1</c:v>
                </c:pt>
                <c:pt idx="24">
                  <c:v>0</c:v>
                </c:pt>
                <c:pt idx="25">
                  <c:v>0.8</c:v>
                </c:pt>
                <c:pt idx="26">
                  <c:v>2.7</c:v>
                </c:pt>
                <c:pt idx="27">
                  <c:v>3.9</c:v>
                </c:pt>
                <c:pt idx="28">
                  <c:v>3.3</c:v>
                </c:pt>
                <c:pt idx="29">
                  <c:v>5.4</c:v>
                </c:pt>
                <c:pt idx="30">
                  <c:v>6.5</c:v>
                </c:pt>
                <c:pt idx="31">
                  <c:v>7.9</c:v>
                </c:pt>
                <c:pt idx="32">
                  <c:v>9.5</c:v>
                </c:pt>
                <c:pt idx="33">
                  <c:v>12</c:v>
                </c:pt>
                <c:pt idx="34">
                  <c:v>13.4</c:v>
                </c:pt>
                <c:pt idx="35">
                  <c:v>16.100000000000001</c:v>
                </c:pt>
                <c:pt idx="36" formatCode="General">
                  <c:v>18.3</c:v>
                </c:pt>
                <c:pt idx="37" formatCode="General">
                  <c:v>21.1</c:v>
                </c:pt>
                <c:pt idx="38">
                  <c:v>23.6</c:v>
                </c:pt>
                <c:pt idx="39">
                  <c:v>27.1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wykres_4_ang!$A$10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wykres_4_ang!$B$7:$AO$8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wykres_4_ang!$B$10:$AO$10</c:f>
              <c:numCache>
                <c:formatCode>0.0</c:formatCode>
                <c:ptCount val="40"/>
                <c:pt idx="0">
                  <c:v>0.7</c:v>
                </c:pt>
                <c:pt idx="1">
                  <c:v>0.1</c:v>
                </c:pt>
                <c:pt idx="2">
                  <c:v>1.2</c:v>
                </c:pt>
                <c:pt idx="3">
                  <c:v>3</c:v>
                </c:pt>
                <c:pt idx="4">
                  <c:v>2.4</c:v>
                </c:pt>
                <c:pt idx="5">
                  <c:v>2.2000000000000002</c:v>
                </c:pt>
                <c:pt idx="6">
                  <c:v>1.9</c:v>
                </c:pt>
                <c:pt idx="7">
                  <c:v>3</c:v>
                </c:pt>
                <c:pt idx="8">
                  <c:v>2.8</c:v>
                </c:pt>
                <c:pt idx="9">
                  <c:v>2.1</c:v>
                </c:pt>
                <c:pt idx="10">
                  <c:v>1.4</c:v>
                </c:pt>
                <c:pt idx="11">
                  <c:v>1.5</c:v>
                </c:pt>
                <c:pt idx="12">
                  <c:v>-1.8</c:v>
                </c:pt>
                <c:pt idx="13">
                  <c:v>-2.6</c:v>
                </c:pt>
                <c:pt idx="14">
                  <c:v>-3.9</c:v>
                </c:pt>
                <c:pt idx="15">
                  <c:v>-3.9</c:v>
                </c:pt>
                <c:pt idx="16">
                  <c:v>-4.7</c:v>
                </c:pt>
                <c:pt idx="17">
                  <c:v>-1.6</c:v>
                </c:pt>
                <c:pt idx="18">
                  <c:v>-2.2999999999999998</c:v>
                </c:pt>
                <c:pt idx="19">
                  <c:v>-1.5</c:v>
                </c:pt>
                <c:pt idx="20">
                  <c:v>-1</c:v>
                </c:pt>
                <c:pt idx="21">
                  <c:v>0.5</c:v>
                </c:pt>
                <c:pt idx="22">
                  <c:v>0.8</c:v>
                </c:pt>
                <c:pt idx="23">
                  <c:v>-0.2</c:v>
                </c:pt>
                <c:pt idx="24">
                  <c:v>0.4</c:v>
                </c:pt>
                <c:pt idx="25">
                  <c:v>-0.6</c:v>
                </c:pt>
                <c:pt idx="26">
                  <c:v>1.3</c:v>
                </c:pt>
                <c:pt idx="27">
                  <c:v>3.2</c:v>
                </c:pt>
                <c:pt idx="28">
                  <c:v>2.2999999999999998</c:v>
                </c:pt>
                <c:pt idx="29">
                  <c:v>3.8</c:v>
                </c:pt>
                <c:pt idx="30">
                  <c:v>4.9000000000000004</c:v>
                </c:pt>
                <c:pt idx="31">
                  <c:v>6.3</c:v>
                </c:pt>
                <c:pt idx="32">
                  <c:v>7.8</c:v>
                </c:pt>
                <c:pt idx="33">
                  <c:v>9.4</c:v>
                </c:pt>
                <c:pt idx="34">
                  <c:v>9.8000000000000007</c:v>
                </c:pt>
                <c:pt idx="35">
                  <c:v>13.1</c:v>
                </c:pt>
                <c:pt idx="36" formatCode="General">
                  <c:v>15</c:v>
                </c:pt>
                <c:pt idx="37" formatCode="General">
                  <c:v>16.8</c:v>
                </c:pt>
                <c:pt idx="38">
                  <c:v>17.2</c:v>
                </c:pt>
                <c:pt idx="39">
                  <c:v>20.5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wykres_4_ang!$A$11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multiLvlStrRef>
              <c:f>wykres_4_ang!$B$7:$AO$8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wykres_4_ang!$B$11:$AO$11</c:f>
              <c:numCache>
                <c:formatCode>0.0</c:formatCode>
                <c:ptCount val="40"/>
                <c:pt idx="0">
                  <c:v>6.5</c:v>
                </c:pt>
                <c:pt idx="1">
                  <c:v>8.6999999999999993</c:v>
                </c:pt>
                <c:pt idx="2">
                  <c:v>8.4</c:v>
                </c:pt>
                <c:pt idx="3">
                  <c:v>7.3</c:v>
                </c:pt>
                <c:pt idx="4">
                  <c:v>7.6</c:v>
                </c:pt>
                <c:pt idx="5">
                  <c:v>8.6999999999999993</c:v>
                </c:pt>
                <c:pt idx="6">
                  <c:v>7.1</c:v>
                </c:pt>
                <c:pt idx="7">
                  <c:v>5.8</c:v>
                </c:pt>
                <c:pt idx="8">
                  <c:v>3.7</c:v>
                </c:pt>
                <c:pt idx="9">
                  <c:v>3</c:v>
                </c:pt>
                <c:pt idx="10">
                  <c:v>1.3</c:v>
                </c:pt>
                <c:pt idx="11">
                  <c:v>-0.6</c:v>
                </c:pt>
                <c:pt idx="12">
                  <c:v>-2.6</c:v>
                </c:pt>
                <c:pt idx="13">
                  <c:v>-2.2999999999999998</c:v>
                </c:pt>
                <c:pt idx="14">
                  <c:v>-1.5</c:v>
                </c:pt>
                <c:pt idx="15">
                  <c:v>-1.3</c:v>
                </c:pt>
                <c:pt idx="16">
                  <c:v>-1.4</c:v>
                </c:pt>
                <c:pt idx="17">
                  <c:v>0.1</c:v>
                </c:pt>
                <c:pt idx="18">
                  <c:v>-0.5</c:v>
                </c:pt>
                <c:pt idx="19">
                  <c:v>-0.8</c:v>
                </c:pt>
                <c:pt idx="20">
                  <c:v>-0.9</c:v>
                </c:pt>
                <c:pt idx="21">
                  <c:v>0.4</c:v>
                </c:pt>
                <c:pt idx="22">
                  <c:v>0.5</c:v>
                </c:pt>
                <c:pt idx="23">
                  <c:v>0</c:v>
                </c:pt>
                <c:pt idx="24">
                  <c:v>-0.4</c:v>
                </c:pt>
                <c:pt idx="25">
                  <c:v>2.1</c:v>
                </c:pt>
                <c:pt idx="26">
                  <c:v>4</c:v>
                </c:pt>
                <c:pt idx="27">
                  <c:v>4.4000000000000004</c:v>
                </c:pt>
                <c:pt idx="28">
                  <c:v>4.3</c:v>
                </c:pt>
                <c:pt idx="29">
                  <c:v>7</c:v>
                </c:pt>
                <c:pt idx="30">
                  <c:v>8</c:v>
                </c:pt>
                <c:pt idx="31">
                  <c:v>9.1999999999999993</c:v>
                </c:pt>
                <c:pt idx="32">
                  <c:v>11</c:v>
                </c:pt>
                <c:pt idx="33">
                  <c:v>14.2</c:v>
                </c:pt>
                <c:pt idx="34">
                  <c:v>16.7</c:v>
                </c:pt>
                <c:pt idx="35">
                  <c:v>18.8</c:v>
                </c:pt>
                <c:pt idx="36" formatCode="General">
                  <c:v>21.3</c:v>
                </c:pt>
                <c:pt idx="37" formatCode="General">
                  <c:v>25</c:v>
                </c:pt>
                <c:pt idx="38">
                  <c:v>29.4</c:v>
                </c:pt>
                <c:pt idx="39">
                  <c:v>33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84720224"/>
        <c:axId val="784716960"/>
      </c:lineChart>
      <c:catAx>
        <c:axId val="784720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4716960"/>
        <c:crosses val="autoZero"/>
        <c:auto val="0"/>
        <c:lblAlgn val="ctr"/>
        <c:lblOffset val="100"/>
        <c:noMultiLvlLbl val="0"/>
      </c:catAx>
      <c:valAx>
        <c:axId val="784716960"/>
        <c:scaling>
          <c:orientation val="minMax"/>
          <c:max val="33"/>
          <c:min val="-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4720224"/>
        <c:crosses val="autoZero"/>
        <c:crossBetween val="between"/>
        <c:majorUnit val="3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Wskaźniki_cen_lokali_mieszkalnych_w_IV_kw_2019_ang.docx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STAT\KACZORM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C9C6-7EB6-46E8-AFBA-879CED05230B}"/>
</file>

<file path=customXml/itemProps2.xml><?xml version="1.0" encoding="utf-8"?>
<ds:datastoreItem xmlns:ds="http://schemas.openxmlformats.org/officeDocument/2006/customXml" ds:itemID="{889C4D44-96C9-4343-82A2-BADBF723A221}"/>
</file>

<file path=customXml/itemProps3.xml><?xml version="1.0" encoding="utf-8"?>
<ds:datastoreItem xmlns:ds="http://schemas.openxmlformats.org/officeDocument/2006/customXml" ds:itemID="{7AD39804-E15D-40D9-A3F2-808567566B96}"/>
</file>

<file path=customXml/itemProps4.xml><?xml version="1.0" encoding="utf-8"?>
<ds:datastoreItem xmlns:ds="http://schemas.openxmlformats.org/officeDocument/2006/customXml" ds:itemID="{889C4D44-96C9-4343-82A2-BADBF723A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indices of residential premises in the fourth quarter 2019</dc:title>
  <dc:subject>Price indices of residential premises in the fourth quarter 2019</dc:subject>
  <dc:creator>Statistics Poland</dc:creator>
  <cp:lastPrinted>2020-01-07T14:31:00Z</cp:lastPrinted>
  <dcterms:created xsi:type="dcterms:W3CDTF">2019-09-25T11:19:00Z</dcterms:created>
  <dcterms:modified xsi:type="dcterms:W3CDTF">2020-04-03T08:37:00Z</dcterms:modified>
  <cp:category>Price indices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