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640C6" w14:textId="0EFEE9D4" w:rsidR="0098135C" w:rsidRPr="00057979" w:rsidRDefault="007112F2" w:rsidP="00074DD8">
      <w:pPr>
        <w:pStyle w:val="tytuinformacji"/>
        <w:rPr>
          <w:shd w:val="clear" w:color="auto" w:fill="FFFFFF"/>
          <w:lang w:val="en-US"/>
        </w:rPr>
      </w:pPr>
      <w:bookmarkStart w:id="0" w:name="_GoBack"/>
      <w:r>
        <w:rPr>
          <w:shd w:val="clear" w:color="auto" w:fill="FFFFFF"/>
          <w:lang w:val="en-US"/>
        </w:rPr>
        <w:t>Business services in 2018</w:t>
      </w:r>
    </w:p>
    <w:bookmarkEnd w:id="0"/>
    <w:p w14:paraId="6F2FAD90" w14:textId="2CCB00E6" w:rsidR="00393761" w:rsidRPr="00057979" w:rsidRDefault="00393761" w:rsidP="00074DD8">
      <w:pPr>
        <w:pStyle w:val="tytuinformacji"/>
        <w:rPr>
          <w:sz w:val="32"/>
          <w:lang w:val="en-US"/>
        </w:rPr>
      </w:pPr>
    </w:p>
    <w:p w14:paraId="13227203" w14:textId="58139ACE" w:rsidR="005916D7" w:rsidRPr="00CF468E" w:rsidRDefault="00003437" w:rsidP="00633014">
      <w:pPr>
        <w:pStyle w:val="LID"/>
        <w:rPr>
          <w:lang w:val="en-US"/>
        </w:rPr>
      </w:pPr>
      <w:r w:rsidRPr="00CF468E">
        <mc:AlternateContent>
          <mc:Choice Requires="wps">
            <w:drawing>
              <wp:anchor distT="45720" distB="45720" distL="114300" distR="114300" simplePos="0" relativeHeight="251676672" behindDoc="0" locked="0" layoutInCell="1" allowOverlap="1" wp14:anchorId="2970A3ED" wp14:editId="7F6B49A0">
                <wp:simplePos x="0" y="0"/>
                <wp:positionH relativeFrom="margin">
                  <wp:align>left</wp:align>
                </wp:positionH>
                <wp:positionV relativeFrom="paragraph">
                  <wp:posOffset>83427</wp:posOffset>
                </wp:positionV>
                <wp:extent cx="1828800" cy="1045845"/>
                <wp:effectExtent l="0" t="0" r="0" b="190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45845"/>
                        </a:xfrm>
                        <a:prstGeom prst="rect">
                          <a:avLst/>
                        </a:prstGeom>
                        <a:solidFill>
                          <a:srgbClr val="001D77"/>
                        </a:solidFill>
                        <a:ln w="9525">
                          <a:noFill/>
                          <a:miter lim="800000"/>
                          <a:headEnd/>
                          <a:tailEnd/>
                        </a:ln>
                      </wps:spPr>
                      <wps:txbx>
                        <w:txbxContent>
                          <w:p w14:paraId="3436EE85" w14:textId="0E17B7EB" w:rsidR="00227C21" w:rsidRPr="00CF468E" w:rsidRDefault="003758B4" w:rsidP="00633014">
                            <w:pPr>
                              <w:spacing w:after="0" w:line="240" w:lineRule="auto"/>
                              <w:rPr>
                                <w:rFonts w:ascii="Fira Sans SemiBold" w:hAnsi="Fira Sans SemiBold"/>
                                <w:color w:val="FFFFFF" w:themeColor="background1"/>
                                <w:sz w:val="72"/>
                                <w:szCs w:val="72"/>
                              </w:rPr>
                            </w:pPr>
                            <w:r>
                              <w:rPr>
                                <w:rFonts w:asciiTheme="minorHAnsi" w:hAnsiTheme="minorHAnsi"/>
                                <w:color w:val="001D77"/>
                                <w:sz w:val="22"/>
                              </w:rPr>
                              <w:pict w14:anchorId="15EB037C">
                                <v:shape id="Obraz 33" o:spid="_x0000_i1025" type="#_x0000_t75" style="width:28.9pt;height:28.35pt;visibility:visible" o:bullet="t">
                                  <v:imagedata r:id="rId10" o:title=""/>
                                </v:shape>
                              </w:pict>
                            </w:r>
                            <w:r w:rsidR="00227C21">
                              <w:rPr>
                                <w:noProof/>
                                <w:color w:val="001D77"/>
                                <w:lang w:eastAsia="pl-PL"/>
                              </w:rPr>
                              <w:t xml:space="preserve"> </w:t>
                            </w:r>
                            <w:r w:rsidR="00D31063">
                              <w:rPr>
                                <w:rFonts w:ascii="Fira Sans SemiBold" w:hAnsi="Fira Sans SemiBold"/>
                                <w:color w:val="FFFFFF" w:themeColor="background1"/>
                                <w:sz w:val="72"/>
                              </w:rPr>
                              <w:t>117.</w:t>
                            </w:r>
                            <w:r w:rsidR="001269D6">
                              <w:rPr>
                                <w:rFonts w:ascii="Fira Sans SemiBold" w:hAnsi="Fira Sans SemiBold"/>
                                <w:color w:val="FFFFFF" w:themeColor="background1"/>
                                <w:sz w:val="72"/>
                              </w:rPr>
                              <w:t>5</w:t>
                            </w:r>
                          </w:p>
                          <w:p w14:paraId="3A692BB9" w14:textId="2479675E" w:rsidR="00227C21" w:rsidRPr="00057979" w:rsidRDefault="001269D6" w:rsidP="00074DD8">
                            <w:pPr>
                              <w:pStyle w:val="tekstnaniebieskimtle"/>
                              <w:rPr>
                                <w:color w:val="FFFFFF" w:themeColor="background1"/>
                                <w:sz w:val="18"/>
                                <w:szCs w:val="20"/>
                                <w:lang w:val="en-US"/>
                              </w:rPr>
                            </w:pPr>
                            <w:r>
                              <w:rPr>
                                <w:lang w:val="en-US"/>
                              </w:rPr>
                              <w:t>Service export</w:t>
                            </w:r>
                            <w:r w:rsidR="00227C21">
                              <w:rPr>
                                <w:lang w:val="en-US"/>
                              </w:rPr>
                              <w:t xml:space="preserve"> index 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0A3ED" id="_x0000_t202" coordsize="21600,21600" o:spt="202" path="m,l,21600r21600,l21600,xe">
                <v:stroke joinstyle="miter"/>
                <v:path gradientshapeok="t" o:connecttype="rect"/>
              </v:shapetype>
              <v:shape id="Pole tekstowe 2" o:spid="_x0000_s1026" type="#_x0000_t202" style="position:absolute;margin-left:0;margin-top:6.55pt;width:2in;height:82.3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" fillcolor="#001d77" stroked="f">
                <v:textbox>
                  <w:txbxContent>
                    <w:p w14:paraId="3436EE85" w14:textId="0E17B7EB" w:rsidR="00227C21" w:rsidRPr="00CF468E" w:rsidRDefault="003758B4" w:rsidP="00633014">
                      <w:pPr>
                        <w:spacing w:after="0" w:line="240" w:lineRule="auto"/>
                        <w:rPr>
                          <w:rFonts w:ascii="Fira Sans SemiBold" w:hAnsi="Fira Sans SemiBold"/>
                          <w:color w:val="FFFFFF" w:themeColor="background1"/>
                          <w:sz w:val="72"/>
                          <w:szCs w:val="72"/>
                        </w:rPr>
                      </w:pPr>
                      <w:r>
                        <w:rPr>
                          <w:rFonts w:asciiTheme="minorHAnsi" w:hAnsiTheme="minorHAnsi"/>
                          <w:color w:val="001D77"/>
                          <w:sz w:val="22"/>
                        </w:rPr>
                        <w:pict w14:anchorId="15EB037C">
                          <v:shape id="Obraz 33" o:spid="_x0000_i1025" type="#_x0000_t75" style="width:28.9pt;height:28.35pt;visibility:visible" o:bullet="t">
                            <v:imagedata r:id="rId10" o:title=""/>
                          </v:shape>
                        </w:pict>
                      </w:r>
                      <w:r w:rsidR="00227C21">
                        <w:rPr>
                          <w:noProof/>
                          <w:color w:val="001D77"/>
                          <w:lang w:eastAsia="pl-PL"/>
                        </w:rPr>
                        <w:t xml:space="preserve"> </w:t>
                      </w:r>
                      <w:r w:rsidR="00D31063">
                        <w:rPr>
                          <w:rFonts w:ascii="Fira Sans SemiBold" w:hAnsi="Fira Sans SemiBold"/>
                          <w:color w:val="FFFFFF" w:themeColor="background1"/>
                          <w:sz w:val="72"/>
                        </w:rPr>
                        <w:t>117.</w:t>
                      </w:r>
                      <w:r w:rsidR="001269D6">
                        <w:rPr>
                          <w:rFonts w:ascii="Fira Sans SemiBold" w:hAnsi="Fira Sans SemiBold"/>
                          <w:color w:val="FFFFFF" w:themeColor="background1"/>
                          <w:sz w:val="72"/>
                        </w:rPr>
                        <w:t>5</w:t>
                      </w:r>
                    </w:p>
                    <w:p w14:paraId="3A692BB9" w14:textId="2479675E" w:rsidR="00227C21" w:rsidRPr="00057979" w:rsidRDefault="001269D6" w:rsidP="00074DD8">
                      <w:pPr>
                        <w:pStyle w:val="tekstnaniebieskimtle"/>
                        <w:rPr>
                          <w:color w:val="FFFFFF" w:themeColor="background1"/>
                          <w:sz w:val="18"/>
                          <w:szCs w:val="20"/>
                          <w:lang w:val="en-US"/>
                        </w:rPr>
                      </w:pPr>
                      <w:r>
                        <w:rPr>
                          <w:lang w:val="en-US"/>
                        </w:rPr>
                        <w:t>Service export</w:t>
                      </w:r>
                      <w:r w:rsidR="00227C21">
                        <w:rPr>
                          <w:lang w:val="en-US"/>
                        </w:rPr>
                        <w:t xml:space="preserve"> index y/y</w:t>
                      </w:r>
                    </w:p>
                  </w:txbxContent>
                </v:textbox>
                <w10:wrap type="square" anchorx="margin"/>
              </v:shape>
            </w:pict>
          </mc:Fallback>
        </mc:AlternateContent>
      </w:r>
      <w:r w:rsidR="00431DF5" w:rsidRPr="00CF468E">
        <w:rPr>
          <w:lang w:val="en-US"/>
        </w:rPr>
        <w:t xml:space="preserve">The value of turnover of enterprises conducting activities related to business services amounted to PLN </w:t>
      </w:r>
      <w:r w:rsidR="000F2D40">
        <w:rPr>
          <w:lang w:val="en-US"/>
        </w:rPr>
        <w:t>395.</w:t>
      </w:r>
      <w:r w:rsidR="00CF468E" w:rsidRPr="00CF468E">
        <w:rPr>
          <w:lang w:val="en-US"/>
        </w:rPr>
        <w:t>4</w:t>
      </w:r>
      <w:r w:rsidR="00431DF5" w:rsidRPr="00CF468E">
        <w:rPr>
          <w:lang w:val="en-US"/>
        </w:rPr>
        <w:t xml:space="preserve"> b</w:t>
      </w:r>
      <w:r w:rsidR="00195481" w:rsidRPr="00CF468E">
        <w:rPr>
          <w:lang w:val="en-US"/>
        </w:rPr>
        <w:t>illio</w:t>
      </w:r>
      <w:r w:rsidR="00431DF5" w:rsidRPr="00CF468E">
        <w:rPr>
          <w:lang w:val="en-US"/>
        </w:rPr>
        <w:t xml:space="preserve">n. </w:t>
      </w:r>
      <w:r w:rsidR="00454E96">
        <w:rPr>
          <w:lang w:val="en-US"/>
        </w:rPr>
        <w:t xml:space="preserve">They </w:t>
      </w:r>
      <w:r w:rsidR="00CF468E">
        <w:rPr>
          <w:lang w:val="en-US"/>
        </w:rPr>
        <w:t xml:space="preserve">employed almost 1.7 million people in over 531 thousand enterprises. </w:t>
      </w:r>
      <w:r w:rsidR="001F2BC7">
        <w:rPr>
          <w:lang w:val="en-US"/>
        </w:rPr>
        <w:t>Enterprises with the number of persons employed 9 and less constituted t</w:t>
      </w:r>
      <w:r w:rsidR="00CF468E">
        <w:rPr>
          <w:lang w:val="en-US"/>
        </w:rPr>
        <w:t xml:space="preserve">he most numerous group (97.5%) </w:t>
      </w:r>
      <w:r w:rsidR="001F2BC7">
        <w:rPr>
          <w:lang w:val="en-US"/>
        </w:rPr>
        <w:t>in terms of size.</w:t>
      </w:r>
    </w:p>
    <w:p w14:paraId="2B7CAAF1" w14:textId="69073F58" w:rsidR="00003437" w:rsidRPr="00057979" w:rsidRDefault="00003437" w:rsidP="00E76D26">
      <w:pPr>
        <w:pStyle w:val="Nagwek1"/>
        <w:spacing w:before="0"/>
        <w:rPr>
          <w:rFonts w:ascii="Fira Sans" w:hAnsi="Fira Sans"/>
          <w:b/>
          <w:color w:val="212492"/>
          <w:spacing w:val="-2"/>
          <w:szCs w:val="19"/>
          <w:lang w:val="en-US"/>
        </w:rPr>
      </w:pPr>
    </w:p>
    <w:p w14:paraId="68B6AED3" w14:textId="5615F5F3" w:rsidR="00C22105" w:rsidRPr="00CF468E" w:rsidRDefault="00FA3E57" w:rsidP="00074DD8">
      <w:pPr>
        <w:pStyle w:val="Nagwek1"/>
        <w:rPr>
          <w:color w:val="auto"/>
          <w:lang w:val="en-US"/>
        </w:rPr>
      </w:pPr>
      <w:r w:rsidRPr="00001C5B">
        <w:rPr>
          <w:b/>
          <w:color w:val="212492"/>
          <w:spacing w:val="-2"/>
        </w:rPr>
        <mc:AlternateContent>
          <mc:Choice Requires="wps">
            <w:drawing>
              <wp:anchor distT="45720" distB="45720" distL="114300" distR="114300" simplePos="0" relativeHeight="251666432" behindDoc="1" locked="0" layoutInCell="1" allowOverlap="1" wp14:anchorId="7C73F413" wp14:editId="092C96FB">
                <wp:simplePos x="0" y="0"/>
                <wp:positionH relativeFrom="column">
                  <wp:posOffset>5277197</wp:posOffset>
                </wp:positionH>
                <wp:positionV relativeFrom="paragraph">
                  <wp:posOffset>203546</wp:posOffset>
                </wp:positionV>
                <wp:extent cx="1725295" cy="1042670"/>
                <wp:effectExtent l="0" t="0" r="0" b="5080"/>
                <wp:wrapTight wrapText="bothSides">
                  <wp:wrapPolygon edited="0">
                    <wp:start x="715" y="0"/>
                    <wp:lineTo x="715" y="21311"/>
                    <wp:lineTo x="20749" y="21311"/>
                    <wp:lineTo x="20749" y="0"/>
                    <wp:lineTo x="715"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42670"/>
                        </a:xfrm>
                        <a:prstGeom prst="rect">
                          <a:avLst/>
                        </a:prstGeom>
                        <a:noFill/>
                        <a:ln w="9525">
                          <a:noFill/>
                          <a:miter lim="800000"/>
                          <a:headEnd/>
                          <a:tailEnd/>
                        </a:ln>
                      </wps:spPr>
                      <wps:txbx>
                        <w:txbxContent>
                          <w:p w14:paraId="50E2F9F5" w14:textId="195A786F" w:rsidR="00227C21" w:rsidRPr="001F2BC7" w:rsidRDefault="00227C21" w:rsidP="00074DD8">
                            <w:pPr>
                              <w:pStyle w:val="tekstzboku"/>
                              <w:rPr>
                                <w:color w:val="auto"/>
                                <w:lang w:val="en-US"/>
                              </w:rPr>
                            </w:pPr>
                            <w:r w:rsidRPr="001F2BC7">
                              <w:rPr>
                                <w:color w:val="auto"/>
                                <w:lang w:val="en-US"/>
                              </w:rPr>
                              <w:t xml:space="preserve">In comparison to 2017, </w:t>
                            </w:r>
                            <w:r w:rsidR="001269D6" w:rsidRPr="001F2BC7">
                              <w:rPr>
                                <w:color w:val="auto"/>
                                <w:lang w:val="en-US"/>
                              </w:rPr>
                              <w:t xml:space="preserve">the </w:t>
                            </w:r>
                            <w:r w:rsidR="001269D6">
                              <w:rPr>
                                <w:color w:val="auto"/>
                                <w:lang w:val="en-US"/>
                              </w:rPr>
                              <w:t xml:space="preserve">service export </w:t>
                            </w:r>
                            <w:r w:rsidR="001269D6" w:rsidRPr="001F2BC7">
                              <w:rPr>
                                <w:color w:val="auto"/>
                                <w:lang w:val="en-US"/>
                              </w:rPr>
                              <w:t xml:space="preserve">of enterprises providing business services </w:t>
                            </w:r>
                            <w:r w:rsidRPr="001F2BC7">
                              <w:rPr>
                                <w:color w:val="auto"/>
                                <w:lang w:val="en-US"/>
                              </w:rPr>
                              <w:t>increase</w:t>
                            </w:r>
                            <w:r w:rsidR="001269D6">
                              <w:rPr>
                                <w:color w:val="auto"/>
                                <w:lang w:val="en-US"/>
                              </w:rPr>
                              <w:t>d</w:t>
                            </w:r>
                            <w:r w:rsidRPr="001F2BC7">
                              <w:rPr>
                                <w:color w:val="auto"/>
                                <w:lang w:val="en-US"/>
                              </w:rPr>
                              <w:t xml:space="preserve"> by </w:t>
                            </w:r>
                            <w:r w:rsidR="001269D6">
                              <w:rPr>
                                <w:color w:val="auto"/>
                                <w:lang w:val="en-US"/>
                              </w:rPr>
                              <w:t>17.5%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3F413" id="_x0000_s1027" type="#_x0000_t202" style="position:absolute;margin-left:415.55pt;margin-top:16.05pt;width:135.85pt;height:82.1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" filled="f" stroked="f">
                <v:textbox>
                  <w:txbxContent>
                    <w:p w14:paraId="50E2F9F5" w14:textId="195A786F" w:rsidR="00227C21" w:rsidRPr="001F2BC7" w:rsidRDefault="00227C21" w:rsidP="00074DD8">
                      <w:pPr>
                        <w:pStyle w:val="tekstzboku"/>
                        <w:rPr>
                          <w:color w:val="auto"/>
                          <w:lang w:val="en-US"/>
                        </w:rPr>
                      </w:pPr>
                      <w:r w:rsidRPr="001F2BC7">
                        <w:rPr>
                          <w:color w:val="auto"/>
                          <w:lang w:val="en-US"/>
                        </w:rPr>
                        <w:t xml:space="preserve">In comparison to 2017, </w:t>
                      </w:r>
                      <w:r w:rsidR="001269D6" w:rsidRPr="001F2BC7">
                        <w:rPr>
                          <w:color w:val="auto"/>
                          <w:lang w:val="en-US"/>
                        </w:rPr>
                        <w:t xml:space="preserve">the </w:t>
                      </w:r>
                      <w:r w:rsidR="001269D6">
                        <w:rPr>
                          <w:color w:val="auto"/>
                          <w:lang w:val="en-US"/>
                        </w:rPr>
                        <w:t xml:space="preserve">service export </w:t>
                      </w:r>
                      <w:r w:rsidR="001269D6" w:rsidRPr="001F2BC7">
                        <w:rPr>
                          <w:color w:val="auto"/>
                          <w:lang w:val="en-US"/>
                        </w:rPr>
                        <w:t xml:space="preserve">of enterprises providing business services </w:t>
                      </w:r>
                      <w:r w:rsidRPr="001F2BC7">
                        <w:rPr>
                          <w:color w:val="auto"/>
                          <w:lang w:val="en-US"/>
                        </w:rPr>
                        <w:t>increase</w:t>
                      </w:r>
                      <w:r w:rsidR="001269D6">
                        <w:rPr>
                          <w:color w:val="auto"/>
                          <w:lang w:val="en-US"/>
                        </w:rPr>
                        <w:t>d</w:t>
                      </w:r>
                      <w:r w:rsidRPr="001F2BC7">
                        <w:rPr>
                          <w:color w:val="auto"/>
                          <w:lang w:val="en-US"/>
                        </w:rPr>
                        <w:t xml:space="preserve"> by </w:t>
                      </w:r>
                      <w:r w:rsidR="001269D6">
                        <w:rPr>
                          <w:color w:val="auto"/>
                          <w:lang w:val="en-US"/>
                        </w:rPr>
                        <w:t>17.5%</w:t>
                      </w:r>
                    </w:p>
                  </w:txbxContent>
                </v:textbox>
                <w10:wrap type="tight"/>
              </v:shape>
            </w:pict>
          </mc:Fallback>
        </mc:AlternateContent>
      </w:r>
      <w:r w:rsidR="00655365" w:rsidRPr="00D41848">
        <w:rPr>
          <w:shd w:val="clear" w:color="auto" w:fill="FFFFFF"/>
          <w:lang w:val="en-US"/>
        </w:rPr>
        <w:t>Business services in 2018</w:t>
      </w:r>
    </w:p>
    <w:p w14:paraId="35CD50A8" w14:textId="15727FEA" w:rsidR="0098156A" w:rsidRPr="001F2BC7" w:rsidRDefault="003B236A" w:rsidP="00074DD8">
      <w:pPr>
        <w:rPr>
          <w:shd w:val="clear" w:color="auto" w:fill="FFFFFF"/>
          <w:lang w:val="en-US"/>
        </w:rPr>
      </w:pPr>
      <w:r w:rsidRPr="001F2BC7">
        <w:rPr>
          <w:shd w:val="clear" w:color="auto" w:fill="FFFFFF"/>
          <w:lang w:val="en-US"/>
        </w:rPr>
        <w:t>In the analyzed year on the do</w:t>
      </w:r>
      <w:r w:rsidR="001F2BC7" w:rsidRPr="001F2BC7">
        <w:rPr>
          <w:shd w:val="clear" w:color="auto" w:fill="FFFFFF"/>
          <w:lang w:val="en-US"/>
        </w:rPr>
        <w:t>mestic market, there were over</w:t>
      </w:r>
      <w:r w:rsidRPr="001F2BC7">
        <w:rPr>
          <w:shd w:val="clear" w:color="auto" w:fill="FFFFFF"/>
          <w:lang w:val="en-US"/>
        </w:rPr>
        <w:t xml:space="preserve"> </w:t>
      </w:r>
      <w:r w:rsidR="001F2BC7" w:rsidRPr="001F2BC7">
        <w:rPr>
          <w:shd w:val="clear" w:color="auto" w:fill="FFFFFF"/>
          <w:lang w:val="en-US"/>
        </w:rPr>
        <w:t>531</w:t>
      </w:r>
      <w:r w:rsidR="004D7D1A" w:rsidRPr="001F2BC7">
        <w:rPr>
          <w:shd w:val="clear" w:color="auto" w:fill="FFFFFF"/>
          <w:lang w:val="en-US"/>
        </w:rPr>
        <w:t xml:space="preserve"> </w:t>
      </w:r>
      <w:r w:rsidRPr="001F2BC7">
        <w:rPr>
          <w:shd w:val="clear" w:color="auto" w:fill="FFFFFF"/>
          <w:lang w:val="en-US"/>
        </w:rPr>
        <w:t xml:space="preserve">thousand enterprises which provided business services as their basic </w:t>
      </w:r>
      <w:r w:rsidR="00321FF1" w:rsidRPr="001F2BC7">
        <w:rPr>
          <w:shd w:val="clear" w:color="auto" w:fill="FFFFFF"/>
          <w:lang w:val="en-US"/>
        </w:rPr>
        <w:t xml:space="preserve">business </w:t>
      </w:r>
      <w:r w:rsidRPr="001F2BC7">
        <w:rPr>
          <w:shd w:val="clear" w:color="auto" w:fill="FFFFFF"/>
          <w:lang w:val="en-US"/>
        </w:rPr>
        <w:t>activity</w:t>
      </w:r>
      <w:r w:rsidR="001269D6">
        <w:rPr>
          <w:rStyle w:val="Odwoanieprzypisudolnego"/>
          <w:shd w:val="clear" w:color="auto" w:fill="FFFFFF"/>
          <w:lang w:val="en-US"/>
        </w:rPr>
        <w:footnoteReference w:id="1"/>
      </w:r>
      <w:r w:rsidRPr="001F2BC7">
        <w:rPr>
          <w:shd w:val="clear" w:color="auto" w:fill="FFFFFF"/>
          <w:lang w:val="en-US"/>
        </w:rPr>
        <w:t xml:space="preserve">. </w:t>
      </w:r>
      <w:r w:rsidR="00321FF1" w:rsidRPr="001F2BC7">
        <w:rPr>
          <w:shd w:val="clear" w:color="auto" w:fill="FFFFFF"/>
          <w:lang w:val="en-US"/>
        </w:rPr>
        <w:t xml:space="preserve">These entities constituted </w:t>
      </w:r>
      <w:r w:rsidR="004D7D1A" w:rsidRPr="001F2BC7">
        <w:rPr>
          <w:shd w:val="clear" w:color="auto" w:fill="FFFFFF"/>
          <w:lang w:val="en-US"/>
        </w:rPr>
        <w:t>2</w:t>
      </w:r>
      <w:r w:rsidR="00B11C8C" w:rsidRPr="001F2BC7">
        <w:rPr>
          <w:shd w:val="clear" w:color="auto" w:fill="FFFFFF"/>
          <w:lang w:val="en-US"/>
        </w:rPr>
        <w:t>7</w:t>
      </w:r>
      <w:r w:rsidR="004D7D1A" w:rsidRPr="001F2BC7">
        <w:rPr>
          <w:shd w:val="clear" w:color="auto" w:fill="FFFFFF"/>
          <w:lang w:val="en-US"/>
        </w:rPr>
        <w:t>.</w:t>
      </w:r>
      <w:r w:rsidR="001F2BC7" w:rsidRPr="001F2BC7">
        <w:rPr>
          <w:shd w:val="clear" w:color="auto" w:fill="FFFFFF"/>
          <w:lang w:val="en-US"/>
        </w:rPr>
        <w:t>1</w:t>
      </w:r>
      <w:r w:rsidR="00321FF1" w:rsidRPr="001F2BC7">
        <w:rPr>
          <w:shd w:val="clear" w:color="auto" w:fill="FFFFFF"/>
          <w:lang w:val="en-US"/>
        </w:rPr>
        <w:t xml:space="preserve">% of over </w:t>
      </w:r>
      <w:r w:rsidR="004D7D1A" w:rsidRPr="001F2BC7">
        <w:rPr>
          <w:shd w:val="clear" w:color="auto" w:fill="FFFFFF"/>
          <w:lang w:val="en-US"/>
        </w:rPr>
        <w:t>1.</w:t>
      </w:r>
      <w:r w:rsidR="001F2BC7" w:rsidRPr="001F2BC7">
        <w:rPr>
          <w:shd w:val="clear" w:color="auto" w:fill="FFFFFF"/>
          <w:lang w:val="en-US"/>
        </w:rPr>
        <w:t>9</w:t>
      </w:r>
      <w:r w:rsidR="00321FF1" w:rsidRPr="001F2BC7">
        <w:rPr>
          <w:shd w:val="clear" w:color="auto" w:fill="FFFFFF"/>
          <w:lang w:val="en-US"/>
        </w:rPr>
        <w:t xml:space="preserve"> million enterprises conducting business activity</w:t>
      </w:r>
      <w:bookmarkStart w:id="1" w:name="_Ref519680561"/>
      <w:r w:rsidR="004D7D1A" w:rsidRPr="001F2BC7">
        <w:rPr>
          <w:rStyle w:val="Odwoanieprzypisudolnego"/>
          <w:shd w:val="clear" w:color="auto" w:fill="FFFFFF"/>
          <w:lang w:val="en-US"/>
        </w:rPr>
        <w:footnoteReference w:id="2"/>
      </w:r>
      <w:bookmarkEnd w:id="1"/>
      <w:r w:rsidR="00321FF1" w:rsidRPr="001F2BC7">
        <w:rPr>
          <w:shd w:val="clear" w:color="auto" w:fill="FFFFFF"/>
          <w:lang w:val="en-US"/>
        </w:rPr>
        <w:t xml:space="preserve">. </w:t>
      </w:r>
    </w:p>
    <w:p w14:paraId="209C0232" w14:textId="1BE512AC" w:rsidR="00B1662D" w:rsidRPr="007F4E45" w:rsidRDefault="002C681A" w:rsidP="00074DD8">
      <w:pPr>
        <w:rPr>
          <w:shd w:val="clear" w:color="auto" w:fill="FFFFFF"/>
          <w:lang w:val="en-US"/>
        </w:rPr>
      </w:pPr>
      <w:r w:rsidRPr="007F4E45">
        <w:rPr>
          <w:shd w:val="clear" w:color="auto" w:fill="FFFFFF"/>
          <w:lang w:val="en-US"/>
        </w:rPr>
        <w:t>In 201</w:t>
      </w:r>
      <w:r w:rsidR="007F4E45" w:rsidRPr="007F4E45">
        <w:rPr>
          <w:shd w:val="clear" w:color="auto" w:fill="FFFFFF"/>
          <w:lang w:val="en-US"/>
        </w:rPr>
        <w:t>8</w:t>
      </w:r>
      <w:r w:rsidR="00321FF1" w:rsidRPr="007F4E45">
        <w:rPr>
          <w:shd w:val="clear" w:color="auto" w:fill="FFFFFF"/>
          <w:lang w:val="en-US"/>
        </w:rPr>
        <w:t xml:space="preserve">, </w:t>
      </w:r>
      <w:r w:rsidR="007F4E45" w:rsidRPr="007F4E45">
        <w:rPr>
          <w:shd w:val="clear" w:color="auto" w:fill="FFFFFF"/>
          <w:lang w:val="en-US"/>
        </w:rPr>
        <w:t>almost</w:t>
      </w:r>
      <w:r w:rsidR="00321FF1" w:rsidRPr="007F4E45">
        <w:rPr>
          <w:shd w:val="clear" w:color="auto" w:fill="FFFFFF"/>
          <w:lang w:val="en-US"/>
        </w:rPr>
        <w:t xml:space="preserve"> </w:t>
      </w:r>
      <w:r w:rsidRPr="007F4E45">
        <w:rPr>
          <w:shd w:val="clear" w:color="auto" w:fill="FFFFFF"/>
          <w:lang w:val="en-US"/>
        </w:rPr>
        <w:t>1.</w:t>
      </w:r>
      <w:r w:rsidR="007F4E45" w:rsidRPr="007F4E45">
        <w:rPr>
          <w:shd w:val="clear" w:color="auto" w:fill="FFFFFF"/>
          <w:lang w:val="en-US"/>
        </w:rPr>
        <w:t>7</w:t>
      </w:r>
      <w:r w:rsidR="00C80B0F" w:rsidRPr="007F4E45">
        <w:rPr>
          <w:shd w:val="clear" w:color="auto" w:fill="FFFFFF"/>
          <w:lang w:val="en-US"/>
        </w:rPr>
        <w:t xml:space="preserve"> million</w:t>
      </w:r>
      <w:r w:rsidR="008F1527" w:rsidRPr="007F4E45">
        <w:rPr>
          <w:shd w:val="clear" w:color="auto" w:fill="FFFFFF"/>
          <w:lang w:val="en-US"/>
        </w:rPr>
        <w:t xml:space="preserve"> pe</w:t>
      </w:r>
      <w:r w:rsidR="007F4E45" w:rsidRPr="007F4E45">
        <w:rPr>
          <w:shd w:val="clear" w:color="auto" w:fill="FFFFFF"/>
          <w:lang w:val="en-US"/>
        </w:rPr>
        <w:t>ople</w:t>
      </w:r>
      <w:r w:rsidR="008F1527" w:rsidRPr="007F4E45">
        <w:rPr>
          <w:shd w:val="clear" w:color="auto" w:fill="FFFFFF"/>
          <w:lang w:val="en-US"/>
        </w:rPr>
        <w:t xml:space="preserve"> were employed in the business service sector which constituted </w:t>
      </w:r>
      <w:r w:rsidRPr="007F4E45">
        <w:rPr>
          <w:shd w:val="clear" w:color="auto" w:fill="FFFFFF"/>
          <w:lang w:val="en-US"/>
        </w:rPr>
        <w:t>17.</w:t>
      </w:r>
      <w:r w:rsidR="007F4E45" w:rsidRPr="007F4E45">
        <w:rPr>
          <w:shd w:val="clear" w:color="auto" w:fill="FFFFFF"/>
          <w:lang w:val="en-US"/>
        </w:rPr>
        <w:t>2</w:t>
      </w:r>
      <w:r w:rsidR="008F1527" w:rsidRPr="007F4E45">
        <w:rPr>
          <w:shd w:val="clear" w:color="auto" w:fill="FFFFFF"/>
          <w:lang w:val="en-US"/>
        </w:rPr>
        <w:t>% of total persons employed in total non-financial enterprises</w:t>
      </w:r>
      <w:r w:rsidR="00C80B0F" w:rsidRPr="007F4E45">
        <w:rPr>
          <w:shd w:val="clear" w:color="auto" w:fill="FFFFFF"/>
          <w:vertAlign w:val="superscript"/>
          <w:lang w:val="en-US"/>
        </w:rPr>
        <w:fldChar w:fldCharType="begin"/>
      </w:r>
      <w:r w:rsidR="00C80B0F" w:rsidRPr="007F4E45">
        <w:rPr>
          <w:shd w:val="clear" w:color="auto" w:fill="FFFFFF"/>
          <w:vertAlign w:val="superscript"/>
          <w:lang w:val="en-US"/>
        </w:rPr>
        <w:instrText xml:space="preserve"> NOTEREF _Ref519680561 \h  \* MERGEFORMAT </w:instrText>
      </w:r>
      <w:r w:rsidR="00C80B0F" w:rsidRPr="007F4E45">
        <w:rPr>
          <w:shd w:val="clear" w:color="auto" w:fill="FFFFFF"/>
          <w:vertAlign w:val="superscript"/>
          <w:lang w:val="en-US"/>
        </w:rPr>
      </w:r>
      <w:r w:rsidR="00C80B0F" w:rsidRPr="007F4E45">
        <w:rPr>
          <w:shd w:val="clear" w:color="auto" w:fill="FFFFFF"/>
          <w:vertAlign w:val="superscript"/>
          <w:lang w:val="en-US"/>
        </w:rPr>
        <w:fldChar w:fldCharType="separate"/>
      </w:r>
      <w:r w:rsidR="00C14AE2">
        <w:rPr>
          <w:shd w:val="clear" w:color="auto" w:fill="FFFFFF"/>
          <w:vertAlign w:val="superscript"/>
          <w:lang w:val="en-US"/>
        </w:rPr>
        <w:t>2</w:t>
      </w:r>
      <w:r w:rsidR="00C80B0F" w:rsidRPr="007F4E45">
        <w:rPr>
          <w:shd w:val="clear" w:color="auto" w:fill="FFFFFF"/>
          <w:vertAlign w:val="superscript"/>
          <w:lang w:val="en-US"/>
        </w:rPr>
        <w:fldChar w:fldCharType="end"/>
      </w:r>
      <w:r w:rsidR="00B1662D" w:rsidRPr="007F4E45">
        <w:rPr>
          <w:shd w:val="clear" w:color="auto" w:fill="FFFFFF"/>
          <w:lang w:val="en-US"/>
        </w:rPr>
        <w:t>.</w:t>
      </w:r>
    </w:p>
    <w:p w14:paraId="1C0CE9D8" w14:textId="57FB33ED" w:rsidR="00746187" w:rsidRPr="007F4E45" w:rsidRDefault="00B1662D" w:rsidP="00E76D26">
      <w:pPr>
        <w:rPr>
          <w:lang w:val="en-US"/>
        </w:rPr>
      </w:pPr>
      <w:r w:rsidRPr="007F4E45">
        <w:rPr>
          <w:shd w:val="clear" w:color="auto" w:fill="FFFFFF"/>
          <w:lang w:val="en-US"/>
        </w:rPr>
        <w:t xml:space="preserve">Turnover of enterprises </w:t>
      </w:r>
      <w:r w:rsidR="007B0C84" w:rsidRPr="007F4E45">
        <w:rPr>
          <w:shd w:val="clear" w:color="auto" w:fill="FFFFFF"/>
          <w:lang w:val="en-US"/>
        </w:rPr>
        <w:t>classified to service sector related to business support activities</w:t>
      </w:r>
      <w:r w:rsidR="008F1527" w:rsidRPr="007F4E45">
        <w:rPr>
          <w:shd w:val="clear" w:color="auto" w:fill="FFFFFF"/>
          <w:lang w:val="en-US"/>
        </w:rPr>
        <w:t xml:space="preserve"> </w:t>
      </w:r>
      <w:r w:rsidR="00F70D6C" w:rsidRPr="007F4E45">
        <w:rPr>
          <w:shd w:val="clear" w:color="auto" w:fill="FFFFFF"/>
          <w:lang w:val="en-US"/>
        </w:rPr>
        <w:t xml:space="preserve">reached in the analyzed year PLN </w:t>
      </w:r>
      <w:r w:rsidR="002C681A" w:rsidRPr="007F4E45">
        <w:rPr>
          <w:shd w:val="clear" w:color="auto" w:fill="FFFFFF"/>
          <w:lang w:val="en-US"/>
        </w:rPr>
        <w:t>3</w:t>
      </w:r>
      <w:r w:rsidR="007F4E45" w:rsidRPr="007F4E45">
        <w:rPr>
          <w:shd w:val="clear" w:color="auto" w:fill="FFFFFF"/>
          <w:lang w:val="en-US"/>
        </w:rPr>
        <w:t>95</w:t>
      </w:r>
      <w:r w:rsidR="00C80B0F" w:rsidRPr="007F4E45">
        <w:rPr>
          <w:shd w:val="clear" w:color="auto" w:fill="FFFFFF"/>
          <w:lang w:val="en-US"/>
        </w:rPr>
        <w:t>.</w:t>
      </w:r>
      <w:r w:rsidR="007F4E45" w:rsidRPr="007F4E45">
        <w:rPr>
          <w:shd w:val="clear" w:color="auto" w:fill="FFFFFF"/>
          <w:lang w:val="en-US"/>
        </w:rPr>
        <w:t>4</w:t>
      </w:r>
      <w:r w:rsidR="00F70D6C" w:rsidRPr="007F4E45">
        <w:rPr>
          <w:shd w:val="clear" w:color="auto" w:fill="FFFFFF"/>
          <w:lang w:val="en-US"/>
        </w:rPr>
        <w:t xml:space="preserve"> billion which constituted </w:t>
      </w:r>
      <w:r w:rsidR="007F4E45" w:rsidRPr="007F4E45">
        <w:rPr>
          <w:shd w:val="clear" w:color="auto" w:fill="FFFFFF"/>
          <w:lang w:val="en-US"/>
        </w:rPr>
        <w:t>8</w:t>
      </w:r>
      <w:r w:rsidR="002C681A" w:rsidRPr="007F4E45">
        <w:rPr>
          <w:shd w:val="clear" w:color="auto" w:fill="FFFFFF"/>
          <w:lang w:val="en-US"/>
        </w:rPr>
        <w:t>.</w:t>
      </w:r>
      <w:r w:rsidR="007F4E45" w:rsidRPr="007F4E45">
        <w:rPr>
          <w:shd w:val="clear" w:color="auto" w:fill="FFFFFF"/>
          <w:lang w:val="en-US"/>
        </w:rPr>
        <w:t>2</w:t>
      </w:r>
      <w:r w:rsidR="00F70D6C" w:rsidRPr="007F4E45">
        <w:rPr>
          <w:shd w:val="clear" w:color="auto" w:fill="FFFFFF"/>
          <w:lang w:val="en-US"/>
        </w:rPr>
        <w:t xml:space="preserve">% of the </w:t>
      </w:r>
      <w:r w:rsidR="006012ED">
        <w:rPr>
          <w:shd w:val="clear" w:color="auto" w:fill="FFFFFF"/>
          <w:lang w:val="en-US"/>
        </w:rPr>
        <w:t xml:space="preserve">total </w:t>
      </w:r>
      <w:r w:rsidR="00F70D6C" w:rsidRPr="007F4E45">
        <w:rPr>
          <w:shd w:val="clear" w:color="auto" w:fill="FFFFFF"/>
          <w:lang w:val="en-US"/>
        </w:rPr>
        <w:t>turnover of non-financial enterprises conducting business activity</w:t>
      </w:r>
      <w:r w:rsidR="00A01963" w:rsidRPr="007F4E45">
        <w:rPr>
          <w:shd w:val="clear" w:color="auto" w:fill="FFFFFF"/>
          <w:vertAlign w:val="superscript"/>
          <w:lang w:val="en-US"/>
        </w:rPr>
        <w:fldChar w:fldCharType="begin"/>
      </w:r>
      <w:r w:rsidR="00A01963" w:rsidRPr="007F4E45">
        <w:rPr>
          <w:shd w:val="clear" w:color="auto" w:fill="FFFFFF"/>
          <w:vertAlign w:val="superscript"/>
          <w:lang w:val="en-US"/>
        </w:rPr>
        <w:instrText xml:space="preserve"> NOTEREF _Ref519680561 \h  \* MERGEFORMAT </w:instrText>
      </w:r>
      <w:r w:rsidR="00A01963" w:rsidRPr="007F4E45">
        <w:rPr>
          <w:shd w:val="clear" w:color="auto" w:fill="FFFFFF"/>
          <w:vertAlign w:val="superscript"/>
          <w:lang w:val="en-US"/>
        </w:rPr>
      </w:r>
      <w:r w:rsidR="00A01963" w:rsidRPr="007F4E45">
        <w:rPr>
          <w:shd w:val="clear" w:color="auto" w:fill="FFFFFF"/>
          <w:vertAlign w:val="superscript"/>
          <w:lang w:val="en-US"/>
        </w:rPr>
        <w:fldChar w:fldCharType="separate"/>
      </w:r>
      <w:r w:rsidR="00C14AE2">
        <w:rPr>
          <w:shd w:val="clear" w:color="auto" w:fill="FFFFFF"/>
          <w:vertAlign w:val="superscript"/>
          <w:lang w:val="en-US"/>
        </w:rPr>
        <w:t>2</w:t>
      </w:r>
      <w:r w:rsidR="00A01963" w:rsidRPr="007F4E45">
        <w:rPr>
          <w:shd w:val="clear" w:color="auto" w:fill="FFFFFF"/>
          <w:vertAlign w:val="superscript"/>
          <w:lang w:val="en-US"/>
        </w:rPr>
        <w:fldChar w:fldCharType="end"/>
      </w:r>
      <w:r w:rsidR="00F70D6C" w:rsidRPr="007F4E45">
        <w:rPr>
          <w:shd w:val="clear" w:color="auto" w:fill="FFFFFF"/>
          <w:lang w:val="en-US"/>
        </w:rPr>
        <w:t xml:space="preserve">.  </w:t>
      </w:r>
    </w:p>
    <w:p w14:paraId="138A70F1" w14:textId="61E2A166" w:rsidR="00B370C3" w:rsidRPr="007F4E45" w:rsidRDefault="00B370C3" w:rsidP="00B370C3">
      <w:pPr>
        <w:rPr>
          <w:lang w:val="en-US" w:eastAsia="pl-PL"/>
        </w:rPr>
      </w:pPr>
      <w:r w:rsidRPr="007F4E45">
        <w:rPr>
          <w:lang w:val="en-US" w:eastAsia="pl-PL"/>
        </w:rPr>
        <w:t xml:space="preserve">Among </w:t>
      </w:r>
      <w:r w:rsidR="00437678" w:rsidRPr="007F4E45">
        <w:rPr>
          <w:lang w:val="en-US" w:eastAsia="pl-PL"/>
        </w:rPr>
        <w:t xml:space="preserve">the </w:t>
      </w:r>
      <w:r w:rsidRPr="007F4E45">
        <w:rPr>
          <w:lang w:val="en-US" w:eastAsia="pl-PL"/>
        </w:rPr>
        <w:t xml:space="preserve">enterprises providing business services, entities conducting business activity related to </w:t>
      </w:r>
      <w:r w:rsidR="00C80B0F" w:rsidRPr="007F4E45">
        <w:rPr>
          <w:lang w:val="en-US" w:eastAsia="pl-PL"/>
        </w:rPr>
        <w:t>real estate</w:t>
      </w:r>
      <w:r w:rsidRPr="007F4E45">
        <w:rPr>
          <w:lang w:val="en-US" w:eastAsia="pl-PL"/>
        </w:rPr>
        <w:t xml:space="preserve"> were the most important</w:t>
      </w:r>
      <w:r w:rsidR="006012ED">
        <w:rPr>
          <w:lang w:val="en-US" w:eastAsia="pl-PL"/>
        </w:rPr>
        <w:t xml:space="preserve"> in terms of turnover. I</w:t>
      </w:r>
      <w:r w:rsidR="00916F0A" w:rsidRPr="007F4E45">
        <w:rPr>
          <w:lang w:val="en-US" w:eastAsia="pl-PL"/>
        </w:rPr>
        <w:t>n 201</w:t>
      </w:r>
      <w:r w:rsidR="007F4E45" w:rsidRPr="007F4E45">
        <w:rPr>
          <w:lang w:val="en-US" w:eastAsia="pl-PL"/>
        </w:rPr>
        <w:t>8</w:t>
      </w:r>
      <w:r w:rsidRPr="007F4E45">
        <w:rPr>
          <w:lang w:val="en-US" w:eastAsia="pl-PL"/>
        </w:rPr>
        <w:t xml:space="preserve"> </w:t>
      </w:r>
      <w:r w:rsidR="00304EB7" w:rsidRPr="007F4E45">
        <w:rPr>
          <w:lang w:val="en-US" w:eastAsia="pl-PL"/>
        </w:rPr>
        <w:t xml:space="preserve">they </w:t>
      </w:r>
      <w:r w:rsidRPr="007F4E45">
        <w:rPr>
          <w:lang w:val="en-US" w:eastAsia="pl-PL"/>
        </w:rPr>
        <w:t xml:space="preserve">generated </w:t>
      </w:r>
      <w:r w:rsidR="007F4E45" w:rsidRPr="007F4E45">
        <w:rPr>
          <w:lang w:val="en-US" w:eastAsia="pl-PL"/>
        </w:rPr>
        <w:t>22</w:t>
      </w:r>
      <w:r w:rsidR="00916F0A" w:rsidRPr="007F4E45">
        <w:rPr>
          <w:lang w:val="en-US" w:eastAsia="pl-PL"/>
        </w:rPr>
        <w:t>.</w:t>
      </w:r>
      <w:r w:rsidR="007F4E45" w:rsidRPr="007F4E45">
        <w:rPr>
          <w:lang w:val="en-US" w:eastAsia="pl-PL"/>
        </w:rPr>
        <w:t>3</w:t>
      </w:r>
      <w:r w:rsidRPr="007F4E45">
        <w:rPr>
          <w:lang w:val="en-US" w:eastAsia="pl-PL"/>
        </w:rPr>
        <w:t>% of turnover in the business</w:t>
      </w:r>
      <w:r w:rsidR="00916F0A" w:rsidRPr="007F4E45">
        <w:rPr>
          <w:lang w:val="en-US" w:eastAsia="pl-PL"/>
        </w:rPr>
        <w:t xml:space="preserve"> services segment</w:t>
      </w:r>
      <w:r w:rsidRPr="007F4E45">
        <w:rPr>
          <w:lang w:val="en-US" w:eastAsia="pl-PL"/>
        </w:rPr>
        <w:t>.</w:t>
      </w:r>
      <w:r w:rsidR="00304EB7" w:rsidRPr="007F4E45">
        <w:rPr>
          <w:lang w:val="en-US" w:eastAsia="pl-PL"/>
        </w:rPr>
        <w:t xml:space="preserve"> Enterprises conducting activities related to </w:t>
      </w:r>
      <w:r w:rsidR="00C80B0F" w:rsidRPr="007F4E45">
        <w:rPr>
          <w:lang w:val="en-US" w:eastAsia="pl-PL"/>
        </w:rPr>
        <w:t xml:space="preserve">computer programming, consultancy and related activities  </w:t>
      </w:r>
      <w:r w:rsidR="00304EB7" w:rsidRPr="007F4E45">
        <w:rPr>
          <w:lang w:val="en-US" w:eastAsia="pl-PL"/>
        </w:rPr>
        <w:t xml:space="preserve">generated </w:t>
      </w:r>
      <w:r w:rsidR="00916F0A" w:rsidRPr="007F4E45">
        <w:rPr>
          <w:lang w:val="en-US" w:eastAsia="pl-PL"/>
        </w:rPr>
        <w:t>16</w:t>
      </w:r>
      <w:r w:rsidR="00C80B0F" w:rsidRPr="007F4E45">
        <w:rPr>
          <w:lang w:val="en-US" w:eastAsia="pl-PL"/>
        </w:rPr>
        <w:t>.</w:t>
      </w:r>
      <w:r w:rsidR="007F4E45" w:rsidRPr="007F4E45">
        <w:rPr>
          <w:lang w:val="en-US" w:eastAsia="pl-PL"/>
        </w:rPr>
        <w:t>9</w:t>
      </w:r>
      <w:r w:rsidR="00304EB7" w:rsidRPr="007F4E45">
        <w:rPr>
          <w:lang w:val="en-US" w:eastAsia="pl-PL"/>
        </w:rPr>
        <w:t xml:space="preserve">% of total turnover and </w:t>
      </w:r>
      <w:r w:rsidR="007F4E45" w:rsidRPr="007F4E45">
        <w:rPr>
          <w:lang w:val="en-US" w:eastAsia="pl-PL"/>
        </w:rPr>
        <w:t>9</w:t>
      </w:r>
      <w:r w:rsidR="00C80B0F" w:rsidRPr="007F4E45">
        <w:rPr>
          <w:lang w:val="en-US" w:eastAsia="pl-PL"/>
        </w:rPr>
        <w:t>.</w:t>
      </w:r>
      <w:r w:rsidR="007F4E45" w:rsidRPr="007F4E45">
        <w:rPr>
          <w:lang w:val="en-US" w:eastAsia="pl-PL"/>
        </w:rPr>
        <w:t>2</w:t>
      </w:r>
      <w:r w:rsidR="006012ED">
        <w:rPr>
          <w:lang w:val="en-US" w:eastAsia="pl-PL"/>
        </w:rPr>
        <w:t>%</w:t>
      </w:r>
      <w:r w:rsidR="00C80B0F" w:rsidRPr="007F4E45">
        <w:rPr>
          <w:lang w:val="en-US" w:eastAsia="pl-PL"/>
        </w:rPr>
        <w:t xml:space="preserve"> </w:t>
      </w:r>
      <w:r w:rsidR="00304EB7" w:rsidRPr="007F4E45">
        <w:rPr>
          <w:lang w:val="en-US" w:eastAsia="pl-PL"/>
        </w:rPr>
        <w:t xml:space="preserve">in enterprises classified in Division </w:t>
      </w:r>
      <w:r w:rsidR="00C80B0F" w:rsidRPr="007F4E45">
        <w:rPr>
          <w:lang w:val="en-US" w:eastAsia="pl-PL"/>
        </w:rPr>
        <w:t>73 “Advertising and market research”</w:t>
      </w:r>
      <w:r w:rsidR="00304EB7" w:rsidRPr="007F4E45">
        <w:rPr>
          <w:lang w:val="en-US" w:eastAsia="pl-PL"/>
        </w:rPr>
        <w:t>.</w:t>
      </w:r>
      <w:r w:rsidR="00916F0A" w:rsidRPr="007F4E45">
        <w:rPr>
          <w:lang w:val="en-US" w:eastAsia="pl-PL"/>
        </w:rPr>
        <w:t xml:space="preserve"> </w:t>
      </w:r>
    </w:p>
    <w:p w14:paraId="411B7ABC" w14:textId="446B1EC6" w:rsidR="004E3058" w:rsidRPr="007F4E45" w:rsidRDefault="00D259F6" w:rsidP="00D34063">
      <w:pPr>
        <w:pStyle w:val="tytuwykresu"/>
        <w:ind w:left="709" w:hanging="709"/>
        <w:rPr>
          <w:lang w:val="en-US"/>
        </w:rPr>
      </w:pPr>
      <w:r w:rsidRPr="007F4E45">
        <w:rPr>
          <w:noProof/>
          <w:lang w:eastAsia="pl-PL"/>
        </w:rPr>
        <w:lastRenderedPageBreak/>
        <w:drawing>
          <wp:anchor distT="0" distB="0" distL="114300" distR="114300" simplePos="0" relativeHeight="251794432" behindDoc="0" locked="0" layoutInCell="1" allowOverlap="1" wp14:anchorId="223DD1F5" wp14:editId="4528315B">
            <wp:simplePos x="0" y="0"/>
            <wp:positionH relativeFrom="margin">
              <wp:align>left</wp:align>
            </wp:positionH>
            <wp:positionV relativeFrom="paragraph">
              <wp:posOffset>350176</wp:posOffset>
            </wp:positionV>
            <wp:extent cx="5143500" cy="3078480"/>
            <wp:effectExtent l="0" t="0" r="0" b="7620"/>
            <wp:wrapSquare wrapText="bothSides"/>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7F4E45" w:rsidRPr="007F4E45">
        <w:rPr>
          <w:lang w:val="en-US"/>
        </w:rPr>
        <w:t>Chart 1</w:t>
      </w:r>
      <w:r w:rsidR="00304EB7" w:rsidRPr="007F4E45">
        <w:rPr>
          <w:lang w:val="en-US"/>
        </w:rPr>
        <w:t>.</w:t>
      </w:r>
      <w:r w:rsidR="00304EB7" w:rsidRPr="007F4E45">
        <w:rPr>
          <w:shd w:val="clear" w:color="auto" w:fill="FFFFFF"/>
          <w:lang w:val="en-US"/>
        </w:rPr>
        <w:t xml:space="preserve"> Turnover structure in the sector of enterprises providing business activities </w:t>
      </w:r>
      <w:r w:rsidR="00761E3B" w:rsidRPr="007F4E45">
        <w:rPr>
          <w:shd w:val="clear" w:color="auto" w:fill="FFFFFF"/>
          <w:lang w:val="en-US"/>
        </w:rPr>
        <w:t xml:space="preserve">by primary kind of activity </w:t>
      </w:r>
      <w:r w:rsidR="00304EB7" w:rsidRPr="007F4E45">
        <w:rPr>
          <w:shd w:val="clear" w:color="auto" w:fill="FFFFFF"/>
          <w:lang w:val="en-US"/>
        </w:rPr>
        <w:t>in 201</w:t>
      </w:r>
      <w:r w:rsidR="00F20735">
        <w:rPr>
          <w:shd w:val="clear" w:color="auto" w:fill="FFFFFF"/>
          <w:lang w:val="en-US"/>
        </w:rPr>
        <w:t>8</w:t>
      </w:r>
      <w:r w:rsidR="00C80B0F" w:rsidRPr="007F4E45">
        <w:rPr>
          <w:rStyle w:val="Odwoanieprzypisudolnego"/>
          <w:shd w:val="clear" w:color="auto" w:fill="FFFFFF"/>
          <w:lang w:val="en-US"/>
        </w:rPr>
        <w:footnoteReference w:id="3"/>
      </w:r>
    </w:p>
    <w:p w14:paraId="7ACD478D" w14:textId="4748EAEB" w:rsidR="002946C9" w:rsidRPr="009832AB" w:rsidRDefault="001F6454" w:rsidP="00B370C3">
      <w:pPr>
        <w:rPr>
          <w:lang w:val="en-US" w:eastAsia="pl-PL"/>
        </w:rPr>
      </w:pPr>
      <w:r w:rsidRPr="009832AB">
        <w:rPr>
          <w:lang w:val="en-US" w:eastAsia="pl-PL"/>
        </w:rPr>
        <w:t>In terms of the enterprise</w:t>
      </w:r>
      <w:r w:rsidR="004D4E6B" w:rsidRPr="009832AB">
        <w:rPr>
          <w:lang w:val="en-US" w:eastAsia="pl-PL"/>
        </w:rPr>
        <w:t>s size</w:t>
      </w:r>
      <w:r w:rsidR="009832AB" w:rsidRPr="009832AB">
        <w:rPr>
          <w:lang w:val="en-US" w:eastAsia="pl-PL"/>
        </w:rPr>
        <w:t>, the most numerous group (97.5</w:t>
      </w:r>
      <w:r w:rsidR="004D4E6B" w:rsidRPr="009832AB">
        <w:rPr>
          <w:lang w:val="en-US" w:eastAsia="pl-PL"/>
        </w:rPr>
        <w:t>%</w:t>
      </w:r>
      <w:r w:rsidR="00916F0A" w:rsidRPr="009832AB">
        <w:rPr>
          <w:lang w:val="en-US" w:eastAsia="pl-PL"/>
        </w:rPr>
        <w:t>)</w:t>
      </w:r>
      <w:r w:rsidR="004D4E6B" w:rsidRPr="009832AB">
        <w:rPr>
          <w:lang w:val="en-US" w:eastAsia="pl-PL"/>
        </w:rPr>
        <w:t xml:space="preserve"> </w:t>
      </w:r>
      <w:r w:rsidRPr="009832AB">
        <w:rPr>
          <w:lang w:val="en-US" w:eastAsia="pl-PL"/>
        </w:rPr>
        <w:t>constituted</w:t>
      </w:r>
      <w:r w:rsidR="004D4E6B" w:rsidRPr="009832AB">
        <w:rPr>
          <w:lang w:val="en-US" w:eastAsia="pl-PL"/>
        </w:rPr>
        <w:t xml:space="preserve"> enterprises with the number of persons employed </w:t>
      </w:r>
      <w:r w:rsidRPr="009832AB">
        <w:rPr>
          <w:lang w:val="en-US" w:eastAsia="pl-PL"/>
        </w:rPr>
        <w:t>9 and less.</w:t>
      </w:r>
      <w:r w:rsidR="004D4E6B" w:rsidRPr="009832AB">
        <w:rPr>
          <w:lang w:val="en-US" w:eastAsia="pl-PL"/>
        </w:rPr>
        <w:t xml:space="preserve"> These entities employed </w:t>
      </w:r>
      <w:r w:rsidR="009832AB" w:rsidRPr="009832AB">
        <w:rPr>
          <w:lang w:val="en-US" w:eastAsia="pl-PL"/>
        </w:rPr>
        <w:t>45</w:t>
      </w:r>
      <w:r w:rsidRPr="009832AB">
        <w:rPr>
          <w:lang w:val="en-US" w:eastAsia="pl-PL"/>
        </w:rPr>
        <w:t>.</w:t>
      </w:r>
      <w:r w:rsidR="009832AB" w:rsidRPr="009832AB">
        <w:rPr>
          <w:lang w:val="en-US" w:eastAsia="pl-PL"/>
        </w:rPr>
        <w:t>5</w:t>
      </w:r>
      <w:r w:rsidR="003915A5" w:rsidRPr="009832AB">
        <w:rPr>
          <w:lang w:val="en-US" w:eastAsia="pl-PL"/>
        </w:rPr>
        <w:t>% of the total number of persons employed in the business services sector</w:t>
      </w:r>
      <w:r w:rsidRPr="009832AB">
        <w:rPr>
          <w:lang w:val="en-US" w:eastAsia="pl-PL"/>
        </w:rPr>
        <w:t xml:space="preserve"> </w:t>
      </w:r>
      <w:r w:rsidR="003915A5" w:rsidRPr="009832AB">
        <w:rPr>
          <w:lang w:val="en-US" w:eastAsia="pl-PL"/>
        </w:rPr>
        <w:t xml:space="preserve">and generated </w:t>
      </w:r>
      <w:r w:rsidR="00916F0A" w:rsidRPr="009832AB">
        <w:rPr>
          <w:lang w:val="en-US" w:eastAsia="pl-PL"/>
        </w:rPr>
        <w:t>4</w:t>
      </w:r>
      <w:r w:rsidR="009832AB" w:rsidRPr="009832AB">
        <w:rPr>
          <w:lang w:val="en-US" w:eastAsia="pl-PL"/>
        </w:rPr>
        <w:t>6</w:t>
      </w:r>
      <w:r w:rsidR="00916F0A" w:rsidRPr="009832AB">
        <w:rPr>
          <w:lang w:val="en-US" w:eastAsia="pl-PL"/>
        </w:rPr>
        <w:t>.</w:t>
      </w:r>
      <w:r w:rsidR="009832AB" w:rsidRPr="009832AB">
        <w:rPr>
          <w:lang w:val="en-US" w:eastAsia="pl-PL"/>
        </w:rPr>
        <w:t>8</w:t>
      </w:r>
      <w:r w:rsidR="003915A5" w:rsidRPr="009832AB">
        <w:rPr>
          <w:lang w:val="en-US" w:eastAsia="pl-PL"/>
        </w:rPr>
        <w:t xml:space="preserve">% of turnover of these enterprises. </w:t>
      </w:r>
    </w:p>
    <w:p w14:paraId="303EE7B5" w14:textId="67AEE04C" w:rsidR="004E3058" w:rsidRPr="009832AB" w:rsidRDefault="003915A5" w:rsidP="00B370C3">
      <w:pPr>
        <w:rPr>
          <w:lang w:val="en-US" w:eastAsia="pl-PL"/>
        </w:rPr>
      </w:pPr>
      <w:r w:rsidRPr="009832AB">
        <w:rPr>
          <w:lang w:val="en-US" w:eastAsia="pl-PL"/>
        </w:rPr>
        <w:t>Entities with the number of persons employed</w:t>
      </w:r>
      <w:r w:rsidR="001F6454" w:rsidRPr="009832AB">
        <w:rPr>
          <w:lang w:val="en-US" w:eastAsia="pl-PL"/>
        </w:rPr>
        <w:t xml:space="preserve"> 9 and less</w:t>
      </w:r>
      <w:r w:rsidRPr="009832AB">
        <w:rPr>
          <w:lang w:val="en-US" w:eastAsia="pl-PL"/>
        </w:rPr>
        <w:t xml:space="preserve"> had the greatest importance in </w:t>
      </w:r>
      <w:r w:rsidR="001F6454" w:rsidRPr="009832AB">
        <w:rPr>
          <w:lang w:val="en-US" w:eastAsia="pl-PL"/>
        </w:rPr>
        <w:t>other professional, scientific and technical activities.</w:t>
      </w:r>
      <w:r w:rsidR="009832AB" w:rsidRPr="009832AB">
        <w:rPr>
          <w:lang w:val="en-US" w:eastAsia="pl-PL"/>
        </w:rPr>
        <w:t xml:space="preserve"> In 2018</w:t>
      </w:r>
      <w:r w:rsidRPr="009832AB">
        <w:rPr>
          <w:lang w:val="en-US" w:eastAsia="pl-PL"/>
        </w:rPr>
        <w:t xml:space="preserve">, the share of entities </w:t>
      </w:r>
      <w:r w:rsidR="002946C9" w:rsidRPr="009832AB">
        <w:rPr>
          <w:lang w:val="en-US" w:eastAsia="pl-PL"/>
        </w:rPr>
        <w:t xml:space="preserve">with the number of persons employed 9 and less </w:t>
      </w:r>
      <w:r w:rsidRPr="009832AB">
        <w:rPr>
          <w:lang w:val="en-US" w:eastAsia="pl-PL"/>
        </w:rPr>
        <w:t xml:space="preserve">which </w:t>
      </w:r>
      <w:r w:rsidR="002946C9" w:rsidRPr="009832AB">
        <w:rPr>
          <w:lang w:val="en-US" w:eastAsia="pl-PL"/>
        </w:rPr>
        <w:t xml:space="preserve">declared </w:t>
      </w:r>
      <w:r w:rsidRPr="009832AB">
        <w:rPr>
          <w:lang w:val="en-US" w:eastAsia="pl-PL"/>
        </w:rPr>
        <w:t>th</w:t>
      </w:r>
      <w:r w:rsidR="002946C9" w:rsidRPr="009832AB">
        <w:rPr>
          <w:lang w:val="en-US" w:eastAsia="pl-PL"/>
        </w:rPr>
        <w:t>is</w:t>
      </w:r>
      <w:r w:rsidRPr="009832AB">
        <w:rPr>
          <w:lang w:val="en-US" w:eastAsia="pl-PL"/>
        </w:rPr>
        <w:t xml:space="preserve"> activity as the main </w:t>
      </w:r>
      <w:r w:rsidR="00307EC7" w:rsidRPr="009832AB">
        <w:rPr>
          <w:lang w:val="en-US" w:eastAsia="pl-PL"/>
        </w:rPr>
        <w:t>accounted for over 99.2%</w:t>
      </w:r>
      <w:r w:rsidR="00307EC7">
        <w:rPr>
          <w:lang w:val="en-US" w:eastAsia="pl-PL"/>
        </w:rPr>
        <w:t xml:space="preserve"> </w:t>
      </w:r>
      <w:r w:rsidRPr="009832AB">
        <w:rPr>
          <w:lang w:val="en-US" w:eastAsia="pl-PL"/>
        </w:rPr>
        <w:t>in the total number of non-financial enterprises</w:t>
      </w:r>
      <w:r w:rsidR="00307EC7">
        <w:rPr>
          <w:lang w:val="en-US" w:eastAsia="pl-PL"/>
        </w:rPr>
        <w:t xml:space="preserve">. </w:t>
      </w:r>
      <w:r w:rsidRPr="009832AB">
        <w:rPr>
          <w:lang w:val="en-US" w:eastAsia="pl-PL"/>
        </w:rPr>
        <w:t xml:space="preserve"> </w:t>
      </w:r>
      <w:r w:rsidR="00307EC7">
        <w:rPr>
          <w:lang w:val="en-US" w:eastAsia="pl-PL"/>
        </w:rPr>
        <w:t>T</w:t>
      </w:r>
      <w:r w:rsidR="004F4414" w:rsidRPr="009832AB">
        <w:rPr>
          <w:lang w:val="en-US" w:eastAsia="pl-PL"/>
        </w:rPr>
        <w:t xml:space="preserve">hey gave jobs for </w:t>
      </w:r>
      <w:r w:rsidR="00001C81" w:rsidRPr="009832AB">
        <w:rPr>
          <w:lang w:val="en-US" w:eastAsia="pl-PL"/>
        </w:rPr>
        <w:t>8</w:t>
      </w:r>
      <w:r w:rsidR="009832AB" w:rsidRPr="009832AB">
        <w:rPr>
          <w:lang w:val="en-US" w:eastAsia="pl-PL"/>
        </w:rPr>
        <w:t>1</w:t>
      </w:r>
      <w:r w:rsidR="00001C81" w:rsidRPr="009832AB">
        <w:rPr>
          <w:lang w:val="en-US" w:eastAsia="pl-PL"/>
        </w:rPr>
        <w:t>.</w:t>
      </w:r>
      <w:r w:rsidR="009832AB" w:rsidRPr="009832AB">
        <w:rPr>
          <w:lang w:val="en-US" w:eastAsia="pl-PL"/>
        </w:rPr>
        <w:t>2</w:t>
      </w:r>
      <w:r w:rsidR="006A7E17">
        <w:rPr>
          <w:lang w:val="en-US" w:eastAsia="pl-PL"/>
        </w:rPr>
        <w:t xml:space="preserve">% of total </w:t>
      </w:r>
      <w:r w:rsidR="004F4414" w:rsidRPr="009832AB">
        <w:rPr>
          <w:lang w:val="en-US" w:eastAsia="pl-PL"/>
        </w:rPr>
        <w:t xml:space="preserve">persons employed </w:t>
      </w:r>
      <w:r w:rsidR="002946C9" w:rsidRPr="009832AB">
        <w:rPr>
          <w:lang w:val="en-US" w:eastAsia="pl-PL"/>
        </w:rPr>
        <w:t xml:space="preserve">in this activity </w:t>
      </w:r>
      <w:r w:rsidR="004F4414" w:rsidRPr="009832AB">
        <w:rPr>
          <w:lang w:val="en-US" w:eastAsia="pl-PL"/>
        </w:rPr>
        <w:t xml:space="preserve">and achieved </w:t>
      </w:r>
      <w:r w:rsidR="00001C81" w:rsidRPr="009832AB">
        <w:rPr>
          <w:lang w:val="en-US" w:eastAsia="pl-PL"/>
        </w:rPr>
        <w:t>7</w:t>
      </w:r>
      <w:r w:rsidR="009832AB" w:rsidRPr="009832AB">
        <w:rPr>
          <w:lang w:val="en-US" w:eastAsia="pl-PL"/>
        </w:rPr>
        <w:t>0</w:t>
      </w:r>
      <w:r w:rsidR="001F6454" w:rsidRPr="009832AB">
        <w:rPr>
          <w:lang w:val="en-US" w:eastAsia="pl-PL"/>
        </w:rPr>
        <w:t>.</w:t>
      </w:r>
      <w:r w:rsidR="009832AB" w:rsidRPr="009832AB">
        <w:rPr>
          <w:lang w:val="en-US" w:eastAsia="pl-PL"/>
        </w:rPr>
        <w:t>6</w:t>
      </w:r>
      <w:r w:rsidR="004F4414" w:rsidRPr="009832AB">
        <w:rPr>
          <w:lang w:val="en-US" w:eastAsia="pl-PL"/>
        </w:rPr>
        <w:t xml:space="preserve">% of turnover by the whole population of these enterprises. For comparison, the share of enterprises with the number of persons employed </w:t>
      </w:r>
      <w:r w:rsidR="001F6454" w:rsidRPr="009832AB">
        <w:rPr>
          <w:lang w:val="en-US" w:eastAsia="pl-PL"/>
        </w:rPr>
        <w:t>9</w:t>
      </w:r>
      <w:r w:rsidR="004F4414" w:rsidRPr="009832AB">
        <w:rPr>
          <w:lang w:val="en-US" w:eastAsia="pl-PL"/>
        </w:rPr>
        <w:t xml:space="preserve"> and less in </w:t>
      </w:r>
      <w:r w:rsidR="00D742AA" w:rsidRPr="009832AB">
        <w:rPr>
          <w:lang w:val="en-US" w:eastAsia="pl-PL"/>
        </w:rPr>
        <w:t xml:space="preserve">security and investigation activities </w:t>
      </w:r>
      <w:r w:rsidR="004F4414" w:rsidRPr="009832AB">
        <w:rPr>
          <w:lang w:val="en-US" w:eastAsia="pl-PL"/>
        </w:rPr>
        <w:t xml:space="preserve">constituted </w:t>
      </w:r>
      <w:r w:rsidR="001F6454" w:rsidRPr="009832AB">
        <w:rPr>
          <w:lang w:val="en-US" w:eastAsia="pl-PL"/>
        </w:rPr>
        <w:t>8</w:t>
      </w:r>
      <w:r w:rsidR="009832AB" w:rsidRPr="009832AB">
        <w:rPr>
          <w:lang w:val="en-US" w:eastAsia="pl-PL"/>
        </w:rPr>
        <w:t>2</w:t>
      </w:r>
      <w:r w:rsidR="001F6454" w:rsidRPr="009832AB">
        <w:rPr>
          <w:lang w:val="en-US" w:eastAsia="pl-PL"/>
        </w:rPr>
        <w:t>.</w:t>
      </w:r>
      <w:r w:rsidR="009832AB" w:rsidRPr="009832AB">
        <w:rPr>
          <w:lang w:val="en-US" w:eastAsia="pl-PL"/>
        </w:rPr>
        <w:t>3</w:t>
      </w:r>
      <w:r w:rsidR="004F4414" w:rsidRPr="009832AB">
        <w:rPr>
          <w:lang w:val="en-US" w:eastAsia="pl-PL"/>
        </w:rPr>
        <w:t>%</w:t>
      </w:r>
      <w:r w:rsidR="001F6454" w:rsidRPr="009832AB">
        <w:rPr>
          <w:lang w:val="en-US" w:eastAsia="pl-PL"/>
        </w:rPr>
        <w:t xml:space="preserve"> </w:t>
      </w:r>
      <w:r w:rsidR="004F4414" w:rsidRPr="009832AB">
        <w:rPr>
          <w:lang w:val="en-US" w:eastAsia="pl-PL"/>
        </w:rPr>
        <w:t xml:space="preserve">of all enterprises in this business. </w:t>
      </w:r>
      <w:r w:rsidR="004E030D">
        <w:rPr>
          <w:lang w:val="en-US" w:eastAsia="pl-PL"/>
        </w:rPr>
        <w:t xml:space="preserve">However </w:t>
      </w:r>
      <w:r w:rsidR="009832AB" w:rsidRPr="009832AB">
        <w:rPr>
          <w:lang w:val="en-US" w:eastAsia="pl-PL"/>
        </w:rPr>
        <w:t>5</w:t>
      </w:r>
      <w:r w:rsidR="001F6454" w:rsidRPr="009832AB">
        <w:rPr>
          <w:lang w:val="en-US" w:eastAsia="pl-PL"/>
        </w:rPr>
        <w:t>.</w:t>
      </w:r>
      <w:r w:rsidR="009832AB" w:rsidRPr="009832AB">
        <w:rPr>
          <w:lang w:val="en-US" w:eastAsia="pl-PL"/>
        </w:rPr>
        <w:t>5</w:t>
      </w:r>
      <w:r w:rsidR="004F4414" w:rsidRPr="009832AB">
        <w:rPr>
          <w:lang w:val="en-US" w:eastAsia="pl-PL"/>
        </w:rPr>
        <w:t>% of total persons employed</w:t>
      </w:r>
      <w:r w:rsidR="001F6454" w:rsidRPr="009832AB">
        <w:rPr>
          <w:lang w:val="en-US" w:eastAsia="pl-PL"/>
        </w:rPr>
        <w:t xml:space="preserve"> </w:t>
      </w:r>
      <w:r w:rsidR="004F4414" w:rsidRPr="009832AB">
        <w:rPr>
          <w:lang w:val="en-US" w:eastAsia="pl-PL"/>
        </w:rPr>
        <w:t>were hired in these entities</w:t>
      </w:r>
      <w:r w:rsidR="001F6454" w:rsidRPr="009832AB">
        <w:rPr>
          <w:lang w:val="en-US" w:eastAsia="pl-PL"/>
        </w:rPr>
        <w:t xml:space="preserve"> </w:t>
      </w:r>
      <w:r w:rsidR="004E030D">
        <w:rPr>
          <w:lang w:val="en-US" w:eastAsia="pl-PL"/>
        </w:rPr>
        <w:t>whose turnover accounted for</w:t>
      </w:r>
      <w:r w:rsidR="004F4414" w:rsidRPr="009832AB">
        <w:rPr>
          <w:lang w:val="en-US" w:eastAsia="pl-PL"/>
        </w:rPr>
        <w:t xml:space="preserve"> </w:t>
      </w:r>
      <w:r w:rsidR="001F6454" w:rsidRPr="009832AB">
        <w:rPr>
          <w:lang w:val="en-US" w:eastAsia="pl-PL"/>
        </w:rPr>
        <w:t>1</w:t>
      </w:r>
      <w:r w:rsidR="009832AB" w:rsidRPr="009832AB">
        <w:rPr>
          <w:lang w:val="en-US" w:eastAsia="pl-PL"/>
        </w:rPr>
        <w:t>2</w:t>
      </w:r>
      <w:r w:rsidR="001F6454" w:rsidRPr="009832AB">
        <w:rPr>
          <w:lang w:val="en-US" w:eastAsia="pl-PL"/>
        </w:rPr>
        <w:t>.</w:t>
      </w:r>
      <w:r w:rsidR="009832AB" w:rsidRPr="009832AB">
        <w:rPr>
          <w:lang w:val="en-US" w:eastAsia="pl-PL"/>
        </w:rPr>
        <w:t>0</w:t>
      </w:r>
      <w:r w:rsidR="004F4414" w:rsidRPr="009832AB">
        <w:rPr>
          <w:lang w:val="en-US" w:eastAsia="pl-PL"/>
        </w:rPr>
        <w:t xml:space="preserve">% of total turnover of this activity.  </w:t>
      </w:r>
    </w:p>
    <w:p w14:paraId="784BCB6A" w14:textId="1F98FBB2" w:rsidR="000B3AB9" w:rsidRPr="009832AB" w:rsidRDefault="00C03A89" w:rsidP="008D5FB9">
      <w:pPr>
        <w:ind w:left="709" w:hanging="709"/>
        <w:rPr>
          <w:lang w:val="en-US" w:eastAsia="pl-PL"/>
        </w:rPr>
      </w:pPr>
      <w:r w:rsidRPr="009832AB">
        <w:rPr>
          <w:noProof/>
          <w:lang w:eastAsia="pl-PL"/>
        </w:rPr>
        <w:drawing>
          <wp:anchor distT="0" distB="0" distL="114300" distR="114300" simplePos="0" relativeHeight="251771904" behindDoc="0" locked="0" layoutInCell="1" allowOverlap="1" wp14:anchorId="4BA121EF" wp14:editId="51482D27">
            <wp:simplePos x="0" y="0"/>
            <wp:positionH relativeFrom="margin">
              <wp:align>left</wp:align>
            </wp:positionH>
            <wp:positionV relativeFrom="paragraph">
              <wp:posOffset>520700</wp:posOffset>
            </wp:positionV>
            <wp:extent cx="5124450" cy="2575560"/>
            <wp:effectExtent l="0" t="0" r="0" b="0"/>
            <wp:wrapSquare wrapText="bothSides"/>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4F4414" w:rsidRPr="009832AB">
        <w:rPr>
          <w:b/>
          <w:sz w:val="18"/>
          <w:szCs w:val="18"/>
          <w:lang w:val="en-US"/>
        </w:rPr>
        <w:t xml:space="preserve">Chart </w:t>
      </w:r>
      <w:r w:rsidR="009832AB">
        <w:rPr>
          <w:b/>
          <w:sz w:val="18"/>
          <w:szCs w:val="18"/>
          <w:lang w:val="en-US"/>
        </w:rPr>
        <w:t>2</w:t>
      </w:r>
      <w:r w:rsidR="004F4414" w:rsidRPr="009832AB">
        <w:rPr>
          <w:b/>
          <w:sz w:val="18"/>
          <w:szCs w:val="18"/>
          <w:lang w:val="en-US"/>
        </w:rPr>
        <w:t>.</w:t>
      </w:r>
      <w:r w:rsidR="004F4414" w:rsidRPr="009832AB">
        <w:rPr>
          <w:b/>
          <w:sz w:val="18"/>
          <w:szCs w:val="18"/>
          <w:shd w:val="clear" w:color="auto" w:fill="FFFFFF"/>
          <w:lang w:val="en-US"/>
        </w:rPr>
        <w:t xml:space="preserve"> Structure of number of enterprises, number of persons employed and turnover in ente</w:t>
      </w:r>
      <w:r w:rsidR="00A756BE" w:rsidRPr="009832AB">
        <w:rPr>
          <w:b/>
          <w:sz w:val="18"/>
          <w:szCs w:val="18"/>
          <w:shd w:val="clear" w:color="auto" w:fill="FFFFFF"/>
          <w:lang w:val="en-US"/>
        </w:rPr>
        <w:t>rprises providing business activities by the enterprise’s size class determined by the number of persons employed in 201</w:t>
      </w:r>
      <w:r w:rsidR="009832AB">
        <w:rPr>
          <w:b/>
          <w:sz w:val="18"/>
          <w:szCs w:val="18"/>
          <w:shd w:val="clear" w:color="auto" w:fill="FFFFFF"/>
          <w:lang w:val="en-US"/>
        </w:rPr>
        <w:t>8</w:t>
      </w:r>
    </w:p>
    <w:p w14:paraId="0EC79859" w14:textId="4B1946BE" w:rsidR="004F4414" w:rsidRDefault="000B3AB9" w:rsidP="00B370C3">
      <w:pPr>
        <w:rPr>
          <w:lang w:val="en-US" w:eastAsia="pl-PL"/>
        </w:rPr>
      </w:pPr>
      <w:r w:rsidRPr="0024168A">
        <w:rPr>
          <w:lang w:val="en-US" w:eastAsia="pl-PL"/>
        </w:rPr>
        <w:lastRenderedPageBreak/>
        <w:t xml:space="preserve">Enterprises </w:t>
      </w:r>
      <w:r w:rsidR="002946C9" w:rsidRPr="0024168A">
        <w:rPr>
          <w:lang w:val="en-US" w:eastAsia="pl-PL"/>
        </w:rPr>
        <w:t xml:space="preserve">with </w:t>
      </w:r>
      <w:r w:rsidR="0013692F" w:rsidRPr="0024168A">
        <w:rPr>
          <w:lang w:val="en-US" w:eastAsia="pl-PL"/>
        </w:rPr>
        <w:t xml:space="preserve">the </w:t>
      </w:r>
      <w:r w:rsidR="002946C9" w:rsidRPr="0024168A">
        <w:rPr>
          <w:lang w:val="en-US" w:eastAsia="pl-PL"/>
        </w:rPr>
        <w:t xml:space="preserve">number of persons employed 10 and more </w:t>
      </w:r>
      <w:r w:rsidR="00395D42" w:rsidRPr="0024168A">
        <w:rPr>
          <w:lang w:val="en-US" w:eastAsia="pl-PL"/>
        </w:rPr>
        <w:t xml:space="preserve">conducting activities </w:t>
      </w:r>
      <w:r w:rsidRPr="0024168A">
        <w:rPr>
          <w:lang w:val="en-US" w:eastAsia="pl-PL"/>
        </w:rPr>
        <w:t>included in the business services segment focused their activities mainly on the domestic market</w:t>
      </w:r>
      <w:r w:rsidR="00395D42" w:rsidRPr="0024168A">
        <w:rPr>
          <w:lang w:val="en-US" w:eastAsia="pl-PL"/>
        </w:rPr>
        <w:t>. In 201</w:t>
      </w:r>
      <w:r w:rsidR="0024168A" w:rsidRPr="0024168A">
        <w:rPr>
          <w:lang w:val="en-US" w:eastAsia="pl-PL"/>
        </w:rPr>
        <w:t>8</w:t>
      </w:r>
      <w:r w:rsidR="00395D42" w:rsidRPr="0024168A">
        <w:rPr>
          <w:lang w:val="en-US" w:eastAsia="pl-PL"/>
        </w:rPr>
        <w:t xml:space="preserve"> 6</w:t>
      </w:r>
      <w:r w:rsidR="0024168A" w:rsidRPr="0024168A">
        <w:rPr>
          <w:lang w:val="en-US" w:eastAsia="pl-PL"/>
        </w:rPr>
        <w:t>3</w:t>
      </w:r>
      <w:r w:rsidR="00395D42" w:rsidRPr="0024168A">
        <w:rPr>
          <w:lang w:val="en-US" w:eastAsia="pl-PL"/>
        </w:rPr>
        <w:t>.</w:t>
      </w:r>
      <w:r w:rsidR="0024168A" w:rsidRPr="0024168A">
        <w:rPr>
          <w:lang w:val="en-US" w:eastAsia="pl-PL"/>
        </w:rPr>
        <w:t>0</w:t>
      </w:r>
      <w:r w:rsidR="00395D42" w:rsidRPr="0024168A">
        <w:rPr>
          <w:lang w:val="en-US" w:eastAsia="pl-PL"/>
        </w:rPr>
        <w:t xml:space="preserve">% of total turnover originated from providing services for entities with their registered offices in the Republic of Poland. </w:t>
      </w:r>
      <w:r w:rsidR="006A7E17">
        <w:rPr>
          <w:lang w:val="en-US" w:eastAsia="pl-PL"/>
        </w:rPr>
        <w:t>Sales to c</w:t>
      </w:r>
      <w:r w:rsidR="006A7E17" w:rsidRPr="0024168A">
        <w:rPr>
          <w:lang w:val="en-US" w:eastAsia="pl-PL"/>
        </w:rPr>
        <w:t>lients with their registered offices in t</w:t>
      </w:r>
      <w:r w:rsidR="006A7E17">
        <w:rPr>
          <w:lang w:val="en-US" w:eastAsia="pl-PL"/>
        </w:rPr>
        <w:t>he EU Member States was t</w:t>
      </w:r>
      <w:r w:rsidR="00395D42" w:rsidRPr="0024168A">
        <w:rPr>
          <w:lang w:val="en-US" w:eastAsia="pl-PL"/>
        </w:rPr>
        <w:t>he source of 2</w:t>
      </w:r>
      <w:r w:rsidR="0024168A" w:rsidRPr="0024168A">
        <w:rPr>
          <w:lang w:val="en-US" w:eastAsia="pl-PL"/>
        </w:rPr>
        <w:t>4</w:t>
      </w:r>
      <w:r w:rsidR="00395D42" w:rsidRPr="0024168A">
        <w:rPr>
          <w:lang w:val="en-US" w:eastAsia="pl-PL"/>
        </w:rPr>
        <w:t>.</w:t>
      </w:r>
      <w:r w:rsidR="0024168A" w:rsidRPr="0024168A">
        <w:rPr>
          <w:lang w:val="en-US" w:eastAsia="pl-PL"/>
        </w:rPr>
        <w:t>6</w:t>
      </w:r>
      <w:r w:rsidR="00395D42" w:rsidRPr="0024168A">
        <w:rPr>
          <w:lang w:val="en-US" w:eastAsia="pl-PL"/>
        </w:rPr>
        <w:t>% of turnover and for the remaining 1</w:t>
      </w:r>
      <w:r w:rsidR="00001C81" w:rsidRPr="0024168A">
        <w:rPr>
          <w:lang w:val="en-US" w:eastAsia="pl-PL"/>
        </w:rPr>
        <w:t>2</w:t>
      </w:r>
      <w:r w:rsidR="00395D42" w:rsidRPr="0024168A">
        <w:rPr>
          <w:lang w:val="en-US" w:eastAsia="pl-PL"/>
        </w:rPr>
        <w:t>.</w:t>
      </w:r>
      <w:r w:rsidR="0024168A" w:rsidRPr="0024168A">
        <w:rPr>
          <w:lang w:val="en-US" w:eastAsia="pl-PL"/>
        </w:rPr>
        <w:t>5</w:t>
      </w:r>
      <w:r w:rsidR="00395D42" w:rsidRPr="0024168A">
        <w:rPr>
          <w:lang w:val="en-US" w:eastAsia="pl-PL"/>
        </w:rPr>
        <w:t xml:space="preserve">% - entities with their registered offices located outside EU. </w:t>
      </w:r>
      <w:r w:rsidRPr="0024168A">
        <w:rPr>
          <w:lang w:val="en-US" w:eastAsia="pl-PL"/>
        </w:rPr>
        <w:t xml:space="preserve">  </w:t>
      </w:r>
    </w:p>
    <w:p w14:paraId="0E7B5152" w14:textId="5346BBD6" w:rsidR="001269D6" w:rsidRDefault="001269D6" w:rsidP="00B370C3">
      <w:pPr>
        <w:rPr>
          <w:lang w:val="en-US" w:eastAsia="pl-PL"/>
        </w:rPr>
      </w:pPr>
      <w:r w:rsidRPr="001269D6">
        <w:rPr>
          <w:lang w:val="en-US" w:eastAsia="pl-PL"/>
        </w:rPr>
        <w:t>In 2018, the value of services provided to non-residents</w:t>
      </w:r>
      <w:bookmarkStart w:id="2" w:name="_Ref48221469"/>
      <w:r>
        <w:rPr>
          <w:rStyle w:val="Odwoanieprzypisudolnego"/>
          <w:lang w:val="en-US" w:eastAsia="pl-PL"/>
        </w:rPr>
        <w:footnoteReference w:id="4"/>
      </w:r>
      <w:bookmarkEnd w:id="2"/>
      <w:r w:rsidRPr="001269D6">
        <w:rPr>
          <w:lang w:val="en-US" w:eastAsia="pl-PL"/>
        </w:rPr>
        <w:t xml:space="preserve">  </w:t>
      </w:r>
      <w:r w:rsidR="00F836B7">
        <w:rPr>
          <w:lang w:val="en-US" w:eastAsia="pl-PL"/>
        </w:rPr>
        <w:t>by enterprises carried out business activities accounted for PLN 49.3 billion (an increase of 17</w:t>
      </w:r>
      <w:r w:rsidRPr="001269D6">
        <w:rPr>
          <w:lang w:val="en-US" w:eastAsia="pl-PL"/>
        </w:rPr>
        <w:t>.</w:t>
      </w:r>
      <w:r w:rsidR="00F836B7">
        <w:rPr>
          <w:lang w:val="en-US" w:eastAsia="pl-PL"/>
        </w:rPr>
        <w:t>5%</w:t>
      </w:r>
      <w:r w:rsidR="00A16F5F">
        <w:rPr>
          <w:lang w:val="en-US" w:eastAsia="pl-PL"/>
        </w:rPr>
        <w:t xml:space="preserve"> compared to the previous year</w:t>
      </w:r>
      <w:r w:rsidR="00F836B7">
        <w:rPr>
          <w:lang w:val="en-US" w:eastAsia="pl-PL"/>
        </w:rPr>
        <w:t>) and it constituted 19.8% of total services provided</w:t>
      </w:r>
      <w:r w:rsidR="004E030D">
        <w:rPr>
          <w:lang w:val="en-US" w:eastAsia="pl-PL"/>
        </w:rPr>
        <w:t xml:space="preserve"> to non-residents</w:t>
      </w:r>
      <w:r w:rsidR="00F836B7">
        <w:rPr>
          <w:lang w:val="en-US" w:eastAsia="pl-PL"/>
        </w:rPr>
        <w:t>. W</w:t>
      </w:r>
      <w:r w:rsidRPr="001269D6">
        <w:rPr>
          <w:lang w:val="en-US" w:eastAsia="pl-PL"/>
        </w:rPr>
        <w:t xml:space="preserve">hile the value of services acquired from non-residents </w:t>
      </w:r>
      <w:r w:rsidR="00F836B7">
        <w:rPr>
          <w:lang w:val="en-US" w:eastAsia="pl-PL"/>
        </w:rPr>
        <w:t>by these units amounted for PLN 12.3 billion (an increase of 10.6</w:t>
      </w:r>
      <w:r w:rsidRPr="001269D6">
        <w:rPr>
          <w:lang w:val="en-US" w:eastAsia="pl-PL"/>
        </w:rPr>
        <w:t>%)</w:t>
      </w:r>
      <w:r w:rsidR="00F836B7">
        <w:rPr>
          <w:lang w:val="en-US" w:eastAsia="pl-PL"/>
        </w:rPr>
        <w:t xml:space="preserve"> and it constituted 7.8% of total services acquired</w:t>
      </w:r>
      <w:r w:rsidR="004E030D">
        <w:rPr>
          <w:lang w:val="en-US" w:eastAsia="pl-PL"/>
        </w:rPr>
        <w:t xml:space="preserve"> from non-residents</w:t>
      </w:r>
      <w:r w:rsidRPr="001269D6">
        <w:rPr>
          <w:lang w:val="en-US" w:eastAsia="pl-PL"/>
        </w:rPr>
        <w:t>.</w:t>
      </w:r>
    </w:p>
    <w:p w14:paraId="0A5655B8" w14:textId="782E4C86" w:rsidR="00D25D28" w:rsidRDefault="00D25D28" w:rsidP="00B370C3">
      <w:pPr>
        <w:rPr>
          <w:lang w:val="en-US"/>
        </w:rPr>
      </w:pPr>
      <w:r w:rsidRPr="00D25D28">
        <w:rPr>
          <w:lang w:val="en-US"/>
        </w:rPr>
        <w:t xml:space="preserve">In 2018, </w:t>
      </w:r>
      <w:r w:rsidR="004E030D">
        <w:rPr>
          <w:lang w:val="en-US"/>
        </w:rPr>
        <w:t xml:space="preserve">the main </w:t>
      </w:r>
      <w:r w:rsidR="004E030D" w:rsidRPr="00D25D28">
        <w:rPr>
          <w:lang w:val="en-US"/>
        </w:rPr>
        <w:t>trading p</w:t>
      </w:r>
      <w:r w:rsidR="004E030D">
        <w:rPr>
          <w:lang w:val="en-US"/>
        </w:rPr>
        <w:t xml:space="preserve">artners in the international trade </w:t>
      </w:r>
      <w:r w:rsidR="008C4C9B">
        <w:rPr>
          <w:lang w:val="en-US"/>
        </w:rPr>
        <w:t xml:space="preserve">in services </w:t>
      </w:r>
      <w:r>
        <w:rPr>
          <w:lang w:val="en-US"/>
        </w:rPr>
        <w:t xml:space="preserve">of enterprises carrying out </w:t>
      </w:r>
      <w:r w:rsidR="008C4C9B">
        <w:rPr>
          <w:lang w:val="en-US"/>
        </w:rPr>
        <w:t>business services were – in the case of</w:t>
      </w:r>
      <w:r>
        <w:rPr>
          <w:lang w:val="en-US"/>
        </w:rPr>
        <w:t xml:space="preserve"> </w:t>
      </w:r>
      <w:r w:rsidR="008C4C9B">
        <w:rPr>
          <w:lang w:val="en-US"/>
        </w:rPr>
        <w:t xml:space="preserve">providing </w:t>
      </w:r>
      <w:r>
        <w:rPr>
          <w:lang w:val="en-US"/>
        </w:rPr>
        <w:t>services</w:t>
      </w:r>
      <w:r w:rsidR="008C4C9B">
        <w:rPr>
          <w:lang w:val="en-US"/>
        </w:rPr>
        <w:t xml:space="preserve"> to non-residents – entities located in Germany </w:t>
      </w:r>
      <w:r>
        <w:rPr>
          <w:lang w:val="en-US"/>
        </w:rPr>
        <w:t>(</w:t>
      </w:r>
      <w:r w:rsidR="006A7E17">
        <w:rPr>
          <w:lang w:val="en-US"/>
        </w:rPr>
        <w:t xml:space="preserve">a </w:t>
      </w:r>
      <w:r>
        <w:rPr>
          <w:lang w:val="en-US"/>
        </w:rPr>
        <w:t>share constituted</w:t>
      </w:r>
      <w:r w:rsidRPr="00D25D28">
        <w:rPr>
          <w:lang w:val="en-US"/>
        </w:rPr>
        <w:t xml:space="preserve"> 14.8%; a decrease by 0.1 pp</w:t>
      </w:r>
      <w:r>
        <w:rPr>
          <w:lang w:val="en-US"/>
        </w:rPr>
        <w:t xml:space="preserve"> compared to </w:t>
      </w:r>
      <w:r w:rsidRPr="00D25D28">
        <w:rPr>
          <w:lang w:val="en-US"/>
        </w:rPr>
        <w:t xml:space="preserve">the previous year), while </w:t>
      </w:r>
      <w:r w:rsidR="008C4C9B">
        <w:rPr>
          <w:lang w:val="en-US"/>
        </w:rPr>
        <w:t xml:space="preserve">– in the case of acquiring services from non-residents - </w:t>
      </w:r>
      <w:r>
        <w:rPr>
          <w:lang w:val="en-US"/>
        </w:rPr>
        <w:t>entities located</w:t>
      </w:r>
      <w:r w:rsidRPr="00D25D28">
        <w:rPr>
          <w:lang w:val="en-US"/>
        </w:rPr>
        <w:t xml:space="preserve"> in Ireland (</w:t>
      </w:r>
      <w:r w:rsidR="006A7E17">
        <w:rPr>
          <w:lang w:val="en-US"/>
        </w:rPr>
        <w:t xml:space="preserve">a </w:t>
      </w:r>
      <w:r w:rsidRPr="00D25D28">
        <w:rPr>
          <w:lang w:val="en-US"/>
        </w:rPr>
        <w:t xml:space="preserve">share </w:t>
      </w:r>
      <w:r w:rsidR="00954686">
        <w:rPr>
          <w:lang w:val="en-US"/>
        </w:rPr>
        <w:t>constituted 16.7%; an increase by 3.0 pp</w:t>
      </w:r>
      <w:r w:rsidR="006A7E17">
        <w:rPr>
          <w:lang w:val="en-US"/>
        </w:rPr>
        <w:t xml:space="preserve"> compared to the previous year</w:t>
      </w:r>
      <w:r w:rsidRPr="00D25D28">
        <w:rPr>
          <w:lang w:val="en-US"/>
        </w:rPr>
        <w:t>). IT services constituted the main source of revenues and expenditures of these entities - the</w:t>
      </w:r>
      <w:r w:rsidR="008C4C9B">
        <w:rPr>
          <w:lang w:val="en-US"/>
        </w:rPr>
        <w:t>ir</w:t>
      </w:r>
      <w:r w:rsidRPr="00D25D28">
        <w:rPr>
          <w:lang w:val="en-US"/>
        </w:rPr>
        <w:t xml:space="preserve"> share in the structure of provided services amounted to 36.0% (an increase by 0.8 pp compared to 2017, while acquired - 33.0% (an increase by 1.5 pp compared to the previous year).</w:t>
      </w:r>
    </w:p>
    <w:p w14:paraId="0EA8E2AB" w14:textId="77777777" w:rsidR="00FA3E57" w:rsidRDefault="00FA3E57" w:rsidP="0018647A">
      <w:pPr>
        <w:pStyle w:val="tytuwykresu"/>
        <w:ind w:left="709" w:hanging="709"/>
        <w:rPr>
          <w:lang w:val="en-US"/>
        </w:rPr>
      </w:pPr>
    </w:p>
    <w:p w14:paraId="3F8D6B4C" w14:textId="346BC47E" w:rsidR="0018647A" w:rsidRPr="00A970D6" w:rsidRDefault="0018647A" w:rsidP="0018647A">
      <w:pPr>
        <w:pStyle w:val="tytuwykresu"/>
        <w:ind w:left="709" w:hanging="709"/>
        <w:rPr>
          <w:shd w:val="clear" w:color="auto" w:fill="FFFFFF"/>
          <w:lang w:val="en-US"/>
        </w:rPr>
      </w:pPr>
      <w:r w:rsidRPr="00A970D6">
        <w:rPr>
          <w:noProof/>
          <w:lang w:eastAsia="pl-PL"/>
        </w:rPr>
        <w:drawing>
          <wp:anchor distT="0" distB="0" distL="114300" distR="114300" simplePos="0" relativeHeight="251802624" behindDoc="0" locked="0" layoutInCell="1" allowOverlap="1" wp14:anchorId="2F5A1302" wp14:editId="71CF57F6">
            <wp:simplePos x="0" y="0"/>
            <wp:positionH relativeFrom="margin">
              <wp:align>left</wp:align>
            </wp:positionH>
            <wp:positionV relativeFrom="paragraph">
              <wp:posOffset>345440</wp:posOffset>
            </wp:positionV>
            <wp:extent cx="5133975" cy="3749040"/>
            <wp:effectExtent l="0" t="0" r="0" b="3810"/>
            <wp:wrapSquare wrapText="bothSides"/>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A970D6">
        <w:rPr>
          <w:lang w:val="en-US"/>
        </w:rPr>
        <w:t xml:space="preserve">Chart </w:t>
      </w:r>
      <w:r>
        <w:rPr>
          <w:lang w:val="en-US"/>
        </w:rPr>
        <w:t>3</w:t>
      </w:r>
      <w:r w:rsidRPr="00A970D6">
        <w:rPr>
          <w:lang w:val="en-US"/>
        </w:rPr>
        <w:t>.</w:t>
      </w:r>
      <w:r w:rsidRPr="00A970D6">
        <w:rPr>
          <w:shd w:val="clear" w:color="auto" w:fill="FFFFFF"/>
          <w:lang w:val="en-US"/>
        </w:rPr>
        <w:t xml:space="preserve"> Geographical structure of services provided and acquired in international trade by entities </w:t>
      </w:r>
      <w:r w:rsidR="00A16F5F">
        <w:rPr>
          <w:shd w:val="clear" w:color="auto" w:fill="FFFFFF"/>
          <w:lang w:val="en-US"/>
        </w:rPr>
        <w:t xml:space="preserve">providing </w:t>
      </w:r>
      <w:r w:rsidR="00571DE7">
        <w:rPr>
          <w:shd w:val="clear" w:color="auto" w:fill="FFFFFF"/>
          <w:lang w:val="en-US"/>
        </w:rPr>
        <w:t>business services in 2018</w:t>
      </w:r>
    </w:p>
    <w:p w14:paraId="640036AD" w14:textId="77777777" w:rsidR="0018647A" w:rsidRDefault="0018647A" w:rsidP="00B370C3">
      <w:pPr>
        <w:rPr>
          <w:lang w:val="en-US" w:eastAsia="pl-PL"/>
        </w:rPr>
      </w:pPr>
    </w:p>
    <w:p w14:paraId="3414F8A0" w14:textId="77777777" w:rsidR="0018647A" w:rsidRDefault="0018647A" w:rsidP="00B370C3">
      <w:pPr>
        <w:rPr>
          <w:lang w:val="en-US" w:eastAsia="pl-PL"/>
        </w:rPr>
      </w:pPr>
    </w:p>
    <w:p w14:paraId="2392E825" w14:textId="77777777" w:rsidR="0018647A" w:rsidRDefault="0018647A" w:rsidP="00B370C3">
      <w:pPr>
        <w:rPr>
          <w:lang w:val="en-US" w:eastAsia="pl-PL"/>
        </w:rPr>
      </w:pPr>
    </w:p>
    <w:p w14:paraId="55E09AFF" w14:textId="77777777" w:rsidR="0018647A" w:rsidRDefault="0018647A" w:rsidP="00B370C3">
      <w:pPr>
        <w:rPr>
          <w:lang w:val="en-US" w:eastAsia="pl-PL"/>
        </w:rPr>
      </w:pPr>
    </w:p>
    <w:p w14:paraId="24A71463" w14:textId="0724F332" w:rsidR="0018647A" w:rsidRPr="004B42BC" w:rsidRDefault="0018647A" w:rsidP="004B42BC">
      <w:pPr>
        <w:pStyle w:val="tytuwykresu"/>
        <w:ind w:left="709" w:hanging="709"/>
        <w:rPr>
          <w:shd w:val="clear" w:color="auto" w:fill="FFFFFF"/>
          <w:lang w:val="en-US"/>
        </w:rPr>
      </w:pPr>
      <w:r w:rsidRPr="005C4596">
        <w:rPr>
          <w:noProof/>
          <w:lang w:eastAsia="pl-PL"/>
        </w:rPr>
        <w:lastRenderedPageBreak/>
        <w:drawing>
          <wp:anchor distT="0" distB="0" distL="114300" distR="114300" simplePos="0" relativeHeight="251804672" behindDoc="0" locked="0" layoutInCell="1" allowOverlap="1" wp14:anchorId="322F4E97" wp14:editId="1D2E193D">
            <wp:simplePos x="0" y="0"/>
            <wp:positionH relativeFrom="margin">
              <wp:posOffset>30480</wp:posOffset>
            </wp:positionH>
            <wp:positionV relativeFrom="paragraph">
              <wp:posOffset>337820</wp:posOffset>
            </wp:positionV>
            <wp:extent cx="5124450" cy="3192780"/>
            <wp:effectExtent l="0" t="0" r="0" b="7620"/>
            <wp:wrapSquare wrapText="bothSides"/>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5C4596">
        <w:rPr>
          <w:lang w:val="en-US"/>
        </w:rPr>
        <w:t>Chart 4.</w:t>
      </w:r>
      <w:r w:rsidRPr="005C4596">
        <w:rPr>
          <w:shd w:val="clear" w:color="auto" w:fill="FFFFFF"/>
          <w:lang w:val="en-US"/>
        </w:rPr>
        <w:t xml:space="preserve"> </w:t>
      </w:r>
      <w:r w:rsidRPr="00911796">
        <w:rPr>
          <w:shd w:val="clear" w:color="auto" w:fill="FFFFFF"/>
          <w:lang w:val="en-US"/>
        </w:rPr>
        <w:t xml:space="preserve">Structure of services provided and acquired in international trade by entities </w:t>
      </w:r>
      <w:r w:rsidR="0015515E">
        <w:rPr>
          <w:shd w:val="clear" w:color="auto" w:fill="FFFFFF"/>
          <w:lang w:val="en-US"/>
        </w:rPr>
        <w:t>providing b</w:t>
      </w:r>
      <w:r w:rsidR="00571DE7">
        <w:rPr>
          <w:shd w:val="clear" w:color="auto" w:fill="FFFFFF"/>
          <w:lang w:val="en-US"/>
        </w:rPr>
        <w:t xml:space="preserve">usiness services </w:t>
      </w:r>
      <w:r w:rsidRPr="00911796">
        <w:rPr>
          <w:shd w:val="clear" w:color="auto" w:fill="FFFFFF"/>
          <w:lang w:val="en-US"/>
        </w:rPr>
        <w:t>by kind of provided services</w:t>
      </w:r>
      <w:r>
        <w:rPr>
          <w:shd w:val="clear" w:color="auto" w:fill="FFFFFF"/>
          <w:lang w:val="en-US"/>
        </w:rPr>
        <w:t xml:space="preserve"> </w:t>
      </w:r>
      <w:r w:rsidR="00571DE7">
        <w:rPr>
          <w:shd w:val="clear" w:color="auto" w:fill="FFFFFF"/>
          <w:lang w:val="en-US"/>
        </w:rPr>
        <w:t>in 2018</w:t>
      </w:r>
    </w:p>
    <w:p w14:paraId="1A2C451B" w14:textId="28BE0763" w:rsidR="00F802BE" w:rsidRPr="00D41848" w:rsidRDefault="004B42BC" w:rsidP="00F802BE">
      <w:pPr>
        <w:pStyle w:val="Nagwek1"/>
        <w:rPr>
          <w:lang w:val="en-US"/>
        </w:rPr>
      </w:pPr>
      <w:r w:rsidRPr="00D41848">
        <w:rPr>
          <w:rFonts w:ascii="Fira Sans" w:hAnsi="Fira Sans"/>
          <w:b/>
          <w:noProof/>
          <w:spacing w:val="-2"/>
          <w:szCs w:val="19"/>
        </w:rPr>
        <mc:AlternateContent>
          <mc:Choice Requires="wps">
            <w:drawing>
              <wp:anchor distT="45720" distB="45720" distL="114300" distR="114300" simplePos="0" relativeHeight="251731968" behindDoc="1" locked="0" layoutInCell="1" allowOverlap="1" wp14:anchorId="2C9F2308" wp14:editId="2DBCD2B4">
                <wp:simplePos x="0" y="0"/>
                <wp:positionH relativeFrom="page">
                  <wp:align>right</wp:align>
                </wp:positionH>
                <wp:positionV relativeFrom="paragraph">
                  <wp:posOffset>3238500</wp:posOffset>
                </wp:positionV>
                <wp:extent cx="1725295" cy="1120140"/>
                <wp:effectExtent l="0" t="0" r="0" b="3810"/>
                <wp:wrapTight wrapText="bothSides">
                  <wp:wrapPolygon edited="0">
                    <wp:start x="715" y="0"/>
                    <wp:lineTo x="715" y="21306"/>
                    <wp:lineTo x="20749" y="21306"/>
                    <wp:lineTo x="20749" y="0"/>
                    <wp:lineTo x="715" y="0"/>
                  </wp:wrapPolygon>
                </wp:wrapTight>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120140"/>
                        </a:xfrm>
                        <a:prstGeom prst="rect">
                          <a:avLst/>
                        </a:prstGeom>
                        <a:noFill/>
                        <a:ln w="9525">
                          <a:noFill/>
                          <a:miter lim="800000"/>
                          <a:headEnd/>
                          <a:tailEnd/>
                        </a:ln>
                      </wps:spPr>
                      <wps:txbx>
                        <w:txbxContent>
                          <w:p w14:paraId="7DA1FEF0" w14:textId="2DC994B8" w:rsidR="00227C21" w:rsidRPr="00D41848" w:rsidRDefault="00227C21" w:rsidP="00F802BE">
                            <w:pPr>
                              <w:pStyle w:val="tekstzboku"/>
                              <w:rPr>
                                <w:color w:val="auto"/>
                                <w:lang w:val="en-US"/>
                              </w:rPr>
                            </w:pPr>
                            <w:r w:rsidRPr="00D41848">
                              <w:rPr>
                                <w:color w:val="auto"/>
                                <w:lang w:val="en-US"/>
                              </w:rPr>
                              <w:t>The improvement of gross and net turnover profitability rates and cost level indicator of entities conducting IT activities was noted</w:t>
                            </w:r>
                          </w:p>
                          <w:p w14:paraId="4ABE445C" w14:textId="77777777" w:rsidR="00227C21" w:rsidRPr="00793B70" w:rsidRDefault="00227C21" w:rsidP="00F802BE">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F2308" id="Pole tekstowe 16" o:spid="_x0000_s1028" type="#_x0000_t202" style="position:absolute;margin-left:84.65pt;margin-top:255pt;width:135.85pt;height:88.2pt;z-index:-2515845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" filled="f" stroked="f">
                <v:textbox>
                  <w:txbxContent>
                    <w:p w14:paraId="7DA1FEF0" w14:textId="2DC994B8" w:rsidR="00227C21" w:rsidRPr="00D41848" w:rsidRDefault="00227C21" w:rsidP="00F802BE">
                      <w:pPr>
                        <w:pStyle w:val="tekstzboku"/>
                        <w:rPr>
                          <w:color w:val="auto"/>
                          <w:lang w:val="en-US"/>
                        </w:rPr>
                      </w:pPr>
                      <w:r w:rsidRPr="00D41848">
                        <w:rPr>
                          <w:color w:val="auto"/>
                          <w:lang w:val="en-US"/>
                        </w:rPr>
                        <w:t>The improvement of gross and net turnover profitability rates and cost level indicator of entities conducting IT activities was noted</w:t>
                      </w:r>
                    </w:p>
                    <w:p w14:paraId="4ABE445C" w14:textId="77777777" w:rsidR="00227C21" w:rsidRPr="00793B70" w:rsidRDefault="00227C21" w:rsidP="00F802BE">
                      <w:pPr>
                        <w:spacing w:after="0"/>
                        <w:rPr>
                          <w:rFonts w:eastAsia="Times New Roman" w:cs="Times New Roman"/>
                          <w:bCs/>
                          <w:color w:val="001D77"/>
                          <w:sz w:val="18"/>
                          <w:szCs w:val="18"/>
                          <w:lang w:val="en-US" w:eastAsia="pl-PL"/>
                        </w:rPr>
                      </w:pPr>
                    </w:p>
                  </w:txbxContent>
                </v:textbox>
                <w10:wrap type="tight" anchorx="page"/>
              </v:shape>
            </w:pict>
          </mc:Fallback>
        </mc:AlternateContent>
      </w:r>
      <w:r w:rsidR="0056798B" w:rsidRPr="00D41848">
        <w:rPr>
          <w:lang w:val="en-US"/>
        </w:rPr>
        <w:t>IT industry activities</w:t>
      </w:r>
      <w:bookmarkStart w:id="3" w:name="_Ref524596354"/>
      <w:r w:rsidR="000B3AB9" w:rsidRPr="00D41848">
        <w:rPr>
          <w:rStyle w:val="Odwoanieprzypisudolnego"/>
          <w:lang w:val="en-US"/>
        </w:rPr>
        <w:footnoteReference w:id="5"/>
      </w:r>
      <w:bookmarkEnd w:id="3"/>
    </w:p>
    <w:p w14:paraId="2F63EE2F" w14:textId="454087BE" w:rsidR="00F802BE" w:rsidRPr="00D41848" w:rsidRDefault="0024168A" w:rsidP="00F802BE">
      <w:pPr>
        <w:rPr>
          <w:shd w:val="clear" w:color="auto" w:fill="FFFFFF"/>
          <w:lang w:val="en-US"/>
        </w:rPr>
      </w:pPr>
      <w:r w:rsidRPr="0024168A">
        <w:rPr>
          <w:shd w:val="clear" w:color="auto" w:fill="FFFFFF"/>
          <w:lang w:val="en-US"/>
        </w:rPr>
        <w:t>In 2018</w:t>
      </w:r>
      <w:r w:rsidR="00D62209" w:rsidRPr="0024168A">
        <w:rPr>
          <w:shd w:val="clear" w:color="auto" w:fill="FFFFFF"/>
          <w:lang w:val="en-US"/>
        </w:rPr>
        <w:t xml:space="preserve">, </w:t>
      </w:r>
      <w:r w:rsidR="00793B70" w:rsidRPr="0024168A">
        <w:rPr>
          <w:shd w:val="clear" w:color="auto" w:fill="FFFFFF"/>
          <w:lang w:val="en-US"/>
        </w:rPr>
        <w:t xml:space="preserve">turnover value generated by these </w:t>
      </w:r>
      <w:r w:rsidR="00BD7A4E" w:rsidRPr="0024168A">
        <w:rPr>
          <w:shd w:val="clear" w:color="auto" w:fill="FFFFFF"/>
          <w:lang w:val="en-US"/>
        </w:rPr>
        <w:t xml:space="preserve">enterprises accounted for PLN </w:t>
      </w:r>
      <w:r w:rsidRPr="0024168A">
        <w:rPr>
          <w:shd w:val="clear" w:color="auto" w:fill="FFFFFF"/>
          <w:lang w:val="en-US"/>
        </w:rPr>
        <w:t>82</w:t>
      </w:r>
      <w:r w:rsidR="00793B70" w:rsidRPr="0024168A">
        <w:rPr>
          <w:shd w:val="clear" w:color="auto" w:fill="FFFFFF"/>
          <w:lang w:val="en-US"/>
        </w:rPr>
        <w:t>.</w:t>
      </w:r>
      <w:r w:rsidR="00BD7A4E" w:rsidRPr="0024168A">
        <w:rPr>
          <w:shd w:val="clear" w:color="auto" w:fill="FFFFFF"/>
          <w:lang w:val="en-US"/>
        </w:rPr>
        <w:t>0</w:t>
      </w:r>
      <w:r w:rsidR="00793B70" w:rsidRPr="0024168A">
        <w:rPr>
          <w:shd w:val="clear" w:color="auto" w:fill="FFFFFF"/>
          <w:lang w:val="en-US"/>
        </w:rPr>
        <w:t xml:space="preserve"> billion </w:t>
      </w:r>
      <w:r w:rsidRPr="0024168A">
        <w:rPr>
          <w:shd w:val="clear" w:color="auto" w:fill="FFFFFF"/>
          <w:lang w:val="en-US"/>
        </w:rPr>
        <w:t>with</w:t>
      </w:r>
      <w:r w:rsidR="00A21ED2" w:rsidRPr="0024168A">
        <w:rPr>
          <w:shd w:val="clear" w:color="auto" w:fill="FFFFFF"/>
          <w:lang w:val="en-US"/>
        </w:rPr>
        <w:t xml:space="preserve"> </w:t>
      </w:r>
      <w:r w:rsidR="0056798B" w:rsidRPr="0024168A">
        <w:rPr>
          <w:shd w:val="clear" w:color="auto" w:fill="FFFFFF"/>
          <w:lang w:val="en-US"/>
        </w:rPr>
        <w:t xml:space="preserve">the number of enterprises </w:t>
      </w:r>
      <w:r w:rsidRPr="0024168A">
        <w:rPr>
          <w:shd w:val="clear" w:color="auto" w:fill="FFFFFF"/>
          <w:lang w:val="en-US"/>
        </w:rPr>
        <w:t>on</w:t>
      </w:r>
      <w:r w:rsidR="00793B70" w:rsidRPr="0024168A">
        <w:rPr>
          <w:shd w:val="clear" w:color="auto" w:fill="FFFFFF"/>
          <w:lang w:val="en-US"/>
        </w:rPr>
        <w:t xml:space="preserve"> the level of </w:t>
      </w:r>
      <w:r w:rsidR="002A18AD" w:rsidRPr="0024168A">
        <w:rPr>
          <w:shd w:val="clear" w:color="auto" w:fill="FFFFFF"/>
          <w:lang w:val="en-US"/>
        </w:rPr>
        <w:t>8</w:t>
      </w:r>
      <w:r w:rsidRPr="0024168A">
        <w:rPr>
          <w:shd w:val="clear" w:color="auto" w:fill="FFFFFF"/>
          <w:lang w:val="en-US"/>
        </w:rPr>
        <w:t>2</w:t>
      </w:r>
      <w:r w:rsidR="00793B70" w:rsidRPr="0024168A">
        <w:rPr>
          <w:shd w:val="clear" w:color="auto" w:fill="FFFFFF"/>
          <w:lang w:val="en-US"/>
        </w:rPr>
        <w:t>.</w:t>
      </w:r>
      <w:r w:rsidRPr="0024168A">
        <w:rPr>
          <w:shd w:val="clear" w:color="auto" w:fill="FFFFFF"/>
          <w:lang w:val="en-US"/>
        </w:rPr>
        <w:t>0</w:t>
      </w:r>
      <w:r w:rsidR="00793B70" w:rsidRPr="0024168A">
        <w:rPr>
          <w:shd w:val="clear" w:color="auto" w:fill="FFFFFF"/>
          <w:lang w:val="en-US"/>
        </w:rPr>
        <w:t xml:space="preserve"> thousand </w:t>
      </w:r>
      <w:r w:rsidR="0056798B" w:rsidRPr="0024168A">
        <w:rPr>
          <w:shd w:val="clear" w:color="auto" w:fill="FFFFFF"/>
          <w:lang w:val="en-US"/>
        </w:rPr>
        <w:t xml:space="preserve">and </w:t>
      </w:r>
      <w:r w:rsidR="00CA1CF9">
        <w:rPr>
          <w:shd w:val="clear" w:color="auto" w:fill="FFFFFF"/>
          <w:lang w:val="en-US"/>
        </w:rPr>
        <w:t xml:space="preserve">the </w:t>
      </w:r>
      <w:r w:rsidR="00793B70" w:rsidRPr="0024168A">
        <w:rPr>
          <w:shd w:val="clear" w:color="auto" w:fill="FFFFFF"/>
          <w:lang w:val="en-US"/>
        </w:rPr>
        <w:t xml:space="preserve">number of persons employed </w:t>
      </w:r>
      <w:r w:rsidR="00D62209" w:rsidRPr="0024168A">
        <w:rPr>
          <w:shd w:val="clear" w:color="auto" w:fill="FFFFFF"/>
          <w:lang w:val="en-US"/>
        </w:rPr>
        <w:t xml:space="preserve">of </w:t>
      </w:r>
      <w:r w:rsidR="00793B70" w:rsidRPr="0024168A">
        <w:rPr>
          <w:shd w:val="clear" w:color="auto" w:fill="FFFFFF"/>
          <w:lang w:val="en-US"/>
        </w:rPr>
        <w:t>2</w:t>
      </w:r>
      <w:r w:rsidRPr="0024168A">
        <w:rPr>
          <w:shd w:val="clear" w:color="auto" w:fill="FFFFFF"/>
          <w:lang w:val="en-US"/>
        </w:rPr>
        <w:t>70</w:t>
      </w:r>
      <w:r w:rsidR="00793B70" w:rsidRPr="0024168A">
        <w:rPr>
          <w:shd w:val="clear" w:color="auto" w:fill="FFFFFF"/>
          <w:lang w:val="en-US"/>
        </w:rPr>
        <w:t xml:space="preserve"> thousand</w:t>
      </w:r>
      <w:r w:rsidR="0056798B" w:rsidRPr="0024168A">
        <w:rPr>
          <w:shd w:val="clear" w:color="auto" w:fill="FFFFFF"/>
          <w:lang w:val="en-US"/>
        </w:rPr>
        <w:t>.</w:t>
      </w:r>
      <w:r w:rsidR="00B214A0" w:rsidRPr="0024168A">
        <w:rPr>
          <w:shd w:val="clear" w:color="auto" w:fill="FFFFFF"/>
          <w:lang w:val="en-US"/>
        </w:rPr>
        <w:t xml:space="preserve"> </w:t>
      </w:r>
      <w:r w:rsidR="00BA1005" w:rsidRPr="00D41848">
        <w:rPr>
          <w:shd w:val="clear" w:color="auto" w:fill="FFFFFF"/>
          <w:lang w:val="en-US"/>
        </w:rPr>
        <w:t xml:space="preserve">The </w:t>
      </w:r>
      <w:r w:rsidR="00D41848" w:rsidRPr="00D41848">
        <w:rPr>
          <w:shd w:val="clear" w:color="auto" w:fill="FFFFFF"/>
          <w:lang w:val="en-US"/>
        </w:rPr>
        <w:t>in</w:t>
      </w:r>
      <w:r w:rsidR="00BA1005" w:rsidRPr="00D41848">
        <w:rPr>
          <w:shd w:val="clear" w:color="auto" w:fill="FFFFFF"/>
          <w:lang w:val="en-US"/>
        </w:rPr>
        <w:t xml:space="preserve">crease </w:t>
      </w:r>
      <w:r w:rsidR="00B214A0" w:rsidRPr="00D41848">
        <w:rPr>
          <w:shd w:val="clear" w:color="auto" w:fill="FFFFFF"/>
          <w:lang w:val="en-US"/>
        </w:rPr>
        <w:t xml:space="preserve">was observed </w:t>
      </w:r>
      <w:r w:rsidR="008362D5" w:rsidRPr="00D41848">
        <w:rPr>
          <w:shd w:val="clear" w:color="auto" w:fill="FFFFFF"/>
          <w:lang w:val="en-US"/>
        </w:rPr>
        <w:t xml:space="preserve">in the </w:t>
      </w:r>
      <w:r w:rsidR="00B214A0" w:rsidRPr="00D41848">
        <w:rPr>
          <w:shd w:val="clear" w:color="auto" w:fill="FFFFFF"/>
          <w:lang w:val="en-US"/>
        </w:rPr>
        <w:t>gross tur</w:t>
      </w:r>
      <w:r w:rsidR="00793B70" w:rsidRPr="00D41848">
        <w:rPr>
          <w:shd w:val="clear" w:color="auto" w:fill="FFFFFF"/>
          <w:lang w:val="en-US"/>
        </w:rPr>
        <w:t>nover profitability rate</w:t>
      </w:r>
      <w:bookmarkStart w:id="4" w:name="_Ref524596901"/>
      <w:r w:rsidR="00032E57" w:rsidRPr="00D41848">
        <w:rPr>
          <w:rStyle w:val="Odwoanieprzypisudolnego"/>
          <w:shd w:val="clear" w:color="auto" w:fill="FFFFFF"/>
          <w:lang w:val="en-US"/>
        </w:rPr>
        <w:footnoteReference w:id="6"/>
      </w:r>
      <w:bookmarkEnd w:id="4"/>
      <w:r w:rsidR="00793B70" w:rsidRPr="00D41848">
        <w:rPr>
          <w:shd w:val="clear" w:color="auto" w:fill="FFFFFF"/>
          <w:lang w:val="en-US"/>
        </w:rPr>
        <w:t xml:space="preserve"> (from </w:t>
      </w:r>
      <w:r w:rsidR="00D41848" w:rsidRPr="00D41848">
        <w:rPr>
          <w:shd w:val="clear" w:color="auto" w:fill="FFFFFF"/>
          <w:lang w:val="en-US"/>
        </w:rPr>
        <w:t>6</w:t>
      </w:r>
      <w:r w:rsidR="00B214A0" w:rsidRPr="00D41848">
        <w:rPr>
          <w:shd w:val="clear" w:color="auto" w:fill="FFFFFF"/>
          <w:lang w:val="en-US"/>
        </w:rPr>
        <w:t>.</w:t>
      </w:r>
      <w:r w:rsidR="00D41848" w:rsidRPr="00D41848">
        <w:rPr>
          <w:shd w:val="clear" w:color="auto" w:fill="FFFFFF"/>
          <w:lang w:val="en-US"/>
        </w:rPr>
        <w:t>5</w:t>
      </w:r>
      <w:r w:rsidR="00B214A0" w:rsidRPr="00D41848">
        <w:rPr>
          <w:shd w:val="clear" w:color="auto" w:fill="FFFFFF"/>
          <w:lang w:val="en-US"/>
        </w:rPr>
        <w:t>% in 201</w:t>
      </w:r>
      <w:r w:rsidR="00D41848" w:rsidRPr="00D41848">
        <w:rPr>
          <w:shd w:val="clear" w:color="auto" w:fill="FFFFFF"/>
          <w:lang w:val="en-US"/>
        </w:rPr>
        <w:t>7</w:t>
      </w:r>
      <w:r w:rsidR="00B214A0" w:rsidRPr="00D41848">
        <w:rPr>
          <w:shd w:val="clear" w:color="auto" w:fill="FFFFFF"/>
          <w:lang w:val="en-US"/>
        </w:rPr>
        <w:t xml:space="preserve"> to </w:t>
      </w:r>
      <w:r w:rsidR="00D41848" w:rsidRPr="00D41848">
        <w:rPr>
          <w:shd w:val="clear" w:color="auto" w:fill="FFFFFF"/>
          <w:lang w:val="en-US"/>
        </w:rPr>
        <w:t>9</w:t>
      </w:r>
      <w:r w:rsidR="00793B70" w:rsidRPr="00D41848">
        <w:rPr>
          <w:shd w:val="clear" w:color="auto" w:fill="FFFFFF"/>
          <w:lang w:val="en-US"/>
        </w:rPr>
        <w:t>.</w:t>
      </w:r>
      <w:r w:rsidR="00D41848" w:rsidRPr="00D41848">
        <w:rPr>
          <w:shd w:val="clear" w:color="auto" w:fill="FFFFFF"/>
          <w:lang w:val="en-US"/>
        </w:rPr>
        <w:t>1</w:t>
      </w:r>
      <w:r w:rsidR="00B214A0" w:rsidRPr="00D41848">
        <w:rPr>
          <w:shd w:val="clear" w:color="auto" w:fill="FFFFFF"/>
          <w:lang w:val="en-US"/>
        </w:rPr>
        <w:t>% in 201</w:t>
      </w:r>
      <w:r w:rsidR="00D41848" w:rsidRPr="00D41848">
        <w:rPr>
          <w:shd w:val="clear" w:color="auto" w:fill="FFFFFF"/>
          <w:lang w:val="en-US"/>
        </w:rPr>
        <w:t>8</w:t>
      </w:r>
      <w:r w:rsidR="00B214A0" w:rsidRPr="00D41848">
        <w:rPr>
          <w:shd w:val="clear" w:color="auto" w:fill="FFFFFF"/>
          <w:lang w:val="en-US"/>
        </w:rPr>
        <w:t>) and the net tur</w:t>
      </w:r>
      <w:r w:rsidR="00793B70" w:rsidRPr="00D41848">
        <w:rPr>
          <w:shd w:val="clear" w:color="auto" w:fill="FFFFFF"/>
          <w:lang w:val="en-US"/>
        </w:rPr>
        <w:t>nover profitability rate</w:t>
      </w:r>
      <w:bookmarkStart w:id="5" w:name="_Ref524596924"/>
      <w:r w:rsidR="00032E57" w:rsidRPr="00D41848">
        <w:rPr>
          <w:rStyle w:val="Odwoanieprzypisudolnego"/>
          <w:shd w:val="clear" w:color="auto" w:fill="FFFFFF"/>
          <w:lang w:val="en-US"/>
        </w:rPr>
        <w:footnoteReference w:id="7"/>
      </w:r>
      <w:bookmarkEnd w:id="5"/>
      <w:r w:rsidR="00793B70" w:rsidRPr="00D41848">
        <w:rPr>
          <w:shd w:val="clear" w:color="auto" w:fill="FFFFFF"/>
          <w:lang w:val="en-US"/>
        </w:rPr>
        <w:t xml:space="preserve"> (from </w:t>
      </w:r>
      <w:r w:rsidR="00D41848" w:rsidRPr="00D41848">
        <w:rPr>
          <w:shd w:val="clear" w:color="auto" w:fill="FFFFFF"/>
          <w:lang w:val="en-US"/>
        </w:rPr>
        <w:t>5</w:t>
      </w:r>
      <w:r w:rsidR="00B214A0" w:rsidRPr="00D41848">
        <w:rPr>
          <w:shd w:val="clear" w:color="auto" w:fill="FFFFFF"/>
          <w:lang w:val="en-US"/>
        </w:rPr>
        <w:t>.</w:t>
      </w:r>
      <w:r w:rsidR="00D41848" w:rsidRPr="00D41848">
        <w:rPr>
          <w:shd w:val="clear" w:color="auto" w:fill="FFFFFF"/>
          <w:lang w:val="en-US"/>
        </w:rPr>
        <w:t>5</w:t>
      </w:r>
      <w:r w:rsidR="00B214A0" w:rsidRPr="00D41848">
        <w:rPr>
          <w:shd w:val="clear" w:color="auto" w:fill="FFFFFF"/>
          <w:lang w:val="en-US"/>
        </w:rPr>
        <w:t>% in 201</w:t>
      </w:r>
      <w:r w:rsidR="00D41848" w:rsidRPr="00D41848">
        <w:rPr>
          <w:shd w:val="clear" w:color="auto" w:fill="FFFFFF"/>
          <w:lang w:val="en-US"/>
        </w:rPr>
        <w:t>7</w:t>
      </w:r>
      <w:r w:rsidR="00B214A0" w:rsidRPr="00D41848">
        <w:rPr>
          <w:shd w:val="clear" w:color="auto" w:fill="FFFFFF"/>
          <w:lang w:val="en-US"/>
        </w:rPr>
        <w:t xml:space="preserve"> to </w:t>
      </w:r>
      <w:r w:rsidR="00D41848" w:rsidRPr="00D41848">
        <w:rPr>
          <w:shd w:val="clear" w:color="auto" w:fill="FFFFFF"/>
          <w:lang w:val="en-US"/>
        </w:rPr>
        <w:t>7</w:t>
      </w:r>
      <w:r w:rsidR="00B214A0" w:rsidRPr="00D41848">
        <w:rPr>
          <w:shd w:val="clear" w:color="auto" w:fill="FFFFFF"/>
          <w:lang w:val="en-US"/>
        </w:rPr>
        <w:t>.</w:t>
      </w:r>
      <w:r w:rsidR="002A18AD" w:rsidRPr="00D41848">
        <w:rPr>
          <w:shd w:val="clear" w:color="auto" w:fill="FFFFFF"/>
          <w:lang w:val="en-US"/>
        </w:rPr>
        <w:t>5</w:t>
      </w:r>
      <w:r w:rsidR="00B214A0" w:rsidRPr="00D41848">
        <w:rPr>
          <w:shd w:val="clear" w:color="auto" w:fill="FFFFFF"/>
          <w:lang w:val="en-US"/>
        </w:rPr>
        <w:t>% in 201</w:t>
      </w:r>
      <w:r w:rsidR="00D41848" w:rsidRPr="00D41848">
        <w:rPr>
          <w:shd w:val="clear" w:color="auto" w:fill="FFFFFF"/>
          <w:lang w:val="en-US"/>
        </w:rPr>
        <w:t>8</w:t>
      </w:r>
      <w:r w:rsidR="00B214A0" w:rsidRPr="00D41848">
        <w:rPr>
          <w:shd w:val="clear" w:color="auto" w:fill="FFFFFF"/>
          <w:lang w:val="en-US"/>
        </w:rPr>
        <w:t>). The cost level indicator</w:t>
      </w:r>
      <w:bookmarkStart w:id="6" w:name="_Ref524596950"/>
      <w:r w:rsidR="00032E57" w:rsidRPr="00D41848">
        <w:rPr>
          <w:rStyle w:val="Odwoanieprzypisudolnego"/>
          <w:shd w:val="clear" w:color="auto" w:fill="FFFFFF"/>
          <w:lang w:val="en-US"/>
        </w:rPr>
        <w:footnoteReference w:id="8"/>
      </w:r>
      <w:bookmarkEnd w:id="6"/>
      <w:r w:rsidR="00B214A0" w:rsidRPr="00D41848">
        <w:rPr>
          <w:shd w:val="clear" w:color="auto" w:fill="FFFFFF"/>
          <w:lang w:val="en-US"/>
        </w:rPr>
        <w:t xml:space="preserve"> </w:t>
      </w:r>
      <w:r w:rsidR="002A18AD" w:rsidRPr="00D41848">
        <w:rPr>
          <w:shd w:val="clear" w:color="auto" w:fill="FFFFFF"/>
          <w:lang w:val="en-US"/>
        </w:rPr>
        <w:t xml:space="preserve">also </w:t>
      </w:r>
      <w:r w:rsidR="00D41848" w:rsidRPr="00D41848">
        <w:rPr>
          <w:shd w:val="clear" w:color="auto" w:fill="FFFFFF"/>
          <w:lang w:val="en-US"/>
        </w:rPr>
        <w:t>in</w:t>
      </w:r>
      <w:r w:rsidR="002A18AD" w:rsidRPr="00D41848">
        <w:rPr>
          <w:shd w:val="clear" w:color="auto" w:fill="FFFFFF"/>
          <w:lang w:val="en-US"/>
        </w:rPr>
        <w:t>creased</w:t>
      </w:r>
      <w:r w:rsidR="00793B70" w:rsidRPr="00D41848">
        <w:rPr>
          <w:shd w:val="clear" w:color="auto" w:fill="FFFFFF"/>
          <w:lang w:val="en-US"/>
        </w:rPr>
        <w:t xml:space="preserve"> and amounted to 9</w:t>
      </w:r>
      <w:r w:rsidR="00D41848" w:rsidRPr="00D41848">
        <w:rPr>
          <w:shd w:val="clear" w:color="auto" w:fill="FFFFFF"/>
          <w:lang w:val="en-US"/>
        </w:rPr>
        <w:t>1</w:t>
      </w:r>
      <w:r w:rsidR="0014000D" w:rsidRPr="00D41848">
        <w:rPr>
          <w:shd w:val="clear" w:color="auto" w:fill="FFFFFF"/>
          <w:lang w:val="en-US"/>
        </w:rPr>
        <w:t>.</w:t>
      </w:r>
      <w:r w:rsidR="00D41848" w:rsidRPr="00D41848">
        <w:rPr>
          <w:shd w:val="clear" w:color="auto" w:fill="FFFFFF"/>
          <w:lang w:val="en-US"/>
        </w:rPr>
        <w:t>5</w:t>
      </w:r>
      <w:r w:rsidR="0014000D" w:rsidRPr="00D41848">
        <w:rPr>
          <w:shd w:val="clear" w:color="auto" w:fill="FFFFFF"/>
          <w:lang w:val="en-US"/>
        </w:rPr>
        <w:t>% in 201</w:t>
      </w:r>
      <w:r w:rsidR="00D41848" w:rsidRPr="00D41848">
        <w:rPr>
          <w:shd w:val="clear" w:color="auto" w:fill="FFFFFF"/>
          <w:lang w:val="en-US"/>
        </w:rPr>
        <w:t>8</w:t>
      </w:r>
      <w:r w:rsidR="0014000D" w:rsidRPr="00D41848">
        <w:rPr>
          <w:shd w:val="clear" w:color="auto" w:fill="FFFFFF"/>
          <w:lang w:val="en-US"/>
        </w:rPr>
        <w:t xml:space="preserve"> against </w:t>
      </w:r>
      <w:r w:rsidR="00793B70" w:rsidRPr="00D41848">
        <w:rPr>
          <w:shd w:val="clear" w:color="auto" w:fill="FFFFFF"/>
          <w:lang w:val="en-US"/>
        </w:rPr>
        <w:t>9</w:t>
      </w:r>
      <w:r w:rsidR="00D41848" w:rsidRPr="00D41848">
        <w:rPr>
          <w:shd w:val="clear" w:color="auto" w:fill="FFFFFF"/>
          <w:lang w:val="en-US"/>
        </w:rPr>
        <w:t>3</w:t>
      </w:r>
      <w:r w:rsidR="0014000D" w:rsidRPr="00D41848">
        <w:rPr>
          <w:shd w:val="clear" w:color="auto" w:fill="FFFFFF"/>
          <w:lang w:val="en-US"/>
        </w:rPr>
        <w:t>.</w:t>
      </w:r>
      <w:r w:rsidR="00D41848" w:rsidRPr="00D41848">
        <w:rPr>
          <w:shd w:val="clear" w:color="auto" w:fill="FFFFFF"/>
          <w:lang w:val="en-US"/>
        </w:rPr>
        <w:t>4</w:t>
      </w:r>
      <w:r w:rsidR="0014000D" w:rsidRPr="00D41848">
        <w:rPr>
          <w:shd w:val="clear" w:color="auto" w:fill="FFFFFF"/>
          <w:lang w:val="en-US"/>
        </w:rPr>
        <w:t>% in the previous year.</w:t>
      </w:r>
    </w:p>
    <w:p w14:paraId="27B53E98" w14:textId="5F192A93" w:rsidR="002D3C20" w:rsidRPr="0024168A" w:rsidRDefault="00793B70" w:rsidP="00F802BE">
      <w:pPr>
        <w:rPr>
          <w:lang w:val="en-US"/>
        </w:rPr>
      </w:pPr>
      <w:r w:rsidRPr="0024168A">
        <w:rPr>
          <w:lang w:val="en-US"/>
        </w:rPr>
        <w:t xml:space="preserve">Entities </w:t>
      </w:r>
      <w:r w:rsidR="002D3C20" w:rsidRPr="0024168A">
        <w:rPr>
          <w:lang w:val="en-US"/>
        </w:rPr>
        <w:t>with</w:t>
      </w:r>
      <w:r w:rsidR="0013692F" w:rsidRPr="0024168A">
        <w:rPr>
          <w:lang w:val="en-US"/>
        </w:rPr>
        <w:t xml:space="preserve"> the</w:t>
      </w:r>
      <w:r w:rsidR="002D3C20" w:rsidRPr="0024168A">
        <w:rPr>
          <w:lang w:val="en-US"/>
        </w:rPr>
        <w:t xml:space="preserve"> number of persons employed 10 and more </w:t>
      </w:r>
      <w:r w:rsidR="00480D9F" w:rsidRPr="0024168A">
        <w:rPr>
          <w:lang w:val="en-US"/>
        </w:rPr>
        <w:t>sold their services mainly on</w:t>
      </w:r>
      <w:r w:rsidR="0014000D" w:rsidRPr="0024168A">
        <w:rPr>
          <w:lang w:val="en-US"/>
        </w:rPr>
        <w:t xml:space="preserve"> </w:t>
      </w:r>
      <w:r w:rsidR="00480D9F" w:rsidRPr="0024168A">
        <w:rPr>
          <w:lang w:val="en-US"/>
        </w:rPr>
        <w:t xml:space="preserve">the </w:t>
      </w:r>
      <w:r w:rsidR="00BA1005" w:rsidRPr="0024168A">
        <w:rPr>
          <w:lang w:val="en-US"/>
        </w:rPr>
        <w:t xml:space="preserve">domestic </w:t>
      </w:r>
      <w:r w:rsidR="00480D9F" w:rsidRPr="0024168A">
        <w:rPr>
          <w:lang w:val="en-US"/>
        </w:rPr>
        <w:t>market</w:t>
      </w:r>
      <w:r w:rsidR="00761E3B" w:rsidRPr="0024168A">
        <w:rPr>
          <w:lang w:val="en-US"/>
        </w:rPr>
        <w:t xml:space="preserve">. This share accounted for </w:t>
      </w:r>
      <w:r w:rsidR="00BA1005" w:rsidRPr="0024168A">
        <w:rPr>
          <w:lang w:val="en-US"/>
        </w:rPr>
        <w:t>5</w:t>
      </w:r>
      <w:r w:rsidR="0024168A" w:rsidRPr="0024168A">
        <w:rPr>
          <w:lang w:val="en-US"/>
        </w:rPr>
        <w:t>3</w:t>
      </w:r>
      <w:r w:rsidR="00BA1005" w:rsidRPr="0024168A">
        <w:rPr>
          <w:lang w:val="en-US"/>
        </w:rPr>
        <w:t>.</w:t>
      </w:r>
      <w:r w:rsidR="0024168A" w:rsidRPr="0024168A">
        <w:rPr>
          <w:lang w:val="en-US"/>
        </w:rPr>
        <w:t>0</w:t>
      </w:r>
      <w:r w:rsidR="00BA1005" w:rsidRPr="0024168A">
        <w:rPr>
          <w:lang w:val="en-US"/>
        </w:rPr>
        <w:t xml:space="preserve">% </w:t>
      </w:r>
      <w:r w:rsidR="00761E3B" w:rsidRPr="0024168A">
        <w:rPr>
          <w:lang w:val="en-US"/>
        </w:rPr>
        <w:t>of total turnover</w:t>
      </w:r>
      <w:r w:rsidR="00480D9F" w:rsidRPr="0024168A">
        <w:rPr>
          <w:lang w:val="en-US"/>
        </w:rPr>
        <w:t xml:space="preserve">. </w:t>
      </w:r>
      <w:r w:rsidR="00A310E4" w:rsidRPr="0024168A">
        <w:rPr>
          <w:lang w:val="en-US"/>
        </w:rPr>
        <w:t>Transactions with residents of intra-EU accounted for 2</w:t>
      </w:r>
      <w:r w:rsidR="0024168A" w:rsidRPr="0024168A">
        <w:rPr>
          <w:lang w:val="en-US"/>
        </w:rPr>
        <w:t>9.8</w:t>
      </w:r>
      <w:r w:rsidR="00A310E4" w:rsidRPr="0024168A">
        <w:rPr>
          <w:lang w:val="en-US"/>
        </w:rPr>
        <w:t xml:space="preserve">% of total </w:t>
      </w:r>
      <w:r w:rsidR="007229CF" w:rsidRPr="0024168A">
        <w:rPr>
          <w:lang w:val="en-US"/>
        </w:rPr>
        <w:t>turnover</w:t>
      </w:r>
      <w:r w:rsidR="00A310E4" w:rsidRPr="0024168A">
        <w:rPr>
          <w:lang w:val="en-US"/>
        </w:rPr>
        <w:t>.</w:t>
      </w:r>
      <w:r w:rsidR="002D3C20" w:rsidRPr="0024168A">
        <w:rPr>
          <w:lang w:val="en-US"/>
        </w:rPr>
        <w:t xml:space="preserve"> </w:t>
      </w:r>
      <w:r w:rsidR="005D2DA0" w:rsidRPr="0024168A">
        <w:rPr>
          <w:lang w:val="en-US"/>
        </w:rPr>
        <w:t>The sale of c</w:t>
      </w:r>
      <w:r w:rsidR="00967CDA" w:rsidRPr="0024168A">
        <w:rPr>
          <w:lang w:val="en-US"/>
        </w:rPr>
        <w:t>omputer programming services constituted</w:t>
      </w:r>
      <w:r w:rsidR="005D2DA0" w:rsidRPr="0024168A">
        <w:rPr>
          <w:lang w:val="en-US"/>
        </w:rPr>
        <w:t xml:space="preserve"> t</w:t>
      </w:r>
      <w:r w:rsidR="00437678" w:rsidRPr="0024168A">
        <w:rPr>
          <w:lang w:val="en-US"/>
        </w:rPr>
        <w:t xml:space="preserve">he highest percentage </w:t>
      </w:r>
      <w:r w:rsidR="00A310E4" w:rsidRPr="0024168A">
        <w:rPr>
          <w:lang w:val="en-US"/>
        </w:rPr>
        <w:t xml:space="preserve">in total sale </w:t>
      </w:r>
      <w:r w:rsidR="00251784" w:rsidRPr="0024168A">
        <w:rPr>
          <w:lang w:val="en-US"/>
        </w:rPr>
        <w:t>– 3</w:t>
      </w:r>
      <w:r w:rsidR="002A18AD" w:rsidRPr="0024168A">
        <w:rPr>
          <w:lang w:val="en-US"/>
        </w:rPr>
        <w:t>8</w:t>
      </w:r>
      <w:r w:rsidR="0024168A" w:rsidRPr="0024168A">
        <w:rPr>
          <w:lang w:val="en-US"/>
        </w:rPr>
        <w:t>.6%</w:t>
      </w:r>
      <w:r w:rsidR="00251784" w:rsidRPr="0024168A">
        <w:rPr>
          <w:lang w:val="en-US"/>
        </w:rPr>
        <w:t>.</w:t>
      </w:r>
      <w:r w:rsidR="002A18AD" w:rsidRPr="0024168A">
        <w:rPr>
          <w:lang w:val="en-US"/>
        </w:rPr>
        <w:t xml:space="preserve"> The following highest share (11</w:t>
      </w:r>
      <w:r w:rsidR="00251784" w:rsidRPr="0024168A">
        <w:rPr>
          <w:lang w:val="en-US"/>
        </w:rPr>
        <w:t>.</w:t>
      </w:r>
      <w:r w:rsidR="0024168A" w:rsidRPr="0024168A">
        <w:rPr>
          <w:lang w:val="en-US"/>
        </w:rPr>
        <w:t>4</w:t>
      </w:r>
      <w:r w:rsidR="00251784" w:rsidRPr="0024168A">
        <w:rPr>
          <w:lang w:val="en-US"/>
        </w:rPr>
        <w:t xml:space="preserve">%) was recorded </w:t>
      </w:r>
      <w:r w:rsidR="005D2DA0" w:rsidRPr="0024168A">
        <w:rPr>
          <w:lang w:val="en-US"/>
        </w:rPr>
        <w:t xml:space="preserve">for other information technology and computer services. </w:t>
      </w:r>
    </w:p>
    <w:p w14:paraId="6F2F0590" w14:textId="266684E2" w:rsidR="002D3C20" w:rsidRPr="00A970D6" w:rsidRDefault="002A18AD" w:rsidP="00F802BE">
      <w:pPr>
        <w:rPr>
          <w:lang w:val="en-US"/>
        </w:rPr>
      </w:pPr>
      <w:r w:rsidRPr="00A970D6">
        <w:rPr>
          <w:lang w:val="en-US"/>
        </w:rPr>
        <w:t>In 201</w:t>
      </w:r>
      <w:r w:rsidR="004B5388" w:rsidRPr="00A970D6">
        <w:rPr>
          <w:lang w:val="en-US"/>
        </w:rPr>
        <w:t>8</w:t>
      </w:r>
      <w:r w:rsidR="002D3C20" w:rsidRPr="00A970D6">
        <w:rPr>
          <w:lang w:val="en-US"/>
        </w:rPr>
        <w:t>, the value of services provided to non-residents</w:t>
      </w:r>
      <w:r w:rsidR="00571DE7" w:rsidRPr="00571DE7">
        <w:rPr>
          <w:vertAlign w:val="superscript"/>
          <w:lang w:val="en-US"/>
        </w:rPr>
        <w:fldChar w:fldCharType="begin"/>
      </w:r>
      <w:r w:rsidR="00571DE7" w:rsidRPr="00571DE7">
        <w:rPr>
          <w:vertAlign w:val="superscript"/>
          <w:lang w:val="en-US"/>
        </w:rPr>
        <w:instrText xml:space="preserve"> NOTEREF _Ref48221469 \h </w:instrText>
      </w:r>
      <w:r w:rsidR="00571DE7">
        <w:rPr>
          <w:vertAlign w:val="superscript"/>
          <w:lang w:val="en-US"/>
        </w:rPr>
        <w:instrText xml:space="preserve"> \* MERGEFORMAT </w:instrText>
      </w:r>
      <w:r w:rsidR="00571DE7" w:rsidRPr="00571DE7">
        <w:rPr>
          <w:vertAlign w:val="superscript"/>
          <w:lang w:val="en-US"/>
        </w:rPr>
      </w:r>
      <w:r w:rsidR="00571DE7" w:rsidRPr="00571DE7">
        <w:rPr>
          <w:vertAlign w:val="superscript"/>
          <w:lang w:val="en-US"/>
        </w:rPr>
        <w:fldChar w:fldCharType="separate"/>
      </w:r>
      <w:r w:rsidR="00C14AE2">
        <w:rPr>
          <w:vertAlign w:val="superscript"/>
          <w:lang w:val="en-US"/>
        </w:rPr>
        <w:t>4</w:t>
      </w:r>
      <w:r w:rsidR="00571DE7" w:rsidRPr="00571DE7">
        <w:rPr>
          <w:vertAlign w:val="superscript"/>
          <w:lang w:val="en-US"/>
        </w:rPr>
        <w:fldChar w:fldCharType="end"/>
      </w:r>
      <w:r w:rsidR="002D3C20" w:rsidRPr="00A970D6">
        <w:rPr>
          <w:lang w:val="en-US"/>
        </w:rPr>
        <w:t xml:space="preserve"> accounted for PLN </w:t>
      </w:r>
      <w:r w:rsidR="004B5388" w:rsidRPr="00A970D6">
        <w:rPr>
          <w:lang w:val="en-US"/>
        </w:rPr>
        <w:t>22.7</w:t>
      </w:r>
      <w:r w:rsidR="002D3C20" w:rsidRPr="00A970D6">
        <w:rPr>
          <w:lang w:val="en-US"/>
        </w:rPr>
        <w:t xml:space="preserve"> billion (an increase of </w:t>
      </w:r>
      <w:r w:rsidR="004B5388" w:rsidRPr="00A970D6">
        <w:rPr>
          <w:lang w:val="en-US"/>
        </w:rPr>
        <w:t>18.8</w:t>
      </w:r>
      <w:r w:rsidR="002D3C20" w:rsidRPr="00A970D6">
        <w:rPr>
          <w:lang w:val="en-US"/>
        </w:rPr>
        <w:t>%), while the value of services acqui</w:t>
      </w:r>
      <w:r w:rsidRPr="00A970D6">
        <w:rPr>
          <w:lang w:val="en-US"/>
        </w:rPr>
        <w:t xml:space="preserve">red from non-residents – PLN </w:t>
      </w:r>
      <w:r w:rsidR="004B5388" w:rsidRPr="00A970D6">
        <w:rPr>
          <w:lang w:val="en-US"/>
        </w:rPr>
        <w:t>5.3</w:t>
      </w:r>
      <w:r w:rsidRPr="00A970D6">
        <w:rPr>
          <w:lang w:val="en-US"/>
        </w:rPr>
        <w:t xml:space="preserve"> billion (an increase of </w:t>
      </w:r>
      <w:r w:rsidR="004B5388" w:rsidRPr="00A970D6">
        <w:rPr>
          <w:lang w:val="en-US"/>
        </w:rPr>
        <w:t>10.0</w:t>
      </w:r>
      <w:r w:rsidR="002D3C20" w:rsidRPr="00A970D6">
        <w:rPr>
          <w:lang w:val="en-US"/>
        </w:rPr>
        <w:t>%).</w:t>
      </w:r>
    </w:p>
    <w:p w14:paraId="79F555ED" w14:textId="67A81CF9" w:rsidR="004C092D" w:rsidRPr="00A970D6" w:rsidRDefault="0076688D" w:rsidP="00F802BE">
      <w:pPr>
        <w:rPr>
          <w:lang w:val="en-US"/>
        </w:rPr>
      </w:pPr>
      <w:r>
        <w:rPr>
          <w:lang w:val="en-US"/>
        </w:rPr>
        <w:t>E</w:t>
      </w:r>
      <w:r w:rsidR="00195481" w:rsidRPr="00A970D6">
        <w:rPr>
          <w:lang w:val="en-US"/>
        </w:rPr>
        <w:t xml:space="preserve">ntities located in the United States were the main trading partners in </w:t>
      </w:r>
      <w:r w:rsidR="008C4C9B">
        <w:rPr>
          <w:lang w:val="en-US"/>
        </w:rPr>
        <w:t xml:space="preserve">service export </w:t>
      </w:r>
      <w:r w:rsidR="002A18AD" w:rsidRPr="00A970D6">
        <w:rPr>
          <w:lang w:val="en-US"/>
        </w:rPr>
        <w:t>(</w:t>
      </w:r>
      <w:r w:rsidR="00CA1CF9">
        <w:rPr>
          <w:lang w:val="en-US"/>
        </w:rPr>
        <w:t xml:space="preserve">a </w:t>
      </w:r>
      <w:r w:rsidR="002A18AD" w:rsidRPr="00A970D6">
        <w:rPr>
          <w:lang w:val="en-US"/>
        </w:rPr>
        <w:t>share</w:t>
      </w:r>
      <w:r w:rsidR="00195481" w:rsidRPr="00A970D6">
        <w:rPr>
          <w:lang w:val="en-US"/>
        </w:rPr>
        <w:t xml:space="preserve"> </w:t>
      </w:r>
      <w:r w:rsidR="00CA1CF9">
        <w:rPr>
          <w:lang w:val="en-US"/>
        </w:rPr>
        <w:t>on the level of</w:t>
      </w:r>
      <w:r w:rsidR="002A18AD" w:rsidRPr="00A970D6">
        <w:rPr>
          <w:lang w:val="en-US"/>
        </w:rPr>
        <w:t xml:space="preserve"> 19.</w:t>
      </w:r>
      <w:r w:rsidR="004B5388" w:rsidRPr="00A970D6">
        <w:rPr>
          <w:lang w:val="en-US"/>
        </w:rPr>
        <w:t>7</w:t>
      </w:r>
      <w:r w:rsidR="002A18AD" w:rsidRPr="00A970D6">
        <w:rPr>
          <w:lang w:val="en-US"/>
        </w:rPr>
        <w:t>%</w:t>
      </w:r>
      <w:r w:rsidR="004B5388" w:rsidRPr="00A970D6">
        <w:rPr>
          <w:lang w:val="en-US"/>
        </w:rPr>
        <w:t>)</w:t>
      </w:r>
      <w:r w:rsidR="002A18AD" w:rsidRPr="00A970D6">
        <w:rPr>
          <w:lang w:val="en-US"/>
        </w:rPr>
        <w:t xml:space="preserve"> while</w:t>
      </w:r>
      <w:r w:rsidR="004B5388" w:rsidRPr="00A970D6">
        <w:rPr>
          <w:lang w:val="en-US"/>
        </w:rPr>
        <w:t xml:space="preserve"> entities located in the</w:t>
      </w:r>
      <w:r w:rsidR="005C21DE" w:rsidRPr="00A970D6">
        <w:rPr>
          <w:lang w:val="en-US"/>
        </w:rPr>
        <w:t xml:space="preserve"> Ireland</w:t>
      </w:r>
      <w:r w:rsidR="002A18AD" w:rsidRPr="00A970D6">
        <w:rPr>
          <w:lang w:val="en-US"/>
        </w:rPr>
        <w:t xml:space="preserve"> </w:t>
      </w:r>
      <w:r w:rsidR="005C21DE" w:rsidRPr="00A970D6">
        <w:rPr>
          <w:lang w:val="en-US"/>
        </w:rPr>
        <w:t>were the main trading partners in</w:t>
      </w:r>
      <w:r w:rsidR="008C4C9B">
        <w:rPr>
          <w:lang w:val="en-US"/>
        </w:rPr>
        <w:t xml:space="preserve"> service import</w:t>
      </w:r>
      <w:r w:rsidR="005A4253" w:rsidRPr="00A970D6">
        <w:rPr>
          <w:lang w:val="en-US"/>
        </w:rPr>
        <w:t xml:space="preserve"> </w:t>
      </w:r>
      <w:r w:rsidR="005C21DE" w:rsidRPr="00A970D6">
        <w:rPr>
          <w:lang w:val="en-US"/>
        </w:rPr>
        <w:t>(</w:t>
      </w:r>
      <w:r w:rsidR="00CA1CF9">
        <w:rPr>
          <w:lang w:val="en-US"/>
        </w:rPr>
        <w:t xml:space="preserve">a </w:t>
      </w:r>
      <w:r w:rsidR="005C21DE" w:rsidRPr="00A970D6">
        <w:rPr>
          <w:lang w:val="en-US"/>
        </w:rPr>
        <w:t>share</w:t>
      </w:r>
      <w:r w:rsidR="00CA1CF9">
        <w:rPr>
          <w:lang w:val="en-US"/>
        </w:rPr>
        <w:t xml:space="preserve"> a</w:t>
      </w:r>
      <w:r w:rsidR="005C21DE" w:rsidRPr="00A970D6">
        <w:rPr>
          <w:lang w:val="en-US"/>
        </w:rPr>
        <w:t xml:space="preserve">ccounted for </w:t>
      </w:r>
      <w:r w:rsidR="00F0185B" w:rsidRPr="00A970D6">
        <w:rPr>
          <w:lang w:val="en-US"/>
        </w:rPr>
        <w:t>1</w:t>
      </w:r>
      <w:r w:rsidR="005A4253" w:rsidRPr="00A970D6">
        <w:rPr>
          <w:lang w:val="en-US"/>
        </w:rPr>
        <w:t>6</w:t>
      </w:r>
      <w:r w:rsidR="00F0185B" w:rsidRPr="00A970D6">
        <w:rPr>
          <w:lang w:val="en-US"/>
        </w:rPr>
        <w:t>.</w:t>
      </w:r>
      <w:r w:rsidR="005A4253" w:rsidRPr="00A970D6">
        <w:rPr>
          <w:lang w:val="en-US"/>
        </w:rPr>
        <w:t>6</w:t>
      </w:r>
      <w:r w:rsidR="00F0185B" w:rsidRPr="00A970D6">
        <w:rPr>
          <w:lang w:val="en-US"/>
        </w:rPr>
        <w:t>%). Computer services were the main source</w:t>
      </w:r>
      <w:r w:rsidR="004C092D" w:rsidRPr="00A970D6">
        <w:rPr>
          <w:lang w:val="en-US"/>
        </w:rPr>
        <w:t>s</w:t>
      </w:r>
      <w:r w:rsidR="00F0185B" w:rsidRPr="00A970D6">
        <w:rPr>
          <w:lang w:val="en-US"/>
        </w:rPr>
        <w:t xml:space="preserve"> of revenues and expenditures </w:t>
      </w:r>
      <w:r w:rsidR="004C092D" w:rsidRPr="00A970D6">
        <w:rPr>
          <w:lang w:val="en-US"/>
        </w:rPr>
        <w:t>of these entities which was in line with their main activity (</w:t>
      </w:r>
      <w:r w:rsidR="000E7562" w:rsidRPr="00A970D6">
        <w:rPr>
          <w:lang w:val="en-US"/>
        </w:rPr>
        <w:t xml:space="preserve">a </w:t>
      </w:r>
      <w:r w:rsidR="004C092D" w:rsidRPr="00A970D6">
        <w:rPr>
          <w:lang w:val="en-US"/>
        </w:rPr>
        <w:t>share in the structure of provided serv</w:t>
      </w:r>
      <w:r w:rsidR="00C27F58" w:rsidRPr="00A970D6">
        <w:rPr>
          <w:lang w:val="en-US"/>
        </w:rPr>
        <w:t>ices constituted 6</w:t>
      </w:r>
      <w:r w:rsidR="005C21DE" w:rsidRPr="00A970D6">
        <w:rPr>
          <w:lang w:val="en-US"/>
        </w:rPr>
        <w:t>9.6</w:t>
      </w:r>
      <w:r w:rsidR="00967CDA" w:rsidRPr="00A970D6">
        <w:rPr>
          <w:lang w:val="en-US"/>
        </w:rPr>
        <w:t xml:space="preserve">%, while </w:t>
      </w:r>
      <w:r w:rsidR="004C092D" w:rsidRPr="00A970D6">
        <w:rPr>
          <w:lang w:val="en-US"/>
        </w:rPr>
        <w:t>acquired – 5</w:t>
      </w:r>
      <w:r w:rsidR="005A4253" w:rsidRPr="00A970D6">
        <w:rPr>
          <w:lang w:val="en-US"/>
        </w:rPr>
        <w:t>3</w:t>
      </w:r>
      <w:r w:rsidR="004C092D" w:rsidRPr="00A970D6">
        <w:rPr>
          <w:lang w:val="en-US"/>
        </w:rPr>
        <w:t>.</w:t>
      </w:r>
      <w:r w:rsidR="005C21DE" w:rsidRPr="00A970D6">
        <w:rPr>
          <w:lang w:val="en-US"/>
        </w:rPr>
        <w:t>6</w:t>
      </w:r>
      <w:r w:rsidR="004C092D" w:rsidRPr="00A970D6">
        <w:rPr>
          <w:lang w:val="en-US"/>
        </w:rPr>
        <w:t>%).</w:t>
      </w:r>
    </w:p>
    <w:p w14:paraId="59DFCF6F" w14:textId="48BF464C" w:rsidR="00761E3B" w:rsidRPr="004B42BC" w:rsidRDefault="008D26AB" w:rsidP="004B42BC">
      <w:pPr>
        <w:pStyle w:val="tytuwykresu"/>
        <w:ind w:left="709" w:hanging="709"/>
        <w:rPr>
          <w:shd w:val="clear" w:color="auto" w:fill="FFFFFF"/>
          <w:lang w:val="en-US"/>
        </w:rPr>
      </w:pPr>
      <w:r w:rsidRPr="00A970D6">
        <w:rPr>
          <w:noProof/>
          <w:lang w:eastAsia="pl-PL"/>
        </w:rPr>
        <w:lastRenderedPageBreak/>
        <w:drawing>
          <wp:anchor distT="0" distB="0" distL="114300" distR="114300" simplePos="0" relativeHeight="251773952" behindDoc="0" locked="0" layoutInCell="1" allowOverlap="1" wp14:anchorId="271D5056" wp14:editId="1A63F4F4">
            <wp:simplePos x="0" y="0"/>
            <wp:positionH relativeFrom="margin">
              <wp:align>left</wp:align>
            </wp:positionH>
            <wp:positionV relativeFrom="paragraph">
              <wp:posOffset>345440</wp:posOffset>
            </wp:positionV>
            <wp:extent cx="5133975" cy="3749040"/>
            <wp:effectExtent l="0" t="0" r="0" b="3810"/>
            <wp:wrapSquare wrapText="bothSides"/>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4C092D" w:rsidRPr="00A970D6">
        <w:rPr>
          <w:lang w:val="en-US"/>
        </w:rPr>
        <w:t xml:space="preserve">Chart </w:t>
      </w:r>
      <w:r w:rsidR="00571DE7">
        <w:rPr>
          <w:lang w:val="en-US"/>
        </w:rPr>
        <w:t>5</w:t>
      </w:r>
      <w:r w:rsidR="004C092D" w:rsidRPr="00A970D6">
        <w:rPr>
          <w:lang w:val="en-US"/>
        </w:rPr>
        <w:t>.</w:t>
      </w:r>
      <w:r w:rsidR="004C092D" w:rsidRPr="00A970D6">
        <w:rPr>
          <w:shd w:val="clear" w:color="auto" w:fill="FFFFFF"/>
          <w:lang w:val="en-US"/>
        </w:rPr>
        <w:t xml:space="preserve"> Geographical structure of services provided and acquired in international trade by entities operating in the IT </w:t>
      </w:r>
      <w:r w:rsidR="00B91368" w:rsidRPr="00A970D6">
        <w:rPr>
          <w:shd w:val="clear" w:color="auto" w:fill="FFFFFF"/>
          <w:lang w:val="en-US"/>
        </w:rPr>
        <w:t>industry</w:t>
      </w:r>
      <w:r w:rsidR="002D3C20" w:rsidRPr="00A970D6">
        <w:rPr>
          <w:shd w:val="clear" w:color="auto" w:fill="FFFFFF"/>
          <w:vertAlign w:val="superscript"/>
          <w:lang w:val="en-US"/>
        </w:rPr>
        <w:fldChar w:fldCharType="begin"/>
      </w:r>
      <w:r w:rsidR="002D3C20" w:rsidRPr="00A970D6">
        <w:rPr>
          <w:shd w:val="clear" w:color="auto" w:fill="FFFFFF"/>
          <w:vertAlign w:val="superscript"/>
          <w:lang w:val="en-US"/>
        </w:rPr>
        <w:instrText xml:space="preserve"> NOTEREF _Ref524596354 \h  \* MERGEFORMAT </w:instrText>
      </w:r>
      <w:r w:rsidR="002D3C20" w:rsidRPr="00A970D6">
        <w:rPr>
          <w:shd w:val="clear" w:color="auto" w:fill="FFFFFF"/>
          <w:vertAlign w:val="superscript"/>
          <w:lang w:val="en-US"/>
        </w:rPr>
      </w:r>
      <w:r w:rsidR="002D3C20" w:rsidRPr="00A970D6">
        <w:rPr>
          <w:shd w:val="clear" w:color="auto" w:fill="FFFFFF"/>
          <w:vertAlign w:val="superscript"/>
          <w:lang w:val="en-US"/>
        </w:rPr>
        <w:fldChar w:fldCharType="separate"/>
      </w:r>
      <w:r w:rsidR="00C14AE2">
        <w:rPr>
          <w:shd w:val="clear" w:color="auto" w:fill="FFFFFF"/>
          <w:vertAlign w:val="superscript"/>
          <w:lang w:val="en-US"/>
        </w:rPr>
        <w:t>5</w:t>
      </w:r>
      <w:r w:rsidR="002D3C20" w:rsidRPr="00A970D6">
        <w:rPr>
          <w:shd w:val="clear" w:color="auto" w:fill="FFFFFF"/>
          <w:vertAlign w:val="superscript"/>
          <w:lang w:val="en-US"/>
        </w:rPr>
        <w:fldChar w:fldCharType="end"/>
      </w:r>
      <w:r w:rsidR="00761E3B" w:rsidRPr="00A970D6">
        <w:rPr>
          <w:shd w:val="clear" w:color="auto" w:fill="FFFFFF"/>
          <w:vertAlign w:val="superscript"/>
          <w:lang w:val="en-US"/>
        </w:rPr>
        <w:t xml:space="preserve"> </w:t>
      </w:r>
      <w:r w:rsidR="00571DE7">
        <w:rPr>
          <w:shd w:val="clear" w:color="auto" w:fill="FFFFFF"/>
          <w:lang w:val="en-US"/>
        </w:rPr>
        <w:t>in 2018</w:t>
      </w:r>
    </w:p>
    <w:p w14:paraId="6C7498F9" w14:textId="53930B3E" w:rsidR="00761E3B" w:rsidRPr="00911796" w:rsidRDefault="004B42BC" w:rsidP="00D34063">
      <w:pPr>
        <w:pStyle w:val="tytuwykresu"/>
        <w:ind w:left="709" w:hanging="709"/>
        <w:rPr>
          <w:shd w:val="clear" w:color="auto" w:fill="FFFFFF"/>
          <w:lang w:val="en-US"/>
        </w:rPr>
      </w:pPr>
      <w:r w:rsidRPr="005C4596">
        <w:rPr>
          <w:noProof/>
          <w:lang w:eastAsia="pl-PL"/>
        </w:rPr>
        <w:drawing>
          <wp:anchor distT="0" distB="0" distL="114300" distR="114300" simplePos="0" relativeHeight="251776000" behindDoc="0" locked="0" layoutInCell="1" allowOverlap="1" wp14:anchorId="4EC7F918" wp14:editId="1C898A0C">
            <wp:simplePos x="0" y="0"/>
            <wp:positionH relativeFrom="margin">
              <wp:align>right</wp:align>
            </wp:positionH>
            <wp:positionV relativeFrom="paragraph">
              <wp:posOffset>4090035</wp:posOffset>
            </wp:positionV>
            <wp:extent cx="5124450" cy="2800350"/>
            <wp:effectExtent l="0" t="0" r="0" b="0"/>
            <wp:wrapSquare wrapText="bothSides"/>
            <wp:docPr id="18"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8D26AB" w:rsidRPr="005C4596">
        <w:rPr>
          <w:lang w:val="en-US"/>
        </w:rPr>
        <w:t>C</w:t>
      </w:r>
      <w:r>
        <w:rPr>
          <w:lang w:val="en-US"/>
        </w:rPr>
        <w:t>hart 6</w:t>
      </w:r>
      <w:r w:rsidR="008D26AB" w:rsidRPr="005C4596">
        <w:rPr>
          <w:lang w:val="en-US"/>
        </w:rPr>
        <w:t>.</w:t>
      </w:r>
      <w:r w:rsidR="008D26AB" w:rsidRPr="005C4596">
        <w:rPr>
          <w:shd w:val="clear" w:color="auto" w:fill="FFFFFF"/>
          <w:lang w:val="en-US"/>
        </w:rPr>
        <w:t xml:space="preserve"> </w:t>
      </w:r>
      <w:r w:rsidR="008D26AB" w:rsidRPr="00911796">
        <w:rPr>
          <w:shd w:val="clear" w:color="auto" w:fill="FFFFFF"/>
          <w:lang w:val="en-US"/>
        </w:rPr>
        <w:t>Structure of services provided and acquired in international trade by entities operating in the IT industry</w:t>
      </w:r>
      <w:r w:rsidR="00561DC0" w:rsidRPr="00911796">
        <w:rPr>
          <w:shd w:val="clear" w:color="auto" w:fill="FFFFFF"/>
          <w:vertAlign w:val="superscript"/>
          <w:lang w:val="en-US"/>
        </w:rPr>
        <w:fldChar w:fldCharType="begin"/>
      </w:r>
      <w:r w:rsidR="00561DC0" w:rsidRPr="00911796">
        <w:rPr>
          <w:shd w:val="clear" w:color="auto" w:fill="FFFFFF"/>
          <w:vertAlign w:val="superscript"/>
          <w:lang w:val="en-US"/>
        </w:rPr>
        <w:instrText xml:space="preserve"> NOTEREF _Ref524596354 \h  \* MERGEFORMAT </w:instrText>
      </w:r>
      <w:r w:rsidR="00561DC0" w:rsidRPr="00911796">
        <w:rPr>
          <w:shd w:val="clear" w:color="auto" w:fill="FFFFFF"/>
          <w:vertAlign w:val="superscript"/>
          <w:lang w:val="en-US"/>
        </w:rPr>
      </w:r>
      <w:r w:rsidR="00561DC0" w:rsidRPr="00911796">
        <w:rPr>
          <w:shd w:val="clear" w:color="auto" w:fill="FFFFFF"/>
          <w:vertAlign w:val="superscript"/>
          <w:lang w:val="en-US"/>
        </w:rPr>
        <w:fldChar w:fldCharType="separate"/>
      </w:r>
      <w:r w:rsidR="00C14AE2">
        <w:rPr>
          <w:shd w:val="clear" w:color="auto" w:fill="FFFFFF"/>
          <w:vertAlign w:val="superscript"/>
          <w:lang w:val="en-US"/>
        </w:rPr>
        <w:t>5</w:t>
      </w:r>
      <w:r w:rsidR="00561DC0" w:rsidRPr="00911796">
        <w:rPr>
          <w:shd w:val="clear" w:color="auto" w:fill="FFFFFF"/>
          <w:vertAlign w:val="superscript"/>
          <w:lang w:val="en-US"/>
        </w:rPr>
        <w:fldChar w:fldCharType="end"/>
      </w:r>
      <w:r w:rsidR="00761E3B" w:rsidRPr="00911796">
        <w:rPr>
          <w:shd w:val="clear" w:color="auto" w:fill="FFFFFF"/>
          <w:vertAlign w:val="superscript"/>
          <w:lang w:val="en-US"/>
        </w:rPr>
        <w:t xml:space="preserve"> </w:t>
      </w:r>
      <w:r w:rsidR="00761E3B" w:rsidRPr="00911796">
        <w:rPr>
          <w:shd w:val="clear" w:color="auto" w:fill="FFFFFF"/>
          <w:lang w:val="en-US"/>
        </w:rPr>
        <w:t>by kind of provided services</w:t>
      </w:r>
      <w:r w:rsidR="0082106C">
        <w:rPr>
          <w:shd w:val="clear" w:color="auto" w:fill="FFFFFF"/>
          <w:lang w:val="en-US"/>
        </w:rPr>
        <w:t xml:space="preserve"> </w:t>
      </w:r>
      <w:r>
        <w:rPr>
          <w:shd w:val="clear" w:color="auto" w:fill="FFFFFF"/>
          <w:lang w:val="en-US"/>
        </w:rPr>
        <w:t>in 2018</w:t>
      </w:r>
    </w:p>
    <w:p w14:paraId="6507172E" w14:textId="4B23192C" w:rsidR="006865A1" w:rsidRPr="00A970D6" w:rsidRDefault="0029724C" w:rsidP="006865A1">
      <w:pPr>
        <w:pStyle w:val="Nagwek1"/>
        <w:rPr>
          <w:lang w:val="en-US"/>
        </w:rPr>
      </w:pPr>
      <w:r w:rsidRPr="00A970D6">
        <w:rPr>
          <w:rFonts w:ascii="Fira Sans" w:hAnsi="Fira Sans"/>
          <w:b/>
          <w:noProof/>
          <w:spacing w:val="-2"/>
          <w:szCs w:val="19"/>
        </w:rPr>
        <mc:AlternateContent>
          <mc:Choice Requires="wps">
            <w:drawing>
              <wp:anchor distT="45720" distB="45720" distL="114300" distR="114300" simplePos="0" relativeHeight="251739136" behindDoc="1" locked="0" layoutInCell="1" allowOverlap="1" wp14:anchorId="278E5739" wp14:editId="3FBFA0E8">
                <wp:simplePos x="0" y="0"/>
                <wp:positionH relativeFrom="column">
                  <wp:posOffset>5255260</wp:posOffset>
                </wp:positionH>
                <wp:positionV relativeFrom="paragraph">
                  <wp:posOffset>2879725</wp:posOffset>
                </wp:positionV>
                <wp:extent cx="1725295" cy="1038225"/>
                <wp:effectExtent l="0" t="0" r="0" b="0"/>
                <wp:wrapTight wrapText="bothSides">
                  <wp:wrapPolygon edited="0">
                    <wp:start x="715" y="0"/>
                    <wp:lineTo x="715" y="21006"/>
                    <wp:lineTo x="20749" y="21006"/>
                    <wp:lineTo x="20749" y="0"/>
                    <wp:lineTo x="715" y="0"/>
                  </wp:wrapPolygon>
                </wp:wrapTight>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38225"/>
                        </a:xfrm>
                        <a:prstGeom prst="rect">
                          <a:avLst/>
                        </a:prstGeom>
                        <a:noFill/>
                        <a:ln w="9525">
                          <a:noFill/>
                          <a:miter lim="800000"/>
                          <a:headEnd/>
                          <a:tailEnd/>
                        </a:ln>
                      </wps:spPr>
                      <wps:txbx>
                        <w:txbxContent>
                          <w:p w14:paraId="49B60C39" w14:textId="3A94FD12" w:rsidR="00227C21" w:rsidRPr="00A970D6" w:rsidRDefault="00227C21" w:rsidP="006865A1">
                            <w:pPr>
                              <w:pStyle w:val="tekstzboku"/>
                              <w:rPr>
                                <w:color w:val="auto"/>
                                <w:lang w:val="en-US"/>
                              </w:rPr>
                            </w:pPr>
                            <w:r w:rsidRPr="00A970D6">
                              <w:rPr>
                                <w:color w:val="auto"/>
                                <w:lang w:val="en-US"/>
                              </w:rPr>
                              <w:t xml:space="preserve">Deterioration of profitability rates of entities </w:t>
                            </w:r>
                            <w:r w:rsidR="00967CE1" w:rsidRPr="00A970D6">
                              <w:rPr>
                                <w:color w:val="auto"/>
                                <w:lang w:val="en-US"/>
                              </w:rPr>
                              <w:t>conducting legal</w:t>
                            </w:r>
                            <w:r w:rsidRPr="00A970D6">
                              <w:rPr>
                                <w:color w:val="auto"/>
                                <w:lang w:val="en-US"/>
                              </w:rPr>
                              <w:t>, accounting and management consultancy activities</w:t>
                            </w:r>
                          </w:p>
                          <w:p w14:paraId="67FFB169" w14:textId="77777777" w:rsidR="00227C21" w:rsidRPr="0073123A" w:rsidRDefault="00227C21" w:rsidP="006865A1">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E5739" id="Pole tekstowe 15" o:spid="_x0000_s1029" type="#_x0000_t202" style="position:absolute;margin-left:413.8pt;margin-top:226.75pt;width:135.85pt;height:81.75pt;z-index:-251577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" filled="f" stroked="f">
                <v:textbox>
                  <w:txbxContent>
                    <w:p w14:paraId="49B60C39" w14:textId="3A94FD12" w:rsidR="00227C21" w:rsidRPr="00A970D6" w:rsidRDefault="00227C21" w:rsidP="006865A1">
                      <w:pPr>
                        <w:pStyle w:val="tekstzboku"/>
                        <w:rPr>
                          <w:color w:val="auto"/>
                          <w:lang w:val="en-US"/>
                        </w:rPr>
                      </w:pPr>
                      <w:r w:rsidRPr="00A970D6">
                        <w:rPr>
                          <w:color w:val="auto"/>
                          <w:lang w:val="en-US"/>
                        </w:rPr>
                        <w:t xml:space="preserve">Deterioration of profitability rates of entities </w:t>
                      </w:r>
                      <w:r w:rsidR="00967CE1" w:rsidRPr="00A970D6">
                        <w:rPr>
                          <w:color w:val="auto"/>
                          <w:lang w:val="en-US"/>
                        </w:rPr>
                        <w:t>conducting legal</w:t>
                      </w:r>
                      <w:r w:rsidRPr="00A970D6">
                        <w:rPr>
                          <w:color w:val="auto"/>
                          <w:lang w:val="en-US"/>
                        </w:rPr>
                        <w:t>, accounting and management consultancy activities</w:t>
                      </w:r>
                    </w:p>
                    <w:p w14:paraId="67FFB169" w14:textId="77777777" w:rsidR="00227C21" w:rsidRPr="0073123A" w:rsidRDefault="00227C21" w:rsidP="006865A1">
                      <w:pPr>
                        <w:spacing w:after="0"/>
                        <w:rPr>
                          <w:rFonts w:eastAsia="Times New Roman" w:cs="Times New Roman"/>
                          <w:bCs/>
                          <w:color w:val="001D77"/>
                          <w:sz w:val="18"/>
                          <w:szCs w:val="18"/>
                          <w:lang w:val="en-US" w:eastAsia="pl-PL"/>
                        </w:rPr>
                      </w:pPr>
                    </w:p>
                  </w:txbxContent>
                </v:textbox>
                <w10:wrap type="tight"/>
              </v:shape>
            </w:pict>
          </mc:Fallback>
        </mc:AlternateContent>
      </w:r>
      <w:r w:rsidR="001F25F3" w:rsidRPr="00A970D6">
        <w:rPr>
          <w:lang w:val="en-US"/>
        </w:rPr>
        <w:t xml:space="preserve">Legal, </w:t>
      </w:r>
      <w:r w:rsidR="006865A1" w:rsidRPr="00A970D6">
        <w:rPr>
          <w:lang w:val="en-US"/>
        </w:rPr>
        <w:t xml:space="preserve">accounting </w:t>
      </w:r>
      <w:r w:rsidR="001F25F3" w:rsidRPr="00A970D6">
        <w:rPr>
          <w:lang w:val="en-US"/>
        </w:rPr>
        <w:t xml:space="preserve">and management consultancy </w:t>
      </w:r>
      <w:r w:rsidR="003A5836" w:rsidRPr="00A970D6">
        <w:rPr>
          <w:lang w:val="en-US"/>
        </w:rPr>
        <w:t>activities</w:t>
      </w:r>
      <w:bookmarkStart w:id="7" w:name="_Ref524597407"/>
      <w:r w:rsidR="0073123A" w:rsidRPr="00A970D6">
        <w:rPr>
          <w:rStyle w:val="Odwoanieprzypisudolnego"/>
          <w:lang w:val="en-US"/>
        </w:rPr>
        <w:footnoteReference w:id="9"/>
      </w:r>
      <w:bookmarkEnd w:id="7"/>
    </w:p>
    <w:p w14:paraId="5C112F0E" w14:textId="52908F45" w:rsidR="00B91368" w:rsidRPr="00911796" w:rsidRDefault="0076688D" w:rsidP="00F802BE">
      <w:pPr>
        <w:rPr>
          <w:lang w:val="en-US"/>
        </w:rPr>
      </w:pPr>
      <w:r>
        <w:rPr>
          <w:lang w:val="en-US"/>
        </w:rPr>
        <w:t>In the analyzed year</w:t>
      </w:r>
      <w:r w:rsidR="0073123A" w:rsidRPr="005C4596">
        <w:rPr>
          <w:lang w:val="en-US"/>
        </w:rPr>
        <w:t xml:space="preserve">, entities carrying out </w:t>
      </w:r>
      <w:r w:rsidR="005C4596" w:rsidRPr="005C4596">
        <w:rPr>
          <w:lang w:val="en-US"/>
        </w:rPr>
        <w:t xml:space="preserve">legal, accounting and management consultancy activities </w:t>
      </w:r>
      <w:r w:rsidR="0073123A" w:rsidRPr="005C4596">
        <w:rPr>
          <w:lang w:val="en-US"/>
        </w:rPr>
        <w:t>generated</w:t>
      </w:r>
      <w:r w:rsidR="005C4596" w:rsidRPr="005C4596">
        <w:rPr>
          <w:lang w:val="en-US"/>
        </w:rPr>
        <w:t xml:space="preserve"> turnover at the level of PLN 68</w:t>
      </w:r>
      <w:r w:rsidR="0073123A" w:rsidRPr="005C4596">
        <w:rPr>
          <w:lang w:val="en-US"/>
        </w:rPr>
        <w:t>.</w:t>
      </w:r>
      <w:r w:rsidR="005C4596" w:rsidRPr="005C4596">
        <w:rPr>
          <w:lang w:val="en-US"/>
        </w:rPr>
        <w:t>4</w:t>
      </w:r>
      <w:r w:rsidR="0073123A" w:rsidRPr="005C4596">
        <w:rPr>
          <w:lang w:val="en-US"/>
        </w:rPr>
        <w:t xml:space="preserve"> billion </w:t>
      </w:r>
      <w:r w:rsidR="005C4596" w:rsidRPr="005C4596">
        <w:rPr>
          <w:lang w:val="en-US"/>
        </w:rPr>
        <w:t>in</w:t>
      </w:r>
      <w:r w:rsidR="006865A1" w:rsidRPr="005C4596">
        <w:rPr>
          <w:lang w:val="en-US"/>
        </w:rPr>
        <w:t xml:space="preserve"> </w:t>
      </w:r>
      <w:r w:rsidR="005C4596" w:rsidRPr="005C4596">
        <w:rPr>
          <w:lang w:val="en-US"/>
        </w:rPr>
        <w:t xml:space="preserve">149.8 thousand registered enterprises which hired 350.1 thousand </w:t>
      </w:r>
      <w:r w:rsidR="0073123A" w:rsidRPr="005C4596">
        <w:rPr>
          <w:lang w:val="en-US"/>
        </w:rPr>
        <w:t>persons</w:t>
      </w:r>
      <w:r w:rsidR="006865A1" w:rsidRPr="005C4596">
        <w:rPr>
          <w:lang w:val="en-US"/>
        </w:rPr>
        <w:t xml:space="preserve">. </w:t>
      </w:r>
      <w:r w:rsidR="00FA466E">
        <w:rPr>
          <w:lang w:val="en-US"/>
        </w:rPr>
        <w:t>A decrease was observed in b</w:t>
      </w:r>
      <w:r w:rsidR="000F0900" w:rsidRPr="00911796">
        <w:rPr>
          <w:lang w:val="en-US"/>
        </w:rPr>
        <w:t>oth the gross turnover profitability rate</w:t>
      </w:r>
      <w:r w:rsidR="0045444B" w:rsidRPr="00911796">
        <w:rPr>
          <w:vertAlign w:val="superscript"/>
          <w:lang w:val="en-US"/>
        </w:rPr>
        <w:fldChar w:fldCharType="begin"/>
      </w:r>
      <w:r w:rsidR="0045444B" w:rsidRPr="00911796">
        <w:rPr>
          <w:vertAlign w:val="superscript"/>
          <w:lang w:val="en-US"/>
        </w:rPr>
        <w:instrText xml:space="preserve"> NOTEREF _Ref524596901 \h  \* MERGEFORMAT </w:instrText>
      </w:r>
      <w:r w:rsidR="0045444B" w:rsidRPr="00911796">
        <w:rPr>
          <w:vertAlign w:val="superscript"/>
          <w:lang w:val="en-US"/>
        </w:rPr>
      </w:r>
      <w:r w:rsidR="0045444B" w:rsidRPr="00911796">
        <w:rPr>
          <w:vertAlign w:val="superscript"/>
          <w:lang w:val="en-US"/>
        </w:rPr>
        <w:fldChar w:fldCharType="separate"/>
      </w:r>
      <w:r w:rsidR="00C14AE2">
        <w:rPr>
          <w:vertAlign w:val="superscript"/>
          <w:lang w:val="en-US"/>
        </w:rPr>
        <w:t>6</w:t>
      </w:r>
      <w:r w:rsidR="0045444B" w:rsidRPr="00911796">
        <w:rPr>
          <w:vertAlign w:val="superscript"/>
          <w:lang w:val="en-US"/>
        </w:rPr>
        <w:fldChar w:fldCharType="end"/>
      </w:r>
      <w:r w:rsidR="000F0900" w:rsidRPr="00911796">
        <w:rPr>
          <w:lang w:val="en-US"/>
        </w:rPr>
        <w:t xml:space="preserve"> (from </w:t>
      </w:r>
      <w:r w:rsidR="00A970D6" w:rsidRPr="00911796">
        <w:rPr>
          <w:lang w:val="en-US"/>
        </w:rPr>
        <w:t>16</w:t>
      </w:r>
      <w:r w:rsidR="000F0900" w:rsidRPr="00911796">
        <w:rPr>
          <w:lang w:val="en-US"/>
        </w:rPr>
        <w:t>.</w:t>
      </w:r>
      <w:r w:rsidR="00A970D6" w:rsidRPr="00911796">
        <w:rPr>
          <w:lang w:val="en-US"/>
        </w:rPr>
        <w:t>3</w:t>
      </w:r>
      <w:r w:rsidR="000F0900" w:rsidRPr="00911796">
        <w:rPr>
          <w:lang w:val="en-US"/>
        </w:rPr>
        <w:t>% in 201</w:t>
      </w:r>
      <w:r w:rsidR="00A970D6" w:rsidRPr="00911796">
        <w:rPr>
          <w:lang w:val="en-US"/>
        </w:rPr>
        <w:t>7</w:t>
      </w:r>
      <w:r w:rsidR="000F0900" w:rsidRPr="00911796">
        <w:rPr>
          <w:lang w:val="en-US"/>
        </w:rPr>
        <w:t xml:space="preserve"> to </w:t>
      </w:r>
      <w:r w:rsidR="00A970D6" w:rsidRPr="00911796">
        <w:rPr>
          <w:lang w:val="en-US"/>
        </w:rPr>
        <w:t>8</w:t>
      </w:r>
      <w:r w:rsidR="000F0900" w:rsidRPr="00911796">
        <w:rPr>
          <w:lang w:val="en-US"/>
        </w:rPr>
        <w:t>.</w:t>
      </w:r>
      <w:r w:rsidR="00664C25" w:rsidRPr="00911796">
        <w:rPr>
          <w:lang w:val="en-US"/>
        </w:rPr>
        <w:t>3</w:t>
      </w:r>
      <w:r w:rsidR="000F0900" w:rsidRPr="00911796">
        <w:rPr>
          <w:lang w:val="en-US"/>
        </w:rPr>
        <w:t>% in 201</w:t>
      </w:r>
      <w:r w:rsidR="00A970D6" w:rsidRPr="00911796">
        <w:rPr>
          <w:lang w:val="en-US"/>
        </w:rPr>
        <w:t>8</w:t>
      </w:r>
      <w:r w:rsidR="000F0900" w:rsidRPr="00911796">
        <w:rPr>
          <w:lang w:val="en-US"/>
        </w:rPr>
        <w:t>) and the net turnover profitability rate</w:t>
      </w:r>
      <w:r w:rsidR="0045444B" w:rsidRPr="00911796">
        <w:rPr>
          <w:vertAlign w:val="superscript"/>
          <w:lang w:val="en-US"/>
        </w:rPr>
        <w:fldChar w:fldCharType="begin"/>
      </w:r>
      <w:r w:rsidR="0045444B" w:rsidRPr="00911796">
        <w:rPr>
          <w:vertAlign w:val="superscript"/>
          <w:lang w:val="en-US"/>
        </w:rPr>
        <w:instrText xml:space="preserve"> NOTEREF _Ref524596924 \h  \* MERGEFORMAT </w:instrText>
      </w:r>
      <w:r w:rsidR="0045444B" w:rsidRPr="00911796">
        <w:rPr>
          <w:vertAlign w:val="superscript"/>
          <w:lang w:val="en-US"/>
        </w:rPr>
      </w:r>
      <w:r w:rsidR="0045444B" w:rsidRPr="00911796">
        <w:rPr>
          <w:vertAlign w:val="superscript"/>
          <w:lang w:val="en-US"/>
        </w:rPr>
        <w:fldChar w:fldCharType="separate"/>
      </w:r>
      <w:r w:rsidR="00C14AE2">
        <w:rPr>
          <w:vertAlign w:val="superscript"/>
          <w:lang w:val="en-US"/>
        </w:rPr>
        <w:t>7</w:t>
      </w:r>
      <w:r w:rsidR="0045444B" w:rsidRPr="00911796">
        <w:rPr>
          <w:vertAlign w:val="superscript"/>
          <w:lang w:val="en-US"/>
        </w:rPr>
        <w:fldChar w:fldCharType="end"/>
      </w:r>
      <w:r w:rsidR="0073123A" w:rsidRPr="00911796">
        <w:rPr>
          <w:lang w:val="en-US"/>
        </w:rPr>
        <w:t xml:space="preserve"> (from </w:t>
      </w:r>
      <w:r w:rsidR="00A970D6" w:rsidRPr="00911796">
        <w:rPr>
          <w:lang w:val="en-US"/>
        </w:rPr>
        <w:t>15</w:t>
      </w:r>
      <w:r w:rsidR="000F0900" w:rsidRPr="00911796">
        <w:rPr>
          <w:lang w:val="en-US"/>
        </w:rPr>
        <w:t>.</w:t>
      </w:r>
      <w:r w:rsidR="00A970D6" w:rsidRPr="00911796">
        <w:rPr>
          <w:lang w:val="en-US"/>
        </w:rPr>
        <w:t>2</w:t>
      </w:r>
      <w:r w:rsidR="000F0900" w:rsidRPr="00911796">
        <w:rPr>
          <w:lang w:val="en-US"/>
        </w:rPr>
        <w:t>% in 201</w:t>
      </w:r>
      <w:r w:rsidR="00A970D6" w:rsidRPr="00911796">
        <w:rPr>
          <w:lang w:val="en-US"/>
        </w:rPr>
        <w:t>7</w:t>
      </w:r>
      <w:r w:rsidR="000F0900" w:rsidRPr="00911796">
        <w:rPr>
          <w:lang w:val="en-US"/>
        </w:rPr>
        <w:t xml:space="preserve"> to </w:t>
      </w:r>
      <w:r w:rsidR="00911796" w:rsidRPr="00911796">
        <w:rPr>
          <w:lang w:val="en-US"/>
        </w:rPr>
        <w:t>7</w:t>
      </w:r>
      <w:r w:rsidR="000F0900" w:rsidRPr="00911796">
        <w:rPr>
          <w:lang w:val="en-US"/>
        </w:rPr>
        <w:t>.</w:t>
      </w:r>
      <w:r w:rsidR="00911796" w:rsidRPr="00911796">
        <w:rPr>
          <w:lang w:val="en-US"/>
        </w:rPr>
        <w:t>1</w:t>
      </w:r>
      <w:r w:rsidR="000F0900" w:rsidRPr="00911796">
        <w:rPr>
          <w:lang w:val="en-US"/>
        </w:rPr>
        <w:t>% in 201</w:t>
      </w:r>
      <w:r w:rsidR="00911796" w:rsidRPr="00911796">
        <w:rPr>
          <w:lang w:val="en-US"/>
        </w:rPr>
        <w:t>8</w:t>
      </w:r>
      <w:r w:rsidR="000F0900" w:rsidRPr="00911796">
        <w:rPr>
          <w:lang w:val="en-US"/>
        </w:rPr>
        <w:t>). The cost level indicator</w:t>
      </w:r>
      <w:r w:rsidR="0045444B" w:rsidRPr="00911796">
        <w:rPr>
          <w:vertAlign w:val="superscript"/>
          <w:lang w:val="en-US"/>
        </w:rPr>
        <w:fldChar w:fldCharType="begin"/>
      </w:r>
      <w:r w:rsidR="0045444B" w:rsidRPr="00911796">
        <w:rPr>
          <w:vertAlign w:val="superscript"/>
          <w:lang w:val="en-US"/>
        </w:rPr>
        <w:instrText xml:space="preserve"> NOTEREF _Ref524596950 \h  \* MERGEFORMAT </w:instrText>
      </w:r>
      <w:r w:rsidR="0045444B" w:rsidRPr="00911796">
        <w:rPr>
          <w:vertAlign w:val="superscript"/>
          <w:lang w:val="en-US"/>
        </w:rPr>
      </w:r>
      <w:r w:rsidR="0045444B" w:rsidRPr="00911796">
        <w:rPr>
          <w:vertAlign w:val="superscript"/>
          <w:lang w:val="en-US"/>
        </w:rPr>
        <w:fldChar w:fldCharType="separate"/>
      </w:r>
      <w:r w:rsidR="00C14AE2">
        <w:rPr>
          <w:vertAlign w:val="superscript"/>
          <w:lang w:val="en-US"/>
        </w:rPr>
        <w:t>8</w:t>
      </w:r>
      <w:r w:rsidR="0045444B" w:rsidRPr="00911796">
        <w:rPr>
          <w:vertAlign w:val="superscript"/>
          <w:lang w:val="en-US"/>
        </w:rPr>
        <w:fldChar w:fldCharType="end"/>
      </w:r>
      <w:r w:rsidR="000F0900" w:rsidRPr="00911796">
        <w:rPr>
          <w:lang w:val="en-US"/>
        </w:rPr>
        <w:t xml:space="preserve"> </w:t>
      </w:r>
      <w:r w:rsidR="0073123A" w:rsidRPr="00911796">
        <w:rPr>
          <w:lang w:val="en-US"/>
        </w:rPr>
        <w:t xml:space="preserve">also </w:t>
      </w:r>
      <w:r w:rsidR="00911796" w:rsidRPr="00911796">
        <w:rPr>
          <w:lang w:val="en-US"/>
        </w:rPr>
        <w:t>decreased</w:t>
      </w:r>
      <w:r w:rsidR="000F0900" w:rsidRPr="00911796">
        <w:rPr>
          <w:lang w:val="en-US"/>
        </w:rPr>
        <w:t xml:space="preserve"> and amounted to </w:t>
      </w:r>
      <w:r w:rsidR="00911796" w:rsidRPr="00911796">
        <w:rPr>
          <w:lang w:val="en-US"/>
        </w:rPr>
        <w:t>94</w:t>
      </w:r>
      <w:r w:rsidR="000F0900" w:rsidRPr="00911796">
        <w:rPr>
          <w:lang w:val="en-US"/>
        </w:rPr>
        <w:t>.</w:t>
      </w:r>
      <w:r w:rsidR="00911796" w:rsidRPr="00911796">
        <w:rPr>
          <w:lang w:val="en-US"/>
        </w:rPr>
        <w:t>2</w:t>
      </w:r>
      <w:r w:rsidR="0073123A" w:rsidRPr="00911796">
        <w:rPr>
          <w:lang w:val="en-US"/>
        </w:rPr>
        <w:t>% in 201</w:t>
      </w:r>
      <w:r w:rsidR="00911796" w:rsidRPr="00911796">
        <w:rPr>
          <w:lang w:val="en-US"/>
        </w:rPr>
        <w:t>8</w:t>
      </w:r>
      <w:r w:rsidR="0073123A" w:rsidRPr="00911796">
        <w:rPr>
          <w:lang w:val="en-US"/>
        </w:rPr>
        <w:t xml:space="preserve"> compared to </w:t>
      </w:r>
      <w:r w:rsidR="00911796" w:rsidRPr="00911796">
        <w:rPr>
          <w:lang w:val="en-US"/>
        </w:rPr>
        <w:t>86</w:t>
      </w:r>
      <w:r w:rsidR="000F0900" w:rsidRPr="00911796">
        <w:rPr>
          <w:lang w:val="en-US"/>
        </w:rPr>
        <w:t>.</w:t>
      </w:r>
      <w:r w:rsidR="00911796" w:rsidRPr="00911796">
        <w:rPr>
          <w:lang w:val="en-US"/>
        </w:rPr>
        <w:t>1</w:t>
      </w:r>
      <w:r w:rsidR="000F0900" w:rsidRPr="00911796">
        <w:rPr>
          <w:lang w:val="en-US"/>
        </w:rPr>
        <w:t>% in the previous year.</w:t>
      </w:r>
    </w:p>
    <w:p w14:paraId="1A4702C8" w14:textId="064ED543" w:rsidR="00C47E47" w:rsidRPr="005331AC" w:rsidRDefault="000F0900" w:rsidP="00F802BE">
      <w:pPr>
        <w:rPr>
          <w:lang w:val="en-US"/>
        </w:rPr>
      </w:pPr>
      <w:r w:rsidRPr="005331AC">
        <w:rPr>
          <w:lang w:val="en-US"/>
        </w:rPr>
        <w:t xml:space="preserve">Entities </w:t>
      </w:r>
      <w:r w:rsidR="0045444B" w:rsidRPr="005331AC">
        <w:rPr>
          <w:lang w:val="en-US"/>
        </w:rPr>
        <w:t xml:space="preserve">with the number of persons employed 10 and more </w:t>
      </w:r>
      <w:r w:rsidR="00043622" w:rsidRPr="005331AC">
        <w:rPr>
          <w:lang w:val="en-US"/>
        </w:rPr>
        <w:t>concentrated</w:t>
      </w:r>
      <w:r w:rsidR="001F25F3" w:rsidRPr="005331AC">
        <w:rPr>
          <w:lang w:val="en-US"/>
        </w:rPr>
        <w:t xml:space="preserve"> their </w:t>
      </w:r>
      <w:r w:rsidR="00043622" w:rsidRPr="005331AC">
        <w:rPr>
          <w:lang w:val="en-US"/>
        </w:rPr>
        <w:t>bas</w:t>
      </w:r>
      <w:r w:rsidR="001817F1" w:rsidRPr="005331AC">
        <w:rPr>
          <w:lang w:val="en-US"/>
        </w:rPr>
        <w:t>ic</w:t>
      </w:r>
      <w:r w:rsidR="00043622" w:rsidRPr="005331AC">
        <w:rPr>
          <w:lang w:val="en-US"/>
        </w:rPr>
        <w:t xml:space="preserve"> activity</w:t>
      </w:r>
      <w:r w:rsidR="001F25F3" w:rsidRPr="005331AC">
        <w:rPr>
          <w:lang w:val="en-US"/>
        </w:rPr>
        <w:t xml:space="preserve"> on the domestic market</w:t>
      </w:r>
      <w:r w:rsidR="00761E3B" w:rsidRPr="005331AC">
        <w:rPr>
          <w:lang w:val="en-US"/>
        </w:rPr>
        <w:t xml:space="preserve">. This share accounted for </w:t>
      </w:r>
      <w:r w:rsidR="00043622" w:rsidRPr="005331AC">
        <w:rPr>
          <w:lang w:val="en-US"/>
        </w:rPr>
        <w:t>5</w:t>
      </w:r>
      <w:r w:rsidR="00CE3C94" w:rsidRPr="005331AC">
        <w:rPr>
          <w:lang w:val="en-US"/>
        </w:rPr>
        <w:t>5</w:t>
      </w:r>
      <w:r w:rsidR="00043622" w:rsidRPr="005331AC">
        <w:rPr>
          <w:lang w:val="en-US"/>
        </w:rPr>
        <w:t>.</w:t>
      </w:r>
      <w:r w:rsidR="005331AC" w:rsidRPr="005331AC">
        <w:rPr>
          <w:lang w:val="en-US"/>
        </w:rPr>
        <w:t>1</w:t>
      </w:r>
      <w:r w:rsidR="00043622" w:rsidRPr="005331AC">
        <w:rPr>
          <w:lang w:val="en-US"/>
        </w:rPr>
        <w:t>%</w:t>
      </w:r>
      <w:r w:rsidR="00761E3B" w:rsidRPr="005331AC">
        <w:rPr>
          <w:lang w:val="en-US"/>
        </w:rPr>
        <w:t xml:space="preserve"> of total turnover</w:t>
      </w:r>
      <w:r w:rsidR="00C47E47" w:rsidRPr="005331AC">
        <w:rPr>
          <w:lang w:val="en-US"/>
        </w:rPr>
        <w:t xml:space="preserve">. </w:t>
      </w:r>
      <w:r w:rsidR="00043622" w:rsidRPr="005331AC">
        <w:rPr>
          <w:lang w:val="en-US"/>
        </w:rPr>
        <w:t>On t</w:t>
      </w:r>
      <w:r w:rsidR="005331AC" w:rsidRPr="005331AC">
        <w:rPr>
          <w:lang w:val="en-US"/>
        </w:rPr>
        <w:t xml:space="preserve">he other hand, </w:t>
      </w:r>
      <w:r w:rsidR="00C47E47" w:rsidRPr="005331AC">
        <w:rPr>
          <w:lang w:val="en-US"/>
        </w:rPr>
        <w:t xml:space="preserve">the share of </w:t>
      </w:r>
      <w:r w:rsidR="00043622" w:rsidRPr="005331AC">
        <w:rPr>
          <w:lang w:val="en-US"/>
        </w:rPr>
        <w:t>services sold</w:t>
      </w:r>
      <w:r w:rsidR="00C47E47" w:rsidRPr="005331AC">
        <w:rPr>
          <w:lang w:val="en-US"/>
        </w:rPr>
        <w:t xml:space="preserve"> to entities from EU countries </w:t>
      </w:r>
      <w:r w:rsidR="005331AC" w:rsidRPr="005331AC">
        <w:rPr>
          <w:lang w:val="en-US"/>
        </w:rPr>
        <w:t>amounted to 30</w:t>
      </w:r>
      <w:r w:rsidR="00C47E47" w:rsidRPr="005331AC">
        <w:rPr>
          <w:lang w:val="en-US"/>
        </w:rPr>
        <w:t>.</w:t>
      </w:r>
      <w:r w:rsidR="005331AC" w:rsidRPr="005331AC">
        <w:rPr>
          <w:lang w:val="en-US"/>
        </w:rPr>
        <w:t>7%</w:t>
      </w:r>
      <w:r w:rsidR="00C47E47" w:rsidRPr="005331AC">
        <w:rPr>
          <w:lang w:val="en-US"/>
        </w:rPr>
        <w:t xml:space="preserve">. </w:t>
      </w:r>
      <w:r w:rsidR="001F25F3" w:rsidRPr="005331AC">
        <w:rPr>
          <w:lang w:val="en-US"/>
        </w:rPr>
        <w:t xml:space="preserve"> </w:t>
      </w:r>
      <w:r w:rsidR="000334DF" w:rsidRPr="005331AC">
        <w:rPr>
          <w:lang w:val="en-US"/>
        </w:rPr>
        <w:t xml:space="preserve">Business and </w:t>
      </w:r>
      <w:r w:rsidR="000334DF" w:rsidRPr="005331AC">
        <w:rPr>
          <w:lang w:val="en-US"/>
        </w:rPr>
        <w:lastRenderedPageBreak/>
        <w:t>other management consu</w:t>
      </w:r>
      <w:r w:rsidR="00043622" w:rsidRPr="005331AC">
        <w:rPr>
          <w:lang w:val="en-US"/>
        </w:rPr>
        <w:t>lting services were the main kind</w:t>
      </w:r>
      <w:r w:rsidR="00AE05DD" w:rsidRPr="005331AC">
        <w:rPr>
          <w:lang w:val="en-US"/>
        </w:rPr>
        <w:t xml:space="preserve"> of services offered to clients</w:t>
      </w:r>
      <w:r w:rsidR="00943058" w:rsidRPr="00943058">
        <w:rPr>
          <w:vertAlign w:val="superscript"/>
          <w:lang w:val="en-US"/>
        </w:rPr>
        <w:fldChar w:fldCharType="begin"/>
      </w:r>
      <w:r w:rsidR="00943058" w:rsidRPr="00943058">
        <w:rPr>
          <w:vertAlign w:val="superscript"/>
          <w:lang w:val="en-US"/>
        </w:rPr>
        <w:instrText xml:space="preserve"> NOTEREF _Ref519689707 \h </w:instrText>
      </w:r>
      <w:r w:rsidR="00943058">
        <w:rPr>
          <w:vertAlign w:val="superscript"/>
          <w:lang w:val="en-US"/>
        </w:rPr>
        <w:instrText xml:space="preserve"> \* MERGEFORMAT </w:instrText>
      </w:r>
      <w:r w:rsidR="00943058" w:rsidRPr="00943058">
        <w:rPr>
          <w:vertAlign w:val="superscript"/>
          <w:lang w:val="en-US"/>
        </w:rPr>
      </w:r>
      <w:r w:rsidR="00943058" w:rsidRPr="00943058">
        <w:rPr>
          <w:vertAlign w:val="superscript"/>
          <w:lang w:val="en-US"/>
        </w:rPr>
        <w:fldChar w:fldCharType="separate"/>
      </w:r>
      <w:r w:rsidR="00C14AE2">
        <w:rPr>
          <w:vertAlign w:val="superscript"/>
          <w:lang w:val="en-US"/>
        </w:rPr>
        <w:t>10</w:t>
      </w:r>
      <w:r w:rsidR="00943058" w:rsidRPr="00943058">
        <w:rPr>
          <w:vertAlign w:val="superscript"/>
          <w:lang w:val="en-US"/>
        </w:rPr>
        <w:fldChar w:fldCharType="end"/>
      </w:r>
      <w:r w:rsidR="0073123A" w:rsidRPr="005331AC">
        <w:rPr>
          <w:lang w:val="en-US"/>
        </w:rPr>
        <w:t xml:space="preserve">. </w:t>
      </w:r>
      <w:r w:rsidR="000334DF" w:rsidRPr="005331AC">
        <w:rPr>
          <w:lang w:val="en-US"/>
        </w:rPr>
        <w:t xml:space="preserve">Accounting services were the second category of services in terms of the </w:t>
      </w:r>
      <w:r w:rsidR="00D10869">
        <w:rPr>
          <w:lang w:val="en-US"/>
        </w:rPr>
        <w:t xml:space="preserve">share </w:t>
      </w:r>
      <w:r w:rsidR="000334DF" w:rsidRPr="005331AC">
        <w:rPr>
          <w:lang w:val="en-US"/>
        </w:rPr>
        <w:t>size</w:t>
      </w:r>
      <w:bookmarkStart w:id="8" w:name="_Ref519689707"/>
      <w:r w:rsidR="0073123A" w:rsidRPr="005331AC">
        <w:rPr>
          <w:rStyle w:val="Odwoanieprzypisudolnego"/>
          <w:lang w:val="en-US"/>
        </w:rPr>
        <w:footnoteReference w:id="10"/>
      </w:r>
      <w:bookmarkEnd w:id="8"/>
      <w:r w:rsidR="000334DF" w:rsidRPr="005331AC">
        <w:rPr>
          <w:lang w:val="en-US"/>
        </w:rPr>
        <w:t>.</w:t>
      </w:r>
    </w:p>
    <w:p w14:paraId="31426C34" w14:textId="364B451C" w:rsidR="00C0788C" w:rsidRPr="00911796" w:rsidRDefault="00CE3C94" w:rsidP="00F802BE">
      <w:pPr>
        <w:rPr>
          <w:lang w:val="en-US"/>
        </w:rPr>
      </w:pPr>
      <w:r w:rsidRPr="00911796">
        <w:rPr>
          <w:lang w:val="en-US"/>
        </w:rPr>
        <w:t>In 201</w:t>
      </w:r>
      <w:r w:rsidR="001200AA" w:rsidRPr="00911796">
        <w:rPr>
          <w:lang w:val="en-US"/>
        </w:rPr>
        <w:t>8</w:t>
      </w:r>
      <w:r w:rsidR="00C0788C" w:rsidRPr="00911796">
        <w:rPr>
          <w:lang w:val="en-US"/>
        </w:rPr>
        <w:t>, the value of services provided to non-residents</w:t>
      </w:r>
      <w:r w:rsidR="004B42BC" w:rsidRPr="004B42BC">
        <w:rPr>
          <w:vertAlign w:val="superscript"/>
          <w:lang w:val="en-US"/>
        </w:rPr>
        <w:fldChar w:fldCharType="begin"/>
      </w:r>
      <w:r w:rsidR="004B42BC" w:rsidRPr="004B42BC">
        <w:rPr>
          <w:vertAlign w:val="superscript"/>
          <w:lang w:val="en-US"/>
        </w:rPr>
        <w:instrText xml:space="preserve"> NOTEREF _Ref48221469 \h </w:instrText>
      </w:r>
      <w:r w:rsidR="004B42BC">
        <w:rPr>
          <w:vertAlign w:val="superscript"/>
          <w:lang w:val="en-US"/>
        </w:rPr>
        <w:instrText xml:space="preserve"> \* MERGEFORMAT </w:instrText>
      </w:r>
      <w:r w:rsidR="004B42BC" w:rsidRPr="004B42BC">
        <w:rPr>
          <w:vertAlign w:val="superscript"/>
          <w:lang w:val="en-US"/>
        </w:rPr>
      </w:r>
      <w:r w:rsidR="004B42BC" w:rsidRPr="004B42BC">
        <w:rPr>
          <w:vertAlign w:val="superscript"/>
          <w:lang w:val="en-US"/>
        </w:rPr>
        <w:fldChar w:fldCharType="separate"/>
      </w:r>
      <w:r w:rsidR="00C14AE2">
        <w:rPr>
          <w:vertAlign w:val="superscript"/>
          <w:lang w:val="en-US"/>
        </w:rPr>
        <w:t>4</w:t>
      </w:r>
      <w:r w:rsidR="004B42BC" w:rsidRPr="004B42BC">
        <w:rPr>
          <w:vertAlign w:val="superscript"/>
          <w:lang w:val="en-US"/>
        </w:rPr>
        <w:fldChar w:fldCharType="end"/>
      </w:r>
      <w:r w:rsidR="00C0788C" w:rsidRPr="00911796">
        <w:rPr>
          <w:lang w:val="en-US"/>
        </w:rPr>
        <w:t xml:space="preserve"> </w:t>
      </w:r>
      <w:r w:rsidR="007946C2" w:rsidRPr="00911796">
        <w:rPr>
          <w:lang w:val="en-US"/>
        </w:rPr>
        <w:t>b</w:t>
      </w:r>
      <w:r w:rsidR="00A72AD3" w:rsidRPr="00911796">
        <w:rPr>
          <w:lang w:val="en-US"/>
        </w:rPr>
        <w:t>y</w:t>
      </w:r>
      <w:r w:rsidR="007946C2" w:rsidRPr="00911796">
        <w:rPr>
          <w:lang w:val="en-US"/>
        </w:rPr>
        <w:t xml:space="preserve"> these entities amounted to PLN </w:t>
      </w:r>
      <w:r w:rsidR="001200AA" w:rsidRPr="00911796">
        <w:rPr>
          <w:lang w:val="en-US"/>
        </w:rPr>
        <w:t>10.9</w:t>
      </w:r>
      <w:r w:rsidR="007946C2" w:rsidRPr="00911796">
        <w:rPr>
          <w:lang w:val="en-US"/>
        </w:rPr>
        <w:t xml:space="preserve"> billion (</w:t>
      </w:r>
      <w:r w:rsidR="002D4DAA" w:rsidRPr="00911796">
        <w:rPr>
          <w:lang w:val="en-US"/>
        </w:rPr>
        <w:t xml:space="preserve">an </w:t>
      </w:r>
      <w:r w:rsidR="00C27F58" w:rsidRPr="00911796">
        <w:rPr>
          <w:lang w:val="en-US"/>
        </w:rPr>
        <w:t>increase of</w:t>
      </w:r>
      <w:r w:rsidR="007946C2" w:rsidRPr="00911796">
        <w:rPr>
          <w:lang w:val="en-US"/>
        </w:rPr>
        <w:t xml:space="preserve"> </w:t>
      </w:r>
      <w:r w:rsidR="001200AA" w:rsidRPr="00911796">
        <w:rPr>
          <w:lang w:val="en-US"/>
        </w:rPr>
        <w:t>17.7</w:t>
      </w:r>
      <w:r w:rsidR="007946C2" w:rsidRPr="00911796">
        <w:rPr>
          <w:lang w:val="en-US"/>
        </w:rPr>
        <w:t xml:space="preserve">%), while the value of services acquired from non-residents accounted for </w:t>
      </w:r>
      <w:r w:rsidRPr="00911796">
        <w:rPr>
          <w:lang w:val="en-US"/>
        </w:rPr>
        <w:t xml:space="preserve">more than </w:t>
      </w:r>
      <w:r w:rsidR="007946C2" w:rsidRPr="00911796">
        <w:rPr>
          <w:lang w:val="en-US"/>
        </w:rPr>
        <w:t>PLN 2.</w:t>
      </w:r>
      <w:r w:rsidR="001200AA" w:rsidRPr="00911796">
        <w:rPr>
          <w:lang w:val="en-US"/>
        </w:rPr>
        <w:t>1</w:t>
      </w:r>
      <w:r w:rsidR="007946C2" w:rsidRPr="00911796">
        <w:rPr>
          <w:lang w:val="en-US"/>
        </w:rPr>
        <w:t xml:space="preserve"> billion (</w:t>
      </w:r>
      <w:r w:rsidR="002D4DAA" w:rsidRPr="00911796">
        <w:rPr>
          <w:lang w:val="en-US"/>
        </w:rPr>
        <w:t xml:space="preserve">an </w:t>
      </w:r>
      <w:r w:rsidR="00C27F58" w:rsidRPr="00911796">
        <w:rPr>
          <w:lang w:val="en-US"/>
        </w:rPr>
        <w:t>increase of</w:t>
      </w:r>
      <w:r w:rsidR="007946C2" w:rsidRPr="00911796">
        <w:rPr>
          <w:lang w:val="en-US"/>
        </w:rPr>
        <w:t xml:space="preserve"> </w:t>
      </w:r>
      <w:r w:rsidR="001200AA" w:rsidRPr="00911796">
        <w:rPr>
          <w:lang w:val="en-US"/>
        </w:rPr>
        <w:t>4.7</w:t>
      </w:r>
      <w:r w:rsidR="007946C2" w:rsidRPr="00911796">
        <w:rPr>
          <w:lang w:val="en-US"/>
        </w:rPr>
        <w:t xml:space="preserve">%). </w:t>
      </w:r>
    </w:p>
    <w:p w14:paraId="5C3DCD8C" w14:textId="3D5AA642" w:rsidR="0073123A" w:rsidRPr="00911796" w:rsidRDefault="0076688D" w:rsidP="00F802BE">
      <w:pPr>
        <w:rPr>
          <w:lang w:val="en-US"/>
        </w:rPr>
      </w:pPr>
      <w:r>
        <w:rPr>
          <w:lang w:val="en-US"/>
        </w:rPr>
        <w:t>E</w:t>
      </w:r>
      <w:r w:rsidR="00592AA6" w:rsidRPr="00911796">
        <w:rPr>
          <w:lang w:val="en-US"/>
        </w:rPr>
        <w:t xml:space="preserve">ntities </w:t>
      </w:r>
      <w:r w:rsidR="00470E23" w:rsidRPr="00911796">
        <w:rPr>
          <w:lang w:val="en-US"/>
        </w:rPr>
        <w:t xml:space="preserve">which had their registered offices in the United Kingdom were </w:t>
      </w:r>
      <w:r w:rsidR="00883182" w:rsidRPr="00911796">
        <w:rPr>
          <w:lang w:val="en-US"/>
        </w:rPr>
        <w:t xml:space="preserve">the main </w:t>
      </w:r>
      <w:r w:rsidR="00592AA6" w:rsidRPr="00911796">
        <w:rPr>
          <w:lang w:val="en-US"/>
        </w:rPr>
        <w:t xml:space="preserve">business </w:t>
      </w:r>
      <w:r w:rsidR="00883182" w:rsidRPr="00911796">
        <w:rPr>
          <w:lang w:val="en-US"/>
        </w:rPr>
        <w:t>partner</w:t>
      </w:r>
      <w:r w:rsidR="00592AA6" w:rsidRPr="00911796">
        <w:rPr>
          <w:lang w:val="en-US"/>
        </w:rPr>
        <w:t xml:space="preserve">s in </w:t>
      </w:r>
      <w:r w:rsidR="00A72AD3" w:rsidRPr="00911796">
        <w:rPr>
          <w:lang w:val="en-US"/>
        </w:rPr>
        <w:t xml:space="preserve">the </w:t>
      </w:r>
      <w:r w:rsidR="00470E23" w:rsidRPr="00911796">
        <w:rPr>
          <w:lang w:val="en-US"/>
        </w:rPr>
        <w:t>international trade in services (</w:t>
      </w:r>
      <w:r w:rsidR="00D10869">
        <w:rPr>
          <w:lang w:val="en-US"/>
        </w:rPr>
        <w:t>a</w:t>
      </w:r>
      <w:r w:rsidR="000E7562" w:rsidRPr="00911796">
        <w:rPr>
          <w:lang w:val="en-US"/>
        </w:rPr>
        <w:t xml:space="preserve"> </w:t>
      </w:r>
      <w:r w:rsidR="00470E23" w:rsidRPr="00911796">
        <w:rPr>
          <w:lang w:val="en-US"/>
        </w:rPr>
        <w:t xml:space="preserve">share in the structure of provided services accounted for </w:t>
      </w:r>
      <w:r w:rsidR="001200AA" w:rsidRPr="00911796">
        <w:rPr>
          <w:lang w:val="en-US"/>
        </w:rPr>
        <w:t>16.8</w:t>
      </w:r>
      <w:r w:rsidR="00470E23" w:rsidRPr="00911796">
        <w:rPr>
          <w:lang w:val="en-US"/>
        </w:rPr>
        <w:t xml:space="preserve">%, while acquired – </w:t>
      </w:r>
      <w:r w:rsidR="001200AA" w:rsidRPr="00911796">
        <w:rPr>
          <w:lang w:val="en-US"/>
        </w:rPr>
        <w:t>20.8</w:t>
      </w:r>
      <w:r w:rsidR="00470E23" w:rsidRPr="00911796">
        <w:rPr>
          <w:lang w:val="en-US"/>
        </w:rPr>
        <w:t xml:space="preserve">%). </w:t>
      </w:r>
      <w:r w:rsidR="00651F95" w:rsidRPr="00911796">
        <w:rPr>
          <w:lang w:val="en-US"/>
        </w:rPr>
        <w:t xml:space="preserve">Legal, accounting, management consulting and public relations services were the main source of both revenues and expenditures, which was consistent with their </w:t>
      </w:r>
      <w:r w:rsidR="00A72AD3" w:rsidRPr="00911796">
        <w:rPr>
          <w:lang w:val="en-US"/>
        </w:rPr>
        <w:t xml:space="preserve">basic </w:t>
      </w:r>
      <w:r w:rsidR="00651F95" w:rsidRPr="00911796">
        <w:rPr>
          <w:lang w:val="en-US"/>
        </w:rPr>
        <w:t>business activity (</w:t>
      </w:r>
      <w:r w:rsidR="00D10869">
        <w:rPr>
          <w:lang w:val="en-US"/>
        </w:rPr>
        <w:t>a</w:t>
      </w:r>
      <w:r w:rsidR="000E7562" w:rsidRPr="00911796">
        <w:rPr>
          <w:lang w:val="en-US"/>
        </w:rPr>
        <w:t xml:space="preserve"> </w:t>
      </w:r>
      <w:r w:rsidR="00651F95" w:rsidRPr="00911796">
        <w:rPr>
          <w:lang w:val="en-US"/>
        </w:rPr>
        <w:t xml:space="preserve">share in the structure of provided services accounted for </w:t>
      </w:r>
      <w:r w:rsidR="001200AA" w:rsidRPr="00911796">
        <w:rPr>
          <w:lang w:val="en-US"/>
        </w:rPr>
        <w:t>75.8</w:t>
      </w:r>
      <w:r w:rsidR="00651F95" w:rsidRPr="00911796">
        <w:rPr>
          <w:lang w:val="en-US"/>
        </w:rPr>
        <w:t xml:space="preserve">%, while acquired – </w:t>
      </w:r>
      <w:r w:rsidR="001200AA" w:rsidRPr="00911796">
        <w:rPr>
          <w:lang w:val="en-US"/>
        </w:rPr>
        <w:t>46.1</w:t>
      </w:r>
      <w:r w:rsidR="00651F95" w:rsidRPr="00911796">
        <w:rPr>
          <w:lang w:val="en-US"/>
        </w:rPr>
        <w:t>%).</w:t>
      </w:r>
    </w:p>
    <w:p w14:paraId="4A0358B6" w14:textId="2D206308" w:rsidR="00126A91" w:rsidRPr="004B42BC" w:rsidRDefault="0073123A" w:rsidP="008D5FB9">
      <w:pPr>
        <w:ind w:left="709" w:hanging="709"/>
        <w:rPr>
          <w:b/>
          <w:sz w:val="18"/>
          <w:szCs w:val="18"/>
          <w:lang w:val="en-US"/>
        </w:rPr>
      </w:pPr>
      <w:r w:rsidRPr="00911796">
        <w:rPr>
          <w:noProof/>
          <w:lang w:eastAsia="pl-PL"/>
        </w:rPr>
        <w:drawing>
          <wp:anchor distT="0" distB="0" distL="114300" distR="114300" simplePos="0" relativeHeight="251778048" behindDoc="0" locked="0" layoutInCell="1" allowOverlap="1" wp14:anchorId="2C0477CF" wp14:editId="4D2CA451">
            <wp:simplePos x="0" y="0"/>
            <wp:positionH relativeFrom="margin">
              <wp:align>left</wp:align>
            </wp:positionH>
            <wp:positionV relativeFrom="paragraph">
              <wp:posOffset>383540</wp:posOffset>
            </wp:positionV>
            <wp:extent cx="5133975" cy="3535680"/>
            <wp:effectExtent l="0" t="0" r="0" b="7620"/>
            <wp:wrapSquare wrapText="bothSides"/>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651F95" w:rsidRPr="00911796">
        <w:rPr>
          <w:b/>
          <w:sz w:val="18"/>
          <w:szCs w:val="18"/>
          <w:lang w:val="en-US"/>
        </w:rPr>
        <w:t xml:space="preserve">Chart </w:t>
      </w:r>
      <w:r w:rsidR="004B42BC">
        <w:rPr>
          <w:b/>
          <w:sz w:val="18"/>
          <w:szCs w:val="18"/>
          <w:lang w:val="en-US"/>
        </w:rPr>
        <w:t>7</w:t>
      </w:r>
      <w:r w:rsidR="00651F95" w:rsidRPr="00911796">
        <w:rPr>
          <w:b/>
          <w:sz w:val="18"/>
          <w:szCs w:val="18"/>
          <w:lang w:val="en-US"/>
        </w:rPr>
        <w:t>. Geographical structure</w:t>
      </w:r>
      <w:r w:rsidR="00651F95" w:rsidRPr="00911796">
        <w:rPr>
          <w:lang w:val="en-US"/>
        </w:rPr>
        <w:t xml:space="preserve"> </w:t>
      </w:r>
      <w:r w:rsidR="00651F95" w:rsidRPr="00911796">
        <w:rPr>
          <w:b/>
          <w:sz w:val="18"/>
          <w:szCs w:val="18"/>
          <w:lang w:val="en-US"/>
        </w:rPr>
        <w:t>of services provided and acquired in international trade by entities conducting legal, accounting and management consultancy activities</w:t>
      </w:r>
      <w:r w:rsidR="00662F71" w:rsidRPr="00911796">
        <w:rPr>
          <w:b/>
          <w:sz w:val="18"/>
          <w:szCs w:val="18"/>
          <w:vertAlign w:val="superscript"/>
          <w:lang w:val="en-US"/>
        </w:rPr>
        <w:fldChar w:fldCharType="begin"/>
      </w:r>
      <w:r w:rsidR="00662F71" w:rsidRPr="00911796">
        <w:rPr>
          <w:b/>
          <w:sz w:val="18"/>
          <w:szCs w:val="18"/>
          <w:vertAlign w:val="superscript"/>
          <w:lang w:val="en-US"/>
        </w:rPr>
        <w:instrText xml:space="preserve"> NOTEREF _Ref524597407 \h  \* MERGEFORMAT </w:instrText>
      </w:r>
      <w:r w:rsidR="00662F71" w:rsidRPr="00911796">
        <w:rPr>
          <w:b/>
          <w:sz w:val="18"/>
          <w:szCs w:val="18"/>
          <w:vertAlign w:val="superscript"/>
          <w:lang w:val="en-US"/>
        </w:rPr>
      </w:r>
      <w:r w:rsidR="00662F71" w:rsidRPr="00911796">
        <w:rPr>
          <w:b/>
          <w:sz w:val="18"/>
          <w:szCs w:val="18"/>
          <w:vertAlign w:val="superscript"/>
          <w:lang w:val="en-US"/>
        </w:rPr>
        <w:fldChar w:fldCharType="separate"/>
      </w:r>
      <w:r w:rsidR="00C14AE2">
        <w:rPr>
          <w:b/>
          <w:sz w:val="18"/>
          <w:szCs w:val="18"/>
          <w:vertAlign w:val="superscript"/>
          <w:lang w:val="en-US"/>
        </w:rPr>
        <w:t>9</w:t>
      </w:r>
      <w:r w:rsidR="00662F71" w:rsidRPr="00911796">
        <w:rPr>
          <w:b/>
          <w:sz w:val="18"/>
          <w:szCs w:val="18"/>
          <w:vertAlign w:val="superscript"/>
          <w:lang w:val="en-US"/>
        </w:rPr>
        <w:fldChar w:fldCharType="end"/>
      </w:r>
      <w:r w:rsidR="004B42BC">
        <w:rPr>
          <w:b/>
          <w:sz w:val="18"/>
          <w:szCs w:val="18"/>
          <w:vertAlign w:val="superscript"/>
          <w:lang w:val="en-US"/>
        </w:rPr>
        <w:t xml:space="preserve"> </w:t>
      </w:r>
      <w:r w:rsidR="004B42BC">
        <w:rPr>
          <w:b/>
          <w:sz w:val="18"/>
          <w:szCs w:val="18"/>
          <w:lang w:val="en-US"/>
        </w:rPr>
        <w:t>in 2018</w:t>
      </w:r>
    </w:p>
    <w:p w14:paraId="056C9F75" w14:textId="44A8947D" w:rsidR="00454E96" w:rsidRPr="00911796" w:rsidRDefault="00454E96" w:rsidP="00454E96">
      <w:pPr>
        <w:ind w:left="709" w:hanging="709"/>
        <w:rPr>
          <w:b/>
          <w:lang w:val="en-US"/>
        </w:rPr>
      </w:pPr>
      <w:r w:rsidRPr="00911796">
        <w:rPr>
          <w:noProof/>
          <w:lang w:eastAsia="pl-PL"/>
        </w:rPr>
        <w:drawing>
          <wp:anchor distT="0" distB="0" distL="114300" distR="114300" simplePos="0" relativeHeight="251780096" behindDoc="0" locked="0" layoutInCell="1" allowOverlap="1" wp14:anchorId="20AB8C5C" wp14:editId="7E0D726C">
            <wp:simplePos x="0" y="0"/>
            <wp:positionH relativeFrom="margin">
              <wp:align>left</wp:align>
            </wp:positionH>
            <wp:positionV relativeFrom="paragraph">
              <wp:posOffset>4003040</wp:posOffset>
            </wp:positionV>
            <wp:extent cx="5133975" cy="2804160"/>
            <wp:effectExtent l="0" t="0" r="0" b="0"/>
            <wp:wrapSquare wrapText="bothSides"/>
            <wp:docPr id="20"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2D07DD" w:rsidRPr="00911796">
        <w:rPr>
          <w:b/>
          <w:lang w:val="en-US"/>
        </w:rPr>
        <w:t xml:space="preserve">Chart </w:t>
      </w:r>
      <w:r w:rsidR="004B42BC">
        <w:rPr>
          <w:b/>
          <w:lang w:val="en-US"/>
        </w:rPr>
        <w:t>8</w:t>
      </w:r>
      <w:r w:rsidR="002D07DD" w:rsidRPr="00911796">
        <w:rPr>
          <w:b/>
          <w:lang w:val="en-US"/>
        </w:rPr>
        <w:t>. Structure</w:t>
      </w:r>
      <w:r w:rsidR="002D07DD" w:rsidRPr="00911796">
        <w:rPr>
          <w:lang w:val="en-US"/>
        </w:rPr>
        <w:t xml:space="preserve"> </w:t>
      </w:r>
      <w:r w:rsidR="002D07DD" w:rsidRPr="00911796">
        <w:rPr>
          <w:b/>
          <w:lang w:val="en-US"/>
        </w:rPr>
        <w:t>of services provided and acquired in international trade by entities conducting legal, accounting and management consultancy activities</w:t>
      </w:r>
      <w:r w:rsidR="00662F71" w:rsidRPr="00911796">
        <w:rPr>
          <w:b/>
          <w:vertAlign w:val="superscript"/>
          <w:lang w:val="en-US"/>
        </w:rPr>
        <w:fldChar w:fldCharType="begin"/>
      </w:r>
      <w:r w:rsidR="00662F71" w:rsidRPr="00911796">
        <w:rPr>
          <w:b/>
          <w:vertAlign w:val="superscript"/>
          <w:lang w:val="en-US"/>
        </w:rPr>
        <w:instrText xml:space="preserve"> NOTEREF _Ref524597407 \h  \* MERGEFORMAT </w:instrText>
      </w:r>
      <w:r w:rsidR="00662F71" w:rsidRPr="00911796">
        <w:rPr>
          <w:b/>
          <w:vertAlign w:val="superscript"/>
          <w:lang w:val="en-US"/>
        </w:rPr>
      </w:r>
      <w:r w:rsidR="00662F71" w:rsidRPr="00911796">
        <w:rPr>
          <w:b/>
          <w:vertAlign w:val="superscript"/>
          <w:lang w:val="en-US"/>
        </w:rPr>
        <w:fldChar w:fldCharType="separate"/>
      </w:r>
      <w:r w:rsidR="00C14AE2">
        <w:rPr>
          <w:b/>
          <w:vertAlign w:val="superscript"/>
          <w:lang w:val="en-US"/>
        </w:rPr>
        <w:t>9</w:t>
      </w:r>
      <w:r w:rsidR="00662F71" w:rsidRPr="00911796">
        <w:rPr>
          <w:b/>
          <w:vertAlign w:val="superscript"/>
          <w:lang w:val="en-US"/>
        </w:rPr>
        <w:fldChar w:fldCharType="end"/>
      </w:r>
      <w:r w:rsidR="00761E3B" w:rsidRPr="00911796">
        <w:rPr>
          <w:b/>
          <w:vertAlign w:val="superscript"/>
          <w:lang w:val="en-US"/>
        </w:rPr>
        <w:t xml:space="preserve"> </w:t>
      </w:r>
      <w:r w:rsidR="00761E3B" w:rsidRPr="00911796">
        <w:rPr>
          <w:b/>
          <w:lang w:val="en-US"/>
        </w:rPr>
        <w:t>by kind of provided services</w:t>
      </w:r>
      <w:r w:rsidR="004B42BC">
        <w:rPr>
          <w:b/>
          <w:lang w:val="en-US"/>
        </w:rPr>
        <w:t xml:space="preserve"> in 2018</w:t>
      </w:r>
    </w:p>
    <w:p w14:paraId="304CA5E7" w14:textId="3DF3FC73" w:rsidR="002D07DD" w:rsidRPr="00911796" w:rsidRDefault="00454E96" w:rsidP="002D07DD">
      <w:pPr>
        <w:pStyle w:val="Nagwek1"/>
        <w:rPr>
          <w:lang w:val="en-US"/>
        </w:rPr>
      </w:pPr>
      <w:r w:rsidRPr="00911796">
        <w:rPr>
          <w:rFonts w:ascii="Fira Sans" w:hAnsi="Fira Sans"/>
          <w:b/>
          <w:noProof/>
          <w:spacing w:val="-2"/>
          <w:szCs w:val="19"/>
        </w:rPr>
        <w:lastRenderedPageBreak/>
        <mc:AlternateContent>
          <mc:Choice Requires="wps">
            <w:drawing>
              <wp:anchor distT="45720" distB="45720" distL="114300" distR="114300" simplePos="0" relativeHeight="251743232" behindDoc="1" locked="0" layoutInCell="1" allowOverlap="1" wp14:anchorId="262E9F9B" wp14:editId="24A43DD1">
                <wp:simplePos x="0" y="0"/>
                <wp:positionH relativeFrom="column">
                  <wp:posOffset>5260340</wp:posOffset>
                </wp:positionH>
                <wp:positionV relativeFrom="paragraph">
                  <wp:posOffset>0</wp:posOffset>
                </wp:positionV>
                <wp:extent cx="1725295" cy="1104900"/>
                <wp:effectExtent l="0" t="0" r="0" b="0"/>
                <wp:wrapTight wrapText="bothSides">
                  <wp:wrapPolygon edited="0">
                    <wp:start x="715" y="0"/>
                    <wp:lineTo x="715" y="21228"/>
                    <wp:lineTo x="20749" y="21228"/>
                    <wp:lineTo x="20749" y="0"/>
                    <wp:lineTo x="715" y="0"/>
                  </wp:wrapPolygon>
                </wp:wrapTight>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104900"/>
                        </a:xfrm>
                        <a:prstGeom prst="rect">
                          <a:avLst/>
                        </a:prstGeom>
                        <a:noFill/>
                        <a:ln w="9525">
                          <a:noFill/>
                          <a:miter lim="800000"/>
                          <a:headEnd/>
                          <a:tailEnd/>
                        </a:ln>
                      </wps:spPr>
                      <wps:txbx>
                        <w:txbxContent>
                          <w:p w14:paraId="31D6700D" w14:textId="495D04FF" w:rsidR="00227C21" w:rsidRPr="00911796" w:rsidRDefault="00227C21" w:rsidP="002D07DD">
                            <w:pPr>
                              <w:spacing w:after="0"/>
                              <w:rPr>
                                <w:rFonts w:eastAsia="Times New Roman" w:cs="Times New Roman"/>
                                <w:bCs/>
                                <w:sz w:val="18"/>
                                <w:szCs w:val="18"/>
                                <w:lang w:val="en-US" w:eastAsia="pl-PL"/>
                              </w:rPr>
                            </w:pPr>
                            <w:r w:rsidRPr="00911796">
                              <w:rPr>
                                <w:rFonts w:eastAsia="Times New Roman" w:cs="Times New Roman"/>
                                <w:bCs/>
                                <w:sz w:val="18"/>
                                <w:szCs w:val="18"/>
                                <w:lang w:val="en-US" w:eastAsia="pl-PL"/>
                              </w:rPr>
                              <w:t>Further improvement of profitability rates of entities conducting architectural and engineering activities; technical testing and analysis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E9F9B" id="Pole tekstowe 13" o:spid="_x0000_s1030" type="#_x0000_t202" style="position:absolute;margin-left:414.2pt;margin-top:0;width:135.85pt;height:87pt;z-index:-251573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" filled="f" stroked="f">
                <v:textbox>
                  <w:txbxContent>
                    <w:p w14:paraId="31D6700D" w14:textId="495D04FF" w:rsidR="00227C21" w:rsidRPr="00911796" w:rsidRDefault="00227C21" w:rsidP="002D07DD">
                      <w:pPr>
                        <w:spacing w:after="0"/>
                        <w:rPr>
                          <w:rFonts w:eastAsia="Times New Roman" w:cs="Times New Roman"/>
                          <w:bCs/>
                          <w:sz w:val="18"/>
                          <w:szCs w:val="18"/>
                          <w:lang w:val="en-US" w:eastAsia="pl-PL"/>
                        </w:rPr>
                      </w:pPr>
                      <w:r w:rsidRPr="00911796">
                        <w:rPr>
                          <w:rFonts w:eastAsia="Times New Roman" w:cs="Times New Roman"/>
                          <w:bCs/>
                          <w:sz w:val="18"/>
                          <w:szCs w:val="18"/>
                          <w:lang w:val="en-US" w:eastAsia="pl-PL"/>
                        </w:rPr>
                        <w:t>Further improvement of profitability rates of entities conducting architectural and engineering activities; technical testing and analysis</w:t>
                      </w:r>
                    </w:p>
                  </w:txbxContent>
                </v:textbox>
                <w10:wrap type="tight"/>
              </v:shape>
            </w:pict>
          </mc:Fallback>
        </mc:AlternateContent>
      </w:r>
      <w:r w:rsidR="00126A91" w:rsidRPr="00911796">
        <w:rPr>
          <w:lang w:val="en-US"/>
        </w:rPr>
        <w:t>A</w:t>
      </w:r>
      <w:r w:rsidR="002D07DD" w:rsidRPr="00911796">
        <w:rPr>
          <w:lang w:val="en-US"/>
        </w:rPr>
        <w:t>rchitectural and engineering activities;</w:t>
      </w:r>
      <w:r w:rsidR="00840FDA" w:rsidRPr="00911796">
        <w:rPr>
          <w:lang w:val="en-US"/>
        </w:rPr>
        <w:t xml:space="preserve"> technical testing and analysis</w:t>
      </w:r>
      <w:bookmarkStart w:id="9" w:name="_Ref524598543"/>
      <w:r w:rsidR="00A81B09" w:rsidRPr="00911796">
        <w:rPr>
          <w:rStyle w:val="Odwoanieprzypisudolnego"/>
          <w:lang w:val="en-US"/>
        </w:rPr>
        <w:footnoteReference w:id="11"/>
      </w:r>
      <w:bookmarkEnd w:id="9"/>
    </w:p>
    <w:p w14:paraId="07856E15" w14:textId="3B1F61B4" w:rsidR="00732230" w:rsidRPr="00911796" w:rsidRDefault="00A72AD3" w:rsidP="00F802BE">
      <w:pPr>
        <w:rPr>
          <w:noProof/>
          <w:lang w:val="en-US" w:eastAsia="pl-PL"/>
        </w:rPr>
      </w:pPr>
      <w:r w:rsidRPr="00227C21">
        <w:rPr>
          <w:noProof/>
          <w:lang w:val="en-US" w:eastAsia="pl-PL"/>
        </w:rPr>
        <w:t>The value of turnover</w:t>
      </w:r>
      <w:r w:rsidR="00227C21" w:rsidRPr="00227C21">
        <w:rPr>
          <w:noProof/>
          <w:lang w:val="en-US" w:eastAsia="pl-PL"/>
        </w:rPr>
        <w:t xml:space="preserve"> of enterprises carried out architectural and engineering activities; technical testing and analysis accounted for </w:t>
      </w:r>
      <w:r w:rsidR="00832B89" w:rsidRPr="00227C21">
        <w:rPr>
          <w:noProof/>
          <w:lang w:val="en-US" w:eastAsia="pl-PL"/>
        </w:rPr>
        <w:t xml:space="preserve">PLN </w:t>
      </w:r>
      <w:r w:rsidR="00227C21" w:rsidRPr="00227C21">
        <w:rPr>
          <w:noProof/>
          <w:lang w:val="en-US" w:eastAsia="pl-PL"/>
        </w:rPr>
        <w:t>31</w:t>
      </w:r>
      <w:r w:rsidR="00832B89" w:rsidRPr="00227C21">
        <w:rPr>
          <w:noProof/>
          <w:lang w:val="en-US" w:eastAsia="pl-PL"/>
        </w:rPr>
        <w:t>.</w:t>
      </w:r>
      <w:r w:rsidR="00227C21" w:rsidRPr="00227C21">
        <w:rPr>
          <w:noProof/>
          <w:lang w:val="en-US" w:eastAsia="pl-PL"/>
        </w:rPr>
        <w:t>4</w:t>
      </w:r>
      <w:r w:rsidR="00832B89" w:rsidRPr="00227C21">
        <w:rPr>
          <w:noProof/>
          <w:lang w:val="en-US" w:eastAsia="pl-PL"/>
        </w:rPr>
        <w:t xml:space="preserve"> billion</w:t>
      </w:r>
      <w:r w:rsidR="00227C21" w:rsidRPr="00227C21">
        <w:rPr>
          <w:noProof/>
          <w:lang w:val="en-US" w:eastAsia="pl-PL"/>
        </w:rPr>
        <w:t>, the</w:t>
      </w:r>
      <w:r w:rsidR="008554EF" w:rsidRPr="00227C21">
        <w:rPr>
          <w:noProof/>
          <w:lang w:val="en-US" w:eastAsia="pl-PL"/>
        </w:rPr>
        <w:t xml:space="preserve"> number of enterprises </w:t>
      </w:r>
      <w:r w:rsidR="00227C21" w:rsidRPr="00227C21">
        <w:rPr>
          <w:noProof/>
          <w:lang w:val="en-US" w:eastAsia="pl-PL"/>
        </w:rPr>
        <w:t>amounted to 71</w:t>
      </w:r>
      <w:r w:rsidR="00840FDA" w:rsidRPr="00227C21">
        <w:rPr>
          <w:noProof/>
          <w:lang w:val="en-US" w:eastAsia="pl-PL"/>
        </w:rPr>
        <w:t>.</w:t>
      </w:r>
      <w:r w:rsidR="00227C21" w:rsidRPr="00227C21">
        <w:rPr>
          <w:noProof/>
          <w:lang w:val="en-US" w:eastAsia="pl-PL"/>
        </w:rPr>
        <w:t>5 thousand while the</w:t>
      </w:r>
      <w:r w:rsidR="008554EF" w:rsidRPr="00227C21">
        <w:rPr>
          <w:noProof/>
          <w:lang w:val="en-US" w:eastAsia="pl-PL"/>
        </w:rPr>
        <w:t xml:space="preserve"> number of persons employed</w:t>
      </w:r>
      <w:r w:rsidR="009C69C0" w:rsidRPr="00227C21">
        <w:rPr>
          <w:noProof/>
          <w:lang w:val="en-US" w:eastAsia="pl-PL"/>
        </w:rPr>
        <w:t xml:space="preserve"> </w:t>
      </w:r>
      <w:r w:rsidR="00227C21" w:rsidRPr="00227C21">
        <w:rPr>
          <w:noProof/>
          <w:lang w:val="en-US" w:eastAsia="pl-PL"/>
        </w:rPr>
        <w:t>– a little over 152</w:t>
      </w:r>
      <w:r w:rsidR="00840FDA" w:rsidRPr="00227C21">
        <w:rPr>
          <w:noProof/>
          <w:lang w:val="en-US" w:eastAsia="pl-PL"/>
        </w:rPr>
        <w:t xml:space="preserve"> thousand of persons</w:t>
      </w:r>
      <w:r w:rsidR="008554EF" w:rsidRPr="00227C21">
        <w:rPr>
          <w:noProof/>
          <w:lang w:val="en-US" w:eastAsia="pl-PL"/>
        </w:rPr>
        <w:t>.</w:t>
      </w:r>
      <w:r w:rsidR="009C69C0" w:rsidRPr="00227C21">
        <w:rPr>
          <w:noProof/>
          <w:lang w:val="en-US" w:eastAsia="pl-PL"/>
        </w:rPr>
        <w:t xml:space="preserve"> </w:t>
      </w:r>
      <w:r w:rsidR="00732230" w:rsidRPr="00911796">
        <w:rPr>
          <w:noProof/>
          <w:lang w:val="en-US" w:eastAsia="pl-PL"/>
        </w:rPr>
        <w:t xml:space="preserve">A </w:t>
      </w:r>
      <w:r w:rsidR="008A75DA" w:rsidRPr="00911796">
        <w:rPr>
          <w:noProof/>
          <w:lang w:val="en-US" w:eastAsia="pl-PL"/>
        </w:rPr>
        <w:t>growth</w:t>
      </w:r>
      <w:r w:rsidR="00732230" w:rsidRPr="00911796">
        <w:rPr>
          <w:noProof/>
          <w:lang w:val="en-US" w:eastAsia="pl-PL"/>
        </w:rPr>
        <w:t xml:space="preserve"> was observed </w:t>
      </w:r>
      <w:r w:rsidRPr="00911796">
        <w:rPr>
          <w:noProof/>
          <w:lang w:val="en-US" w:eastAsia="pl-PL"/>
        </w:rPr>
        <w:t xml:space="preserve">both </w:t>
      </w:r>
      <w:r w:rsidR="008A75DA" w:rsidRPr="00911796">
        <w:rPr>
          <w:noProof/>
          <w:lang w:val="en-US" w:eastAsia="pl-PL"/>
        </w:rPr>
        <w:t xml:space="preserve">in </w:t>
      </w:r>
      <w:r w:rsidRPr="00911796">
        <w:rPr>
          <w:noProof/>
          <w:lang w:val="en-US" w:eastAsia="pl-PL"/>
        </w:rPr>
        <w:t xml:space="preserve">the </w:t>
      </w:r>
      <w:r w:rsidR="00732230" w:rsidRPr="00911796">
        <w:rPr>
          <w:noProof/>
          <w:lang w:val="en-US" w:eastAsia="pl-PL"/>
        </w:rPr>
        <w:t>gross</w:t>
      </w:r>
      <w:r w:rsidR="0013692F" w:rsidRPr="00911796">
        <w:rPr>
          <w:noProof/>
          <w:vertAlign w:val="superscript"/>
          <w:lang w:val="en-US" w:eastAsia="pl-PL"/>
        </w:rPr>
        <w:fldChar w:fldCharType="begin"/>
      </w:r>
      <w:r w:rsidR="0013692F" w:rsidRPr="00911796">
        <w:rPr>
          <w:noProof/>
          <w:vertAlign w:val="superscript"/>
          <w:lang w:val="en-US" w:eastAsia="pl-PL"/>
        </w:rPr>
        <w:instrText xml:space="preserve"> NOTEREF _Ref524596901 \h  \* MERGEFORMAT </w:instrText>
      </w:r>
      <w:r w:rsidR="0013692F" w:rsidRPr="00911796">
        <w:rPr>
          <w:noProof/>
          <w:vertAlign w:val="superscript"/>
          <w:lang w:val="en-US" w:eastAsia="pl-PL"/>
        </w:rPr>
      </w:r>
      <w:r w:rsidR="0013692F" w:rsidRPr="00911796">
        <w:rPr>
          <w:noProof/>
          <w:vertAlign w:val="superscript"/>
          <w:lang w:val="en-US" w:eastAsia="pl-PL"/>
        </w:rPr>
        <w:fldChar w:fldCharType="separate"/>
      </w:r>
      <w:r w:rsidR="00C14AE2">
        <w:rPr>
          <w:noProof/>
          <w:vertAlign w:val="superscript"/>
          <w:lang w:val="en-US" w:eastAsia="pl-PL"/>
        </w:rPr>
        <w:t>6</w:t>
      </w:r>
      <w:r w:rsidR="0013692F" w:rsidRPr="00911796">
        <w:rPr>
          <w:noProof/>
          <w:vertAlign w:val="superscript"/>
          <w:lang w:val="en-US" w:eastAsia="pl-PL"/>
        </w:rPr>
        <w:fldChar w:fldCharType="end"/>
      </w:r>
      <w:r w:rsidR="00732230" w:rsidRPr="00911796">
        <w:rPr>
          <w:noProof/>
          <w:lang w:val="en-US" w:eastAsia="pl-PL"/>
        </w:rPr>
        <w:t xml:space="preserve"> (from </w:t>
      </w:r>
      <w:r w:rsidR="00911796" w:rsidRPr="00911796">
        <w:rPr>
          <w:noProof/>
          <w:lang w:val="en-US" w:eastAsia="pl-PL"/>
        </w:rPr>
        <w:t>5</w:t>
      </w:r>
      <w:r w:rsidR="00732230" w:rsidRPr="00911796">
        <w:rPr>
          <w:noProof/>
          <w:lang w:val="en-US" w:eastAsia="pl-PL"/>
        </w:rPr>
        <w:t>.</w:t>
      </w:r>
      <w:r w:rsidR="00840FDA" w:rsidRPr="00911796">
        <w:rPr>
          <w:noProof/>
          <w:lang w:val="en-US" w:eastAsia="pl-PL"/>
        </w:rPr>
        <w:t>4</w:t>
      </w:r>
      <w:r w:rsidR="00732230" w:rsidRPr="00911796">
        <w:rPr>
          <w:noProof/>
          <w:lang w:val="en-US" w:eastAsia="pl-PL"/>
        </w:rPr>
        <w:t>% in 201</w:t>
      </w:r>
      <w:r w:rsidR="00911796" w:rsidRPr="00911796">
        <w:rPr>
          <w:noProof/>
          <w:lang w:val="en-US" w:eastAsia="pl-PL"/>
        </w:rPr>
        <w:t>7</w:t>
      </w:r>
      <w:r w:rsidR="008A75DA" w:rsidRPr="00911796">
        <w:rPr>
          <w:noProof/>
          <w:lang w:val="en-US" w:eastAsia="pl-PL"/>
        </w:rPr>
        <w:t xml:space="preserve"> </w:t>
      </w:r>
      <w:r w:rsidR="00732230" w:rsidRPr="00911796">
        <w:rPr>
          <w:noProof/>
          <w:lang w:val="en-US" w:eastAsia="pl-PL"/>
        </w:rPr>
        <w:t xml:space="preserve">to </w:t>
      </w:r>
      <w:r w:rsidR="00911796" w:rsidRPr="00911796">
        <w:rPr>
          <w:noProof/>
          <w:lang w:val="en-US" w:eastAsia="pl-PL"/>
        </w:rPr>
        <w:t>6</w:t>
      </w:r>
      <w:r w:rsidR="00732230" w:rsidRPr="00911796">
        <w:rPr>
          <w:noProof/>
          <w:lang w:val="en-US" w:eastAsia="pl-PL"/>
        </w:rPr>
        <w:t>.</w:t>
      </w:r>
      <w:r w:rsidR="00911796" w:rsidRPr="00911796">
        <w:rPr>
          <w:noProof/>
          <w:lang w:val="en-US" w:eastAsia="pl-PL"/>
        </w:rPr>
        <w:t>1</w:t>
      </w:r>
      <w:r w:rsidR="00732230" w:rsidRPr="00911796">
        <w:rPr>
          <w:noProof/>
          <w:lang w:val="en-US" w:eastAsia="pl-PL"/>
        </w:rPr>
        <w:t>% in 201</w:t>
      </w:r>
      <w:r w:rsidR="00911796" w:rsidRPr="00911796">
        <w:rPr>
          <w:noProof/>
          <w:lang w:val="en-US" w:eastAsia="pl-PL"/>
        </w:rPr>
        <w:t>8</w:t>
      </w:r>
      <w:r w:rsidR="00732230" w:rsidRPr="00911796">
        <w:rPr>
          <w:noProof/>
          <w:lang w:val="en-US" w:eastAsia="pl-PL"/>
        </w:rPr>
        <w:t>) and the net turnover profitability rate</w:t>
      </w:r>
      <w:r w:rsidR="0013692F" w:rsidRPr="00911796">
        <w:rPr>
          <w:noProof/>
          <w:vertAlign w:val="superscript"/>
          <w:lang w:val="en-US" w:eastAsia="pl-PL"/>
        </w:rPr>
        <w:fldChar w:fldCharType="begin"/>
      </w:r>
      <w:r w:rsidR="0013692F" w:rsidRPr="00911796">
        <w:rPr>
          <w:noProof/>
          <w:vertAlign w:val="superscript"/>
          <w:lang w:val="en-US" w:eastAsia="pl-PL"/>
        </w:rPr>
        <w:instrText xml:space="preserve"> NOTEREF _Ref524596924 \h  \* MERGEFORMAT </w:instrText>
      </w:r>
      <w:r w:rsidR="0013692F" w:rsidRPr="00911796">
        <w:rPr>
          <w:noProof/>
          <w:vertAlign w:val="superscript"/>
          <w:lang w:val="en-US" w:eastAsia="pl-PL"/>
        </w:rPr>
      </w:r>
      <w:r w:rsidR="0013692F" w:rsidRPr="00911796">
        <w:rPr>
          <w:noProof/>
          <w:vertAlign w:val="superscript"/>
          <w:lang w:val="en-US" w:eastAsia="pl-PL"/>
        </w:rPr>
        <w:fldChar w:fldCharType="separate"/>
      </w:r>
      <w:r w:rsidR="00C14AE2">
        <w:rPr>
          <w:noProof/>
          <w:vertAlign w:val="superscript"/>
          <w:lang w:val="en-US" w:eastAsia="pl-PL"/>
        </w:rPr>
        <w:t>7</w:t>
      </w:r>
      <w:r w:rsidR="0013692F" w:rsidRPr="00911796">
        <w:rPr>
          <w:noProof/>
          <w:vertAlign w:val="superscript"/>
          <w:lang w:val="en-US" w:eastAsia="pl-PL"/>
        </w:rPr>
        <w:fldChar w:fldCharType="end"/>
      </w:r>
      <w:r w:rsidR="00732230" w:rsidRPr="00911796">
        <w:rPr>
          <w:noProof/>
          <w:lang w:val="en-US" w:eastAsia="pl-PL"/>
        </w:rPr>
        <w:t xml:space="preserve"> (from </w:t>
      </w:r>
      <w:r w:rsidR="00911796" w:rsidRPr="00911796">
        <w:rPr>
          <w:noProof/>
          <w:lang w:val="en-US" w:eastAsia="pl-PL"/>
        </w:rPr>
        <w:t>4</w:t>
      </w:r>
      <w:r w:rsidR="00732230" w:rsidRPr="00911796">
        <w:rPr>
          <w:noProof/>
          <w:lang w:val="en-US" w:eastAsia="pl-PL"/>
        </w:rPr>
        <w:t>.</w:t>
      </w:r>
      <w:r w:rsidR="00911796" w:rsidRPr="00911796">
        <w:rPr>
          <w:noProof/>
          <w:lang w:val="en-US" w:eastAsia="pl-PL"/>
        </w:rPr>
        <w:t>3</w:t>
      </w:r>
      <w:r w:rsidR="00732230" w:rsidRPr="00911796">
        <w:rPr>
          <w:noProof/>
          <w:lang w:val="en-US" w:eastAsia="pl-PL"/>
        </w:rPr>
        <w:t>% in 201</w:t>
      </w:r>
      <w:r w:rsidR="00911796" w:rsidRPr="00911796">
        <w:rPr>
          <w:noProof/>
          <w:lang w:val="en-US" w:eastAsia="pl-PL"/>
        </w:rPr>
        <w:t>7</w:t>
      </w:r>
      <w:r w:rsidR="00732230" w:rsidRPr="00911796">
        <w:rPr>
          <w:noProof/>
          <w:lang w:val="en-US" w:eastAsia="pl-PL"/>
        </w:rPr>
        <w:t xml:space="preserve"> to </w:t>
      </w:r>
      <w:r w:rsidR="00911796" w:rsidRPr="00911796">
        <w:rPr>
          <w:noProof/>
          <w:lang w:val="en-US" w:eastAsia="pl-PL"/>
        </w:rPr>
        <w:t>5</w:t>
      </w:r>
      <w:r w:rsidR="00732230" w:rsidRPr="00911796">
        <w:rPr>
          <w:noProof/>
          <w:lang w:val="en-US" w:eastAsia="pl-PL"/>
        </w:rPr>
        <w:t>.</w:t>
      </w:r>
      <w:r w:rsidR="00911796" w:rsidRPr="00911796">
        <w:rPr>
          <w:noProof/>
          <w:lang w:val="en-US" w:eastAsia="pl-PL"/>
        </w:rPr>
        <w:t>0</w:t>
      </w:r>
      <w:r w:rsidR="008A75DA" w:rsidRPr="00911796">
        <w:rPr>
          <w:noProof/>
          <w:lang w:val="en-US" w:eastAsia="pl-PL"/>
        </w:rPr>
        <w:t>3</w:t>
      </w:r>
      <w:r w:rsidR="00732230" w:rsidRPr="00911796">
        <w:rPr>
          <w:noProof/>
          <w:lang w:val="en-US" w:eastAsia="pl-PL"/>
        </w:rPr>
        <w:t>% in 201</w:t>
      </w:r>
      <w:r w:rsidR="00911796" w:rsidRPr="00911796">
        <w:rPr>
          <w:noProof/>
          <w:lang w:val="en-US" w:eastAsia="pl-PL"/>
        </w:rPr>
        <w:t>8</w:t>
      </w:r>
      <w:r w:rsidR="00732230" w:rsidRPr="00911796">
        <w:rPr>
          <w:noProof/>
          <w:lang w:val="en-US" w:eastAsia="pl-PL"/>
        </w:rPr>
        <w:t xml:space="preserve">). </w:t>
      </w:r>
      <w:r w:rsidR="00911796" w:rsidRPr="00911796">
        <w:rPr>
          <w:noProof/>
          <w:lang w:val="en-US" w:eastAsia="pl-PL"/>
        </w:rPr>
        <w:t>However t</w:t>
      </w:r>
      <w:r w:rsidR="00732230" w:rsidRPr="00911796">
        <w:rPr>
          <w:noProof/>
          <w:lang w:val="en-US" w:eastAsia="pl-PL"/>
        </w:rPr>
        <w:t>he cost level indicator</w:t>
      </w:r>
      <w:r w:rsidR="0013692F" w:rsidRPr="00911796">
        <w:rPr>
          <w:noProof/>
          <w:vertAlign w:val="superscript"/>
          <w:lang w:val="en-US" w:eastAsia="pl-PL"/>
        </w:rPr>
        <w:fldChar w:fldCharType="begin"/>
      </w:r>
      <w:r w:rsidR="0013692F" w:rsidRPr="00911796">
        <w:rPr>
          <w:noProof/>
          <w:vertAlign w:val="superscript"/>
          <w:lang w:val="en-US" w:eastAsia="pl-PL"/>
        </w:rPr>
        <w:instrText xml:space="preserve"> NOTEREF _Ref524596950 \h  \* MERGEFORMAT </w:instrText>
      </w:r>
      <w:r w:rsidR="0013692F" w:rsidRPr="00911796">
        <w:rPr>
          <w:noProof/>
          <w:vertAlign w:val="superscript"/>
          <w:lang w:val="en-US" w:eastAsia="pl-PL"/>
        </w:rPr>
      </w:r>
      <w:r w:rsidR="0013692F" w:rsidRPr="00911796">
        <w:rPr>
          <w:noProof/>
          <w:vertAlign w:val="superscript"/>
          <w:lang w:val="en-US" w:eastAsia="pl-PL"/>
        </w:rPr>
        <w:fldChar w:fldCharType="separate"/>
      </w:r>
      <w:r w:rsidR="00C14AE2">
        <w:rPr>
          <w:noProof/>
          <w:vertAlign w:val="superscript"/>
          <w:lang w:val="en-US" w:eastAsia="pl-PL"/>
        </w:rPr>
        <w:t>8</w:t>
      </w:r>
      <w:r w:rsidR="0013692F" w:rsidRPr="00911796">
        <w:rPr>
          <w:noProof/>
          <w:vertAlign w:val="superscript"/>
          <w:lang w:val="en-US" w:eastAsia="pl-PL"/>
        </w:rPr>
        <w:fldChar w:fldCharType="end"/>
      </w:r>
      <w:r w:rsidR="00840FDA" w:rsidRPr="00911796">
        <w:rPr>
          <w:noProof/>
          <w:vertAlign w:val="superscript"/>
          <w:lang w:val="en-US" w:eastAsia="pl-PL"/>
        </w:rPr>
        <w:t xml:space="preserve"> </w:t>
      </w:r>
      <w:r w:rsidR="008A75DA" w:rsidRPr="00911796">
        <w:rPr>
          <w:noProof/>
          <w:lang w:val="en-US" w:eastAsia="pl-PL"/>
        </w:rPr>
        <w:t xml:space="preserve"> </w:t>
      </w:r>
      <w:r w:rsidR="00911796" w:rsidRPr="00911796">
        <w:rPr>
          <w:noProof/>
          <w:lang w:val="en-US" w:eastAsia="pl-PL"/>
        </w:rPr>
        <w:t>worsened</w:t>
      </w:r>
      <w:r w:rsidR="00840FDA" w:rsidRPr="00911796">
        <w:rPr>
          <w:noProof/>
          <w:lang w:val="en-US" w:eastAsia="pl-PL"/>
        </w:rPr>
        <w:t xml:space="preserve"> and amounted to </w:t>
      </w:r>
      <w:r w:rsidR="008A75DA" w:rsidRPr="00911796">
        <w:rPr>
          <w:noProof/>
          <w:lang w:val="en-US" w:eastAsia="pl-PL"/>
        </w:rPr>
        <w:t>9</w:t>
      </w:r>
      <w:r w:rsidR="00911796" w:rsidRPr="00911796">
        <w:rPr>
          <w:noProof/>
          <w:lang w:val="en-US" w:eastAsia="pl-PL"/>
        </w:rPr>
        <w:t>9</w:t>
      </w:r>
      <w:r w:rsidR="00840FDA" w:rsidRPr="00911796">
        <w:rPr>
          <w:noProof/>
          <w:lang w:val="en-US" w:eastAsia="pl-PL"/>
        </w:rPr>
        <w:t>.</w:t>
      </w:r>
      <w:r w:rsidR="00911796" w:rsidRPr="00911796">
        <w:rPr>
          <w:noProof/>
          <w:lang w:val="en-US" w:eastAsia="pl-PL"/>
        </w:rPr>
        <w:t>3</w:t>
      </w:r>
      <w:r w:rsidR="008A75DA" w:rsidRPr="00911796">
        <w:rPr>
          <w:noProof/>
          <w:lang w:val="en-US" w:eastAsia="pl-PL"/>
        </w:rPr>
        <w:t>% in 201</w:t>
      </w:r>
      <w:r w:rsidR="00911796" w:rsidRPr="00911796">
        <w:rPr>
          <w:noProof/>
          <w:lang w:val="en-US" w:eastAsia="pl-PL"/>
        </w:rPr>
        <w:t>8</w:t>
      </w:r>
      <w:r w:rsidR="00732230" w:rsidRPr="00911796">
        <w:rPr>
          <w:noProof/>
          <w:lang w:val="en-US" w:eastAsia="pl-PL"/>
        </w:rPr>
        <w:t xml:space="preserve"> against </w:t>
      </w:r>
      <w:r w:rsidR="00911796" w:rsidRPr="00911796">
        <w:rPr>
          <w:noProof/>
          <w:lang w:val="en-US" w:eastAsia="pl-PL"/>
        </w:rPr>
        <w:t>98</w:t>
      </w:r>
      <w:r w:rsidR="00732230" w:rsidRPr="00911796">
        <w:rPr>
          <w:noProof/>
          <w:lang w:val="en-US" w:eastAsia="pl-PL"/>
        </w:rPr>
        <w:t>.</w:t>
      </w:r>
      <w:r w:rsidR="00911796" w:rsidRPr="00911796">
        <w:rPr>
          <w:noProof/>
          <w:lang w:val="en-US" w:eastAsia="pl-PL"/>
        </w:rPr>
        <w:t>7</w:t>
      </w:r>
      <w:r w:rsidR="00732230" w:rsidRPr="00911796">
        <w:rPr>
          <w:noProof/>
          <w:lang w:val="en-US" w:eastAsia="pl-PL"/>
        </w:rPr>
        <w:t>% in the year</w:t>
      </w:r>
      <w:r w:rsidRPr="00911796">
        <w:rPr>
          <w:noProof/>
          <w:lang w:val="en-US" w:eastAsia="pl-PL"/>
        </w:rPr>
        <w:t xml:space="preserve"> before</w:t>
      </w:r>
      <w:r w:rsidR="00732230" w:rsidRPr="00911796">
        <w:rPr>
          <w:noProof/>
          <w:lang w:val="en-US" w:eastAsia="pl-PL"/>
        </w:rPr>
        <w:t>.</w:t>
      </w:r>
    </w:p>
    <w:p w14:paraId="24DCC2F8" w14:textId="47780FF1" w:rsidR="002D4DAA" w:rsidRPr="00227C21" w:rsidRDefault="00B6427B" w:rsidP="00F802BE">
      <w:pPr>
        <w:rPr>
          <w:noProof/>
          <w:lang w:val="en-US" w:eastAsia="pl-PL"/>
        </w:rPr>
      </w:pPr>
      <w:r w:rsidRPr="00227C21">
        <w:rPr>
          <w:noProof/>
          <w:lang w:val="en-US" w:eastAsia="pl-PL"/>
        </w:rPr>
        <w:t xml:space="preserve">Entities </w:t>
      </w:r>
      <w:r w:rsidR="0013692F" w:rsidRPr="00227C21">
        <w:rPr>
          <w:noProof/>
          <w:lang w:val="en-US" w:eastAsia="pl-PL"/>
        </w:rPr>
        <w:t xml:space="preserve">with the number of persons employed 10 and more </w:t>
      </w:r>
      <w:r w:rsidR="004D6B80" w:rsidRPr="00227C21">
        <w:rPr>
          <w:noProof/>
          <w:lang w:val="en-US" w:eastAsia="pl-PL"/>
        </w:rPr>
        <w:t>focused their basic activity</w:t>
      </w:r>
      <w:r w:rsidR="00D34063" w:rsidRPr="00227C21">
        <w:rPr>
          <w:noProof/>
          <w:lang w:val="en-US" w:eastAsia="pl-PL"/>
        </w:rPr>
        <w:t xml:space="preserve"> mainly on the domestic market. This share accounted for </w:t>
      </w:r>
      <w:r w:rsidRPr="00227C21">
        <w:rPr>
          <w:noProof/>
          <w:lang w:val="en-US" w:eastAsia="pl-PL"/>
        </w:rPr>
        <w:t>7</w:t>
      </w:r>
      <w:r w:rsidR="00227C21" w:rsidRPr="00227C21">
        <w:rPr>
          <w:noProof/>
          <w:lang w:val="en-US" w:eastAsia="pl-PL"/>
        </w:rPr>
        <w:t>1</w:t>
      </w:r>
      <w:r w:rsidRPr="00227C21">
        <w:rPr>
          <w:noProof/>
          <w:lang w:val="en-US" w:eastAsia="pl-PL"/>
        </w:rPr>
        <w:t>.</w:t>
      </w:r>
      <w:r w:rsidR="00227C21" w:rsidRPr="00227C21">
        <w:rPr>
          <w:noProof/>
          <w:lang w:val="en-US" w:eastAsia="pl-PL"/>
        </w:rPr>
        <w:t>8</w:t>
      </w:r>
      <w:r w:rsidRPr="00227C21">
        <w:rPr>
          <w:noProof/>
          <w:lang w:val="en-US" w:eastAsia="pl-PL"/>
        </w:rPr>
        <w:t>%</w:t>
      </w:r>
      <w:r w:rsidR="00D34063" w:rsidRPr="00227C21">
        <w:rPr>
          <w:noProof/>
          <w:lang w:val="en-US" w:eastAsia="pl-PL"/>
        </w:rPr>
        <w:t xml:space="preserve"> of total turnover</w:t>
      </w:r>
      <w:r w:rsidRPr="00227C21">
        <w:rPr>
          <w:noProof/>
          <w:lang w:val="en-US" w:eastAsia="pl-PL"/>
        </w:rPr>
        <w:t>. The share of services provided to clients</w:t>
      </w:r>
      <w:r w:rsidR="00442B9E" w:rsidRPr="00227C21">
        <w:rPr>
          <w:noProof/>
          <w:lang w:val="en-US" w:eastAsia="pl-PL"/>
        </w:rPr>
        <w:t xml:space="preserve"> from the EU Member States </w:t>
      </w:r>
      <w:r w:rsidR="00227C21" w:rsidRPr="00227C21">
        <w:rPr>
          <w:noProof/>
          <w:lang w:val="en-US" w:eastAsia="pl-PL"/>
        </w:rPr>
        <w:t>achieved the level of 18</w:t>
      </w:r>
      <w:r w:rsidR="00442B9E" w:rsidRPr="00227C21">
        <w:rPr>
          <w:noProof/>
          <w:lang w:val="en-US" w:eastAsia="pl-PL"/>
        </w:rPr>
        <w:t>.</w:t>
      </w:r>
      <w:r w:rsidR="00227C21" w:rsidRPr="00227C21">
        <w:rPr>
          <w:noProof/>
          <w:lang w:val="en-US" w:eastAsia="pl-PL"/>
        </w:rPr>
        <w:t>2</w:t>
      </w:r>
      <w:r w:rsidR="00442B9E" w:rsidRPr="00227C21">
        <w:rPr>
          <w:noProof/>
          <w:lang w:val="en-US" w:eastAsia="pl-PL"/>
        </w:rPr>
        <w:t>%.</w:t>
      </w:r>
      <w:r w:rsidR="0013692F" w:rsidRPr="00227C21">
        <w:rPr>
          <w:noProof/>
          <w:lang w:val="en-US" w:eastAsia="pl-PL"/>
        </w:rPr>
        <w:t xml:space="preserve"> </w:t>
      </w:r>
      <w:r w:rsidR="00F422EB" w:rsidRPr="00227C21">
        <w:rPr>
          <w:noProof/>
          <w:lang w:val="en-US" w:eastAsia="pl-PL"/>
        </w:rPr>
        <w:t>Engineering services accounted for 3</w:t>
      </w:r>
      <w:r w:rsidR="008A75DA" w:rsidRPr="00227C21">
        <w:rPr>
          <w:noProof/>
          <w:lang w:val="en-US" w:eastAsia="pl-PL"/>
        </w:rPr>
        <w:t>3</w:t>
      </w:r>
      <w:r w:rsidR="00F422EB" w:rsidRPr="00227C21">
        <w:rPr>
          <w:noProof/>
          <w:lang w:val="en-US" w:eastAsia="pl-PL"/>
        </w:rPr>
        <w:t>.</w:t>
      </w:r>
      <w:r w:rsidR="00227C21" w:rsidRPr="00227C21">
        <w:rPr>
          <w:noProof/>
          <w:lang w:val="en-US" w:eastAsia="pl-PL"/>
        </w:rPr>
        <w:t>9</w:t>
      </w:r>
      <w:r w:rsidR="00F422EB" w:rsidRPr="00227C21">
        <w:rPr>
          <w:noProof/>
          <w:lang w:val="en-US" w:eastAsia="pl-PL"/>
        </w:rPr>
        <w:t xml:space="preserve">% of total turnover </w:t>
      </w:r>
      <w:r w:rsidR="002D4DAA" w:rsidRPr="00227C21">
        <w:rPr>
          <w:noProof/>
          <w:lang w:val="en-US" w:eastAsia="pl-PL"/>
        </w:rPr>
        <w:t>achieved by these enterprises</w:t>
      </w:r>
      <w:r w:rsidR="00227C21" w:rsidRPr="00227C21">
        <w:rPr>
          <w:noProof/>
          <w:lang w:val="en-US" w:eastAsia="pl-PL"/>
        </w:rPr>
        <w:t>, while</w:t>
      </w:r>
      <w:r w:rsidR="002D4DAA" w:rsidRPr="00227C21">
        <w:rPr>
          <w:noProof/>
          <w:lang w:val="en-US" w:eastAsia="pl-PL"/>
        </w:rPr>
        <w:t xml:space="preserve"> </w:t>
      </w:r>
      <w:r w:rsidR="00227C21" w:rsidRPr="00227C21">
        <w:rPr>
          <w:noProof/>
          <w:lang w:val="en-US" w:eastAsia="pl-PL"/>
        </w:rPr>
        <w:t>t</w:t>
      </w:r>
      <w:r w:rsidR="002D4DAA" w:rsidRPr="00227C21">
        <w:rPr>
          <w:noProof/>
          <w:lang w:val="en-US" w:eastAsia="pl-PL"/>
        </w:rPr>
        <w:t>echn</w:t>
      </w:r>
      <w:r w:rsidR="004D6B80" w:rsidRPr="00227C21">
        <w:rPr>
          <w:noProof/>
          <w:lang w:val="en-US" w:eastAsia="pl-PL"/>
        </w:rPr>
        <w:t>ical testing and analysis servic</w:t>
      </w:r>
      <w:r w:rsidR="002D4DAA" w:rsidRPr="00227C21">
        <w:rPr>
          <w:noProof/>
          <w:lang w:val="en-US" w:eastAsia="pl-PL"/>
        </w:rPr>
        <w:t xml:space="preserve">es </w:t>
      </w:r>
      <w:r w:rsidR="00C27F58" w:rsidRPr="00227C21">
        <w:rPr>
          <w:noProof/>
          <w:lang w:val="en-US" w:eastAsia="pl-PL"/>
        </w:rPr>
        <w:t>constituted 1</w:t>
      </w:r>
      <w:r w:rsidR="00227C21" w:rsidRPr="00227C21">
        <w:rPr>
          <w:noProof/>
          <w:lang w:val="en-US" w:eastAsia="pl-PL"/>
        </w:rPr>
        <w:t>5</w:t>
      </w:r>
      <w:r w:rsidR="00C27F58" w:rsidRPr="00227C21">
        <w:rPr>
          <w:noProof/>
          <w:lang w:val="en-US" w:eastAsia="pl-PL"/>
        </w:rPr>
        <w:t>.</w:t>
      </w:r>
      <w:r w:rsidR="00227C21" w:rsidRPr="00227C21">
        <w:rPr>
          <w:noProof/>
          <w:lang w:val="en-US" w:eastAsia="pl-PL"/>
        </w:rPr>
        <w:t>0</w:t>
      </w:r>
      <w:r w:rsidR="00C27F58" w:rsidRPr="00227C21">
        <w:rPr>
          <w:noProof/>
          <w:lang w:val="en-US" w:eastAsia="pl-PL"/>
        </w:rPr>
        <w:t>%</w:t>
      </w:r>
      <w:r w:rsidR="002D4DAA" w:rsidRPr="00227C21">
        <w:rPr>
          <w:noProof/>
          <w:lang w:val="en-US" w:eastAsia="pl-PL"/>
        </w:rPr>
        <w:t>.</w:t>
      </w:r>
    </w:p>
    <w:p w14:paraId="4430656E" w14:textId="6DCDB5F5" w:rsidR="00EF4979" w:rsidRPr="00911796" w:rsidRDefault="00EF4979" w:rsidP="00F802BE">
      <w:pPr>
        <w:rPr>
          <w:noProof/>
          <w:lang w:val="en-US" w:eastAsia="pl-PL"/>
        </w:rPr>
      </w:pPr>
      <w:r w:rsidRPr="00911796">
        <w:rPr>
          <w:noProof/>
          <w:lang w:val="en-US" w:eastAsia="pl-PL"/>
        </w:rPr>
        <w:t>In the analyzed year, the value of services provided by these entities to non-residents</w:t>
      </w:r>
      <w:r w:rsidR="004B42BC" w:rsidRPr="004B42BC">
        <w:rPr>
          <w:noProof/>
          <w:vertAlign w:val="superscript"/>
          <w:lang w:val="en-US" w:eastAsia="pl-PL"/>
        </w:rPr>
        <w:fldChar w:fldCharType="begin"/>
      </w:r>
      <w:r w:rsidR="004B42BC" w:rsidRPr="004B42BC">
        <w:rPr>
          <w:noProof/>
          <w:vertAlign w:val="superscript"/>
          <w:lang w:val="en-US" w:eastAsia="pl-PL"/>
        </w:rPr>
        <w:instrText xml:space="preserve"> NOTEREF _Ref48221469 \h  \* MERGEFORMAT </w:instrText>
      </w:r>
      <w:r w:rsidR="004B42BC" w:rsidRPr="004B42BC">
        <w:rPr>
          <w:noProof/>
          <w:vertAlign w:val="superscript"/>
          <w:lang w:val="en-US" w:eastAsia="pl-PL"/>
        </w:rPr>
      </w:r>
      <w:r w:rsidR="004B42BC" w:rsidRPr="004B42BC">
        <w:rPr>
          <w:noProof/>
          <w:vertAlign w:val="superscript"/>
          <w:lang w:val="en-US" w:eastAsia="pl-PL"/>
        </w:rPr>
        <w:fldChar w:fldCharType="separate"/>
      </w:r>
      <w:r w:rsidR="00C14AE2">
        <w:rPr>
          <w:noProof/>
          <w:vertAlign w:val="superscript"/>
          <w:lang w:val="en-US" w:eastAsia="pl-PL"/>
        </w:rPr>
        <w:t>4</w:t>
      </w:r>
      <w:r w:rsidR="004B42BC" w:rsidRPr="004B42BC">
        <w:rPr>
          <w:noProof/>
          <w:vertAlign w:val="superscript"/>
          <w:lang w:val="en-US" w:eastAsia="pl-PL"/>
        </w:rPr>
        <w:fldChar w:fldCharType="end"/>
      </w:r>
      <w:r w:rsidRPr="00911796">
        <w:rPr>
          <w:noProof/>
          <w:lang w:val="en-US" w:eastAsia="pl-PL"/>
        </w:rPr>
        <w:t xml:space="preserve"> in the international trade in services was PLN 2.</w:t>
      </w:r>
      <w:r w:rsidR="00E847DE" w:rsidRPr="00911796">
        <w:rPr>
          <w:noProof/>
          <w:lang w:val="en-US" w:eastAsia="pl-PL"/>
        </w:rPr>
        <w:t>9</w:t>
      </w:r>
      <w:r w:rsidRPr="00911796">
        <w:rPr>
          <w:noProof/>
          <w:lang w:val="en-US" w:eastAsia="pl-PL"/>
        </w:rPr>
        <w:t xml:space="preserve"> billion (an increase by </w:t>
      </w:r>
      <w:r w:rsidR="00E847DE" w:rsidRPr="00911796">
        <w:rPr>
          <w:noProof/>
          <w:lang w:val="en-US" w:eastAsia="pl-PL"/>
        </w:rPr>
        <w:t>41.8</w:t>
      </w:r>
      <w:r w:rsidRPr="00911796">
        <w:rPr>
          <w:noProof/>
          <w:lang w:val="en-US" w:eastAsia="pl-PL"/>
        </w:rPr>
        <w:t>%), while they acquired from</w:t>
      </w:r>
      <w:r w:rsidR="008A75DA" w:rsidRPr="00911796">
        <w:rPr>
          <w:noProof/>
          <w:lang w:val="en-US" w:eastAsia="pl-PL"/>
        </w:rPr>
        <w:t xml:space="preserve"> non-residents </w:t>
      </w:r>
      <w:r w:rsidR="00E847DE" w:rsidRPr="00911796">
        <w:rPr>
          <w:noProof/>
          <w:lang w:val="en-US" w:eastAsia="pl-PL"/>
        </w:rPr>
        <w:t>slighty below</w:t>
      </w:r>
      <w:r w:rsidR="008A75DA" w:rsidRPr="00911796">
        <w:rPr>
          <w:noProof/>
          <w:lang w:val="en-US" w:eastAsia="pl-PL"/>
        </w:rPr>
        <w:t xml:space="preserve"> PLN 0.</w:t>
      </w:r>
      <w:r w:rsidR="00E847DE" w:rsidRPr="00911796">
        <w:rPr>
          <w:noProof/>
          <w:lang w:val="en-US" w:eastAsia="pl-PL"/>
        </w:rPr>
        <w:t>7</w:t>
      </w:r>
      <w:r w:rsidRPr="00911796">
        <w:rPr>
          <w:noProof/>
          <w:lang w:val="en-US" w:eastAsia="pl-PL"/>
        </w:rPr>
        <w:t xml:space="preserve"> </w:t>
      </w:r>
      <w:r w:rsidR="00D742AA" w:rsidRPr="00911796">
        <w:rPr>
          <w:noProof/>
          <w:lang w:val="en-US" w:eastAsia="pl-PL"/>
        </w:rPr>
        <w:t>billion’s</w:t>
      </w:r>
      <w:r w:rsidR="008A75DA" w:rsidRPr="00911796">
        <w:rPr>
          <w:noProof/>
          <w:lang w:val="en-US" w:eastAsia="pl-PL"/>
        </w:rPr>
        <w:t xml:space="preserve"> worth of services (a</w:t>
      </w:r>
      <w:r w:rsidRPr="00911796">
        <w:rPr>
          <w:noProof/>
          <w:lang w:val="en-US" w:eastAsia="pl-PL"/>
        </w:rPr>
        <w:t xml:space="preserve"> </w:t>
      </w:r>
      <w:r w:rsidR="008A75DA" w:rsidRPr="00911796">
        <w:rPr>
          <w:noProof/>
          <w:lang w:val="en-US" w:eastAsia="pl-PL"/>
        </w:rPr>
        <w:t>deacrease of</w:t>
      </w:r>
      <w:r w:rsidRPr="00911796">
        <w:rPr>
          <w:noProof/>
          <w:lang w:val="en-US" w:eastAsia="pl-PL"/>
        </w:rPr>
        <w:t xml:space="preserve"> </w:t>
      </w:r>
      <w:r w:rsidR="00E847DE" w:rsidRPr="00911796">
        <w:rPr>
          <w:noProof/>
          <w:lang w:val="en-US" w:eastAsia="pl-PL"/>
        </w:rPr>
        <w:t>29.2</w:t>
      </w:r>
      <w:r w:rsidRPr="00911796">
        <w:rPr>
          <w:noProof/>
          <w:lang w:val="en-US" w:eastAsia="pl-PL"/>
        </w:rPr>
        <w:t xml:space="preserve">%). </w:t>
      </w:r>
      <w:r w:rsidR="002D4DAA" w:rsidRPr="00911796">
        <w:rPr>
          <w:noProof/>
          <w:lang w:val="en-US" w:eastAsia="pl-PL"/>
        </w:rPr>
        <w:t xml:space="preserve">  </w:t>
      </w:r>
      <w:r w:rsidR="006B7DCF" w:rsidRPr="00911796">
        <w:rPr>
          <w:noProof/>
          <w:lang w:val="en-US" w:eastAsia="pl-PL"/>
        </w:rPr>
        <w:t xml:space="preserve"> </w:t>
      </w:r>
    </w:p>
    <w:p w14:paraId="0FB015CA" w14:textId="3759C565" w:rsidR="004216F6" w:rsidRPr="00911796" w:rsidRDefault="00EF4979" w:rsidP="00F802BE">
      <w:pPr>
        <w:rPr>
          <w:noProof/>
          <w:lang w:val="en-US" w:eastAsia="pl-PL"/>
        </w:rPr>
      </w:pPr>
      <w:r w:rsidRPr="00911796">
        <w:rPr>
          <w:noProof/>
          <w:lang w:val="en-US" w:eastAsia="pl-PL"/>
        </w:rPr>
        <w:t>Entities which had their registered offices in Germany were the main business partners in the international trade in services (shares in the structure of serv</w:t>
      </w:r>
      <w:r w:rsidR="00B34E9D" w:rsidRPr="00911796">
        <w:rPr>
          <w:noProof/>
          <w:lang w:val="en-US" w:eastAsia="pl-PL"/>
        </w:rPr>
        <w:t xml:space="preserve">ices provided and acquired </w:t>
      </w:r>
      <w:r w:rsidRPr="00911796">
        <w:rPr>
          <w:noProof/>
          <w:lang w:val="en-US" w:eastAsia="pl-PL"/>
        </w:rPr>
        <w:t xml:space="preserve">constituted </w:t>
      </w:r>
      <w:r w:rsidR="001A6219" w:rsidRPr="00911796">
        <w:rPr>
          <w:noProof/>
          <w:lang w:val="en-US" w:eastAsia="pl-PL"/>
        </w:rPr>
        <w:t>19.3</w:t>
      </w:r>
      <w:r w:rsidRPr="00911796">
        <w:rPr>
          <w:noProof/>
          <w:lang w:val="en-US" w:eastAsia="pl-PL"/>
        </w:rPr>
        <w:t xml:space="preserve">% and </w:t>
      </w:r>
      <w:r w:rsidR="001A6219" w:rsidRPr="00911796">
        <w:rPr>
          <w:noProof/>
          <w:lang w:val="en-US" w:eastAsia="pl-PL"/>
        </w:rPr>
        <w:t>23.8</w:t>
      </w:r>
      <w:r w:rsidRPr="00911796">
        <w:rPr>
          <w:noProof/>
          <w:lang w:val="en-US" w:eastAsia="pl-PL"/>
        </w:rPr>
        <w:t xml:space="preserve">% respectively). </w:t>
      </w:r>
      <w:r w:rsidR="004216F6" w:rsidRPr="00911796">
        <w:rPr>
          <w:noProof/>
          <w:lang w:val="en-US" w:eastAsia="pl-PL"/>
        </w:rPr>
        <w:t>Architectural, engineering, scientific and other technical services</w:t>
      </w:r>
      <w:r w:rsidRPr="00911796">
        <w:rPr>
          <w:noProof/>
          <w:lang w:val="en-US" w:eastAsia="pl-PL"/>
        </w:rPr>
        <w:t xml:space="preserve"> were the main source of b</w:t>
      </w:r>
      <w:r w:rsidR="004216F6" w:rsidRPr="00911796">
        <w:rPr>
          <w:noProof/>
          <w:lang w:val="en-US" w:eastAsia="pl-PL"/>
        </w:rPr>
        <w:t>oth revenues and ex</w:t>
      </w:r>
      <w:r w:rsidRPr="00911796">
        <w:rPr>
          <w:noProof/>
          <w:lang w:val="en-US" w:eastAsia="pl-PL"/>
        </w:rPr>
        <w:t>penditures</w:t>
      </w:r>
      <w:r w:rsidR="004216F6" w:rsidRPr="00911796">
        <w:rPr>
          <w:noProof/>
          <w:lang w:val="en-US" w:eastAsia="pl-PL"/>
        </w:rPr>
        <w:t xml:space="preserve"> of these entities</w:t>
      </w:r>
      <w:r w:rsidR="000E7562" w:rsidRPr="00911796">
        <w:rPr>
          <w:noProof/>
          <w:lang w:val="en-US" w:eastAsia="pl-PL"/>
        </w:rPr>
        <w:t xml:space="preserve"> (a</w:t>
      </w:r>
      <w:r w:rsidRPr="00911796">
        <w:rPr>
          <w:noProof/>
          <w:lang w:val="en-US" w:eastAsia="pl-PL"/>
        </w:rPr>
        <w:t xml:space="preserve"> share in the structure of provided services accounted for </w:t>
      </w:r>
      <w:r w:rsidR="00B34E9D" w:rsidRPr="00911796">
        <w:rPr>
          <w:noProof/>
          <w:lang w:val="en-US" w:eastAsia="pl-PL"/>
        </w:rPr>
        <w:t>7</w:t>
      </w:r>
      <w:r w:rsidR="001A6219" w:rsidRPr="00911796">
        <w:rPr>
          <w:noProof/>
          <w:lang w:val="en-US" w:eastAsia="pl-PL"/>
        </w:rPr>
        <w:t>5.8</w:t>
      </w:r>
      <w:r w:rsidRPr="00911796">
        <w:rPr>
          <w:noProof/>
          <w:lang w:val="en-US" w:eastAsia="pl-PL"/>
        </w:rPr>
        <w:t xml:space="preserve">%, while acquired – </w:t>
      </w:r>
      <w:r w:rsidR="004216F6" w:rsidRPr="00911796">
        <w:rPr>
          <w:noProof/>
          <w:lang w:val="en-US" w:eastAsia="pl-PL"/>
        </w:rPr>
        <w:t>3</w:t>
      </w:r>
      <w:r w:rsidR="00B34E9D" w:rsidRPr="00911796">
        <w:rPr>
          <w:noProof/>
          <w:lang w:val="en-US" w:eastAsia="pl-PL"/>
        </w:rPr>
        <w:t>3</w:t>
      </w:r>
      <w:r w:rsidRPr="00911796">
        <w:rPr>
          <w:noProof/>
          <w:lang w:val="en-US" w:eastAsia="pl-PL"/>
        </w:rPr>
        <w:t>.</w:t>
      </w:r>
      <w:r w:rsidR="001A6219" w:rsidRPr="00911796">
        <w:rPr>
          <w:noProof/>
          <w:lang w:val="en-US" w:eastAsia="pl-PL"/>
        </w:rPr>
        <w:t>3</w:t>
      </w:r>
      <w:r w:rsidRPr="00911796">
        <w:rPr>
          <w:noProof/>
          <w:lang w:val="en-US" w:eastAsia="pl-PL"/>
        </w:rPr>
        <w:t>%).</w:t>
      </w:r>
      <w:r w:rsidR="006B7DCF" w:rsidRPr="00911796">
        <w:rPr>
          <w:noProof/>
          <w:lang w:val="en-US" w:eastAsia="pl-PL"/>
        </w:rPr>
        <w:t xml:space="preserve">     </w:t>
      </w:r>
    </w:p>
    <w:p w14:paraId="71409E47" w14:textId="6047EA31" w:rsidR="0077193F" w:rsidRPr="00911796" w:rsidRDefault="0077193F" w:rsidP="008D5FB9">
      <w:pPr>
        <w:ind w:left="709" w:hanging="709"/>
        <w:rPr>
          <w:noProof/>
          <w:lang w:val="en-US" w:eastAsia="pl-PL"/>
        </w:rPr>
      </w:pPr>
      <w:r w:rsidRPr="00911796">
        <w:rPr>
          <w:noProof/>
          <w:lang w:eastAsia="pl-PL"/>
        </w:rPr>
        <w:drawing>
          <wp:anchor distT="0" distB="0" distL="114300" distR="114300" simplePos="0" relativeHeight="251782144" behindDoc="0" locked="0" layoutInCell="1" allowOverlap="1" wp14:anchorId="53BFDC8D" wp14:editId="3E549B33">
            <wp:simplePos x="0" y="0"/>
            <wp:positionH relativeFrom="margin">
              <wp:align>left</wp:align>
            </wp:positionH>
            <wp:positionV relativeFrom="paragraph">
              <wp:posOffset>528320</wp:posOffset>
            </wp:positionV>
            <wp:extent cx="5173980" cy="4015740"/>
            <wp:effectExtent l="0" t="0" r="7620" b="3810"/>
            <wp:wrapSquare wrapText="bothSides"/>
            <wp:docPr id="25" name="Wykres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241824" w:rsidRPr="00911796">
        <w:rPr>
          <w:b/>
          <w:noProof/>
          <w:lang w:val="en-US" w:eastAsia="pl-PL"/>
        </w:rPr>
        <w:t xml:space="preserve">Chart </w:t>
      </w:r>
      <w:r w:rsidR="004B42BC">
        <w:rPr>
          <w:b/>
          <w:noProof/>
          <w:lang w:val="en-US" w:eastAsia="pl-PL"/>
        </w:rPr>
        <w:t>9</w:t>
      </w:r>
      <w:r w:rsidR="00241824" w:rsidRPr="00911796">
        <w:rPr>
          <w:b/>
          <w:noProof/>
          <w:lang w:val="en-US" w:eastAsia="pl-PL"/>
        </w:rPr>
        <w:t>. Geographical structure</w:t>
      </w:r>
      <w:r w:rsidR="00241824" w:rsidRPr="00911796">
        <w:rPr>
          <w:noProof/>
          <w:lang w:val="en-US" w:eastAsia="pl-PL"/>
        </w:rPr>
        <w:t xml:space="preserve"> </w:t>
      </w:r>
      <w:r w:rsidR="00241824" w:rsidRPr="00911796">
        <w:rPr>
          <w:b/>
          <w:noProof/>
          <w:lang w:val="en-US" w:eastAsia="pl-PL"/>
        </w:rPr>
        <w:t>of services provided and acquired in the international trade by entities conducting architectural and engineering activities; technical testing and analysis</w:t>
      </w:r>
      <w:r w:rsidR="0013692F" w:rsidRPr="00911796">
        <w:rPr>
          <w:b/>
          <w:noProof/>
          <w:vertAlign w:val="superscript"/>
          <w:lang w:val="en-US" w:eastAsia="pl-PL"/>
        </w:rPr>
        <w:fldChar w:fldCharType="begin"/>
      </w:r>
      <w:r w:rsidR="0013692F" w:rsidRPr="00911796">
        <w:rPr>
          <w:b/>
          <w:noProof/>
          <w:vertAlign w:val="superscript"/>
          <w:lang w:val="en-US" w:eastAsia="pl-PL"/>
        </w:rPr>
        <w:instrText xml:space="preserve"> NOTEREF _Ref524598543 \h  \* MERGEFORMAT </w:instrText>
      </w:r>
      <w:r w:rsidR="0013692F" w:rsidRPr="00911796">
        <w:rPr>
          <w:b/>
          <w:noProof/>
          <w:vertAlign w:val="superscript"/>
          <w:lang w:val="en-US" w:eastAsia="pl-PL"/>
        </w:rPr>
      </w:r>
      <w:r w:rsidR="0013692F" w:rsidRPr="00911796">
        <w:rPr>
          <w:b/>
          <w:noProof/>
          <w:vertAlign w:val="superscript"/>
          <w:lang w:val="en-US" w:eastAsia="pl-PL"/>
        </w:rPr>
        <w:fldChar w:fldCharType="separate"/>
      </w:r>
      <w:r w:rsidR="00C14AE2">
        <w:rPr>
          <w:b/>
          <w:noProof/>
          <w:vertAlign w:val="superscript"/>
          <w:lang w:val="en-US" w:eastAsia="pl-PL"/>
        </w:rPr>
        <w:t>11</w:t>
      </w:r>
      <w:r w:rsidR="0013692F" w:rsidRPr="00911796">
        <w:rPr>
          <w:b/>
          <w:noProof/>
          <w:vertAlign w:val="superscript"/>
          <w:lang w:val="en-US" w:eastAsia="pl-PL"/>
        </w:rPr>
        <w:fldChar w:fldCharType="end"/>
      </w:r>
      <w:r w:rsidR="004B42BC">
        <w:rPr>
          <w:b/>
          <w:noProof/>
          <w:vertAlign w:val="superscript"/>
          <w:lang w:val="en-US" w:eastAsia="pl-PL"/>
        </w:rPr>
        <w:t xml:space="preserve"> </w:t>
      </w:r>
      <w:r w:rsidR="004B42BC">
        <w:rPr>
          <w:b/>
          <w:noProof/>
          <w:lang w:val="en-US" w:eastAsia="pl-PL"/>
        </w:rPr>
        <w:t>in 2018</w:t>
      </w:r>
      <w:r w:rsidR="006B7DCF" w:rsidRPr="00911796">
        <w:rPr>
          <w:noProof/>
          <w:lang w:val="en-US" w:eastAsia="pl-PL"/>
        </w:rPr>
        <w:t xml:space="preserve">                   </w:t>
      </w:r>
    </w:p>
    <w:p w14:paraId="74832E3B" w14:textId="77777777" w:rsidR="00F82661" w:rsidRPr="00655365" w:rsidRDefault="00F82661" w:rsidP="00625CF8">
      <w:pPr>
        <w:rPr>
          <w:b/>
          <w:noProof/>
          <w:color w:val="BFBFBF" w:themeColor="background1" w:themeShade="BF"/>
          <w:lang w:val="en-US" w:eastAsia="pl-PL"/>
        </w:rPr>
      </w:pPr>
    </w:p>
    <w:p w14:paraId="679178BB" w14:textId="0CE6713B" w:rsidR="00F82661" w:rsidRPr="00911796" w:rsidRDefault="00F82661" w:rsidP="00F82661">
      <w:pPr>
        <w:ind w:left="709" w:hanging="709"/>
        <w:rPr>
          <w:b/>
          <w:noProof/>
          <w:lang w:val="en-US" w:eastAsia="pl-PL"/>
        </w:rPr>
      </w:pPr>
      <w:r w:rsidRPr="00911796">
        <w:rPr>
          <w:noProof/>
          <w:lang w:eastAsia="pl-PL"/>
        </w:rPr>
        <w:lastRenderedPageBreak/>
        <w:drawing>
          <wp:anchor distT="0" distB="0" distL="114300" distR="114300" simplePos="0" relativeHeight="251796480" behindDoc="0" locked="0" layoutInCell="1" allowOverlap="1" wp14:anchorId="0FE3BE05" wp14:editId="533BF361">
            <wp:simplePos x="0" y="0"/>
            <wp:positionH relativeFrom="margin">
              <wp:align>left</wp:align>
            </wp:positionH>
            <wp:positionV relativeFrom="paragraph">
              <wp:posOffset>503521</wp:posOffset>
            </wp:positionV>
            <wp:extent cx="5124450" cy="3131820"/>
            <wp:effectExtent l="0" t="0" r="0" b="0"/>
            <wp:wrapSquare wrapText="bothSides"/>
            <wp:docPr id="35" name="Wykres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DC2B07" w:rsidRPr="00911796">
        <w:rPr>
          <w:b/>
          <w:noProof/>
          <w:lang w:val="en-US" w:eastAsia="pl-PL"/>
        </w:rPr>
        <w:t xml:space="preserve">Chart </w:t>
      </w:r>
      <w:r w:rsidR="004B42BC">
        <w:rPr>
          <w:b/>
          <w:noProof/>
          <w:lang w:val="en-US" w:eastAsia="pl-PL"/>
        </w:rPr>
        <w:t>10</w:t>
      </w:r>
      <w:r w:rsidR="00DC2B07" w:rsidRPr="00911796">
        <w:rPr>
          <w:b/>
          <w:noProof/>
          <w:lang w:val="en-US" w:eastAsia="pl-PL"/>
        </w:rPr>
        <w:t>. Structure</w:t>
      </w:r>
      <w:r w:rsidR="00DC2B07" w:rsidRPr="00911796">
        <w:rPr>
          <w:noProof/>
          <w:lang w:val="en-US" w:eastAsia="pl-PL"/>
        </w:rPr>
        <w:t xml:space="preserve"> </w:t>
      </w:r>
      <w:r w:rsidR="00DC2B07" w:rsidRPr="00911796">
        <w:rPr>
          <w:b/>
          <w:noProof/>
          <w:lang w:val="en-US" w:eastAsia="pl-PL"/>
        </w:rPr>
        <w:t>of services provided and acquired in the international trade by entities conducting architectural and engineering activities; technical testing and analysis</w:t>
      </w:r>
      <w:r w:rsidR="0013692F" w:rsidRPr="00911796">
        <w:rPr>
          <w:b/>
          <w:noProof/>
          <w:vertAlign w:val="superscript"/>
          <w:lang w:val="en-US" w:eastAsia="pl-PL"/>
        </w:rPr>
        <w:fldChar w:fldCharType="begin"/>
      </w:r>
      <w:r w:rsidR="0013692F" w:rsidRPr="00911796">
        <w:rPr>
          <w:b/>
          <w:noProof/>
          <w:vertAlign w:val="superscript"/>
          <w:lang w:val="en-US" w:eastAsia="pl-PL"/>
        </w:rPr>
        <w:instrText xml:space="preserve"> NOTEREF _Ref524598543 \h  \* MERGEFORMAT </w:instrText>
      </w:r>
      <w:r w:rsidR="0013692F" w:rsidRPr="00911796">
        <w:rPr>
          <w:b/>
          <w:noProof/>
          <w:vertAlign w:val="superscript"/>
          <w:lang w:val="en-US" w:eastAsia="pl-PL"/>
        </w:rPr>
      </w:r>
      <w:r w:rsidR="0013692F" w:rsidRPr="00911796">
        <w:rPr>
          <w:b/>
          <w:noProof/>
          <w:vertAlign w:val="superscript"/>
          <w:lang w:val="en-US" w:eastAsia="pl-PL"/>
        </w:rPr>
        <w:fldChar w:fldCharType="separate"/>
      </w:r>
      <w:r w:rsidR="00C14AE2">
        <w:rPr>
          <w:b/>
          <w:noProof/>
          <w:vertAlign w:val="superscript"/>
          <w:lang w:val="en-US" w:eastAsia="pl-PL"/>
        </w:rPr>
        <w:t>11</w:t>
      </w:r>
      <w:r w:rsidR="0013692F" w:rsidRPr="00911796">
        <w:rPr>
          <w:b/>
          <w:noProof/>
          <w:vertAlign w:val="superscript"/>
          <w:lang w:val="en-US" w:eastAsia="pl-PL"/>
        </w:rPr>
        <w:fldChar w:fldCharType="end"/>
      </w:r>
      <w:r w:rsidR="00D34063" w:rsidRPr="00911796">
        <w:rPr>
          <w:b/>
          <w:noProof/>
          <w:vertAlign w:val="superscript"/>
          <w:lang w:val="en-US" w:eastAsia="pl-PL"/>
        </w:rPr>
        <w:t xml:space="preserve"> </w:t>
      </w:r>
      <w:r w:rsidR="00D34063" w:rsidRPr="00911796">
        <w:rPr>
          <w:b/>
          <w:noProof/>
          <w:lang w:val="en-US" w:eastAsia="pl-PL"/>
        </w:rPr>
        <w:t>by kind of provided services</w:t>
      </w:r>
      <w:r w:rsidR="004B42BC">
        <w:rPr>
          <w:b/>
          <w:noProof/>
          <w:lang w:val="en-US" w:eastAsia="pl-PL"/>
        </w:rPr>
        <w:t xml:space="preserve"> in 2018</w:t>
      </w:r>
    </w:p>
    <w:p w14:paraId="52D17BF8" w14:textId="77777777" w:rsidR="00922608" w:rsidRPr="00911796" w:rsidRDefault="0077193F" w:rsidP="00922608">
      <w:pPr>
        <w:pStyle w:val="Nagwek1"/>
        <w:rPr>
          <w:lang w:val="en-US"/>
        </w:rPr>
      </w:pPr>
      <w:r w:rsidRPr="00911796">
        <w:rPr>
          <w:rFonts w:ascii="Fira Sans" w:hAnsi="Fira Sans"/>
          <w:b/>
          <w:noProof/>
          <w:spacing w:val="-2"/>
          <w:szCs w:val="19"/>
        </w:rPr>
        <mc:AlternateContent>
          <mc:Choice Requires="wps">
            <w:drawing>
              <wp:anchor distT="45720" distB="45720" distL="114300" distR="114300" simplePos="0" relativeHeight="251747328" behindDoc="1" locked="0" layoutInCell="1" allowOverlap="1" wp14:anchorId="4B62AF18" wp14:editId="00623F5D">
                <wp:simplePos x="0" y="0"/>
                <wp:positionH relativeFrom="column">
                  <wp:posOffset>5242560</wp:posOffset>
                </wp:positionH>
                <wp:positionV relativeFrom="paragraph">
                  <wp:posOffset>3185795</wp:posOffset>
                </wp:positionV>
                <wp:extent cx="1725295" cy="831850"/>
                <wp:effectExtent l="0" t="0" r="0" b="6350"/>
                <wp:wrapTight wrapText="bothSides">
                  <wp:wrapPolygon edited="0">
                    <wp:start x="715" y="0"/>
                    <wp:lineTo x="715" y="21270"/>
                    <wp:lineTo x="20749" y="21270"/>
                    <wp:lineTo x="20749" y="0"/>
                    <wp:lineTo x="715"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831850"/>
                        </a:xfrm>
                        <a:prstGeom prst="rect">
                          <a:avLst/>
                        </a:prstGeom>
                        <a:noFill/>
                        <a:ln w="9525">
                          <a:noFill/>
                          <a:miter lim="800000"/>
                          <a:headEnd/>
                          <a:tailEnd/>
                        </a:ln>
                      </wps:spPr>
                      <wps:txbx>
                        <w:txbxContent>
                          <w:p w14:paraId="246B0B64" w14:textId="492E4D05" w:rsidR="00227C21" w:rsidRPr="00227C21" w:rsidRDefault="00227C21" w:rsidP="00922608">
                            <w:pPr>
                              <w:pStyle w:val="tekstzboku"/>
                              <w:rPr>
                                <w:color w:val="auto"/>
                                <w:lang w:val="en-US"/>
                              </w:rPr>
                            </w:pPr>
                            <w:r w:rsidRPr="00227C21">
                              <w:rPr>
                                <w:color w:val="auto"/>
                                <w:lang w:val="en-US"/>
                              </w:rPr>
                              <w:t>In 2018, sale of advertising services and market research focused mainly on the domestic market</w:t>
                            </w:r>
                          </w:p>
                          <w:p w14:paraId="39A0C25C" w14:textId="77777777" w:rsidR="00227C21" w:rsidRPr="00922608" w:rsidRDefault="00227C21" w:rsidP="00922608">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2AF18" id="Pole tekstowe 4" o:spid="_x0000_s1031" type="#_x0000_t202" style="position:absolute;margin-left:412.8pt;margin-top:250.85pt;width:135.85pt;height:65.5pt;z-index:-251569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" filled="f" stroked="f">
                <v:textbox>
                  <w:txbxContent>
                    <w:p w14:paraId="246B0B64" w14:textId="492E4D05" w:rsidR="00227C21" w:rsidRPr="00227C21" w:rsidRDefault="00227C21" w:rsidP="00922608">
                      <w:pPr>
                        <w:pStyle w:val="tekstzboku"/>
                        <w:rPr>
                          <w:color w:val="auto"/>
                          <w:lang w:val="en-US"/>
                        </w:rPr>
                      </w:pPr>
                      <w:r w:rsidRPr="00227C21">
                        <w:rPr>
                          <w:color w:val="auto"/>
                          <w:lang w:val="en-US"/>
                        </w:rPr>
                        <w:t>In 2018, sale of advertising services and market research focused mainly on the domestic market</w:t>
                      </w:r>
                    </w:p>
                    <w:p w14:paraId="39A0C25C" w14:textId="77777777" w:rsidR="00227C21" w:rsidRPr="00922608" w:rsidRDefault="00227C21" w:rsidP="00922608">
                      <w:pPr>
                        <w:spacing w:after="0"/>
                        <w:rPr>
                          <w:rFonts w:eastAsia="Times New Roman" w:cs="Times New Roman"/>
                          <w:bCs/>
                          <w:color w:val="001D77"/>
                          <w:sz w:val="18"/>
                          <w:szCs w:val="18"/>
                          <w:lang w:val="en-US" w:eastAsia="pl-PL"/>
                        </w:rPr>
                      </w:pPr>
                    </w:p>
                  </w:txbxContent>
                </v:textbox>
                <w10:wrap type="tight"/>
              </v:shape>
            </w:pict>
          </mc:Fallback>
        </mc:AlternateContent>
      </w:r>
      <w:r w:rsidR="00C665CC" w:rsidRPr="00911796">
        <w:rPr>
          <w:lang w:val="en-US"/>
        </w:rPr>
        <w:t>Advertising and market research</w:t>
      </w:r>
      <w:bookmarkStart w:id="10" w:name="_Ref524599080"/>
      <w:r w:rsidR="0013692F" w:rsidRPr="00911796">
        <w:rPr>
          <w:rStyle w:val="Odwoanieprzypisudolnego"/>
          <w:lang w:val="en-US"/>
        </w:rPr>
        <w:footnoteReference w:id="12"/>
      </w:r>
      <w:bookmarkEnd w:id="10"/>
    </w:p>
    <w:p w14:paraId="498DB15C" w14:textId="7D5DBC67" w:rsidR="00B91368" w:rsidRPr="0012528F" w:rsidRDefault="00227C21" w:rsidP="00F802BE">
      <w:pPr>
        <w:rPr>
          <w:lang w:val="en-US"/>
        </w:rPr>
      </w:pPr>
      <w:r w:rsidRPr="00227C21">
        <w:rPr>
          <w:lang w:val="en-US"/>
        </w:rPr>
        <w:t>In 2018</w:t>
      </w:r>
      <w:r w:rsidR="004D6B80" w:rsidRPr="00227C21">
        <w:rPr>
          <w:lang w:val="en-US"/>
        </w:rPr>
        <w:t xml:space="preserve">, </w:t>
      </w:r>
      <w:r w:rsidRPr="00227C21">
        <w:rPr>
          <w:lang w:val="en-US"/>
        </w:rPr>
        <w:t>the value of turnover was r</w:t>
      </w:r>
      <w:r w:rsidR="004D6B80" w:rsidRPr="00227C21">
        <w:rPr>
          <w:lang w:val="en-US"/>
        </w:rPr>
        <w:t xml:space="preserve">ecorded </w:t>
      </w:r>
      <w:r w:rsidRPr="00227C21">
        <w:rPr>
          <w:lang w:val="en-US"/>
        </w:rPr>
        <w:t>on the level of</w:t>
      </w:r>
      <w:r w:rsidR="00FB6ADE" w:rsidRPr="00227C21">
        <w:rPr>
          <w:lang w:val="en-US"/>
        </w:rPr>
        <w:t xml:space="preserve"> PLN 3</w:t>
      </w:r>
      <w:r w:rsidRPr="00227C21">
        <w:rPr>
          <w:lang w:val="en-US"/>
        </w:rPr>
        <w:t>6.2</w:t>
      </w:r>
      <w:r w:rsidR="0077193F" w:rsidRPr="00227C21">
        <w:rPr>
          <w:lang w:val="en-US"/>
        </w:rPr>
        <w:t xml:space="preserve"> billion. </w:t>
      </w:r>
      <w:r w:rsidR="00287DD3" w:rsidRPr="00227C21">
        <w:rPr>
          <w:lang w:val="en-US"/>
        </w:rPr>
        <w:t>Advertising and market research</w:t>
      </w:r>
      <w:r w:rsidR="0077193F" w:rsidRPr="00227C21">
        <w:rPr>
          <w:lang w:val="en-US"/>
        </w:rPr>
        <w:t xml:space="preserve"> activit</w:t>
      </w:r>
      <w:r w:rsidR="00287DD3" w:rsidRPr="00227C21">
        <w:rPr>
          <w:lang w:val="en-US"/>
        </w:rPr>
        <w:t>y</w:t>
      </w:r>
      <w:r w:rsidR="0077193F" w:rsidRPr="00227C21">
        <w:rPr>
          <w:lang w:val="en-US"/>
        </w:rPr>
        <w:t xml:space="preserve"> w</w:t>
      </w:r>
      <w:r w:rsidR="00287DD3" w:rsidRPr="00227C21">
        <w:rPr>
          <w:lang w:val="en-US"/>
        </w:rPr>
        <w:t>as</w:t>
      </w:r>
      <w:r w:rsidR="0077193F" w:rsidRPr="00227C21">
        <w:rPr>
          <w:lang w:val="en-US"/>
        </w:rPr>
        <w:t xml:space="preserve"> conducted by over </w:t>
      </w:r>
      <w:r w:rsidR="00FB6ADE" w:rsidRPr="00227C21">
        <w:rPr>
          <w:lang w:val="en-US"/>
        </w:rPr>
        <w:t>3</w:t>
      </w:r>
      <w:r w:rsidRPr="00227C21">
        <w:rPr>
          <w:lang w:val="en-US"/>
        </w:rPr>
        <w:t>5</w:t>
      </w:r>
      <w:r w:rsidR="00FB6ADE" w:rsidRPr="00227C21">
        <w:rPr>
          <w:lang w:val="en-US"/>
        </w:rPr>
        <w:t xml:space="preserve"> </w:t>
      </w:r>
      <w:r w:rsidR="0077193F" w:rsidRPr="00227C21">
        <w:rPr>
          <w:lang w:val="en-US"/>
        </w:rPr>
        <w:t>thousan</w:t>
      </w:r>
      <w:r w:rsidR="00C665CC" w:rsidRPr="00227C21">
        <w:rPr>
          <w:lang w:val="en-US"/>
        </w:rPr>
        <w:t xml:space="preserve">d of entities </w:t>
      </w:r>
      <w:r w:rsidRPr="00227C21">
        <w:rPr>
          <w:lang w:val="en-US"/>
        </w:rPr>
        <w:t xml:space="preserve">which hired 83.6 </w:t>
      </w:r>
      <w:r w:rsidR="0077193F" w:rsidRPr="00227C21">
        <w:rPr>
          <w:lang w:val="en-US"/>
        </w:rPr>
        <w:t>thousa</w:t>
      </w:r>
      <w:r w:rsidR="00C665CC" w:rsidRPr="00227C21">
        <w:rPr>
          <w:lang w:val="en-US"/>
        </w:rPr>
        <w:t>nd of persons</w:t>
      </w:r>
      <w:r w:rsidR="0077193F" w:rsidRPr="00227C21">
        <w:rPr>
          <w:lang w:val="en-US"/>
        </w:rPr>
        <w:t xml:space="preserve">.  </w:t>
      </w:r>
      <w:r w:rsidR="00246FE7">
        <w:rPr>
          <w:lang w:val="en-US"/>
        </w:rPr>
        <w:t>A</w:t>
      </w:r>
      <w:r w:rsidR="00246FE7" w:rsidRPr="0012528F">
        <w:rPr>
          <w:lang w:val="en-US"/>
        </w:rPr>
        <w:t xml:space="preserve"> deterioration </w:t>
      </w:r>
      <w:r w:rsidR="00FB6ADE" w:rsidRPr="0012528F">
        <w:rPr>
          <w:lang w:val="en-US"/>
        </w:rPr>
        <w:t xml:space="preserve">was recorded </w:t>
      </w:r>
      <w:r w:rsidR="004D6B80" w:rsidRPr="0012528F">
        <w:rPr>
          <w:lang w:val="en-US"/>
        </w:rPr>
        <w:t>in both the gross</w:t>
      </w:r>
      <w:r w:rsidR="00287DD3" w:rsidRPr="0012528F">
        <w:rPr>
          <w:vertAlign w:val="superscript"/>
          <w:lang w:val="en-US"/>
        </w:rPr>
        <w:fldChar w:fldCharType="begin"/>
      </w:r>
      <w:r w:rsidR="00287DD3" w:rsidRPr="0012528F">
        <w:rPr>
          <w:vertAlign w:val="superscript"/>
          <w:lang w:val="en-US"/>
        </w:rPr>
        <w:instrText xml:space="preserve"> NOTEREF _Ref524596901 \h  \* MERGEFORMAT </w:instrText>
      </w:r>
      <w:r w:rsidR="00287DD3" w:rsidRPr="0012528F">
        <w:rPr>
          <w:vertAlign w:val="superscript"/>
          <w:lang w:val="en-US"/>
        </w:rPr>
      </w:r>
      <w:r w:rsidR="00287DD3" w:rsidRPr="0012528F">
        <w:rPr>
          <w:vertAlign w:val="superscript"/>
          <w:lang w:val="en-US"/>
        </w:rPr>
        <w:fldChar w:fldCharType="separate"/>
      </w:r>
      <w:r w:rsidR="00C14AE2">
        <w:rPr>
          <w:vertAlign w:val="superscript"/>
          <w:lang w:val="en-US"/>
        </w:rPr>
        <w:t>6</w:t>
      </w:r>
      <w:r w:rsidR="00287DD3" w:rsidRPr="0012528F">
        <w:rPr>
          <w:vertAlign w:val="superscript"/>
          <w:lang w:val="en-US"/>
        </w:rPr>
        <w:fldChar w:fldCharType="end"/>
      </w:r>
      <w:r w:rsidR="00EA0BEA">
        <w:rPr>
          <w:vertAlign w:val="superscript"/>
          <w:lang w:val="en-US"/>
        </w:rPr>
        <w:t>, 10</w:t>
      </w:r>
      <w:r w:rsidR="004D6B80" w:rsidRPr="0012528F">
        <w:rPr>
          <w:lang w:val="en-US"/>
        </w:rPr>
        <w:t xml:space="preserve"> and the net turnover profitability rate</w:t>
      </w:r>
      <w:r w:rsidR="00287DD3" w:rsidRPr="0012528F">
        <w:rPr>
          <w:vertAlign w:val="superscript"/>
          <w:lang w:val="en-US"/>
        </w:rPr>
        <w:fldChar w:fldCharType="begin"/>
      </w:r>
      <w:r w:rsidR="00287DD3" w:rsidRPr="0012528F">
        <w:rPr>
          <w:vertAlign w:val="superscript"/>
          <w:lang w:val="en-US"/>
        </w:rPr>
        <w:instrText xml:space="preserve"> NOTEREF _Ref524596924 \h  \* MERGEFORMAT </w:instrText>
      </w:r>
      <w:r w:rsidR="00287DD3" w:rsidRPr="0012528F">
        <w:rPr>
          <w:vertAlign w:val="superscript"/>
          <w:lang w:val="en-US"/>
        </w:rPr>
      </w:r>
      <w:r w:rsidR="00287DD3" w:rsidRPr="0012528F">
        <w:rPr>
          <w:vertAlign w:val="superscript"/>
          <w:lang w:val="en-US"/>
        </w:rPr>
        <w:fldChar w:fldCharType="separate"/>
      </w:r>
      <w:r w:rsidR="00C14AE2">
        <w:rPr>
          <w:vertAlign w:val="superscript"/>
          <w:lang w:val="en-US"/>
        </w:rPr>
        <w:t>7</w:t>
      </w:r>
      <w:r w:rsidR="00287DD3" w:rsidRPr="0012528F">
        <w:rPr>
          <w:vertAlign w:val="superscript"/>
          <w:lang w:val="en-US"/>
        </w:rPr>
        <w:fldChar w:fldCharType="end"/>
      </w:r>
      <w:r w:rsidR="00911796" w:rsidRPr="0012528F">
        <w:rPr>
          <w:vertAlign w:val="superscript"/>
          <w:lang w:val="en-US"/>
        </w:rPr>
        <w:t>,</w:t>
      </w:r>
      <w:r w:rsidR="00911796" w:rsidRPr="0012528F">
        <w:rPr>
          <w:vertAlign w:val="superscript"/>
          <w:lang w:val="en-US"/>
        </w:rPr>
        <w:fldChar w:fldCharType="begin"/>
      </w:r>
      <w:r w:rsidR="00911796" w:rsidRPr="0012528F">
        <w:rPr>
          <w:vertAlign w:val="superscript"/>
          <w:lang w:val="en-US"/>
        </w:rPr>
        <w:instrText xml:space="preserve"> NOTEREF _Ref519689707 \h </w:instrText>
      </w:r>
      <w:r w:rsidR="00911796" w:rsidRPr="0012528F">
        <w:rPr>
          <w:vertAlign w:val="superscript"/>
          <w:lang w:val="en-US"/>
        </w:rPr>
      </w:r>
      <w:r w:rsidR="00911796" w:rsidRPr="0012528F">
        <w:rPr>
          <w:vertAlign w:val="superscript"/>
          <w:lang w:val="en-US"/>
        </w:rPr>
        <w:fldChar w:fldCharType="separate"/>
      </w:r>
      <w:r w:rsidR="00C14AE2">
        <w:rPr>
          <w:vertAlign w:val="superscript"/>
          <w:lang w:val="en-US"/>
        </w:rPr>
        <w:t>10</w:t>
      </w:r>
      <w:r w:rsidR="00911796" w:rsidRPr="0012528F">
        <w:rPr>
          <w:vertAlign w:val="superscript"/>
          <w:lang w:val="en-US"/>
        </w:rPr>
        <w:fldChar w:fldCharType="end"/>
      </w:r>
      <w:r w:rsidR="004D6B80" w:rsidRPr="0012528F">
        <w:rPr>
          <w:lang w:val="en-US"/>
        </w:rPr>
        <w:t>.</w:t>
      </w:r>
      <w:r w:rsidR="00956120" w:rsidRPr="0012528F">
        <w:rPr>
          <w:lang w:val="en-US"/>
        </w:rPr>
        <w:t xml:space="preserve"> The cost level indicator</w:t>
      </w:r>
      <w:r w:rsidR="00287DD3" w:rsidRPr="0012528F">
        <w:rPr>
          <w:vertAlign w:val="superscript"/>
          <w:lang w:val="en-US"/>
        </w:rPr>
        <w:fldChar w:fldCharType="begin"/>
      </w:r>
      <w:r w:rsidR="00287DD3" w:rsidRPr="0012528F">
        <w:rPr>
          <w:vertAlign w:val="superscript"/>
          <w:lang w:val="en-US"/>
        </w:rPr>
        <w:instrText xml:space="preserve"> NOTEREF _Ref524596950 \h  \* MERGEFORMAT </w:instrText>
      </w:r>
      <w:r w:rsidR="00287DD3" w:rsidRPr="0012528F">
        <w:rPr>
          <w:vertAlign w:val="superscript"/>
          <w:lang w:val="en-US"/>
        </w:rPr>
      </w:r>
      <w:r w:rsidR="00287DD3" w:rsidRPr="0012528F">
        <w:rPr>
          <w:vertAlign w:val="superscript"/>
          <w:lang w:val="en-US"/>
        </w:rPr>
        <w:fldChar w:fldCharType="separate"/>
      </w:r>
      <w:r w:rsidR="00C14AE2">
        <w:rPr>
          <w:vertAlign w:val="superscript"/>
          <w:lang w:val="en-US"/>
        </w:rPr>
        <w:t>8</w:t>
      </w:r>
      <w:r w:rsidR="00287DD3" w:rsidRPr="0012528F">
        <w:rPr>
          <w:vertAlign w:val="superscript"/>
          <w:lang w:val="en-US"/>
        </w:rPr>
        <w:fldChar w:fldCharType="end"/>
      </w:r>
      <w:r w:rsidR="00956120" w:rsidRPr="0012528F">
        <w:rPr>
          <w:lang w:val="en-US"/>
        </w:rPr>
        <w:t xml:space="preserve"> also </w:t>
      </w:r>
      <w:r w:rsidR="00967CE1" w:rsidRPr="0012528F">
        <w:rPr>
          <w:lang w:val="en-US"/>
        </w:rPr>
        <w:t>decre</w:t>
      </w:r>
      <w:r w:rsidR="00967CE1">
        <w:rPr>
          <w:lang w:val="en-US"/>
        </w:rPr>
        <w:t>a</w:t>
      </w:r>
      <w:r w:rsidR="00967CE1" w:rsidRPr="0012528F">
        <w:rPr>
          <w:lang w:val="en-US"/>
        </w:rPr>
        <w:t>sed</w:t>
      </w:r>
      <w:r w:rsidR="00967CE1">
        <w:rPr>
          <w:lang w:val="en-US"/>
        </w:rPr>
        <w:t xml:space="preserve"> </w:t>
      </w:r>
      <w:r w:rsidR="00967CE1" w:rsidRPr="0012528F">
        <w:rPr>
          <w:lang w:val="en-US"/>
        </w:rPr>
        <w:t>against</w:t>
      </w:r>
      <w:r w:rsidR="00956120" w:rsidRPr="0012528F">
        <w:rPr>
          <w:lang w:val="en-US"/>
        </w:rPr>
        <w:t xml:space="preserve"> the </w:t>
      </w:r>
      <w:r w:rsidR="00C665CC" w:rsidRPr="0012528F">
        <w:rPr>
          <w:lang w:val="en-US"/>
        </w:rPr>
        <w:t xml:space="preserve">previous </w:t>
      </w:r>
      <w:r w:rsidR="00956120" w:rsidRPr="0012528F">
        <w:rPr>
          <w:lang w:val="en-US"/>
        </w:rPr>
        <w:t>year</w:t>
      </w:r>
      <w:r w:rsidR="0012528F" w:rsidRPr="0012528F">
        <w:rPr>
          <w:vertAlign w:val="superscript"/>
          <w:lang w:val="en-US"/>
        </w:rPr>
        <w:fldChar w:fldCharType="begin"/>
      </w:r>
      <w:r w:rsidR="0012528F" w:rsidRPr="0012528F">
        <w:rPr>
          <w:vertAlign w:val="superscript"/>
          <w:lang w:val="en-US"/>
        </w:rPr>
        <w:instrText xml:space="preserve"> NOTEREF _Ref519689707 \h  \* MERGEFORMAT </w:instrText>
      </w:r>
      <w:r w:rsidR="0012528F" w:rsidRPr="0012528F">
        <w:rPr>
          <w:vertAlign w:val="superscript"/>
          <w:lang w:val="en-US"/>
        </w:rPr>
      </w:r>
      <w:r w:rsidR="0012528F" w:rsidRPr="0012528F">
        <w:rPr>
          <w:vertAlign w:val="superscript"/>
          <w:lang w:val="en-US"/>
        </w:rPr>
        <w:fldChar w:fldCharType="separate"/>
      </w:r>
      <w:r w:rsidR="00C14AE2">
        <w:rPr>
          <w:vertAlign w:val="superscript"/>
          <w:lang w:val="en-US"/>
        </w:rPr>
        <w:t>10</w:t>
      </w:r>
      <w:r w:rsidR="0012528F" w:rsidRPr="0012528F">
        <w:rPr>
          <w:vertAlign w:val="superscript"/>
          <w:lang w:val="en-US"/>
        </w:rPr>
        <w:fldChar w:fldCharType="end"/>
      </w:r>
      <w:r w:rsidR="00F20D80" w:rsidRPr="0012528F">
        <w:rPr>
          <w:lang w:val="en-US"/>
        </w:rPr>
        <w:t>.</w:t>
      </w:r>
    </w:p>
    <w:p w14:paraId="5BD9EF36" w14:textId="6BE76A56" w:rsidR="00F070D5" w:rsidRPr="00BA2937" w:rsidRDefault="00307DCC" w:rsidP="00F802BE">
      <w:pPr>
        <w:rPr>
          <w:lang w:val="en-US"/>
        </w:rPr>
      </w:pPr>
      <w:r w:rsidRPr="00BA2937">
        <w:rPr>
          <w:lang w:val="en-US"/>
        </w:rPr>
        <w:t xml:space="preserve">Entities </w:t>
      </w:r>
      <w:r w:rsidR="00287DD3" w:rsidRPr="00BA2937">
        <w:rPr>
          <w:lang w:val="en-US"/>
        </w:rPr>
        <w:t xml:space="preserve">with the number of persons employed 10 and more </w:t>
      </w:r>
      <w:r w:rsidRPr="00BA2937">
        <w:rPr>
          <w:lang w:val="en-US"/>
        </w:rPr>
        <w:t>focused their basic activity ma</w:t>
      </w:r>
      <w:r w:rsidR="00FB6ADE" w:rsidRPr="00BA2937">
        <w:rPr>
          <w:lang w:val="en-US"/>
        </w:rPr>
        <w:t xml:space="preserve">inly on the domestic </w:t>
      </w:r>
      <w:r w:rsidR="00D34063" w:rsidRPr="00BA2937">
        <w:rPr>
          <w:lang w:val="en-US"/>
        </w:rPr>
        <w:t xml:space="preserve">market. This share accounted for </w:t>
      </w:r>
      <w:r w:rsidR="00FB6ADE" w:rsidRPr="00BA2937">
        <w:rPr>
          <w:lang w:val="en-US"/>
        </w:rPr>
        <w:t>7</w:t>
      </w:r>
      <w:r w:rsidR="00227C21" w:rsidRPr="00BA2937">
        <w:rPr>
          <w:lang w:val="en-US"/>
        </w:rPr>
        <w:t>4.1</w:t>
      </w:r>
      <w:r w:rsidRPr="00BA2937">
        <w:rPr>
          <w:lang w:val="en-US"/>
        </w:rPr>
        <w:t xml:space="preserve">% of total </w:t>
      </w:r>
      <w:r w:rsidR="00D34063" w:rsidRPr="00BA2937">
        <w:rPr>
          <w:lang w:val="en-US"/>
        </w:rPr>
        <w:t>turnover</w:t>
      </w:r>
      <w:r w:rsidRPr="00BA2937">
        <w:rPr>
          <w:lang w:val="en-US"/>
        </w:rPr>
        <w:t>. The share of services provided to clients from th</w:t>
      </w:r>
      <w:r w:rsidR="00246FE7">
        <w:rPr>
          <w:lang w:val="en-US"/>
        </w:rPr>
        <w:t>e E</w:t>
      </w:r>
      <w:r w:rsidR="00BA2937" w:rsidRPr="00BA2937">
        <w:rPr>
          <w:lang w:val="en-US"/>
        </w:rPr>
        <w:t>U Member States amounted to</w:t>
      </w:r>
      <w:r w:rsidRPr="00BA2937">
        <w:rPr>
          <w:lang w:val="en-US"/>
        </w:rPr>
        <w:t xml:space="preserve"> 1</w:t>
      </w:r>
      <w:r w:rsidR="00BA2937" w:rsidRPr="00BA2937">
        <w:rPr>
          <w:lang w:val="en-US"/>
        </w:rPr>
        <w:t>7</w:t>
      </w:r>
      <w:r w:rsidRPr="00BA2937">
        <w:rPr>
          <w:lang w:val="en-US"/>
        </w:rPr>
        <w:t>.</w:t>
      </w:r>
      <w:r w:rsidR="00BA2937" w:rsidRPr="00BA2937">
        <w:rPr>
          <w:lang w:val="en-US"/>
        </w:rPr>
        <w:t>5</w:t>
      </w:r>
      <w:r w:rsidRPr="00BA2937">
        <w:rPr>
          <w:lang w:val="en-US"/>
        </w:rPr>
        <w:t xml:space="preserve">%. Sales to countries outside EU constituted the lowest level – </w:t>
      </w:r>
      <w:r w:rsidR="00BA2937" w:rsidRPr="00BA2937">
        <w:rPr>
          <w:lang w:val="en-US"/>
        </w:rPr>
        <w:t>8.4</w:t>
      </w:r>
      <w:r w:rsidRPr="00BA2937">
        <w:rPr>
          <w:lang w:val="en-US"/>
        </w:rPr>
        <w:t>%.</w:t>
      </w:r>
      <w:r w:rsidR="00287DD3" w:rsidRPr="00BA2937">
        <w:rPr>
          <w:lang w:val="en-US"/>
        </w:rPr>
        <w:t xml:space="preserve"> </w:t>
      </w:r>
      <w:r w:rsidR="00701D7A" w:rsidRPr="00BA2937">
        <w:rPr>
          <w:lang w:val="en-US"/>
        </w:rPr>
        <w:t>Services pro</w:t>
      </w:r>
      <w:r w:rsidR="00590043" w:rsidRPr="00BA2937">
        <w:rPr>
          <w:lang w:val="en-US"/>
        </w:rPr>
        <w:t xml:space="preserve">vided by advertising agencies and sale of advertising space or time on a fee or contract basis were the main kinds of services delivered </w:t>
      </w:r>
      <w:r w:rsidR="00F070D5" w:rsidRPr="00BA2937">
        <w:rPr>
          <w:lang w:val="en-US"/>
        </w:rPr>
        <w:t>to contractors</w:t>
      </w:r>
      <w:r w:rsidR="00287DD3" w:rsidRPr="00BA2937">
        <w:rPr>
          <w:vertAlign w:val="superscript"/>
          <w:lang w:val="en-US"/>
        </w:rPr>
        <w:fldChar w:fldCharType="begin"/>
      </w:r>
      <w:r w:rsidR="00287DD3" w:rsidRPr="00BA2937">
        <w:rPr>
          <w:vertAlign w:val="superscript"/>
          <w:lang w:val="en-US"/>
        </w:rPr>
        <w:instrText xml:space="preserve"> NOTEREF _Ref519689707 \h  \* MERGEFORMAT </w:instrText>
      </w:r>
      <w:r w:rsidR="00287DD3" w:rsidRPr="00BA2937">
        <w:rPr>
          <w:vertAlign w:val="superscript"/>
          <w:lang w:val="en-US"/>
        </w:rPr>
      </w:r>
      <w:r w:rsidR="00287DD3" w:rsidRPr="00BA2937">
        <w:rPr>
          <w:vertAlign w:val="superscript"/>
          <w:lang w:val="en-US"/>
        </w:rPr>
        <w:fldChar w:fldCharType="separate"/>
      </w:r>
      <w:r w:rsidR="00C14AE2">
        <w:rPr>
          <w:vertAlign w:val="superscript"/>
          <w:lang w:val="en-US"/>
        </w:rPr>
        <w:t>10</w:t>
      </w:r>
      <w:r w:rsidR="00287DD3" w:rsidRPr="00BA2937">
        <w:rPr>
          <w:vertAlign w:val="superscript"/>
          <w:lang w:val="en-US"/>
        </w:rPr>
        <w:fldChar w:fldCharType="end"/>
      </w:r>
      <w:r w:rsidR="00F070D5" w:rsidRPr="00BA2937">
        <w:rPr>
          <w:lang w:val="en-US"/>
        </w:rPr>
        <w:t xml:space="preserve">. </w:t>
      </w:r>
    </w:p>
    <w:p w14:paraId="52BACDD2" w14:textId="2412C7A4" w:rsidR="00E91828" w:rsidRPr="00C766E5" w:rsidRDefault="00F070D5" w:rsidP="00F802BE">
      <w:pPr>
        <w:rPr>
          <w:lang w:val="en-US"/>
        </w:rPr>
      </w:pPr>
      <w:r w:rsidRPr="00C766E5">
        <w:rPr>
          <w:lang w:val="en-US"/>
        </w:rPr>
        <w:t>In the analyzed year, the value of services provided to non-residents</w:t>
      </w:r>
      <w:r w:rsidR="004B42BC" w:rsidRPr="004B42BC">
        <w:rPr>
          <w:vertAlign w:val="superscript"/>
          <w:lang w:val="en-US"/>
        </w:rPr>
        <w:fldChar w:fldCharType="begin"/>
      </w:r>
      <w:r w:rsidR="004B42BC" w:rsidRPr="004B42BC">
        <w:rPr>
          <w:vertAlign w:val="superscript"/>
          <w:lang w:val="en-US"/>
        </w:rPr>
        <w:instrText xml:space="preserve"> NOTEREF _Ref48221469 \h  \* MERGEFORMAT </w:instrText>
      </w:r>
      <w:r w:rsidR="004B42BC" w:rsidRPr="004B42BC">
        <w:rPr>
          <w:vertAlign w:val="superscript"/>
          <w:lang w:val="en-US"/>
        </w:rPr>
      </w:r>
      <w:r w:rsidR="004B42BC" w:rsidRPr="004B42BC">
        <w:rPr>
          <w:vertAlign w:val="superscript"/>
          <w:lang w:val="en-US"/>
        </w:rPr>
        <w:fldChar w:fldCharType="separate"/>
      </w:r>
      <w:r w:rsidR="00C14AE2">
        <w:rPr>
          <w:vertAlign w:val="superscript"/>
          <w:lang w:val="en-US"/>
        </w:rPr>
        <w:t>4</w:t>
      </w:r>
      <w:r w:rsidR="004B42BC" w:rsidRPr="004B42BC">
        <w:rPr>
          <w:vertAlign w:val="superscript"/>
          <w:lang w:val="en-US"/>
        </w:rPr>
        <w:fldChar w:fldCharType="end"/>
      </w:r>
      <w:r w:rsidRPr="004B42BC">
        <w:rPr>
          <w:vertAlign w:val="superscript"/>
          <w:lang w:val="en-US"/>
        </w:rPr>
        <w:t xml:space="preserve"> </w:t>
      </w:r>
      <w:r w:rsidRPr="00C766E5">
        <w:rPr>
          <w:lang w:val="en-US"/>
        </w:rPr>
        <w:t xml:space="preserve">in the international trade in services </w:t>
      </w:r>
      <w:r w:rsidR="00C766E5">
        <w:rPr>
          <w:lang w:val="en-US"/>
        </w:rPr>
        <w:t>accounted for</w:t>
      </w:r>
      <w:r w:rsidRPr="00C766E5">
        <w:rPr>
          <w:lang w:val="en-US"/>
        </w:rPr>
        <w:t xml:space="preserve"> </w:t>
      </w:r>
      <w:r w:rsidR="00B969FE" w:rsidRPr="00C766E5">
        <w:rPr>
          <w:lang w:val="en-US"/>
        </w:rPr>
        <w:t xml:space="preserve">PLN </w:t>
      </w:r>
      <w:r w:rsidR="00287DD3" w:rsidRPr="00C766E5">
        <w:rPr>
          <w:lang w:val="en-US"/>
        </w:rPr>
        <w:t>4.</w:t>
      </w:r>
      <w:r w:rsidR="00255D0E" w:rsidRPr="00C766E5">
        <w:rPr>
          <w:lang w:val="en-US"/>
        </w:rPr>
        <w:t>9</w:t>
      </w:r>
      <w:r w:rsidR="00B969FE" w:rsidRPr="00C766E5">
        <w:rPr>
          <w:lang w:val="en-US"/>
        </w:rPr>
        <w:t xml:space="preserve"> billion (an increase of</w:t>
      </w:r>
      <w:r w:rsidRPr="00C766E5">
        <w:rPr>
          <w:lang w:val="en-US"/>
        </w:rPr>
        <w:t xml:space="preserve"> </w:t>
      </w:r>
      <w:r w:rsidR="00255D0E" w:rsidRPr="00C766E5">
        <w:rPr>
          <w:lang w:val="en-US"/>
        </w:rPr>
        <w:t>15.1</w:t>
      </w:r>
      <w:r w:rsidRPr="00C766E5">
        <w:rPr>
          <w:lang w:val="en-US"/>
        </w:rPr>
        <w:t xml:space="preserve">%), while the value </w:t>
      </w:r>
      <w:r w:rsidR="00D742AA" w:rsidRPr="00C766E5">
        <w:rPr>
          <w:lang w:val="en-US"/>
        </w:rPr>
        <w:t>of services</w:t>
      </w:r>
      <w:r w:rsidR="001073EF" w:rsidRPr="00C766E5">
        <w:rPr>
          <w:lang w:val="en-US"/>
        </w:rPr>
        <w:t xml:space="preserve"> </w:t>
      </w:r>
      <w:r w:rsidRPr="00C766E5">
        <w:rPr>
          <w:lang w:val="en-US"/>
        </w:rPr>
        <w:t xml:space="preserve">acquired from non-residents </w:t>
      </w:r>
      <w:r w:rsidR="00C766E5">
        <w:rPr>
          <w:lang w:val="en-US"/>
        </w:rPr>
        <w:t>amounted to</w:t>
      </w:r>
      <w:r w:rsidR="008670C6" w:rsidRPr="00C766E5">
        <w:rPr>
          <w:lang w:val="en-US"/>
        </w:rPr>
        <w:t xml:space="preserve"> </w:t>
      </w:r>
      <w:r w:rsidRPr="00C766E5">
        <w:rPr>
          <w:lang w:val="en-US"/>
        </w:rPr>
        <w:t xml:space="preserve">PLN </w:t>
      </w:r>
      <w:r w:rsidR="00097B62">
        <w:rPr>
          <w:lang w:val="en-US"/>
        </w:rPr>
        <w:t>2.1</w:t>
      </w:r>
      <w:r w:rsidR="00B969FE" w:rsidRPr="00C766E5">
        <w:rPr>
          <w:lang w:val="en-US"/>
        </w:rPr>
        <w:t xml:space="preserve"> billion (an increase of</w:t>
      </w:r>
      <w:r w:rsidRPr="00C766E5">
        <w:rPr>
          <w:lang w:val="en-US"/>
        </w:rPr>
        <w:t xml:space="preserve"> </w:t>
      </w:r>
      <w:r w:rsidR="00255D0E" w:rsidRPr="00C766E5">
        <w:rPr>
          <w:lang w:val="en-US"/>
        </w:rPr>
        <w:t>12.3</w:t>
      </w:r>
      <w:r w:rsidRPr="00C766E5">
        <w:rPr>
          <w:lang w:val="en-US"/>
        </w:rPr>
        <w:t xml:space="preserve">%).  </w:t>
      </w:r>
    </w:p>
    <w:p w14:paraId="6376DE02" w14:textId="1FA7C413" w:rsidR="00132CB8" w:rsidRPr="00C766E5" w:rsidRDefault="00E91828" w:rsidP="00F802BE">
      <w:pPr>
        <w:rPr>
          <w:lang w:val="en-US"/>
        </w:rPr>
      </w:pPr>
      <w:r w:rsidRPr="00C766E5">
        <w:rPr>
          <w:lang w:val="en-US"/>
        </w:rPr>
        <w:t>Entities conducting advertising and market research activities provided their services mainly to contractor</w:t>
      </w:r>
      <w:r w:rsidR="00287DD3" w:rsidRPr="00C766E5">
        <w:rPr>
          <w:lang w:val="en-US"/>
        </w:rPr>
        <w:t>s from Switzerland (2</w:t>
      </w:r>
      <w:r w:rsidR="00EB7C41" w:rsidRPr="00C766E5">
        <w:rPr>
          <w:lang w:val="en-US"/>
        </w:rPr>
        <w:t>0</w:t>
      </w:r>
      <w:r w:rsidR="00287DD3" w:rsidRPr="00C766E5">
        <w:rPr>
          <w:lang w:val="en-US"/>
        </w:rPr>
        <w:t>.</w:t>
      </w:r>
      <w:r w:rsidR="00EB7C41" w:rsidRPr="00C766E5">
        <w:rPr>
          <w:lang w:val="en-US"/>
        </w:rPr>
        <w:t>5</w:t>
      </w:r>
      <w:r w:rsidR="00246FE7">
        <w:rPr>
          <w:lang w:val="en-US"/>
        </w:rPr>
        <w:t xml:space="preserve">%), while the highest </w:t>
      </w:r>
      <w:r w:rsidR="00C766E5" w:rsidRPr="00C766E5">
        <w:rPr>
          <w:lang w:val="en-US"/>
        </w:rPr>
        <w:t xml:space="preserve">services </w:t>
      </w:r>
      <w:r w:rsidRPr="00C766E5">
        <w:rPr>
          <w:lang w:val="en-US"/>
        </w:rPr>
        <w:t xml:space="preserve">value </w:t>
      </w:r>
      <w:r w:rsidR="00FB6ADE" w:rsidRPr="00C766E5">
        <w:rPr>
          <w:lang w:val="en-US"/>
        </w:rPr>
        <w:t>w</w:t>
      </w:r>
      <w:r w:rsidR="00C766E5">
        <w:rPr>
          <w:lang w:val="en-US"/>
        </w:rPr>
        <w:t>as</w:t>
      </w:r>
      <w:r w:rsidR="00FB6ADE" w:rsidRPr="00C766E5">
        <w:rPr>
          <w:lang w:val="en-US"/>
        </w:rPr>
        <w:t xml:space="preserve"> acquired from Ireland (</w:t>
      </w:r>
      <w:r w:rsidR="00EB7C41" w:rsidRPr="00C766E5">
        <w:rPr>
          <w:lang w:val="en-US"/>
        </w:rPr>
        <w:t>45.0</w:t>
      </w:r>
      <w:r w:rsidRPr="00C766E5">
        <w:rPr>
          <w:lang w:val="en-US"/>
        </w:rPr>
        <w:t>%</w:t>
      </w:r>
      <w:r w:rsidR="00287DD3" w:rsidRPr="00C766E5">
        <w:rPr>
          <w:lang w:val="en-US"/>
        </w:rPr>
        <w:t xml:space="preserve"> of the service value acquired by these entities from non-residents</w:t>
      </w:r>
      <w:r w:rsidRPr="00C766E5">
        <w:rPr>
          <w:lang w:val="en-US"/>
        </w:rPr>
        <w:t>). Advertising, market research and public opinion polling constituted the main source of both revenues and expenditures</w:t>
      </w:r>
      <w:r w:rsidR="007B5C65" w:rsidRPr="00C766E5">
        <w:rPr>
          <w:lang w:val="en-US"/>
        </w:rPr>
        <w:t xml:space="preserve"> of these entities (a share in the structure of provided services accounted for </w:t>
      </w:r>
      <w:r w:rsidR="00FB6ADE" w:rsidRPr="00C766E5">
        <w:rPr>
          <w:lang w:val="en-US"/>
        </w:rPr>
        <w:t>7</w:t>
      </w:r>
      <w:r w:rsidR="00EB7C41" w:rsidRPr="00C766E5">
        <w:rPr>
          <w:lang w:val="en-US"/>
        </w:rPr>
        <w:t>8</w:t>
      </w:r>
      <w:r w:rsidR="007B5C65" w:rsidRPr="00C766E5">
        <w:rPr>
          <w:lang w:val="en-US"/>
        </w:rPr>
        <w:t>.</w:t>
      </w:r>
      <w:r w:rsidR="00FB6ADE" w:rsidRPr="00C766E5">
        <w:rPr>
          <w:lang w:val="en-US"/>
        </w:rPr>
        <w:t>7</w:t>
      </w:r>
      <w:r w:rsidR="007B5C65" w:rsidRPr="00C766E5">
        <w:rPr>
          <w:lang w:val="en-US"/>
        </w:rPr>
        <w:t>%, while acquired – 7</w:t>
      </w:r>
      <w:r w:rsidR="00FB6ADE" w:rsidRPr="00C766E5">
        <w:rPr>
          <w:lang w:val="en-US"/>
        </w:rPr>
        <w:t>0</w:t>
      </w:r>
      <w:r w:rsidR="007B5C65" w:rsidRPr="00C766E5">
        <w:rPr>
          <w:lang w:val="en-US"/>
        </w:rPr>
        <w:t>.</w:t>
      </w:r>
      <w:r w:rsidR="00EB7C41" w:rsidRPr="00C766E5">
        <w:rPr>
          <w:lang w:val="en-US"/>
        </w:rPr>
        <w:t>6</w:t>
      </w:r>
      <w:r w:rsidR="007B5C65" w:rsidRPr="00C766E5">
        <w:rPr>
          <w:lang w:val="en-US"/>
        </w:rPr>
        <w:t xml:space="preserve">%). </w:t>
      </w:r>
    </w:p>
    <w:p w14:paraId="622FE211" w14:textId="3F4C9872" w:rsidR="00132CB8" w:rsidRPr="00C766E5" w:rsidRDefault="00132CB8" w:rsidP="008D5FB9">
      <w:pPr>
        <w:ind w:left="851" w:hanging="851"/>
        <w:rPr>
          <w:color w:val="000000" w:themeColor="text1"/>
          <w:lang w:val="en-US"/>
        </w:rPr>
      </w:pPr>
      <w:r w:rsidRPr="00C766E5">
        <w:rPr>
          <w:noProof/>
          <w:color w:val="000000" w:themeColor="text1"/>
          <w:lang w:eastAsia="pl-PL"/>
        </w:rPr>
        <w:lastRenderedPageBreak/>
        <w:drawing>
          <wp:anchor distT="0" distB="0" distL="114300" distR="114300" simplePos="0" relativeHeight="251786240" behindDoc="0" locked="0" layoutInCell="1" allowOverlap="1" wp14:anchorId="00A44EDF" wp14:editId="1689D3A9">
            <wp:simplePos x="0" y="0"/>
            <wp:positionH relativeFrom="margin">
              <wp:align>left</wp:align>
            </wp:positionH>
            <wp:positionV relativeFrom="paragraph">
              <wp:posOffset>340995</wp:posOffset>
            </wp:positionV>
            <wp:extent cx="5122545" cy="3970020"/>
            <wp:effectExtent l="0" t="0" r="1905" b="0"/>
            <wp:wrapSquare wrapText="bothSides"/>
            <wp:docPr id="39" name="Wykres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0E7562" w:rsidRPr="00C766E5">
        <w:rPr>
          <w:b/>
          <w:color w:val="000000" w:themeColor="text1"/>
          <w:lang w:val="en-US"/>
        </w:rPr>
        <w:t xml:space="preserve">Chart </w:t>
      </w:r>
      <w:r w:rsidR="004B42BC">
        <w:rPr>
          <w:b/>
          <w:color w:val="000000" w:themeColor="text1"/>
          <w:lang w:val="en-US"/>
        </w:rPr>
        <w:t>11</w:t>
      </w:r>
      <w:r w:rsidR="000E7562" w:rsidRPr="00C766E5">
        <w:rPr>
          <w:b/>
          <w:color w:val="000000" w:themeColor="text1"/>
          <w:lang w:val="en-US"/>
        </w:rPr>
        <w:t>. Geographical structure</w:t>
      </w:r>
      <w:r w:rsidR="000E7562" w:rsidRPr="00C766E5">
        <w:rPr>
          <w:color w:val="000000" w:themeColor="text1"/>
          <w:lang w:val="en-US"/>
        </w:rPr>
        <w:t xml:space="preserve"> </w:t>
      </w:r>
      <w:r w:rsidR="000E7562" w:rsidRPr="00C766E5">
        <w:rPr>
          <w:b/>
          <w:color w:val="000000" w:themeColor="text1"/>
          <w:lang w:val="en-US"/>
        </w:rPr>
        <w:t>of services provided and acquired in the international trade by entities conducting advertising and market research activities</w:t>
      </w:r>
      <w:r w:rsidR="005B2C4E" w:rsidRPr="00C766E5">
        <w:rPr>
          <w:b/>
          <w:color w:val="000000" w:themeColor="text1"/>
          <w:vertAlign w:val="superscript"/>
          <w:lang w:val="en-US"/>
        </w:rPr>
        <w:fldChar w:fldCharType="begin"/>
      </w:r>
      <w:r w:rsidR="005B2C4E" w:rsidRPr="00C766E5">
        <w:rPr>
          <w:b/>
          <w:color w:val="000000" w:themeColor="text1"/>
          <w:vertAlign w:val="superscript"/>
          <w:lang w:val="en-US"/>
        </w:rPr>
        <w:instrText xml:space="preserve"> NOTEREF _Ref524599080 \h  \* MERGEFORMAT </w:instrText>
      </w:r>
      <w:r w:rsidR="005B2C4E" w:rsidRPr="00C766E5">
        <w:rPr>
          <w:b/>
          <w:color w:val="000000" w:themeColor="text1"/>
          <w:vertAlign w:val="superscript"/>
          <w:lang w:val="en-US"/>
        </w:rPr>
      </w:r>
      <w:r w:rsidR="005B2C4E" w:rsidRPr="00C766E5">
        <w:rPr>
          <w:b/>
          <w:color w:val="000000" w:themeColor="text1"/>
          <w:vertAlign w:val="superscript"/>
          <w:lang w:val="en-US"/>
        </w:rPr>
        <w:fldChar w:fldCharType="separate"/>
      </w:r>
      <w:r w:rsidR="00C14AE2">
        <w:rPr>
          <w:b/>
          <w:color w:val="000000" w:themeColor="text1"/>
          <w:vertAlign w:val="superscript"/>
          <w:lang w:val="en-US"/>
        </w:rPr>
        <w:t>12</w:t>
      </w:r>
      <w:r w:rsidR="005B2C4E" w:rsidRPr="00C766E5">
        <w:rPr>
          <w:b/>
          <w:color w:val="000000" w:themeColor="text1"/>
          <w:vertAlign w:val="superscript"/>
          <w:lang w:val="en-US"/>
        </w:rPr>
        <w:fldChar w:fldCharType="end"/>
      </w:r>
      <w:r w:rsidR="004B42BC">
        <w:rPr>
          <w:b/>
          <w:color w:val="000000" w:themeColor="text1"/>
          <w:vertAlign w:val="superscript"/>
          <w:lang w:val="en-US"/>
        </w:rPr>
        <w:t xml:space="preserve"> </w:t>
      </w:r>
      <w:r w:rsidR="004B42BC">
        <w:rPr>
          <w:b/>
          <w:color w:val="000000" w:themeColor="text1"/>
          <w:lang w:val="en-US"/>
        </w:rPr>
        <w:t>in 2018</w:t>
      </w:r>
      <w:r w:rsidR="007B5C65" w:rsidRPr="00C766E5">
        <w:rPr>
          <w:color w:val="000000" w:themeColor="text1"/>
          <w:lang w:val="en-US"/>
        </w:rPr>
        <w:t xml:space="preserve">   </w:t>
      </w:r>
      <w:r w:rsidR="00F070D5" w:rsidRPr="00C766E5">
        <w:rPr>
          <w:color w:val="000000" w:themeColor="text1"/>
          <w:lang w:val="en-US"/>
        </w:rPr>
        <w:t xml:space="preserve">   </w:t>
      </w:r>
    </w:p>
    <w:p w14:paraId="6200A33B" w14:textId="0FAB3C27" w:rsidR="00132CB8" w:rsidRDefault="0074724B" w:rsidP="00D34063">
      <w:pPr>
        <w:ind w:left="851" w:hanging="851"/>
        <w:rPr>
          <w:b/>
          <w:color w:val="000000" w:themeColor="text1"/>
          <w:lang w:val="en-US"/>
        </w:rPr>
      </w:pPr>
      <w:r w:rsidRPr="00C766E5">
        <w:rPr>
          <w:noProof/>
          <w:color w:val="000000" w:themeColor="text1"/>
          <w:lang w:eastAsia="pl-PL"/>
        </w:rPr>
        <w:drawing>
          <wp:anchor distT="0" distB="0" distL="114300" distR="114300" simplePos="0" relativeHeight="251806720" behindDoc="0" locked="0" layoutInCell="1" allowOverlap="1" wp14:anchorId="497BD217" wp14:editId="2E872383">
            <wp:simplePos x="0" y="0"/>
            <wp:positionH relativeFrom="margin">
              <wp:align>right</wp:align>
            </wp:positionH>
            <wp:positionV relativeFrom="paragraph">
              <wp:posOffset>4391660</wp:posOffset>
            </wp:positionV>
            <wp:extent cx="5122545" cy="2964180"/>
            <wp:effectExtent l="0" t="0" r="1905" b="7620"/>
            <wp:wrapSquare wrapText="bothSides"/>
            <wp:docPr id="40" name="Wykres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Pr>
          <w:b/>
          <w:color w:val="000000" w:themeColor="text1"/>
          <w:lang w:val="en-US"/>
        </w:rPr>
        <w:t>Ch</w:t>
      </w:r>
      <w:r w:rsidR="00C07287" w:rsidRPr="00C766E5">
        <w:rPr>
          <w:b/>
          <w:color w:val="000000" w:themeColor="text1"/>
          <w:lang w:val="en-US"/>
        </w:rPr>
        <w:t>art 1</w:t>
      </w:r>
      <w:r w:rsidR="004B42BC">
        <w:rPr>
          <w:b/>
          <w:color w:val="000000" w:themeColor="text1"/>
          <w:lang w:val="en-US"/>
        </w:rPr>
        <w:t>2</w:t>
      </w:r>
      <w:r w:rsidR="00C07287" w:rsidRPr="00C766E5">
        <w:rPr>
          <w:b/>
          <w:color w:val="000000" w:themeColor="text1"/>
          <w:lang w:val="en-US"/>
        </w:rPr>
        <w:t>. Structure</w:t>
      </w:r>
      <w:r w:rsidR="00C07287" w:rsidRPr="00C766E5">
        <w:rPr>
          <w:color w:val="000000" w:themeColor="text1"/>
          <w:lang w:val="en-US"/>
        </w:rPr>
        <w:t xml:space="preserve"> </w:t>
      </w:r>
      <w:r w:rsidR="00C07287" w:rsidRPr="00C766E5">
        <w:rPr>
          <w:b/>
          <w:color w:val="000000" w:themeColor="text1"/>
          <w:lang w:val="en-US"/>
        </w:rPr>
        <w:t>of services provided and acquired in the international trade by entities conducting advertising and market research activities</w:t>
      </w:r>
      <w:r w:rsidR="005B2C4E" w:rsidRPr="00C766E5">
        <w:rPr>
          <w:b/>
          <w:color w:val="000000" w:themeColor="text1"/>
          <w:vertAlign w:val="superscript"/>
          <w:lang w:val="en-US"/>
        </w:rPr>
        <w:fldChar w:fldCharType="begin"/>
      </w:r>
      <w:r w:rsidR="005B2C4E" w:rsidRPr="00C766E5">
        <w:rPr>
          <w:b/>
          <w:color w:val="000000" w:themeColor="text1"/>
          <w:vertAlign w:val="superscript"/>
          <w:lang w:val="en-US"/>
        </w:rPr>
        <w:instrText xml:space="preserve"> NOTEREF _Ref524599080 \h  \* MERGEFORMAT </w:instrText>
      </w:r>
      <w:r w:rsidR="005B2C4E" w:rsidRPr="00C766E5">
        <w:rPr>
          <w:b/>
          <w:color w:val="000000" w:themeColor="text1"/>
          <w:vertAlign w:val="superscript"/>
          <w:lang w:val="en-US"/>
        </w:rPr>
      </w:r>
      <w:r w:rsidR="005B2C4E" w:rsidRPr="00C766E5">
        <w:rPr>
          <w:b/>
          <w:color w:val="000000" w:themeColor="text1"/>
          <w:vertAlign w:val="superscript"/>
          <w:lang w:val="en-US"/>
        </w:rPr>
        <w:fldChar w:fldCharType="separate"/>
      </w:r>
      <w:r w:rsidR="00C14AE2">
        <w:rPr>
          <w:b/>
          <w:color w:val="000000" w:themeColor="text1"/>
          <w:vertAlign w:val="superscript"/>
          <w:lang w:val="en-US"/>
        </w:rPr>
        <w:t>12</w:t>
      </w:r>
      <w:r w:rsidR="005B2C4E" w:rsidRPr="00C766E5">
        <w:rPr>
          <w:b/>
          <w:color w:val="000000" w:themeColor="text1"/>
          <w:vertAlign w:val="superscript"/>
          <w:lang w:val="en-US"/>
        </w:rPr>
        <w:fldChar w:fldCharType="end"/>
      </w:r>
      <w:r w:rsidR="00D34063" w:rsidRPr="00C766E5">
        <w:rPr>
          <w:b/>
          <w:color w:val="000000" w:themeColor="text1"/>
          <w:vertAlign w:val="superscript"/>
          <w:lang w:val="en-US"/>
        </w:rPr>
        <w:t xml:space="preserve"> </w:t>
      </w:r>
      <w:r w:rsidR="00D34063" w:rsidRPr="00C766E5">
        <w:rPr>
          <w:b/>
          <w:color w:val="000000" w:themeColor="text1"/>
          <w:lang w:val="en-US"/>
        </w:rPr>
        <w:t>by kind of provided services</w:t>
      </w:r>
      <w:r w:rsidR="004B42BC">
        <w:rPr>
          <w:b/>
          <w:color w:val="000000" w:themeColor="text1"/>
          <w:lang w:val="en-US"/>
        </w:rPr>
        <w:t xml:space="preserve"> in 2018</w:t>
      </w:r>
    </w:p>
    <w:p w14:paraId="4D82EE57" w14:textId="372F5971" w:rsidR="00FA368B" w:rsidRPr="00354A25" w:rsidRDefault="0074724B" w:rsidP="00FA368B">
      <w:pPr>
        <w:pStyle w:val="Nagwek1"/>
        <w:rPr>
          <w:lang w:val="en-US"/>
        </w:rPr>
      </w:pPr>
      <w:r w:rsidRPr="00354A25">
        <w:rPr>
          <w:rFonts w:ascii="Fira Sans" w:hAnsi="Fira Sans"/>
          <w:b/>
          <w:noProof/>
          <w:spacing w:val="-2"/>
          <w:szCs w:val="19"/>
        </w:rPr>
        <mc:AlternateContent>
          <mc:Choice Requires="wps">
            <w:drawing>
              <wp:anchor distT="45720" distB="45720" distL="114300" distR="114300" simplePos="0" relativeHeight="251761664" behindDoc="1" locked="0" layoutInCell="1" allowOverlap="1" wp14:anchorId="5772FF2A" wp14:editId="7762B30D">
                <wp:simplePos x="0" y="0"/>
                <wp:positionH relativeFrom="column">
                  <wp:posOffset>5249545</wp:posOffset>
                </wp:positionH>
                <wp:positionV relativeFrom="paragraph">
                  <wp:posOffset>2987040</wp:posOffset>
                </wp:positionV>
                <wp:extent cx="1725295" cy="1114425"/>
                <wp:effectExtent l="0" t="0" r="0" b="0"/>
                <wp:wrapTight wrapText="bothSides">
                  <wp:wrapPolygon edited="0">
                    <wp:start x="715" y="0"/>
                    <wp:lineTo x="715" y="21046"/>
                    <wp:lineTo x="20749" y="21046"/>
                    <wp:lineTo x="20749" y="0"/>
                    <wp:lineTo x="715"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114425"/>
                        </a:xfrm>
                        <a:prstGeom prst="rect">
                          <a:avLst/>
                        </a:prstGeom>
                        <a:noFill/>
                        <a:ln w="9525">
                          <a:noFill/>
                          <a:miter lim="800000"/>
                          <a:headEnd/>
                          <a:tailEnd/>
                        </a:ln>
                      </wps:spPr>
                      <wps:txbx>
                        <w:txbxContent>
                          <w:p w14:paraId="1587D815" w14:textId="3129D895" w:rsidR="00227C21" w:rsidRPr="00BA2937" w:rsidRDefault="00227C21" w:rsidP="00FA368B">
                            <w:pPr>
                              <w:pStyle w:val="tekstzboku"/>
                              <w:rPr>
                                <w:color w:val="auto"/>
                                <w:lang w:val="en-US"/>
                              </w:rPr>
                            </w:pPr>
                            <w:r w:rsidRPr="00BA2937">
                              <w:rPr>
                                <w:color w:val="auto"/>
                                <w:lang w:val="en-US"/>
                              </w:rPr>
                              <w:t>T</w:t>
                            </w:r>
                            <w:r w:rsidR="00246FE7">
                              <w:rPr>
                                <w:color w:val="auto"/>
                                <w:lang w:val="en-US"/>
                              </w:rPr>
                              <w:t>he enterprises having their seat</w:t>
                            </w:r>
                            <w:r w:rsidRPr="00BA2937">
                              <w:rPr>
                                <w:color w:val="auto"/>
                                <w:lang w:val="en-US"/>
                              </w:rPr>
                              <w:t xml:space="preserve"> in Germany were the main trading partners in the field of employment services</w:t>
                            </w:r>
                          </w:p>
                          <w:p w14:paraId="17795A8C" w14:textId="77777777" w:rsidR="00227C21" w:rsidRPr="00922608" w:rsidRDefault="00227C21" w:rsidP="00FA368B">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2FF2A" id="Pole tekstowe 33" o:spid="_x0000_s1032" type="#_x0000_t202" style="position:absolute;margin-left:413.35pt;margin-top:235.2pt;width:135.85pt;height:87.75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" filled="f" stroked="f">
                <v:textbox>
                  <w:txbxContent>
                    <w:p w14:paraId="1587D815" w14:textId="3129D895" w:rsidR="00227C21" w:rsidRPr="00BA2937" w:rsidRDefault="00227C21" w:rsidP="00FA368B">
                      <w:pPr>
                        <w:pStyle w:val="tekstzboku"/>
                        <w:rPr>
                          <w:color w:val="auto"/>
                          <w:lang w:val="en-US"/>
                        </w:rPr>
                      </w:pPr>
                      <w:r w:rsidRPr="00BA2937">
                        <w:rPr>
                          <w:color w:val="auto"/>
                          <w:lang w:val="en-US"/>
                        </w:rPr>
                        <w:t>T</w:t>
                      </w:r>
                      <w:r w:rsidR="00246FE7">
                        <w:rPr>
                          <w:color w:val="auto"/>
                          <w:lang w:val="en-US"/>
                        </w:rPr>
                        <w:t>he enterprises having their seat</w:t>
                      </w:r>
                      <w:r w:rsidRPr="00BA2937">
                        <w:rPr>
                          <w:color w:val="auto"/>
                          <w:lang w:val="en-US"/>
                        </w:rPr>
                        <w:t xml:space="preserve"> in Germany were the main trading partners in the field of employment services</w:t>
                      </w:r>
                    </w:p>
                    <w:p w14:paraId="17795A8C" w14:textId="77777777" w:rsidR="00227C21" w:rsidRPr="00922608" w:rsidRDefault="00227C21" w:rsidP="00FA368B">
                      <w:pPr>
                        <w:spacing w:after="0"/>
                        <w:rPr>
                          <w:rFonts w:eastAsia="Times New Roman" w:cs="Times New Roman"/>
                          <w:bCs/>
                          <w:color w:val="001D77"/>
                          <w:sz w:val="18"/>
                          <w:szCs w:val="18"/>
                          <w:lang w:val="en-US" w:eastAsia="pl-PL"/>
                        </w:rPr>
                      </w:pPr>
                    </w:p>
                  </w:txbxContent>
                </v:textbox>
                <w10:wrap type="tight"/>
              </v:shape>
            </w:pict>
          </mc:Fallback>
        </mc:AlternateContent>
      </w:r>
      <w:r w:rsidR="00132CB8" w:rsidRPr="00354A25">
        <w:rPr>
          <w:lang w:val="en-US"/>
        </w:rPr>
        <w:t>Employment activities</w:t>
      </w:r>
      <w:bookmarkStart w:id="11" w:name="_Ref524599445"/>
      <w:r w:rsidR="005B2C4E" w:rsidRPr="00354A25">
        <w:rPr>
          <w:rStyle w:val="Odwoanieprzypisudolnego"/>
          <w:lang w:val="en-US"/>
        </w:rPr>
        <w:footnoteReference w:id="13"/>
      </w:r>
      <w:bookmarkEnd w:id="11"/>
    </w:p>
    <w:p w14:paraId="32FE6CA1" w14:textId="174A8ACD" w:rsidR="005361EE" w:rsidRPr="00354A25" w:rsidRDefault="005361EE" w:rsidP="00E76D26">
      <w:pPr>
        <w:rPr>
          <w:sz w:val="18"/>
          <w:lang w:val="en-US"/>
        </w:rPr>
      </w:pPr>
      <w:r w:rsidRPr="00BA2937">
        <w:rPr>
          <w:sz w:val="18"/>
          <w:lang w:val="en-US"/>
        </w:rPr>
        <w:t>Turnover value</w:t>
      </w:r>
      <w:r w:rsidR="00364998" w:rsidRPr="00BA2937">
        <w:rPr>
          <w:sz w:val="18"/>
          <w:lang w:val="en-US"/>
        </w:rPr>
        <w:t xml:space="preserve"> gen</w:t>
      </w:r>
      <w:r w:rsidR="00BA2937" w:rsidRPr="00BA2937">
        <w:rPr>
          <w:sz w:val="18"/>
          <w:lang w:val="en-US"/>
        </w:rPr>
        <w:t>erated by entities carrying out employment activities in 2018 accounted for PLN 21</w:t>
      </w:r>
      <w:r w:rsidR="00364998" w:rsidRPr="00BA2937">
        <w:rPr>
          <w:sz w:val="18"/>
          <w:lang w:val="en-US"/>
        </w:rPr>
        <w:t>.</w:t>
      </w:r>
      <w:r w:rsidR="00E929EB" w:rsidRPr="00BA2937">
        <w:rPr>
          <w:sz w:val="18"/>
          <w:lang w:val="en-US"/>
        </w:rPr>
        <w:t>1</w:t>
      </w:r>
      <w:r w:rsidR="00364998" w:rsidRPr="00BA2937">
        <w:rPr>
          <w:sz w:val="18"/>
          <w:lang w:val="en-US"/>
        </w:rPr>
        <w:t xml:space="preserve"> billion</w:t>
      </w:r>
      <w:r w:rsidR="00BA2937" w:rsidRPr="00BA2937">
        <w:rPr>
          <w:sz w:val="18"/>
          <w:lang w:val="en-US"/>
        </w:rPr>
        <w:t>. It was registered 6.3</w:t>
      </w:r>
      <w:r w:rsidR="00364998" w:rsidRPr="00BA2937">
        <w:rPr>
          <w:sz w:val="18"/>
          <w:lang w:val="en-US"/>
        </w:rPr>
        <w:t xml:space="preserve"> thousand</w:t>
      </w:r>
      <w:r w:rsidRPr="00BA2937">
        <w:rPr>
          <w:sz w:val="18"/>
          <w:lang w:val="en-US"/>
        </w:rPr>
        <w:t xml:space="preserve"> </w:t>
      </w:r>
      <w:r w:rsidR="00BA2937" w:rsidRPr="00BA2937">
        <w:rPr>
          <w:sz w:val="18"/>
          <w:lang w:val="en-US"/>
        </w:rPr>
        <w:t xml:space="preserve">enterprises which hired </w:t>
      </w:r>
      <w:r w:rsidR="00364998" w:rsidRPr="00BA2937">
        <w:rPr>
          <w:sz w:val="18"/>
          <w:lang w:val="en-US"/>
        </w:rPr>
        <w:t>1</w:t>
      </w:r>
      <w:r w:rsidR="00BA2937" w:rsidRPr="00BA2937">
        <w:rPr>
          <w:sz w:val="18"/>
          <w:lang w:val="en-US"/>
        </w:rPr>
        <w:t>7</w:t>
      </w:r>
      <w:r w:rsidR="00E929EB" w:rsidRPr="00BA2937">
        <w:rPr>
          <w:sz w:val="18"/>
          <w:lang w:val="en-US"/>
        </w:rPr>
        <w:t>9</w:t>
      </w:r>
      <w:r w:rsidR="00BA2937">
        <w:rPr>
          <w:sz w:val="18"/>
          <w:lang w:val="en-US"/>
        </w:rPr>
        <w:t xml:space="preserve"> thousand </w:t>
      </w:r>
      <w:r w:rsidR="00364998" w:rsidRPr="00BA2937">
        <w:rPr>
          <w:sz w:val="18"/>
          <w:lang w:val="en-US"/>
        </w:rPr>
        <w:t>persons</w:t>
      </w:r>
      <w:r w:rsidRPr="00BA2937">
        <w:rPr>
          <w:sz w:val="18"/>
          <w:lang w:val="en-US"/>
        </w:rPr>
        <w:t xml:space="preserve">. </w:t>
      </w:r>
      <w:r w:rsidRPr="00354A25">
        <w:rPr>
          <w:sz w:val="18"/>
          <w:lang w:val="en-US"/>
        </w:rPr>
        <w:t>A</w:t>
      </w:r>
      <w:r w:rsidR="00354A25" w:rsidRPr="00354A25">
        <w:rPr>
          <w:sz w:val="18"/>
          <w:lang w:val="en-US"/>
        </w:rPr>
        <w:t>n increase</w:t>
      </w:r>
      <w:r w:rsidRPr="00354A25">
        <w:rPr>
          <w:sz w:val="18"/>
          <w:lang w:val="en-US"/>
        </w:rPr>
        <w:t xml:space="preserve"> was observed in the gross turnover profitability rate</w:t>
      </w:r>
      <w:r w:rsidR="0041388E" w:rsidRPr="00354A25">
        <w:rPr>
          <w:sz w:val="18"/>
          <w:vertAlign w:val="superscript"/>
          <w:lang w:val="en-US"/>
        </w:rPr>
        <w:fldChar w:fldCharType="begin"/>
      </w:r>
      <w:r w:rsidR="0041388E" w:rsidRPr="00354A25">
        <w:rPr>
          <w:sz w:val="18"/>
          <w:vertAlign w:val="superscript"/>
          <w:lang w:val="en-US"/>
        </w:rPr>
        <w:instrText xml:space="preserve"> NOTEREF _Ref524596901 \h  \* MERGEFORMAT </w:instrText>
      </w:r>
      <w:r w:rsidR="0041388E" w:rsidRPr="00354A25">
        <w:rPr>
          <w:sz w:val="18"/>
          <w:vertAlign w:val="superscript"/>
          <w:lang w:val="en-US"/>
        </w:rPr>
      </w:r>
      <w:r w:rsidR="0041388E" w:rsidRPr="00354A25">
        <w:rPr>
          <w:sz w:val="18"/>
          <w:vertAlign w:val="superscript"/>
          <w:lang w:val="en-US"/>
        </w:rPr>
        <w:fldChar w:fldCharType="separate"/>
      </w:r>
      <w:r w:rsidR="00C14AE2">
        <w:rPr>
          <w:sz w:val="18"/>
          <w:vertAlign w:val="superscript"/>
          <w:lang w:val="en-US"/>
        </w:rPr>
        <w:t>6</w:t>
      </w:r>
      <w:r w:rsidR="0041388E" w:rsidRPr="00354A25">
        <w:rPr>
          <w:sz w:val="18"/>
          <w:vertAlign w:val="superscript"/>
          <w:lang w:val="en-US"/>
        </w:rPr>
        <w:fldChar w:fldCharType="end"/>
      </w:r>
      <w:r w:rsidRPr="00354A25">
        <w:rPr>
          <w:sz w:val="18"/>
          <w:lang w:val="en-US"/>
        </w:rPr>
        <w:t xml:space="preserve"> (from </w:t>
      </w:r>
      <w:r w:rsidR="00364998" w:rsidRPr="00354A25">
        <w:rPr>
          <w:sz w:val="18"/>
          <w:lang w:val="en-US"/>
        </w:rPr>
        <w:t>2</w:t>
      </w:r>
      <w:r w:rsidRPr="00354A25">
        <w:rPr>
          <w:sz w:val="18"/>
          <w:lang w:val="en-US"/>
        </w:rPr>
        <w:t>.</w:t>
      </w:r>
      <w:r w:rsidR="00354A25" w:rsidRPr="00354A25">
        <w:rPr>
          <w:sz w:val="18"/>
          <w:lang w:val="en-US"/>
        </w:rPr>
        <w:t>4</w:t>
      </w:r>
      <w:r w:rsidRPr="00354A25">
        <w:rPr>
          <w:sz w:val="18"/>
          <w:lang w:val="en-US"/>
        </w:rPr>
        <w:t>% in 201</w:t>
      </w:r>
      <w:r w:rsidR="00354A25" w:rsidRPr="00354A25">
        <w:rPr>
          <w:sz w:val="18"/>
          <w:lang w:val="en-US"/>
        </w:rPr>
        <w:t>7</w:t>
      </w:r>
      <w:r w:rsidRPr="00354A25">
        <w:rPr>
          <w:sz w:val="18"/>
          <w:lang w:val="en-US"/>
        </w:rPr>
        <w:t xml:space="preserve"> to 2.</w:t>
      </w:r>
      <w:r w:rsidR="00354A25" w:rsidRPr="00354A25">
        <w:rPr>
          <w:sz w:val="18"/>
          <w:lang w:val="en-US"/>
        </w:rPr>
        <w:t>9</w:t>
      </w:r>
      <w:r w:rsidR="00E929EB" w:rsidRPr="00354A25">
        <w:rPr>
          <w:sz w:val="18"/>
          <w:lang w:val="en-US"/>
        </w:rPr>
        <w:t>% in 201</w:t>
      </w:r>
      <w:r w:rsidR="00354A25" w:rsidRPr="00354A25">
        <w:rPr>
          <w:sz w:val="18"/>
          <w:lang w:val="en-US"/>
        </w:rPr>
        <w:t>8</w:t>
      </w:r>
      <w:r w:rsidRPr="00354A25">
        <w:rPr>
          <w:sz w:val="18"/>
          <w:lang w:val="en-US"/>
        </w:rPr>
        <w:t>) and the net turnover profitability rate</w:t>
      </w:r>
      <w:r w:rsidR="0041388E" w:rsidRPr="00354A25">
        <w:rPr>
          <w:sz w:val="18"/>
          <w:vertAlign w:val="superscript"/>
          <w:lang w:val="en-US"/>
        </w:rPr>
        <w:fldChar w:fldCharType="begin"/>
      </w:r>
      <w:r w:rsidR="0041388E" w:rsidRPr="00354A25">
        <w:rPr>
          <w:sz w:val="18"/>
          <w:vertAlign w:val="superscript"/>
          <w:lang w:val="en-US"/>
        </w:rPr>
        <w:instrText xml:space="preserve"> NOTEREF _Ref524596924 \h  \* MERGEFORMAT </w:instrText>
      </w:r>
      <w:r w:rsidR="0041388E" w:rsidRPr="00354A25">
        <w:rPr>
          <w:sz w:val="18"/>
          <w:vertAlign w:val="superscript"/>
          <w:lang w:val="en-US"/>
        </w:rPr>
      </w:r>
      <w:r w:rsidR="0041388E" w:rsidRPr="00354A25">
        <w:rPr>
          <w:sz w:val="18"/>
          <w:vertAlign w:val="superscript"/>
          <w:lang w:val="en-US"/>
        </w:rPr>
        <w:fldChar w:fldCharType="separate"/>
      </w:r>
      <w:r w:rsidR="00C14AE2">
        <w:rPr>
          <w:sz w:val="18"/>
          <w:vertAlign w:val="superscript"/>
          <w:lang w:val="en-US"/>
        </w:rPr>
        <w:t>7</w:t>
      </w:r>
      <w:r w:rsidR="0041388E" w:rsidRPr="00354A25">
        <w:rPr>
          <w:sz w:val="18"/>
          <w:vertAlign w:val="superscript"/>
          <w:lang w:val="en-US"/>
        </w:rPr>
        <w:fldChar w:fldCharType="end"/>
      </w:r>
      <w:r w:rsidRPr="00354A25">
        <w:rPr>
          <w:sz w:val="18"/>
          <w:lang w:val="en-US"/>
        </w:rPr>
        <w:t xml:space="preserve"> (from </w:t>
      </w:r>
      <w:r w:rsidR="00354A25" w:rsidRPr="00354A25">
        <w:rPr>
          <w:sz w:val="18"/>
          <w:lang w:val="en-US"/>
        </w:rPr>
        <w:t>1</w:t>
      </w:r>
      <w:r w:rsidRPr="00354A25">
        <w:rPr>
          <w:sz w:val="18"/>
          <w:lang w:val="en-US"/>
        </w:rPr>
        <w:t>.</w:t>
      </w:r>
      <w:r w:rsidR="00354A25" w:rsidRPr="00354A25">
        <w:rPr>
          <w:sz w:val="18"/>
          <w:lang w:val="en-US"/>
        </w:rPr>
        <w:t>9</w:t>
      </w:r>
      <w:r w:rsidRPr="00354A25">
        <w:rPr>
          <w:sz w:val="18"/>
          <w:lang w:val="en-US"/>
        </w:rPr>
        <w:t>% in 201</w:t>
      </w:r>
      <w:r w:rsidR="00354A25" w:rsidRPr="00354A25">
        <w:rPr>
          <w:sz w:val="18"/>
          <w:lang w:val="en-US"/>
        </w:rPr>
        <w:t>7</w:t>
      </w:r>
      <w:r w:rsidRPr="00354A25">
        <w:rPr>
          <w:sz w:val="18"/>
          <w:lang w:val="en-US"/>
        </w:rPr>
        <w:t xml:space="preserve"> to </w:t>
      </w:r>
      <w:r w:rsidR="00354A25" w:rsidRPr="00354A25">
        <w:rPr>
          <w:sz w:val="18"/>
          <w:lang w:val="en-US"/>
        </w:rPr>
        <w:t>2</w:t>
      </w:r>
      <w:r w:rsidRPr="00354A25">
        <w:rPr>
          <w:sz w:val="18"/>
          <w:lang w:val="en-US"/>
        </w:rPr>
        <w:t>.</w:t>
      </w:r>
      <w:r w:rsidR="00354A25" w:rsidRPr="00354A25">
        <w:rPr>
          <w:sz w:val="18"/>
          <w:lang w:val="en-US"/>
        </w:rPr>
        <w:t>4</w:t>
      </w:r>
      <w:r w:rsidRPr="00354A25">
        <w:rPr>
          <w:sz w:val="18"/>
          <w:lang w:val="en-US"/>
        </w:rPr>
        <w:t>% in 201</w:t>
      </w:r>
      <w:r w:rsidR="00354A25" w:rsidRPr="00354A25">
        <w:rPr>
          <w:sz w:val="18"/>
          <w:lang w:val="en-US"/>
        </w:rPr>
        <w:t>8</w:t>
      </w:r>
      <w:r w:rsidRPr="00354A25">
        <w:rPr>
          <w:sz w:val="18"/>
          <w:lang w:val="en-US"/>
        </w:rPr>
        <w:t>). The cost level indicator</w:t>
      </w:r>
      <w:r w:rsidR="0041388E" w:rsidRPr="00354A25">
        <w:rPr>
          <w:sz w:val="18"/>
          <w:vertAlign w:val="superscript"/>
          <w:lang w:val="en-US"/>
        </w:rPr>
        <w:fldChar w:fldCharType="begin"/>
      </w:r>
      <w:r w:rsidR="0041388E" w:rsidRPr="00354A25">
        <w:rPr>
          <w:sz w:val="18"/>
          <w:vertAlign w:val="superscript"/>
          <w:lang w:val="en-US"/>
        </w:rPr>
        <w:instrText xml:space="preserve"> NOTEREF _Ref524596950 \h  \* MERGEFORMAT </w:instrText>
      </w:r>
      <w:r w:rsidR="0041388E" w:rsidRPr="00354A25">
        <w:rPr>
          <w:sz w:val="18"/>
          <w:vertAlign w:val="superscript"/>
          <w:lang w:val="en-US"/>
        </w:rPr>
      </w:r>
      <w:r w:rsidR="0041388E" w:rsidRPr="00354A25">
        <w:rPr>
          <w:sz w:val="18"/>
          <w:vertAlign w:val="superscript"/>
          <w:lang w:val="en-US"/>
        </w:rPr>
        <w:fldChar w:fldCharType="separate"/>
      </w:r>
      <w:r w:rsidR="00C14AE2">
        <w:rPr>
          <w:sz w:val="18"/>
          <w:vertAlign w:val="superscript"/>
          <w:lang w:val="en-US"/>
        </w:rPr>
        <w:t>8</w:t>
      </w:r>
      <w:r w:rsidR="0041388E" w:rsidRPr="00354A25">
        <w:rPr>
          <w:sz w:val="18"/>
          <w:vertAlign w:val="superscript"/>
          <w:lang w:val="en-US"/>
        </w:rPr>
        <w:fldChar w:fldCharType="end"/>
      </w:r>
      <w:r w:rsidRPr="00354A25">
        <w:rPr>
          <w:sz w:val="18"/>
          <w:lang w:val="en-US"/>
        </w:rPr>
        <w:t xml:space="preserve"> </w:t>
      </w:r>
      <w:r w:rsidR="00364998" w:rsidRPr="00354A25">
        <w:rPr>
          <w:sz w:val="18"/>
          <w:lang w:val="en-US"/>
        </w:rPr>
        <w:t xml:space="preserve">also </w:t>
      </w:r>
      <w:r w:rsidR="00354A25" w:rsidRPr="00354A25">
        <w:rPr>
          <w:sz w:val="18"/>
          <w:lang w:val="en-US"/>
        </w:rPr>
        <w:t>improved</w:t>
      </w:r>
      <w:r w:rsidR="00364998" w:rsidRPr="00354A25">
        <w:rPr>
          <w:sz w:val="18"/>
          <w:lang w:val="en-US"/>
        </w:rPr>
        <w:t xml:space="preserve"> and amounted to 99</w:t>
      </w:r>
      <w:r w:rsidRPr="00354A25">
        <w:rPr>
          <w:sz w:val="18"/>
          <w:lang w:val="en-US"/>
        </w:rPr>
        <w:t>.</w:t>
      </w:r>
      <w:r w:rsidR="00354A25" w:rsidRPr="00354A25">
        <w:rPr>
          <w:sz w:val="18"/>
          <w:lang w:val="en-US"/>
        </w:rPr>
        <w:t>1</w:t>
      </w:r>
      <w:r w:rsidRPr="00354A25">
        <w:rPr>
          <w:sz w:val="18"/>
          <w:lang w:val="en-US"/>
        </w:rPr>
        <w:t>% in 201</w:t>
      </w:r>
      <w:r w:rsidR="00354A25" w:rsidRPr="00354A25">
        <w:rPr>
          <w:sz w:val="18"/>
          <w:lang w:val="en-US"/>
        </w:rPr>
        <w:t>8</w:t>
      </w:r>
      <w:r w:rsidRPr="00354A25">
        <w:rPr>
          <w:sz w:val="18"/>
          <w:lang w:val="en-US"/>
        </w:rPr>
        <w:t xml:space="preserve"> against </w:t>
      </w:r>
      <w:r w:rsidR="00364998" w:rsidRPr="00354A25">
        <w:rPr>
          <w:sz w:val="18"/>
          <w:lang w:val="en-US"/>
        </w:rPr>
        <w:t>99</w:t>
      </w:r>
      <w:r w:rsidRPr="00354A25">
        <w:rPr>
          <w:sz w:val="18"/>
          <w:lang w:val="en-US"/>
        </w:rPr>
        <w:t>.</w:t>
      </w:r>
      <w:r w:rsidR="00354A25" w:rsidRPr="00354A25">
        <w:rPr>
          <w:sz w:val="18"/>
          <w:lang w:val="en-US"/>
        </w:rPr>
        <w:t>9</w:t>
      </w:r>
      <w:r w:rsidRPr="00354A25">
        <w:rPr>
          <w:sz w:val="18"/>
          <w:lang w:val="en-US"/>
        </w:rPr>
        <w:t>% in the year before.</w:t>
      </w:r>
    </w:p>
    <w:p w14:paraId="659A1AFA" w14:textId="03CC412D" w:rsidR="000A7698" w:rsidRPr="00BA2937" w:rsidRDefault="001817F1" w:rsidP="00E76D26">
      <w:pPr>
        <w:rPr>
          <w:sz w:val="18"/>
          <w:lang w:val="en-US"/>
        </w:rPr>
      </w:pPr>
      <w:r w:rsidRPr="00BA2937">
        <w:rPr>
          <w:sz w:val="18"/>
          <w:lang w:val="en-US"/>
        </w:rPr>
        <w:t xml:space="preserve">Entities </w:t>
      </w:r>
      <w:r w:rsidR="0041388E" w:rsidRPr="00BA2937">
        <w:rPr>
          <w:sz w:val="18"/>
          <w:lang w:val="en-US"/>
        </w:rPr>
        <w:t>with the number of persons employed 10 and more</w:t>
      </w:r>
      <w:r w:rsidRPr="00BA2937">
        <w:rPr>
          <w:sz w:val="18"/>
          <w:vertAlign w:val="superscript"/>
          <w:lang w:val="en-US"/>
        </w:rPr>
        <w:t xml:space="preserve"> </w:t>
      </w:r>
      <w:r w:rsidRPr="00BA2937">
        <w:rPr>
          <w:sz w:val="18"/>
          <w:lang w:val="en-US"/>
        </w:rPr>
        <w:t>concentrated their basic activity m</w:t>
      </w:r>
      <w:r w:rsidR="00BA2937" w:rsidRPr="00BA2937">
        <w:rPr>
          <w:sz w:val="18"/>
          <w:lang w:val="en-US"/>
        </w:rPr>
        <w:t xml:space="preserve">ainly on the domestic market  - </w:t>
      </w:r>
      <w:r w:rsidR="00E929EB" w:rsidRPr="00BA2937">
        <w:rPr>
          <w:sz w:val="18"/>
          <w:lang w:val="en-US"/>
        </w:rPr>
        <w:t>86</w:t>
      </w:r>
      <w:r w:rsidR="00D34063" w:rsidRPr="00BA2937">
        <w:rPr>
          <w:sz w:val="18"/>
          <w:lang w:val="en-US"/>
        </w:rPr>
        <w:t>.</w:t>
      </w:r>
      <w:r w:rsidR="00BA2937" w:rsidRPr="00BA2937">
        <w:rPr>
          <w:sz w:val="18"/>
          <w:lang w:val="en-US"/>
        </w:rPr>
        <w:t>0</w:t>
      </w:r>
      <w:r w:rsidR="00D34063" w:rsidRPr="00BA2937">
        <w:rPr>
          <w:sz w:val="18"/>
          <w:lang w:val="en-US"/>
        </w:rPr>
        <w:t>% of total turnover</w:t>
      </w:r>
      <w:r w:rsidRPr="00BA2937">
        <w:rPr>
          <w:sz w:val="18"/>
          <w:lang w:val="en-US"/>
        </w:rPr>
        <w:t xml:space="preserve">. The share of sales to contractors from </w:t>
      </w:r>
      <w:r w:rsidRPr="00BA2937">
        <w:rPr>
          <w:sz w:val="18"/>
          <w:lang w:val="en-US"/>
        </w:rPr>
        <w:lastRenderedPageBreak/>
        <w:t xml:space="preserve">EU Member States </w:t>
      </w:r>
      <w:r w:rsidR="00BA2937" w:rsidRPr="00BA2937">
        <w:rPr>
          <w:sz w:val="18"/>
          <w:lang w:val="en-US"/>
        </w:rPr>
        <w:t>accounted for</w:t>
      </w:r>
      <w:r w:rsidR="00BB20E1" w:rsidRPr="00BA2937">
        <w:rPr>
          <w:sz w:val="18"/>
          <w:lang w:val="en-US"/>
        </w:rPr>
        <w:t xml:space="preserve"> 1</w:t>
      </w:r>
      <w:r w:rsidR="00BA2937" w:rsidRPr="00BA2937">
        <w:rPr>
          <w:sz w:val="18"/>
          <w:lang w:val="en-US"/>
        </w:rPr>
        <w:t>2</w:t>
      </w:r>
      <w:r w:rsidR="00BB20E1" w:rsidRPr="00BA2937">
        <w:rPr>
          <w:sz w:val="18"/>
          <w:lang w:val="en-US"/>
        </w:rPr>
        <w:t>.</w:t>
      </w:r>
      <w:r w:rsidR="00BA2937" w:rsidRPr="00BA2937">
        <w:rPr>
          <w:sz w:val="18"/>
          <w:lang w:val="en-US"/>
        </w:rPr>
        <w:t>3</w:t>
      </w:r>
      <w:r w:rsidR="00BB20E1" w:rsidRPr="00BA2937">
        <w:rPr>
          <w:sz w:val="18"/>
          <w:lang w:val="en-US"/>
        </w:rPr>
        <w:t>%.</w:t>
      </w:r>
      <w:r w:rsidR="0041388E" w:rsidRPr="00BA2937">
        <w:rPr>
          <w:sz w:val="18"/>
          <w:lang w:val="en-US"/>
        </w:rPr>
        <w:t xml:space="preserve"> </w:t>
      </w:r>
      <w:r w:rsidR="00821DE0" w:rsidRPr="00BA2937">
        <w:rPr>
          <w:sz w:val="18"/>
          <w:lang w:val="en-US"/>
        </w:rPr>
        <w:t>Temporary employment agency services were the main type of services deliv</w:t>
      </w:r>
      <w:r w:rsidR="00BA2937" w:rsidRPr="00BA2937">
        <w:rPr>
          <w:sz w:val="18"/>
          <w:lang w:val="en-US"/>
        </w:rPr>
        <w:t>ered to contractors (58</w:t>
      </w:r>
      <w:r w:rsidR="00821DE0" w:rsidRPr="00BA2937">
        <w:rPr>
          <w:sz w:val="18"/>
          <w:lang w:val="en-US"/>
        </w:rPr>
        <w:t>.</w:t>
      </w:r>
      <w:r w:rsidR="00BA2937" w:rsidRPr="00BA2937">
        <w:rPr>
          <w:sz w:val="18"/>
          <w:lang w:val="en-US"/>
        </w:rPr>
        <w:t>4</w:t>
      </w:r>
      <w:r w:rsidR="00821DE0" w:rsidRPr="00BA2937">
        <w:rPr>
          <w:sz w:val="18"/>
          <w:lang w:val="en-US"/>
        </w:rPr>
        <w:t>%</w:t>
      </w:r>
      <w:r w:rsidR="001073EF" w:rsidRPr="00BA2937">
        <w:rPr>
          <w:sz w:val="18"/>
          <w:lang w:val="en-US"/>
        </w:rPr>
        <w:t>). Other human resources provision services were the following important type of provided se</w:t>
      </w:r>
      <w:r w:rsidR="00E929EB" w:rsidRPr="00BA2937">
        <w:rPr>
          <w:sz w:val="18"/>
          <w:lang w:val="en-US"/>
        </w:rPr>
        <w:t>rvices. Its share amounted to 2</w:t>
      </w:r>
      <w:r w:rsidR="00BA2937" w:rsidRPr="00BA2937">
        <w:rPr>
          <w:sz w:val="18"/>
          <w:lang w:val="en-US"/>
        </w:rPr>
        <w:t>6.3</w:t>
      </w:r>
      <w:r w:rsidR="001073EF" w:rsidRPr="00BA2937">
        <w:rPr>
          <w:sz w:val="18"/>
          <w:lang w:val="en-US"/>
        </w:rPr>
        <w:t>%.</w:t>
      </w:r>
    </w:p>
    <w:p w14:paraId="6409D564" w14:textId="3BAC2162" w:rsidR="001073EF" w:rsidRPr="00D44097" w:rsidRDefault="001073EF" w:rsidP="00E76D26">
      <w:pPr>
        <w:rPr>
          <w:color w:val="000000" w:themeColor="text1"/>
          <w:sz w:val="18"/>
          <w:lang w:val="en-US"/>
        </w:rPr>
      </w:pPr>
      <w:r w:rsidRPr="00D44097">
        <w:rPr>
          <w:color w:val="000000" w:themeColor="text1"/>
          <w:sz w:val="18"/>
          <w:lang w:val="en-US"/>
        </w:rPr>
        <w:t>In the analyzed year, the value of services provided to non-residents</w:t>
      </w:r>
      <w:r w:rsidR="000F5536" w:rsidRPr="000F5536">
        <w:rPr>
          <w:color w:val="000000" w:themeColor="text1"/>
          <w:sz w:val="18"/>
          <w:vertAlign w:val="superscript"/>
          <w:lang w:val="en-US"/>
        </w:rPr>
        <w:fldChar w:fldCharType="begin"/>
      </w:r>
      <w:r w:rsidR="000F5536" w:rsidRPr="000F5536">
        <w:rPr>
          <w:color w:val="000000" w:themeColor="text1"/>
          <w:sz w:val="18"/>
          <w:vertAlign w:val="superscript"/>
          <w:lang w:val="en-US"/>
        </w:rPr>
        <w:instrText xml:space="preserve"> NOTEREF _Ref48221469 \h  \* MERGEFORMAT </w:instrText>
      </w:r>
      <w:r w:rsidR="000F5536" w:rsidRPr="000F5536">
        <w:rPr>
          <w:color w:val="000000" w:themeColor="text1"/>
          <w:sz w:val="18"/>
          <w:vertAlign w:val="superscript"/>
          <w:lang w:val="en-US"/>
        </w:rPr>
      </w:r>
      <w:r w:rsidR="000F5536" w:rsidRPr="000F5536">
        <w:rPr>
          <w:color w:val="000000" w:themeColor="text1"/>
          <w:sz w:val="18"/>
          <w:vertAlign w:val="superscript"/>
          <w:lang w:val="en-US"/>
        </w:rPr>
        <w:fldChar w:fldCharType="separate"/>
      </w:r>
      <w:r w:rsidR="00C14AE2">
        <w:rPr>
          <w:color w:val="000000" w:themeColor="text1"/>
          <w:sz w:val="18"/>
          <w:vertAlign w:val="superscript"/>
          <w:lang w:val="en-US"/>
        </w:rPr>
        <w:t>4</w:t>
      </w:r>
      <w:r w:rsidR="000F5536" w:rsidRPr="000F5536">
        <w:rPr>
          <w:color w:val="000000" w:themeColor="text1"/>
          <w:sz w:val="18"/>
          <w:vertAlign w:val="superscript"/>
          <w:lang w:val="en-US"/>
        </w:rPr>
        <w:fldChar w:fldCharType="end"/>
      </w:r>
      <w:r w:rsidRPr="000F5536">
        <w:rPr>
          <w:color w:val="000000" w:themeColor="text1"/>
          <w:sz w:val="18"/>
          <w:vertAlign w:val="superscript"/>
          <w:lang w:val="en-US"/>
        </w:rPr>
        <w:t xml:space="preserve"> </w:t>
      </w:r>
      <w:r w:rsidRPr="00D44097">
        <w:rPr>
          <w:color w:val="000000" w:themeColor="text1"/>
          <w:sz w:val="18"/>
          <w:lang w:val="en-US"/>
        </w:rPr>
        <w:t>in the international trade in services equaled just below PLN 1.</w:t>
      </w:r>
      <w:r w:rsidR="00E929EB" w:rsidRPr="00D44097">
        <w:rPr>
          <w:color w:val="000000" w:themeColor="text1"/>
          <w:sz w:val="18"/>
          <w:lang w:val="en-US"/>
        </w:rPr>
        <w:t>8</w:t>
      </w:r>
      <w:r w:rsidR="00B969FE" w:rsidRPr="00D44097">
        <w:rPr>
          <w:color w:val="000000" w:themeColor="text1"/>
          <w:sz w:val="18"/>
          <w:lang w:val="en-US"/>
        </w:rPr>
        <w:t xml:space="preserve"> billion (a</w:t>
      </w:r>
      <w:r w:rsidR="009B6D78" w:rsidRPr="00D44097">
        <w:rPr>
          <w:color w:val="000000" w:themeColor="text1"/>
          <w:sz w:val="18"/>
          <w:lang w:val="en-US"/>
        </w:rPr>
        <w:t xml:space="preserve"> decrease of 0.8%</w:t>
      </w:r>
      <w:r w:rsidRPr="00D44097">
        <w:rPr>
          <w:color w:val="000000" w:themeColor="text1"/>
          <w:sz w:val="18"/>
          <w:lang w:val="en-US"/>
        </w:rPr>
        <w:t>), while the value of services acquired from non-residents amounted to less than PLN 0.3</w:t>
      </w:r>
      <w:r w:rsidR="00B969FE" w:rsidRPr="00D44097">
        <w:rPr>
          <w:color w:val="000000" w:themeColor="text1"/>
          <w:sz w:val="18"/>
          <w:lang w:val="en-US"/>
        </w:rPr>
        <w:t xml:space="preserve"> billion (a </w:t>
      </w:r>
      <w:r w:rsidR="00E929EB" w:rsidRPr="00D44097">
        <w:rPr>
          <w:color w:val="000000" w:themeColor="text1"/>
          <w:sz w:val="18"/>
          <w:lang w:val="en-US"/>
        </w:rPr>
        <w:t>de</w:t>
      </w:r>
      <w:r w:rsidR="00B969FE" w:rsidRPr="00D44097">
        <w:rPr>
          <w:color w:val="000000" w:themeColor="text1"/>
          <w:sz w:val="18"/>
          <w:lang w:val="en-US"/>
        </w:rPr>
        <w:t>crease of</w:t>
      </w:r>
      <w:r w:rsidRPr="00D44097">
        <w:rPr>
          <w:color w:val="000000" w:themeColor="text1"/>
          <w:sz w:val="18"/>
          <w:lang w:val="en-US"/>
        </w:rPr>
        <w:t xml:space="preserve"> </w:t>
      </w:r>
      <w:r w:rsidR="008240C8" w:rsidRPr="00D44097">
        <w:rPr>
          <w:color w:val="000000" w:themeColor="text1"/>
          <w:sz w:val="18"/>
          <w:lang w:val="en-US"/>
        </w:rPr>
        <w:t>4.6</w:t>
      </w:r>
      <w:r w:rsidRPr="00D44097">
        <w:rPr>
          <w:color w:val="000000" w:themeColor="text1"/>
          <w:sz w:val="18"/>
          <w:lang w:val="en-US"/>
        </w:rPr>
        <w:t xml:space="preserve">%).  </w:t>
      </w:r>
    </w:p>
    <w:p w14:paraId="770F4D2A" w14:textId="1D702B39" w:rsidR="00173795" w:rsidRPr="00D44097" w:rsidRDefault="00340AF2" w:rsidP="00D34063">
      <w:pPr>
        <w:rPr>
          <w:color w:val="000000" w:themeColor="text1"/>
          <w:sz w:val="18"/>
          <w:lang w:val="en-US"/>
        </w:rPr>
      </w:pPr>
      <w:r w:rsidRPr="00D44097">
        <w:rPr>
          <w:color w:val="000000" w:themeColor="text1"/>
          <w:sz w:val="18"/>
          <w:lang w:val="en-US"/>
        </w:rPr>
        <w:t xml:space="preserve">Mainly contractors from Germany both acquired and provided </w:t>
      </w:r>
      <w:r w:rsidR="00584E94" w:rsidRPr="00D44097">
        <w:rPr>
          <w:color w:val="000000" w:themeColor="text1"/>
          <w:sz w:val="18"/>
          <w:lang w:val="en-US"/>
        </w:rPr>
        <w:t>services from/to entities cond</w:t>
      </w:r>
      <w:r w:rsidR="00E929EB" w:rsidRPr="00D44097">
        <w:rPr>
          <w:color w:val="000000" w:themeColor="text1"/>
          <w:sz w:val="18"/>
          <w:lang w:val="en-US"/>
        </w:rPr>
        <w:t>ucting employment activities (4</w:t>
      </w:r>
      <w:r w:rsidR="00C04F65" w:rsidRPr="00D44097">
        <w:rPr>
          <w:color w:val="000000" w:themeColor="text1"/>
          <w:sz w:val="18"/>
          <w:lang w:val="en-US"/>
        </w:rPr>
        <w:t>0</w:t>
      </w:r>
      <w:r w:rsidR="00584E94" w:rsidRPr="00D44097">
        <w:rPr>
          <w:color w:val="000000" w:themeColor="text1"/>
          <w:sz w:val="18"/>
          <w:lang w:val="en-US"/>
        </w:rPr>
        <w:t>.</w:t>
      </w:r>
      <w:r w:rsidR="00C04F65" w:rsidRPr="00D44097">
        <w:rPr>
          <w:color w:val="000000" w:themeColor="text1"/>
          <w:sz w:val="18"/>
          <w:lang w:val="en-US"/>
        </w:rPr>
        <w:t>3</w:t>
      </w:r>
      <w:r w:rsidR="00584E94" w:rsidRPr="00D44097">
        <w:rPr>
          <w:color w:val="000000" w:themeColor="text1"/>
          <w:sz w:val="18"/>
          <w:lang w:val="en-US"/>
        </w:rPr>
        <w:t xml:space="preserve">% and </w:t>
      </w:r>
      <w:r w:rsidR="00C04F65" w:rsidRPr="00D44097">
        <w:rPr>
          <w:color w:val="000000" w:themeColor="text1"/>
          <w:sz w:val="18"/>
          <w:lang w:val="en-US"/>
        </w:rPr>
        <w:t>22</w:t>
      </w:r>
      <w:r w:rsidR="00584E94" w:rsidRPr="00D44097">
        <w:rPr>
          <w:color w:val="000000" w:themeColor="text1"/>
          <w:sz w:val="18"/>
          <w:lang w:val="en-US"/>
        </w:rPr>
        <w:t>.</w:t>
      </w:r>
      <w:r w:rsidR="00E929EB" w:rsidRPr="00D44097">
        <w:rPr>
          <w:color w:val="000000" w:themeColor="text1"/>
          <w:sz w:val="18"/>
          <w:lang w:val="en-US"/>
        </w:rPr>
        <w:t>9</w:t>
      </w:r>
      <w:r w:rsidR="00584E94" w:rsidRPr="00D44097">
        <w:rPr>
          <w:color w:val="000000" w:themeColor="text1"/>
          <w:sz w:val="18"/>
          <w:lang w:val="en-US"/>
        </w:rPr>
        <w:t>% respectively). In case of revenues from the international trade in services, the most import</w:t>
      </w:r>
      <w:r w:rsidR="00E929EB" w:rsidRPr="00D44097">
        <w:rPr>
          <w:color w:val="000000" w:themeColor="text1"/>
          <w:sz w:val="18"/>
          <w:lang w:val="en-US"/>
        </w:rPr>
        <w:t>ant were employment services (6</w:t>
      </w:r>
      <w:r w:rsidR="00C04F65" w:rsidRPr="00D44097">
        <w:rPr>
          <w:color w:val="000000" w:themeColor="text1"/>
          <w:sz w:val="18"/>
          <w:lang w:val="en-US"/>
        </w:rPr>
        <w:t>3</w:t>
      </w:r>
      <w:r w:rsidR="00584E94" w:rsidRPr="00D44097">
        <w:rPr>
          <w:color w:val="000000" w:themeColor="text1"/>
          <w:sz w:val="18"/>
          <w:lang w:val="en-US"/>
        </w:rPr>
        <w:t>.</w:t>
      </w:r>
      <w:r w:rsidR="00C04F65" w:rsidRPr="00D44097">
        <w:rPr>
          <w:color w:val="000000" w:themeColor="text1"/>
          <w:sz w:val="18"/>
          <w:lang w:val="en-US"/>
        </w:rPr>
        <w:t>9</w:t>
      </w:r>
      <w:r w:rsidR="00584E94" w:rsidRPr="00D44097">
        <w:rPr>
          <w:color w:val="000000" w:themeColor="text1"/>
          <w:sz w:val="18"/>
          <w:lang w:val="en-US"/>
        </w:rPr>
        <w:t>%). In case of employment services acquired from non-residents, a l</w:t>
      </w:r>
      <w:r w:rsidR="00E929EB" w:rsidRPr="00D44097">
        <w:rPr>
          <w:color w:val="000000" w:themeColor="text1"/>
          <w:sz w:val="18"/>
          <w:lang w:val="en-US"/>
        </w:rPr>
        <w:t>arge share was also recorded (</w:t>
      </w:r>
      <w:r w:rsidR="00C04F65" w:rsidRPr="00D44097">
        <w:rPr>
          <w:color w:val="000000" w:themeColor="text1"/>
          <w:sz w:val="18"/>
          <w:lang w:val="en-US"/>
        </w:rPr>
        <w:t>31</w:t>
      </w:r>
      <w:r w:rsidR="00E929EB" w:rsidRPr="00D44097">
        <w:rPr>
          <w:color w:val="000000" w:themeColor="text1"/>
          <w:sz w:val="18"/>
          <w:lang w:val="en-US"/>
        </w:rPr>
        <w:t>.0%).</w:t>
      </w:r>
    </w:p>
    <w:p w14:paraId="500F913B" w14:textId="38947567" w:rsidR="00BA1E13" w:rsidRPr="00AF186C" w:rsidRDefault="00173795" w:rsidP="008D5FB9">
      <w:pPr>
        <w:ind w:left="851" w:hanging="851"/>
        <w:rPr>
          <w:b/>
          <w:sz w:val="18"/>
          <w:lang w:val="en-US"/>
        </w:rPr>
      </w:pPr>
      <w:r w:rsidRPr="00D44097">
        <w:rPr>
          <w:noProof/>
          <w:lang w:eastAsia="pl-PL"/>
        </w:rPr>
        <w:drawing>
          <wp:anchor distT="0" distB="0" distL="114300" distR="114300" simplePos="0" relativeHeight="251800576" behindDoc="0" locked="0" layoutInCell="1" allowOverlap="1" wp14:anchorId="21DF92CB" wp14:editId="601D7961">
            <wp:simplePos x="0" y="0"/>
            <wp:positionH relativeFrom="margin">
              <wp:align>right</wp:align>
            </wp:positionH>
            <wp:positionV relativeFrom="paragraph">
              <wp:posOffset>337700</wp:posOffset>
            </wp:positionV>
            <wp:extent cx="5162550" cy="3566160"/>
            <wp:effectExtent l="0" t="0" r="0" b="0"/>
            <wp:wrapSquare wrapText="bothSides"/>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BA1E13" w:rsidRPr="00D44097">
        <w:rPr>
          <w:b/>
          <w:sz w:val="18"/>
          <w:lang w:val="en-US"/>
        </w:rPr>
        <w:t xml:space="preserve">Chart </w:t>
      </w:r>
      <w:r w:rsidR="00AF186C">
        <w:rPr>
          <w:b/>
          <w:sz w:val="18"/>
          <w:lang w:val="en-US"/>
        </w:rPr>
        <w:t>13</w:t>
      </w:r>
      <w:r w:rsidR="00BA1E13" w:rsidRPr="00D44097">
        <w:rPr>
          <w:b/>
          <w:sz w:val="18"/>
          <w:lang w:val="en-US"/>
        </w:rPr>
        <w:t>. Geographical structure</w:t>
      </w:r>
      <w:r w:rsidR="00BA1E13" w:rsidRPr="00D44097">
        <w:rPr>
          <w:sz w:val="18"/>
          <w:lang w:val="en-US"/>
        </w:rPr>
        <w:t xml:space="preserve"> </w:t>
      </w:r>
      <w:r w:rsidR="00BA1E13" w:rsidRPr="00D44097">
        <w:rPr>
          <w:b/>
          <w:sz w:val="18"/>
          <w:lang w:val="en-US"/>
        </w:rPr>
        <w:t>of services provided and acquired in the international trade by entities conducting employment activities</w:t>
      </w:r>
      <w:r w:rsidR="0041388E" w:rsidRPr="00D44097">
        <w:rPr>
          <w:b/>
          <w:sz w:val="18"/>
          <w:vertAlign w:val="superscript"/>
          <w:lang w:val="en-US"/>
        </w:rPr>
        <w:fldChar w:fldCharType="begin"/>
      </w:r>
      <w:r w:rsidR="0041388E" w:rsidRPr="00D44097">
        <w:rPr>
          <w:b/>
          <w:sz w:val="18"/>
          <w:vertAlign w:val="superscript"/>
          <w:lang w:val="en-US"/>
        </w:rPr>
        <w:instrText xml:space="preserve"> NOTEREF _Ref524599445 \h  \* MERGEFORMAT </w:instrText>
      </w:r>
      <w:r w:rsidR="0041388E" w:rsidRPr="00D44097">
        <w:rPr>
          <w:b/>
          <w:sz w:val="18"/>
          <w:vertAlign w:val="superscript"/>
          <w:lang w:val="en-US"/>
        </w:rPr>
      </w:r>
      <w:r w:rsidR="0041388E" w:rsidRPr="00D44097">
        <w:rPr>
          <w:b/>
          <w:sz w:val="18"/>
          <w:vertAlign w:val="superscript"/>
          <w:lang w:val="en-US"/>
        </w:rPr>
        <w:fldChar w:fldCharType="separate"/>
      </w:r>
      <w:r w:rsidR="00C14AE2">
        <w:rPr>
          <w:b/>
          <w:sz w:val="18"/>
          <w:vertAlign w:val="superscript"/>
          <w:lang w:val="en-US"/>
        </w:rPr>
        <w:t>13</w:t>
      </w:r>
      <w:r w:rsidR="0041388E" w:rsidRPr="00D44097">
        <w:rPr>
          <w:b/>
          <w:sz w:val="18"/>
          <w:vertAlign w:val="superscript"/>
          <w:lang w:val="en-US"/>
        </w:rPr>
        <w:fldChar w:fldCharType="end"/>
      </w:r>
      <w:r w:rsidR="00AF186C">
        <w:rPr>
          <w:b/>
          <w:sz w:val="18"/>
          <w:vertAlign w:val="superscript"/>
          <w:lang w:val="en-US"/>
        </w:rPr>
        <w:t xml:space="preserve">  </w:t>
      </w:r>
      <w:r w:rsidR="00AF186C">
        <w:rPr>
          <w:b/>
          <w:sz w:val="18"/>
          <w:lang w:val="en-US"/>
        </w:rPr>
        <w:t>in 2018</w:t>
      </w:r>
    </w:p>
    <w:p w14:paraId="00436399" w14:textId="33BD2A40" w:rsidR="002100A4" w:rsidRPr="00655365" w:rsidRDefault="002100A4" w:rsidP="00BA1E13">
      <w:pPr>
        <w:rPr>
          <w:b/>
          <w:color w:val="BFBFBF" w:themeColor="background1" w:themeShade="BF"/>
          <w:sz w:val="2"/>
          <w:szCs w:val="2"/>
          <w:lang w:val="en-US"/>
        </w:rPr>
      </w:pPr>
    </w:p>
    <w:p w14:paraId="5F010FC0" w14:textId="7BCF01F7" w:rsidR="00707DB7" w:rsidRDefault="00D44097" w:rsidP="00CD213D">
      <w:pPr>
        <w:ind w:left="851" w:hanging="851"/>
        <w:rPr>
          <w:sz w:val="18"/>
          <w:lang w:val="en-US"/>
        </w:rPr>
      </w:pPr>
      <w:r w:rsidRPr="00D44097">
        <w:rPr>
          <w:noProof/>
          <w:lang w:eastAsia="pl-PL"/>
        </w:rPr>
        <w:drawing>
          <wp:anchor distT="0" distB="0" distL="114300" distR="114300" simplePos="0" relativeHeight="251798528" behindDoc="0" locked="0" layoutInCell="1" allowOverlap="1" wp14:anchorId="43D5864D" wp14:editId="724994A0">
            <wp:simplePos x="0" y="0"/>
            <wp:positionH relativeFrom="margin">
              <wp:align>left</wp:align>
            </wp:positionH>
            <wp:positionV relativeFrom="paragraph">
              <wp:posOffset>389255</wp:posOffset>
            </wp:positionV>
            <wp:extent cx="5212080" cy="3025140"/>
            <wp:effectExtent l="0" t="0" r="7620" b="3810"/>
            <wp:wrapSquare wrapText="bothSides"/>
            <wp:docPr id="27" name="Wykres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00BA1E13" w:rsidRPr="00D44097">
        <w:rPr>
          <w:b/>
          <w:sz w:val="18"/>
          <w:lang w:val="en-US"/>
        </w:rPr>
        <w:t>Chart 1</w:t>
      </w:r>
      <w:r w:rsidR="002E1FEA">
        <w:rPr>
          <w:b/>
          <w:sz w:val="18"/>
          <w:lang w:val="en-US"/>
        </w:rPr>
        <w:t>4</w:t>
      </w:r>
      <w:r w:rsidR="00BA1E13" w:rsidRPr="00D44097">
        <w:rPr>
          <w:b/>
          <w:sz w:val="18"/>
          <w:lang w:val="en-US"/>
        </w:rPr>
        <w:t>. Structure</w:t>
      </w:r>
      <w:r w:rsidR="00BA1E13" w:rsidRPr="00D44097">
        <w:rPr>
          <w:sz w:val="18"/>
          <w:lang w:val="en-US"/>
        </w:rPr>
        <w:t xml:space="preserve"> </w:t>
      </w:r>
      <w:r w:rsidR="00BA1E13" w:rsidRPr="00D44097">
        <w:rPr>
          <w:b/>
          <w:sz w:val="18"/>
          <w:lang w:val="en-US"/>
        </w:rPr>
        <w:t>of services provided and acquired in the international trade by entities conducting employment activities</w:t>
      </w:r>
      <w:r w:rsidR="0041388E" w:rsidRPr="00D44097">
        <w:rPr>
          <w:b/>
          <w:sz w:val="18"/>
          <w:vertAlign w:val="superscript"/>
          <w:lang w:val="en-US"/>
        </w:rPr>
        <w:fldChar w:fldCharType="begin"/>
      </w:r>
      <w:r w:rsidR="0041388E" w:rsidRPr="00D44097">
        <w:rPr>
          <w:b/>
          <w:sz w:val="18"/>
          <w:vertAlign w:val="superscript"/>
          <w:lang w:val="en-US"/>
        </w:rPr>
        <w:instrText xml:space="preserve"> NOTEREF _Ref524599445 \h  \* MERGEFORMAT </w:instrText>
      </w:r>
      <w:r w:rsidR="0041388E" w:rsidRPr="00D44097">
        <w:rPr>
          <w:b/>
          <w:sz w:val="18"/>
          <w:vertAlign w:val="superscript"/>
          <w:lang w:val="en-US"/>
        </w:rPr>
      </w:r>
      <w:r w:rsidR="0041388E" w:rsidRPr="00D44097">
        <w:rPr>
          <w:b/>
          <w:sz w:val="18"/>
          <w:vertAlign w:val="superscript"/>
          <w:lang w:val="en-US"/>
        </w:rPr>
        <w:fldChar w:fldCharType="separate"/>
      </w:r>
      <w:r w:rsidR="00C14AE2">
        <w:rPr>
          <w:b/>
          <w:sz w:val="18"/>
          <w:vertAlign w:val="superscript"/>
          <w:lang w:val="en-US"/>
        </w:rPr>
        <w:t>13</w:t>
      </w:r>
      <w:r w:rsidR="0041388E" w:rsidRPr="00D44097">
        <w:rPr>
          <w:b/>
          <w:sz w:val="18"/>
          <w:vertAlign w:val="superscript"/>
          <w:lang w:val="en-US"/>
        </w:rPr>
        <w:fldChar w:fldCharType="end"/>
      </w:r>
      <w:r w:rsidR="00BA1E13" w:rsidRPr="00D44097">
        <w:rPr>
          <w:b/>
          <w:sz w:val="18"/>
          <w:lang w:val="en-US"/>
        </w:rPr>
        <w:t xml:space="preserve"> </w:t>
      </w:r>
      <w:r w:rsidR="00D34063" w:rsidRPr="00D44097">
        <w:rPr>
          <w:b/>
          <w:sz w:val="18"/>
          <w:lang w:val="en-US"/>
        </w:rPr>
        <w:t>by kind of provided services</w:t>
      </w:r>
      <w:r w:rsidR="00AF186C">
        <w:rPr>
          <w:b/>
          <w:sz w:val="18"/>
          <w:lang w:val="en-US"/>
        </w:rPr>
        <w:t xml:space="preserve"> in 2018</w:t>
      </w:r>
    </w:p>
    <w:p w14:paraId="053E9006" w14:textId="77777777" w:rsidR="00707DB7" w:rsidRPr="00707DB7" w:rsidRDefault="00707DB7" w:rsidP="00707DB7">
      <w:pPr>
        <w:rPr>
          <w:sz w:val="18"/>
          <w:lang w:val="en-US"/>
        </w:rPr>
      </w:pPr>
    </w:p>
    <w:p w14:paraId="1257BA76" w14:textId="77777777" w:rsidR="00707DB7" w:rsidRPr="00707DB7" w:rsidRDefault="00707DB7" w:rsidP="00707DB7">
      <w:pPr>
        <w:rPr>
          <w:rFonts w:ascii="Fira Sans SemiBold" w:hAnsi="Fira Sans SemiBold"/>
          <w:color w:val="001D77"/>
          <w:szCs w:val="19"/>
          <w:lang w:val="en-US"/>
        </w:rPr>
      </w:pPr>
      <w:r w:rsidRPr="00707DB7">
        <w:rPr>
          <w:rFonts w:ascii="Fira Sans SemiBold" w:hAnsi="Fira Sans SemiBold"/>
          <w:color w:val="001D77"/>
          <w:szCs w:val="19"/>
          <w:lang w:val="en-US"/>
        </w:rPr>
        <w:lastRenderedPageBreak/>
        <w:t>Methodological note</w:t>
      </w:r>
    </w:p>
    <w:p w14:paraId="4A98EFB2" w14:textId="7179CAEC" w:rsidR="00707DB7" w:rsidRDefault="00707DB7" w:rsidP="00707DB7">
      <w:pPr>
        <w:rPr>
          <w:szCs w:val="19"/>
          <w:lang w:val="en-US"/>
        </w:rPr>
      </w:pPr>
      <w:r w:rsidRPr="00707DB7">
        <w:rPr>
          <w:szCs w:val="19"/>
          <w:lang w:val="en-US"/>
        </w:rPr>
        <w:t xml:space="preserve">Within the surveys conducted by Polish official statistics, business services include the following activities according to </w:t>
      </w:r>
      <w:r>
        <w:rPr>
          <w:szCs w:val="19"/>
          <w:lang w:val="en-US"/>
        </w:rPr>
        <w:t>NACE Rev. 2.0</w:t>
      </w:r>
      <w:r w:rsidRPr="00707DB7">
        <w:rPr>
          <w:szCs w:val="19"/>
          <w:lang w:val="en-US"/>
        </w:rPr>
        <w:t>:</w:t>
      </w:r>
    </w:p>
    <w:p w14:paraId="68306DA8" w14:textId="11265D0B" w:rsidR="00707DB7" w:rsidRDefault="00707DB7" w:rsidP="00BD6B30">
      <w:pPr>
        <w:pStyle w:val="Akapitzlist"/>
        <w:numPr>
          <w:ilvl w:val="0"/>
          <w:numId w:val="7"/>
        </w:numPr>
        <w:ind w:left="284" w:hanging="284"/>
        <w:rPr>
          <w:szCs w:val="19"/>
          <w:lang w:val="en-US"/>
        </w:rPr>
      </w:pPr>
      <w:r w:rsidRPr="00707DB7">
        <w:rPr>
          <w:szCs w:val="19"/>
          <w:lang w:val="en-US"/>
        </w:rPr>
        <w:t xml:space="preserve">from Section J „Information and communication”: publishing activities (58), computer programming, consultancy and related activities (62), </w:t>
      </w:r>
      <w:r w:rsidR="00970BD0">
        <w:rPr>
          <w:szCs w:val="19"/>
          <w:lang w:val="en-US"/>
        </w:rPr>
        <w:t>data processing, hosting and re</w:t>
      </w:r>
      <w:r w:rsidRPr="00707DB7">
        <w:rPr>
          <w:szCs w:val="19"/>
          <w:lang w:val="en-US"/>
        </w:rPr>
        <w:t xml:space="preserve">lated activities; web portals (63.1); </w:t>
      </w:r>
    </w:p>
    <w:p w14:paraId="24EBB8C0" w14:textId="109F1C44" w:rsidR="00707DB7" w:rsidRDefault="00707DB7" w:rsidP="00BD6B30">
      <w:pPr>
        <w:pStyle w:val="Akapitzlist"/>
        <w:numPr>
          <w:ilvl w:val="0"/>
          <w:numId w:val="7"/>
        </w:numPr>
        <w:ind w:left="284" w:hanging="284"/>
        <w:rPr>
          <w:szCs w:val="19"/>
          <w:lang w:val="en-US"/>
        </w:rPr>
      </w:pPr>
      <w:r w:rsidRPr="00707DB7">
        <w:rPr>
          <w:szCs w:val="19"/>
          <w:lang w:val="en-US"/>
        </w:rPr>
        <w:t xml:space="preserve">Section L „Real estate activities” (68); </w:t>
      </w:r>
    </w:p>
    <w:p w14:paraId="021B54C0" w14:textId="6F6BD514" w:rsidR="00707DB7" w:rsidRDefault="00707DB7" w:rsidP="00BD6B30">
      <w:pPr>
        <w:pStyle w:val="Akapitzlist"/>
        <w:numPr>
          <w:ilvl w:val="0"/>
          <w:numId w:val="7"/>
        </w:numPr>
        <w:ind w:left="284" w:hanging="284"/>
        <w:rPr>
          <w:szCs w:val="19"/>
          <w:lang w:val="en-US"/>
        </w:rPr>
      </w:pPr>
      <w:r w:rsidRPr="00707DB7">
        <w:rPr>
          <w:szCs w:val="19"/>
          <w:lang w:val="en-US"/>
        </w:rPr>
        <w:t xml:space="preserve">from Section M „Professional, scientific and technical activities”: legal and accounting activities (69), management consultancy activities (70.2), architectural and engineering activities; technical testing and analysis  (71), advertising and market research (73), other professional, scientific and technical activities (74); </w:t>
      </w:r>
    </w:p>
    <w:p w14:paraId="6D8F09A9" w14:textId="130D81B5" w:rsidR="00707DB7" w:rsidRPr="00707DB7" w:rsidRDefault="00707DB7" w:rsidP="00BD6B30">
      <w:pPr>
        <w:pStyle w:val="Akapitzlist"/>
        <w:numPr>
          <w:ilvl w:val="0"/>
          <w:numId w:val="7"/>
        </w:numPr>
        <w:ind w:left="284" w:hanging="284"/>
        <w:rPr>
          <w:szCs w:val="19"/>
          <w:lang w:val="en-US"/>
        </w:rPr>
      </w:pPr>
      <w:r w:rsidRPr="00707DB7">
        <w:rPr>
          <w:szCs w:val="19"/>
          <w:lang w:val="en-US"/>
        </w:rPr>
        <w:t>from Section N „Administrative and support service activities”: employment activities (78), security and investigation activities (80), service</w:t>
      </w:r>
      <w:r w:rsidR="00970BD0">
        <w:rPr>
          <w:szCs w:val="19"/>
          <w:lang w:val="en-US"/>
        </w:rPr>
        <w:t>s to buildings and landscape ac</w:t>
      </w:r>
      <w:r w:rsidRPr="00707DB7">
        <w:rPr>
          <w:szCs w:val="19"/>
          <w:lang w:val="en-US"/>
        </w:rPr>
        <w:t>tivities (81), office administrative, office support and other business support activities  (82).</w:t>
      </w:r>
    </w:p>
    <w:p w14:paraId="23729647" w14:textId="77777777" w:rsidR="00707DB7" w:rsidRPr="00707DB7" w:rsidRDefault="00707DB7" w:rsidP="00707DB7">
      <w:pPr>
        <w:rPr>
          <w:szCs w:val="19"/>
          <w:lang w:val="en-US"/>
        </w:rPr>
      </w:pPr>
      <w:r w:rsidRPr="00707DB7">
        <w:rPr>
          <w:szCs w:val="19"/>
          <w:lang w:val="en-US"/>
        </w:rPr>
        <w:t>Data from the structural business statistics for 2018, which are compiled in accordance with Regulation (EC) No 295/2008 of the European Parliament and of the Council of 11 March 2008 concerning structural business statistics, were the source of data for this document.</w:t>
      </w:r>
    </w:p>
    <w:p w14:paraId="7DFBF256" w14:textId="4138C0C1" w:rsidR="00707DB7" w:rsidRPr="00707DB7" w:rsidRDefault="00707DB7" w:rsidP="00707DB7">
      <w:pPr>
        <w:rPr>
          <w:szCs w:val="19"/>
          <w:lang w:val="en-US"/>
        </w:rPr>
      </w:pPr>
      <w:r w:rsidRPr="00707DB7">
        <w:rPr>
          <w:szCs w:val="19"/>
          <w:lang w:val="en-US"/>
        </w:rPr>
        <w:t>In the case of information on the number of enterprises, the number of persons employed and the total turnover for all entities conducting business activity, the data was prepared in accordance with the requirements of Annex I to the above-mentioned regulation. These data applies to entities conducting activities classified ac</w:t>
      </w:r>
      <w:r w:rsidR="00970BD0">
        <w:rPr>
          <w:szCs w:val="19"/>
          <w:lang w:val="en-US"/>
        </w:rPr>
        <w:t>cording to NACE Rev. 2.0 to Sec</w:t>
      </w:r>
      <w:r w:rsidRPr="00707DB7">
        <w:rPr>
          <w:szCs w:val="19"/>
          <w:lang w:val="en-US"/>
        </w:rPr>
        <w:t>tions from B “Mining and quarrying” to N “Administrative and support service activities” and Division 95 “Repair of computers and personal and household goods” from Section S “Other service activities”, excluding Section K “Financial and insurance activities”.</w:t>
      </w:r>
    </w:p>
    <w:p w14:paraId="458CD78F" w14:textId="0A789D27" w:rsidR="00707DB7" w:rsidRPr="00707DB7" w:rsidRDefault="00707DB7" w:rsidP="00707DB7">
      <w:pPr>
        <w:rPr>
          <w:szCs w:val="19"/>
          <w:lang w:val="en-US"/>
        </w:rPr>
      </w:pPr>
      <w:r w:rsidRPr="00707DB7">
        <w:rPr>
          <w:szCs w:val="19"/>
          <w:lang w:val="en-US"/>
        </w:rPr>
        <w:t>Information on the structure of turnove</w:t>
      </w:r>
      <w:r w:rsidR="009846EC">
        <w:rPr>
          <w:szCs w:val="19"/>
          <w:lang w:val="en-US"/>
        </w:rPr>
        <w:t>r by residence of client and product were pre</w:t>
      </w:r>
      <w:r w:rsidRPr="00707DB7">
        <w:rPr>
          <w:szCs w:val="19"/>
          <w:lang w:val="en-US"/>
        </w:rPr>
        <w:t>pared on the basis of the survey outcomes "</w:t>
      </w:r>
      <w:r w:rsidR="003152C2" w:rsidRPr="002E1FEA">
        <w:rPr>
          <w:lang w:val="en-GB"/>
        </w:rPr>
        <w:t>Assessment of enterprises providing support service activities</w:t>
      </w:r>
      <w:r w:rsidRPr="00707DB7">
        <w:rPr>
          <w:szCs w:val="19"/>
          <w:lang w:val="en-US"/>
        </w:rPr>
        <w:t>" for 2018, which is cond</w:t>
      </w:r>
      <w:r w:rsidR="00970BD0">
        <w:rPr>
          <w:szCs w:val="19"/>
          <w:lang w:val="en-US"/>
        </w:rPr>
        <w:t>ucted in accordance with the re</w:t>
      </w:r>
      <w:r w:rsidRPr="00707DB7">
        <w:rPr>
          <w:szCs w:val="19"/>
          <w:lang w:val="en-US"/>
        </w:rPr>
        <w:t>quirements of Annex VIII of the above-mentioned regulation. The data refer to enterprises</w:t>
      </w:r>
      <w:r w:rsidR="003152C2">
        <w:rPr>
          <w:szCs w:val="19"/>
          <w:lang w:val="en-US"/>
        </w:rPr>
        <w:t xml:space="preserve"> with the number of persons employed</w:t>
      </w:r>
      <w:r w:rsidRPr="00707DB7">
        <w:rPr>
          <w:szCs w:val="19"/>
          <w:lang w:val="en-US"/>
        </w:rPr>
        <w:t xml:space="preserve"> 10 and more, carrying out activities classified, according to NACE Rev. 2.0, into divisions: 62, 69, 71, 73 and 78 and groups: 58.2, 63.1 and 70.2.</w:t>
      </w:r>
    </w:p>
    <w:p w14:paraId="47366EC7" w14:textId="70E046E6" w:rsidR="00707DB7" w:rsidRPr="00707DB7" w:rsidRDefault="00707DB7" w:rsidP="00707DB7">
      <w:pPr>
        <w:rPr>
          <w:szCs w:val="19"/>
          <w:lang w:val="en-US"/>
        </w:rPr>
      </w:pPr>
      <w:r w:rsidRPr="00707DB7">
        <w:rPr>
          <w:szCs w:val="19"/>
          <w:lang w:val="en-US"/>
        </w:rPr>
        <w:t>In connection with the introduction of methodological c</w:t>
      </w:r>
      <w:r w:rsidR="00970BD0">
        <w:rPr>
          <w:szCs w:val="19"/>
          <w:lang w:val="en-US"/>
        </w:rPr>
        <w:t>hanges resulting from the imple</w:t>
      </w:r>
      <w:r w:rsidRPr="00707DB7">
        <w:rPr>
          <w:szCs w:val="19"/>
          <w:lang w:val="en-US"/>
        </w:rPr>
        <w:t>mentation of the statistical unit "enterprise" (ENT) (instead of "legal unit" as in previous years), the time series of turnover, number of enterprises and number of persons employed compiled for the purposes of structural business statistics (SBS) were broken. These changes result from Framework Regulation Integrating</w:t>
      </w:r>
      <w:r w:rsidR="00970BD0">
        <w:rPr>
          <w:szCs w:val="19"/>
          <w:lang w:val="en-US"/>
        </w:rPr>
        <w:t xml:space="preserve"> Economic Statistics (FRIBS) re</w:t>
      </w:r>
      <w:r w:rsidRPr="00707DB7">
        <w:rPr>
          <w:szCs w:val="19"/>
          <w:lang w:val="en-US"/>
        </w:rPr>
        <w:t>quirements, under which, from 2018, the basic unit for whi</w:t>
      </w:r>
      <w:r w:rsidR="00970BD0">
        <w:rPr>
          <w:szCs w:val="19"/>
          <w:lang w:val="en-US"/>
        </w:rPr>
        <w:t>ch SBS data are prepared is "en</w:t>
      </w:r>
      <w:r w:rsidRPr="00707DB7">
        <w:rPr>
          <w:szCs w:val="19"/>
          <w:lang w:val="en-US"/>
        </w:rPr>
        <w:t>terprise".</w:t>
      </w:r>
    </w:p>
    <w:p w14:paraId="0F1A524C" w14:textId="5B3F75D6" w:rsidR="00707DB7" w:rsidRPr="00707DB7" w:rsidRDefault="00707DB7" w:rsidP="00707DB7">
      <w:pPr>
        <w:rPr>
          <w:szCs w:val="19"/>
          <w:lang w:val="en-US"/>
        </w:rPr>
      </w:pPr>
      <w:r w:rsidRPr="00707DB7">
        <w:rPr>
          <w:szCs w:val="19"/>
          <w:lang w:val="en-US"/>
        </w:rPr>
        <w:t>Definitions of statistical units, including “enterprise” (ENT), are d</w:t>
      </w:r>
      <w:r w:rsidR="00970BD0">
        <w:rPr>
          <w:szCs w:val="19"/>
          <w:lang w:val="en-US"/>
        </w:rPr>
        <w:t>efined in Council Regula</w:t>
      </w:r>
      <w:r w:rsidRPr="00707DB7">
        <w:rPr>
          <w:szCs w:val="19"/>
          <w:lang w:val="en-US"/>
        </w:rPr>
        <w:t>tion (EEC) No 696/93 of 15 March 1993 on the statistical unit</w:t>
      </w:r>
      <w:r w:rsidR="00970BD0">
        <w:rPr>
          <w:szCs w:val="19"/>
          <w:lang w:val="en-US"/>
        </w:rPr>
        <w:t>s for the observation and analy</w:t>
      </w:r>
      <w:r w:rsidRPr="00707DB7">
        <w:rPr>
          <w:szCs w:val="19"/>
          <w:lang w:val="en-US"/>
        </w:rPr>
        <w:t>sis of the production system in the Community.</w:t>
      </w:r>
    </w:p>
    <w:p w14:paraId="00184787" w14:textId="77777777" w:rsidR="00707DB7" w:rsidRPr="00707DB7" w:rsidRDefault="00707DB7" w:rsidP="00707DB7">
      <w:pPr>
        <w:rPr>
          <w:sz w:val="18"/>
          <w:lang w:val="en-US"/>
        </w:rPr>
      </w:pPr>
    </w:p>
    <w:p w14:paraId="526FEEC8" w14:textId="77777777" w:rsidR="00707DB7" w:rsidRPr="00707DB7" w:rsidRDefault="00707DB7" w:rsidP="00707DB7">
      <w:pPr>
        <w:rPr>
          <w:sz w:val="18"/>
          <w:lang w:val="en-US"/>
        </w:rPr>
      </w:pPr>
    </w:p>
    <w:p w14:paraId="4485F565" w14:textId="77777777" w:rsidR="00707DB7" w:rsidRPr="00707DB7" w:rsidRDefault="00707DB7" w:rsidP="00707DB7">
      <w:pPr>
        <w:rPr>
          <w:sz w:val="18"/>
          <w:lang w:val="en-US"/>
        </w:rPr>
      </w:pPr>
    </w:p>
    <w:p w14:paraId="17E4F18D" w14:textId="77777777" w:rsidR="00707DB7" w:rsidRPr="00707DB7" w:rsidRDefault="00707DB7" w:rsidP="00707DB7">
      <w:pPr>
        <w:rPr>
          <w:sz w:val="18"/>
          <w:lang w:val="en-US"/>
        </w:rPr>
      </w:pPr>
    </w:p>
    <w:p w14:paraId="128F6D9A" w14:textId="77777777" w:rsidR="00707DB7" w:rsidRPr="00707DB7" w:rsidRDefault="00707DB7" w:rsidP="00707DB7">
      <w:pPr>
        <w:rPr>
          <w:sz w:val="18"/>
          <w:lang w:val="en-US"/>
        </w:rPr>
      </w:pPr>
    </w:p>
    <w:p w14:paraId="0EFE2972" w14:textId="77777777" w:rsidR="00707DB7" w:rsidRPr="00707DB7" w:rsidRDefault="00707DB7" w:rsidP="00707DB7">
      <w:pPr>
        <w:rPr>
          <w:sz w:val="18"/>
          <w:lang w:val="en-US"/>
        </w:rPr>
      </w:pPr>
    </w:p>
    <w:p w14:paraId="61F6D053" w14:textId="77777777" w:rsidR="00707DB7" w:rsidRPr="00707DB7" w:rsidRDefault="00707DB7" w:rsidP="00707DB7">
      <w:pPr>
        <w:rPr>
          <w:sz w:val="18"/>
          <w:lang w:val="en-US"/>
        </w:rPr>
      </w:pPr>
    </w:p>
    <w:p w14:paraId="0A8B492B" w14:textId="77777777" w:rsidR="00707DB7" w:rsidRPr="00707DB7" w:rsidRDefault="00707DB7" w:rsidP="00707DB7">
      <w:pPr>
        <w:rPr>
          <w:sz w:val="18"/>
          <w:lang w:val="en-US"/>
        </w:rPr>
      </w:pPr>
    </w:p>
    <w:p w14:paraId="5B8AD557" w14:textId="4BFB33D0" w:rsidR="00707DB7" w:rsidRPr="00FA3E57" w:rsidRDefault="00FA3E57" w:rsidP="00707DB7">
      <w:pPr>
        <w:rPr>
          <w:sz w:val="18"/>
          <w:lang w:val="en-US"/>
        </w:rPr>
      </w:pPr>
      <w:r w:rsidRPr="00FA3E57">
        <w:rPr>
          <w:sz w:val="18"/>
          <w:lang w:val="en-US"/>
        </w:rPr>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p w14:paraId="1642D209" w14:textId="77777777" w:rsidR="00707DB7" w:rsidRPr="00707DB7" w:rsidRDefault="00707DB7" w:rsidP="00707DB7">
      <w:pPr>
        <w:rPr>
          <w:sz w:val="18"/>
          <w:lang w:val="en-US"/>
        </w:rPr>
      </w:pPr>
    </w:p>
    <w:p w14:paraId="37815FA5" w14:textId="782749B0" w:rsidR="00694AF0" w:rsidRPr="00707DB7" w:rsidRDefault="00694AF0" w:rsidP="00707DB7">
      <w:pPr>
        <w:rPr>
          <w:sz w:val="18"/>
          <w:lang w:val="en-US"/>
        </w:rPr>
        <w:sectPr w:rsidR="00694AF0" w:rsidRPr="00707DB7" w:rsidSect="003B18B6">
          <w:headerReference w:type="default" r:id="rId25"/>
          <w:footerReference w:type="default" r:id="rId26"/>
          <w:headerReference w:type="first" r:id="rId27"/>
          <w:footerReference w:type="first" r:id="rId28"/>
          <w:pgSz w:w="11906" w:h="16838"/>
          <w:pgMar w:top="720" w:right="3119" w:bottom="720" w:left="720" w:header="284" w:footer="283" w:gutter="0"/>
          <w:cols w:space="708"/>
          <w:titlePg/>
          <w:docGrid w:linePitch="360"/>
        </w:sectPr>
      </w:pPr>
    </w:p>
    <w:p w14:paraId="46C61237" w14:textId="6EABB2E7" w:rsidR="000470AA" w:rsidRPr="00947EB3" w:rsidRDefault="000470AA" w:rsidP="000470AA">
      <w:pPr>
        <w:rPr>
          <w:color w:val="1F497D"/>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165"/>
        <w:gridCol w:w="3728"/>
      </w:tblGrid>
      <w:tr w:rsidR="00947EB3" w:rsidRPr="00C04F65" w14:paraId="52FD7197" w14:textId="77777777" w:rsidTr="00AC3FCE">
        <w:trPr>
          <w:trHeight w:val="1506"/>
        </w:trPr>
        <w:tc>
          <w:tcPr>
            <w:tcW w:w="4165" w:type="dxa"/>
          </w:tcPr>
          <w:p w14:paraId="2515A291" w14:textId="77777777" w:rsidR="00223E4F" w:rsidRPr="00947EB3" w:rsidRDefault="00223E4F" w:rsidP="00E23337">
            <w:pPr>
              <w:spacing w:before="0" w:after="0" w:line="276" w:lineRule="auto"/>
              <w:rPr>
                <w:rFonts w:cs="Arial"/>
                <w:sz w:val="20"/>
                <w:lang w:val="en-US"/>
              </w:rPr>
            </w:pPr>
          </w:p>
          <w:p w14:paraId="37B59D2D" w14:textId="77777777" w:rsidR="000470AA" w:rsidRPr="00947EB3" w:rsidRDefault="001D2736" w:rsidP="00E23337">
            <w:pPr>
              <w:spacing w:before="0" w:after="0" w:line="276" w:lineRule="auto"/>
              <w:rPr>
                <w:rFonts w:cs="Arial"/>
                <w:sz w:val="20"/>
                <w:lang w:val="en-US"/>
              </w:rPr>
            </w:pPr>
            <w:r w:rsidRPr="00947EB3">
              <w:rPr>
                <w:rFonts w:cs="Arial"/>
                <w:sz w:val="20"/>
                <w:lang w:val="en-US"/>
              </w:rPr>
              <w:t>Prepared by</w:t>
            </w:r>
            <w:r w:rsidR="000470AA" w:rsidRPr="00947EB3">
              <w:rPr>
                <w:rFonts w:cs="Arial"/>
                <w:sz w:val="20"/>
                <w:lang w:val="en-US"/>
              </w:rPr>
              <w:t>:</w:t>
            </w:r>
          </w:p>
          <w:p w14:paraId="4D5B8EFB" w14:textId="77777777" w:rsidR="000470AA" w:rsidRPr="00947EB3" w:rsidRDefault="008408D9" w:rsidP="00D00796">
            <w:pPr>
              <w:spacing w:before="0" w:after="0" w:line="240" w:lineRule="auto"/>
              <w:rPr>
                <w:rFonts w:cs="Arial"/>
                <w:b/>
                <w:sz w:val="20"/>
                <w:lang w:val="en-US"/>
              </w:rPr>
            </w:pPr>
            <w:r w:rsidRPr="00947EB3">
              <w:rPr>
                <w:rFonts w:cs="Arial"/>
                <w:b/>
                <w:sz w:val="20"/>
                <w:lang w:val="en-US"/>
              </w:rPr>
              <w:t>Trade and Services Depar</w:t>
            </w:r>
            <w:r w:rsidR="00AC3FCE" w:rsidRPr="00947EB3">
              <w:rPr>
                <w:rFonts w:cs="Arial"/>
                <w:b/>
                <w:sz w:val="20"/>
                <w:lang w:val="en-US"/>
              </w:rPr>
              <w:t>tment</w:t>
            </w:r>
          </w:p>
          <w:p w14:paraId="4C88FF89" w14:textId="29D6F302" w:rsidR="000470AA" w:rsidRPr="00947EB3" w:rsidRDefault="00C72BA1" w:rsidP="00D00796">
            <w:pPr>
              <w:pStyle w:val="Nagwek3"/>
              <w:spacing w:before="0" w:line="240" w:lineRule="auto"/>
              <w:rPr>
                <w:rFonts w:ascii="Fira Sans" w:hAnsi="Fira Sans" w:cs="Arial"/>
                <w:b/>
                <w:color w:val="auto"/>
                <w:sz w:val="20"/>
                <w:szCs w:val="28"/>
              </w:rPr>
            </w:pPr>
            <w:proofErr w:type="spellStart"/>
            <w:r>
              <w:rPr>
                <w:rFonts w:ascii="Fira Sans" w:hAnsi="Fira Sans" w:cs="Arial"/>
                <w:b/>
                <w:color w:val="auto"/>
                <w:sz w:val="20"/>
                <w:szCs w:val="28"/>
              </w:rPr>
              <w:t>Director</w:t>
            </w:r>
            <w:proofErr w:type="spellEnd"/>
            <w:r>
              <w:rPr>
                <w:rFonts w:ascii="Fira Sans" w:hAnsi="Fira Sans" w:cs="Arial"/>
                <w:b/>
                <w:color w:val="auto"/>
                <w:sz w:val="20"/>
                <w:szCs w:val="28"/>
              </w:rPr>
              <w:t xml:space="preserve"> Ewa Adach-Stankiewicz</w:t>
            </w:r>
          </w:p>
          <w:p w14:paraId="3EC00821" w14:textId="61A33E5E" w:rsidR="000470AA" w:rsidRPr="00947EB3" w:rsidRDefault="00C72BA1" w:rsidP="00D00796">
            <w:pPr>
              <w:pStyle w:val="Nagwek3"/>
              <w:spacing w:before="0" w:line="240" w:lineRule="auto"/>
              <w:rPr>
                <w:rFonts w:ascii="Fira Sans" w:hAnsi="Fira Sans" w:cs="Arial"/>
                <w:color w:val="auto"/>
                <w:sz w:val="20"/>
                <w:lang w:val="fi-FI"/>
              </w:rPr>
            </w:pPr>
            <w:r>
              <w:rPr>
                <w:rFonts w:ascii="Fira Sans" w:hAnsi="Fira Sans" w:cs="Arial"/>
                <w:color w:val="auto"/>
                <w:sz w:val="20"/>
                <w:lang w:val="fi-FI"/>
              </w:rPr>
              <w:t>Office t</w:t>
            </w:r>
            <w:r w:rsidR="000470AA" w:rsidRPr="00947EB3">
              <w:rPr>
                <w:rFonts w:ascii="Fira Sans" w:hAnsi="Fira Sans" w:cs="Arial"/>
                <w:color w:val="auto"/>
                <w:sz w:val="20"/>
                <w:lang w:val="fi-FI"/>
              </w:rPr>
              <w:t xml:space="preserve">el: </w:t>
            </w:r>
            <w:r>
              <w:rPr>
                <w:rFonts w:ascii="Fira Sans" w:hAnsi="Fira Sans" w:cs="Arial"/>
                <w:color w:val="auto"/>
                <w:sz w:val="20"/>
                <w:lang w:val="fi-FI"/>
              </w:rPr>
              <w:t>(</w:t>
            </w:r>
            <w:r w:rsidR="008408D9" w:rsidRPr="00947EB3">
              <w:rPr>
                <w:rFonts w:ascii="Fira Sans" w:hAnsi="Fira Sans" w:cs="Arial"/>
                <w:color w:val="auto"/>
                <w:sz w:val="20"/>
                <w:lang w:val="fi-FI"/>
              </w:rPr>
              <w:t>+48 22</w:t>
            </w:r>
            <w:r>
              <w:rPr>
                <w:rFonts w:ascii="Fira Sans" w:hAnsi="Fira Sans" w:cs="Arial"/>
                <w:color w:val="auto"/>
                <w:sz w:val="20"/>
                <w:lang w:val="fi-FI"/>
              </w:rPr>
              <w:t>)</w:t>
            </w:r>
            <w:r w:rsidR="000470AA" w:rsidRPr="00947EB3">
              <w:rPr>
                <w:rFonts w:ascii="Fira Sans" w:hAnsi="Fira Sans" w:cs="Arial"/>
                <w:color w:val="auto"/>
                <w:sz w:val="20"/>
                <w:lang w:val="fi-FI"/>
              </w:rPr>
              <w:t> </w:t>
            </w:r>
            <w:r w:rsidR="008408D9" w:rsidRPr="00947EB3">
              <w:rPr>
                <w:rFonts w:ascii="Fira Sans" w:hAnsi="Fira Sans" w:cs="Arial"/>
                <w:color w:val="auto"/>
                <w:sz w:val="20"/>
                <w:lang w:val="fi-FI"/>
              </w:rPr>
              <w:t>608</w:t>
            </w:r>
            <w:r w:rsidR="00EB5A7D" w:rsidRPr="00947EB3">
              <w:rPr>
                <w:rFonts w:ascii="Fira Sans" w:hAnsi="Fira Sans" w:cs="Arial"/>
                <w:color w:val="auto"/>
                <w:sz w:val="20"/>
                <w:lang w:val="fi-FI"/>
              </w:rPr>
              <w:t xml:space="preserve"> </w:t>
            </w:r>
            <w:r w:rsidR="008408D9" w:rsidRPr="00947EB3">
              <w:rPr>
                <w:rFonts w:ascii="Fira Sans" w:hAnsi="Fira Sans" w:cs="Arial"/>
                <w:color w:val="auto"/>
                <w:sz w:val="20"/>
                <w:lang w:val="fi-FI"/>
              </w:rPr>
              <w:t>3</w:t>
            </w:r>
            <w:r>
              <w:rPr>
                <w:rFonts w:ascii="Fira Sans" w:hAnsi="Fira Sans" w:cs="Arial"/>
                <w:color w:val="auto"/>
                <w:sz w:val="20"/>
                <w:lang w:val="fi-FI"/>
              </w:rPr>
              <w:t>1</w:t>
            </w:r>
            <w:r w:rsidR="00EB5A7D" w:rsidRPr="00947EB3">
              <w:rPr>
                <w:rFonts w:ascii="Fira Sans" w:hAnsi="Fira Sans" w:cs="Arial"/>
                <w:color w:val="auto"/>
                <w:sz w:val="20"/>
                <w:lang w:val="fi-FI"/>
              </w:rPr>
              <w:t xml:space="preserve"> </w:t>
            </w:r>
            <w:r w:rsidR="008408D9" w:rsidRPr="00947EB3">
              <w:rPr>
                <w:rFonts w:ascii="Fira Sans" w:hAnsi="Fira Sans" w:cs="Arial"/>
                <w:color w:val="auto"/>
                <w:sz w:val="20"/>
                <w:lang w:val="fi-FI"/>
              </w:rPr>
              <w:t>2</w:t>
            </w:r>
            <w:r>
              <w:rPr>
                <w:rFonts w:ascii="Fira Sans" w:hAnsi="Fira Sans" w:cs="Arial"/>
                <w:color w:val="auto"/>
                <w:sz w:val="20"/>
                <w:lang w:val="fi-FI"/>
              </w:rPr>
              <w:t>4</w:t>
            </w:r>
          </w:p>
          <w:p w14:paraId="6804C043" w14:textId="6271396C" w:rsidR="000470AA" w:rsidRPr="00947EB3" w:rsidRDefault="00C72BA1" w:rsidP="00C72BA1">
            <w:pPr>
              <w:pStyle w:val="Nagwek3"/>
              <w:spacing w:before="0" w:line="240" w:lineRule="auto"/>
              <w:rPr>
                <w:rFonts w:ascii="Fira Sans" w:hAnsi="Fira Sans"/>
                <w:color w:val="auto"/>
                <w:lang w:val="fi-FI"/>
              </w:rPr>
            </w:pPr>
            <w:r w:rsidRPr="00947EB3">
              <w:rPr>
                <w:rFonts w:ascii="Fira Sans" w:hAnsi="Fira Sans"/>
                <w:color w:val="auto"/>
                <w:lang w:val="fi-FI"/>
              </w:rPr>
              <w:t xml:space="preserve"> </w:t>
            </w:r>
          </w:p>
        </w:tc>
        <w:tc>
          <w:tcPr>
            <w:tcW w:w="3728" w:type="dxa"/>
          </w:tcPr>
          <w:p w14:paraId="4A0A68AC" w14:textId="77777777" w:rsidR="00223E4F" w:rsidRPr="00F20735" w:rsidRDefault="00223E4F" w:rsidP="00E23337">
            <w:pPr>
              <w:spacing w:before="0" w:after="0" w:line="276" w:lineRule="auto"/>
              <w:rPr>
                <w:rFonts w:cs="Arial"/>
                <w:sz w:val="20"/>
                <w:lang w:val="en-GB"/>
              </w:rPr>
            </w:pPr>
          </w:p>
          <w:p w14:paraId="1950C839" w14:textId="46F6647C" w:rsidR="00AC3FCE" w:rsidRPr="00947EB3" w:rsidRDefault="001D2736" w:rsidP="00E23337">
            <w:pPr>
              <w:spacing w:before="0" w:after="0" w:line="276" w:lineRule="auto"/>
              <w:rPr>
                <w:rFonts w:cs="Arial"/>
                <w:b/>
                <w:sz w:val="20"/>
                <w:lang w:val="en-US"/>
              </w:rPr>
            </w:pPr>
            <w:r w:rsidRPr="00947EB3">
              <w:rPr>
                <w:rFonts w:cs="Arial"/>
                <w:sz w:val="20"/>
                <w:lang w:val="en-US"/>
              </w:rPr>
              <w:t>Issued by</w:t>
            </w:r>
            <w:r w:rsidR="000470AA" w:rsidRPr="00947EB3">
              <w:rPr>
                <w:rFonts w:cs="Arial"/>
                <w:sz w:val="20"/>
                <w:lang w:val="en-US"/>
              </w:rPr>
              <w:t>:</w:t>
            </w:r>
            <w:r w:rsidR="000470AA" w:rsidRPr="00947EB3">
              <w:rPr>
                <w:rFonts w:cs="Arial"/>
                <w:sz w:val="20"/>
                <w:lang w:val="en-US"/>
              </w:rPr>
              <w:br/>
            </w:r>
            <w:r w:rsidR="00AC3FCE" w:rsidRPr="00947EB3">
              <w:rPr>
                <w:rFonts w:cs="Arial"/>
                <w:b/>
                <w:sz w:val="20"/>
                <w:lang w:val="en-US"/>
              </w:rPr>
              <w:t>The Spoke</w:t>
            </w:r>
            <w:r w:rsidR="00197E62" w:rsidRPr="00947EB3">
              <w:rPr>
                <w:rFonts w:cs="Arial"/>
                <w:b/>
                <w:sz w:val="20"/>
                <w:lang w:val="en-US"/>
              </w:rPr>
              <w:t>s</w:t>
            </w:r>
            <w:r w:rsidR="00AC3FCE" w:rsidRPr="00947EB3">
              <w:rPr>
                <w:rFonts w:cs="Arial"/>
                <w:b/>
                <w:sz w:val="20"/>
                <w:lang w:val="en-US"/>
              </w:rPr>
              <w:t>person</w:t>
            </w:r>
            <w:r w:rsidRPr="00947EB3">
              <w:rPr>
                <w:rFonts w:cs="Arial"/>
                <w:b/>
                <w:sz w:val="20"/>
                <w:lang w:val="en-US"/>
              </w:rPr>
              <w:t xml:space="preserve"> </w:t>
            </w:r>
            <w:r w:rsidR="00AC3FCE" w:rsidRPr="00947EB3">
              <w:rPr>
                <w:rFonts w:cs="Arial"/>
                <w:b/>
                <w:sz w:val="20"/>
                <w:lang w:val="en-US"/>
              </w:rPr>
              <w:t>for</w:t>
            </w:r>
            <w:r w:rsidRPr="00947EB3">
              <w:rPr>
                <w:rFonts w:cs="Arial"/>
                <w:b/>
                <w:sz w:val="20"/>
                <w:lang w:val="en-US"/>
              </w:rPr>
              <w:t xml:space="preserve"> the President</w:t>
            </w:r>
            <w:r w:rsidR="00AC3FCE" w:rsidRPr="00947EB3">
              <w:rPr>
                <w:rFonts w:cs="Arial"/>
                <w:b/>
                <w:sz w:val="20"/>
                <w:lang w:val="en-US"/>
              </w:rPr>
              <w:t xml:space="preserve"> </w:t>
            </w:r>
          </w:p>
          <w:p w14:paraId="4B1DEC2D" w14:textId="77777777" w:rsidR="000470AA" w:rsidRPr="00947EB3" w:rsidRDefault="00AC3FCE" w:rsidP="00E23337">
            <w:pPr>
              <w:spacing w:before="0" w:after="0" w:line="276" w:lineRule="auto"/>
              <w:rPr>
                <w:rFonts w:cs="Arial"/>
                <w:b/>
                <w:sz w:val="20"/>
                <w:lang w:val="en-US"/>
              </w:rPr>
            </w:pPr>
            <w:r w:rsidRPr="00947EB3">
              <w:rPr>
                <w:rFonts w:cs="Arial"/>
                <w:b/>
                <w:sz w:val="20"/>
                <w:lang w:val="en-US"/>
              </w:rPr>
              <w:t>of the Statistic Poland</w:t>
            </w:r>
          </w:p>
          <w:p w14:paraId="55FA6066" w14:textId="77777777" w:rsidR="000470AA" w:rsidRPr="00947EB3" w:rsidRDefault="004F14DE" w:rsidP="00D00796">
            <w:pPr>
              <w:pStyle w:val="Nagwek3"/>
              <w:spacing w:before="0" w:line="240" w:lineRule="auto"/>
              <w:rPr>
                <w:rFonts w:ascii="Fira Sans" w:hAnsi="Fira Sans" w:cs="Arial"/>
                <w:b/>
                <w:color w:val="auto"/>
                <w:sz w:val="20"/>
                <w:szCs w:val="28"/>
                <w:lang w:val="en-US"/>
              </w:rPr>
            </w:pPr>
            <w:r w:rsidRPr="00947EB3">
              <w:rPr>
                <w:rFonts w:ascii="Fira Sans" w:hAnsi="Fira Sans" w:cs="Arial"/>
                <w:b/>
                <w:color w:val="auto"/>
                <w:sz w:val="20"/>
                <w:szCs w:val="28"/>
                <w:lang w:val="en-US"/>
              </w:rPr>
              <w:t>Karolina Banaszek</w:t>
            </w:r>
          </w:p>
          <w:p w14:paraId="01511209" w14:textId="35394A6C" w:rsidR="000470AA" w:rsidRPr="00947EB3" w:rsidRDefault="00963181" w:rsidP="00D00796">
            <w:pPr>
              <w:pStyle w:val="Nagwek3"/>
              <w:spacing w:before="0" w:line="240" w:lineRule="auto"/>
              <w:rPr>
                <w:rFonts w:ascii="Fira Sans" w:hAnsi="Fira Sans" w:cs="Arial"/>
                <w:color w:val="auto"/>
                <w:sz w:val="20"/>
                <w:lang w:val="fi-FI"/>
              </w:rPr>
            </w:pPr>
            <w:r>
              <w:rPr>
                <w:rFonts w:ascii="Fira Sans" w:hAnsi="Fira Sans" w:cs="Arial"/>
                <w:color w:val="auto"/>
                <w:sz w:val="20"/>
                <w:lang w:val="fi-FI"/>
              </w:rPr>
              <w:t>Mobile</w:t>
            </w:r>
            <w:r w:rsidR="000470AA" w:rsidRPr="00947EB3">
              <w:rPr>
                <w:rFonts w:ascii="Fira Sans" w:hAnsi="Fira Sans" w:cs="Arial"/>
                <w:color w:val="auto"/>
                <w:sz w:val="20"/>
                <w:lang w:val="fi-FI"/>
              </w:rPr>
              <w:t xml:space="preserve">: </w:t>
            </w:r>
            <w:r>
              <w:rPr>
                <w:rFonts w:ascii="Fira Sans" w:hAnsi="Fira Sans" w:cs="Arial"/>
                <w:color w:val="auto"/>
                <w:sz w:val="20"/>
                <w:lang w:val="fi-FI"/>
              </w:rPr>
              <w:t>(</w:t>
            </w:r>
            <w:r w:rsidR="00D64203" w:rsidRPr="00947EB3">
              <w:rPr>
                <w:rFonts w:ascii="Fira Sans" w:hAnsi="Fira Sans" w:cs="Arial"/>
                <w:color w:val="auto"/>
                <w:sz w:val="20"/>
                <w:lang w:val="fi-FI"/>
              </w:rPr>
              <w:t>+48</w:t>
            </w:r>
            <w:r>
              <w:rPr>
                <w:rFonts w:ascii="Fira Sans" w:hAnsi="Fira Sans" w:cs="Arial"/>
                <w:color w:val="auto"/>
                <w:sz w:val="20"/>
                <w:lang w:val="fi-FI"/>
              </w:rPr>
              <w:t>)</w:t>
            </w:r>
            <w:r w:rsidR="00D64203" w:rsidRPr="00947EB3">
              <w:rPr>
                <w:rFonts w:ascii="Fira Sans" w:hAnsi="Fira Sans" w:cs="Arial"/>
                <w:color w:val="auto"/>
                <w:sz w:val="20"/>
                <w:lang w:val="fi-FI"/>
              </w:rPr>
              <w:t xml:space="preserve"> </w:t>
            </w:r>
            <w:r>
              <w:rPr>
                <w:rFonts w:ascii="Fira Sans" w:hAnsi="Fira Sans" w:cs="Arial"/>
                <w:color w:val="auto"/>
                <w:sz w:val="20"/>
                <w:lang w:val="fi-FI"/>
              </w:rPr>
              <w:t>695 255 011</w:t>
            </w:r>
          </w:p>
          <w:p w14:paraId="1E2D82BE" w14:textId="71E8DB43" w:rsidR="000470AA" w:rsidRPr="00947EB3" w:rsidRDefault="000470AA" w:rsidP="00D00796">
            <w:pPr>
              <w:pStyle w:val="Nagwek3"/>
              <w:spacing w:before="0" w:line="240" w:lineRule="auto"/>
              <w:rPr>
                <w:rFonts w:ascii="Fira Sans" w:hAnsi="Fira Sans" w:cs="Arial"/>
                <w:color w:val="auto"/>
                <w:sz w:val="20"/>
                <w:szCs w:val="20"/>
                <w:lang w:val="en-US"/>
              </w:rPr>
            </w:pPr>
          </w:p>
        </w:tc>
      </w:tr>
    </w:tbl>
    <w:p w14:paraId="5FFB8688" w14:textId="77777777" w:rsidR="000470AA" w:rsidRPr="00947EB3" w:rsidRDefault="000470AA" w:rsidP="000470AA">
      <w:pPr>
        <w:rPr>
          <w:sz w:val="20"/>
          <w:lang w:val="en-US"/>
        </w:rPr>
      </w:pPr>
    </w:p>
    <w:p w14:paraId="4F64FB4D" w14:textId="77777777" w:rsidR="000470AA" w:rsidRPr="00947EB3" w:rsidRDefault="000470AA" w:rsidP="000470AA">
      <w:pPr>
        <w:rPr>
          <w:sz w:val="18"/>
          <w:lang w:val="en-US"/>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947EB3" w:rsidRPr="00FA3E57" w14:paraId="6EB819A6" w14:textId="77777777" w:rsidTr="000470AA">
        <w:trPr>
          <w:trHeight w:val="610"/>
        </w:trPr>
        <w:tc>
          <w:tcPr>
            <w:tcW w:w="2721" w:type="pct"/>
            <w:vMerge w:val="restart"/>
            <w:vAlign w:val="center"/>
          </w:tcPr>
          <w:p w14:paraId="7009A863" w14:textId="77777777" w:rsidR="000470AA" w:rsidRPr="00947EB3" w:rsidRDefault="001D2736" w:rsidP="000470AA">
            <w:pPr>
              <w:rPr>
                <w:b/>
                <w:sz w:val="20"/>
                <w:lang w:val="en-US"/>
              </w:rPr>
            </w:pPr>
            <w:r w:rsidRPr="00947EB3">
              <w:rPr>
                <w:b/>
                <w:sz w:val="20"/>
                <w:lang w:val="en-US"/>
              </w:rPr>
              <w:t>Press Office</w:t>
            </w:r>
          </w:p>
          <w:p w14:paraId="3D8DE1FD" w14:textId="2E99CF6A" w:rsidR="000470AA" w:rsidRPr="00947EB3" w:rsidRDefault="00963181" w:rsidP="000470AA">
            <w:pPr>
              <w:rPr>
                <w:sz w:val="20"/>
                <w:lang w:val="en-US"/>
              </w:rPr>
            </w:pPr>
            <w:r>
              <w:rPr>
                <w:sz w:val="20"/>
                <w:lang w:val="en-US"/>
              </w:rPr>
              <w:t xml:space="preserve">Office </w:t>
            </w:r>
            <w:proofErr w:type="spellStart"/>
            <w:r>
              <w:rPr>
                <w:sz w:val="20"/>
                <w:lang w:val="en-US"/>
              </w:rPr>
              <w:t>t</w:t>
            </w:r>
            <w:r w:rsidR="00FA3E57">
              <w:rPr>
                <w:sz w:val="20"/>
                <w:lang w:val="en-US"/>
              </w:rPr>
              <w:t>el</w:t>
            </w:r>
            <w:proofErr w:type="spellEnd"/>
            <w:r w:rsidR="000470AA" w:rsidRPr="00947EB3">
              <w:rPr>
                <w:sz w:val="20"/>
                <w:lang w:val="en-US"/>
              </w:rPr>
              <w:t>:</w:t>
            </w:r>
            <w:r w:rsidR="000470AA" w:rsidRPr="00947EB3">
              <w:rPr>
                <w:b/>
                <w:sz w:val="20"/>
                <w:lang w:val="en-US"/>
              </w:rPr>
              <w:t xml:space="preserve"> </w:t>
            </w:r>
            <w:r w:rsidRPr="00963181">
              <w:rPr>
                <w:sz w:val="20"/>
                <w:lang w:val="en-US"/>
              </w:rPr>
              <w:t>(</w:t>
            </w:r>
            <w:r w:rsidR="00D64203" w:rsidRPr="00947EB3">
              <w:rPr>
                <w:sz w:val="20"/>
                <w:lang w:val="en-US"/>
              </w:rPr>
              <w:t>+48 22</w:t>
            </w:r>
            <w:r>
              <w:rPr>
                <w:sz w:val="20"/>
                <w:lang w:val="en-US"/>
              </w:rPr>
              <w:t>)</w:t>
            </w:r>
            <w:r w:rsidR="00D64203" w:rsidRPr="00947EB3">
              <w:rPr>
                <w:sz w:val="20"/>
                <w:lang w:val="en-US"/>
              </w:rPr>
              <w:t xml:space="preserve"> 608 34 91, </w:t>
            </w:r>
            <w:r>
              <w:rPr>
                <w:sz w:val="20"/>
                <w:lang w:val="en-US"/>
              </w:rPr>
              <w:t>(</w:t>
            </w:r>
            <w:r w:rsidR="00D64203" w:rsidRPr="00947EB3">
              <w:rPr>
                <w:sz w:val="20"/>
                <w:lang w:val="en-US"/>
              </w:rPr>
              <w:t>+48 22</w:t>
            </w:r>
            <w:r>
              <w:rPr>
                <w:sz w:val="20"/>
                <w:lang w:val="en-US"/>
              </w:rPr>
              <w:t>)</w:t>
            </w:r>
            <w:r w:rsidR="000470AA" w:rsidRPr="00947EB3">
              <w:rPr>
                <w:sz w:val="20"/>
                <w:lang w:val="en-US"/>
              </w:rPr>
              <w:t xml:space="preserve"> 608 38 04 </w:t>
            </w:r>
          </w:p>
          <w:p w14:paraId="072382DA" w14:textId="01EC8645" w:rsidR="000470AA" w:rsidRPr="00947EB3" w:rsidRDefault="00173795" w:rsidP="000470AA">
            <w:pPr>
              <w:rPr>
                <w:sz w:val="20"/>
                <w:lang w:val="en-US"/>
              </w:rPr>
            </w:pPr>
            <w:r w:rsidRPr="00947EB3">
              <w:rPr>
                <w:b/>
                <w:sz w:val="20"/>
                <w:lang w:val="en-US"/>
              </w:rPr>
              <w:t>e-mail:</w:t>
            </w:r>
            <w:r w:rsidRPr="00947EB3">
              <w:rPr>
                <w:sz w:val="20"/>
                <w:lang w:val="en-US"/>
              </w:rPr>
              <w:t xml:space="preserve"> </w:t>
            </w:r>
            <w:hyperlink r:id="rId29" w:history="1">
              <w:r w:rsidRPr="00947EB3">
                <w:rPr>
                  <w:rStyle w:val="Hipercze"/>
                  <w:rFonts w:cstheme="minorBidi"/>
                  <w:b/>
                  <w:color w:val="auto"/>
                  <w:sz w:val="20"/>
                  <w:lang w:val="en-US"/>
                </w:rPr>
                <w:t>obslugaprasowa@stat.gov.pl</w:t>
              </w:r>
            </w:hyperlink>
            <w:r w:rsidR="000470AA" w:rsidRPr="00947EB3">
              <w:rPr>
                <w:b/>
                <w:sz w:val="20"/>
                <w:lang w:val="en-US"/>
              </w:rPr>
              <w:t xml:space="preserve"> </w:t>
            </w:r>
          </w:p>
          <w:p w14:paraId="785F93CC" w14:textId="76537326" w:rsidR="000470AA" w:rsidRPr="00947EB3" w:rsidRDefault="000470AA" w:rsidP="000470AA">
            <w:pPr>
              <w:rPr>
                <w:sz w:val="18"/>
                <w:lang w:val="en-US"/>
              </w:rPr>
            </w:pPr>
          </w:p>
        </w:tc>
        <w:tc>
          <w:tcPr>
            <w:tcW w:w="369" w:type="pct"/>
            <w:vAlign w:val="center"/>
          </w:tcPr>
          <w:p w14:paraId="05B5F891" w14:textId="77777777" w:rsidR="000470AA" w:rsidRPr="00947EB3" w:rsidRDefault="000470AA" w:rsidP="000470AA">
            <w:pPr>
              <w:rPr>
                <w:sz w:val="18"/>
                <w:lang w:val="en-US"/>
              </w:rPr>
            </w:pPr>
            <w:r w:rsidRPr="00947EB3">
              <w:rPr>
                <w:noProof/>
                <w:sz w:val="20"/>
                <w:lang w:eastAsia="pl-PL"/>
              </w:rPr>
              <w:drawing>
                <wp:anchor distT="0" distB="0" distL="114300" distR="114300" simplePos="0" relativeHeight="251732992" behindDoc="0" locked="0" layoutInCell="1" allowOverlap="1" wp14:anchorId="71683494" wp14:editId="45B60215">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vAlign w:val="center"/>
          </w:tcPr>
          <w:p w14:paraId="310D851B" w14:textId="77777777" w:rsidR="000470AA" w:rsidRPr="00947EB3" w:rsidRDefault="000470AA" w:rsidP="000470AA">
            <w:pPr>
              <w:rPr>
                <w:sz w:val="18"/>
                <w:lang w:val="en-US"/>
              </w:rPr>
            </w:pPr>
            <w:r w:rsidRPr="00947EB3">
              <w:rPr>
                <w:sz w:val="20"/>
                <w:lang w:val="en-US"/>
              </w:rPr>
              <w:t>www.stat.gov.pl</w:t>
            </w:r>
            <w:r w:rsidR="001D2736" w:rsidRPr="00947EB3">
              <w:rPr>
                <w:sz w:val="20"/>
                <w:lang w:val="en-US"/>
              </w:rPr>
              <w:t>/en/</w:t>
            </w:r>
          </w:p>
        </w:tc>
      </w:tr>
      <w:tr w:rsidR="00947EB3" w:rsidRPr="00947EB3" w14:paraId="43968C50" w14:textId="77777777" w:rsidTr="000470AA">
        <w:trPr>
          <w:trHeight w:val="436"/>
        </w:trPr>
        <w:tc>
          <w:tcPr>
            <w:tcW w:w="2721" w:type="pct"/>
            <w:vMerge/>
            <w:vAlign w:val="center"/>
          </w:tcPr>
          <w:p w14:paraId="27BCE207" w14:textId="77777777" w:rsidR="000470AA" w:rsidRPr="001269D6" w:rsidRDefault="000470AA" w:rsidP="000470AA">
            <w:pPr>
              <w:rPr>
                <w:sz w:val="18"/>
                <w:lang w:val="en-US"/>
              </w:rPr>
            </w:pPr>
          </w:p>
        </w:tc>
        <w:tc>
          <w:tcPr>
            <w:tcW w:w="369" w:type="pct"/>
            <w:vAlign w:val="center"/>
          </w:tcPr>
          <w:p w14:paraId="1437EF9A" w14:textId="77777777" w:rsidR="000470AA" w:rsidRPr="001269D6" w:rsidRDefault="000470AA" w:rsidP="000470AA">
            <w:pPr>
              <w:rPr>
                <w:sz w:val="18"/>
                <w:lang w:val="en-US"/>
              </w:rPr>
            </w:pPr>
            <w:r w:rsidRPr="001269D6">
              <w:rPr>
                <w:noProof/>
                <w:sz w:val="20"/>
                <w:lang w:eastAsia="pl-PL"/>
              </w:rPr>
              <w:drawing>
                <wp:anchor distT="0" distB="0" distL="114300" distR="114300" simplePos="0" relativeHeight="251735040" behindDoc="0" locked="0" layoutInCell="1" allowOverlap="1" wp14:anchorId="727AC441" wp14:editId="6AC7EFA4">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40EF9E3E" w14:textId="77777777" w:rsidR="000470AA" w:rsidRPr="001269D6" w:rsidRDefault="001D2736" w:rsidP="000470AA">
            <w:pPr>
              <w:rPr>
                <w:sz w:val="18"/>
              </w:rPr>
            </w:pPr>
            <w:r w:rsidRPr="001269D6">
              <w:rPr>
                <w:sz w:val="20"/>
              </w:rPr>
              <w:t>@</w:t>
            </w:r>
            <w:proofErr w:type="spellStart"/>
            <w:r w:rsidRPr="001269D6">
              <w:rPr>
                <w:sz w:val="20"/>
              </w:rPr>
              <w:t>StatPoland</w:t>
            </w:r>
            <w:proofErr w:type="spellEnd"/>
          </w:p>
        </w:tc>
      </w:tr>
      <w:tr w:rsidR="00947EB3" w:rsidRPr="00947EB3" w14:paraId="3E5C9AAF" w14:textId="77777777" w:rsidTr="000470AA">
        <w:trPr>
          <w:trHeight w:val="436"/>
        </w:trPr>
        <w:tc>
          <w:tcPr>
            <w:tcW w:w="2721" w:type="pct"/>
            <w:vMerge/>
            <w:vAlign w:val="center"/>
          </w:tcPr>
          <w:p w14:paraId="0191A019" w14:textId="77777777" w:rsidR="000470AA" w:rsidRPr="001269D6" w:rsidRDefault="000470AA" w:rsidP="000470AA">
            <w:pPr>
              <w:rPr>
                <w:sz w:val="18"/>
              </w:rPr>
            </w:pPr>
          </w:p>
        </w:tc>
        <w:tc>
          <w:tcPr>
            <w:tcW w:w="369" w:type="pct"/>
            <w:vAlign w:val="center"/>
          </w:tcPr>
          <w:p w14:paraId="4AB79A0D" w14:textId="77777777" w:rsidR="000470AA" w:rsidRPr="001269D6" w:rsidRDefault="000470AA" w:rsidP="000470AA">
            <w:pPr>
              <w:rPr>
                <w:sz w:val="18"/>
              </w:rPr>
            </w:pPr>
            <w:r w:rsidRPr="001269D6">
              <w:rPr>
                <w:noProof/>
                <w:sz w:val="20"/>
                <w:lang w:eastAsia="pl-PL"/>
              </w:rPr>
              <w:drawing>
                <wp:anchor distT="0" distB="0" distL="114300" distR="114300" simplePos="0" relativeHeight="251734016" behindDoc="0" locked="0" layoutInCell="1" allowOverlap="1" wp14:anchorId="13415480" wp14:editId="4C5377F5">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009DBCB2" w14:textId="77777777" w:rsidR="000470AA" w:rsidRPr="001269D6" w:rsidRDefault="000470AA" w:rsidP="000470AA">
            <w:pPr>
              <w:rPr>
                <w:sz w:val="20"/>
              </w:rPr>
            </w:pPr>
            <w:r w:rsidRPr="001269D6">
              <w:rPr>
                <w:sz w:val="20"/>
              </w:rPr>
              <w:t>@</w:t>
            </w:r>
            <w:proofErr w:type="spellStart"/>
            <w:r w:rsidRPr="001269D6">
              <w:rPr>
                <w:sz w:val="20"/>
              </w:rPr>
              <w:t>GlownyUrzadStatystyczny</w:t>
            </w:r>
            <w:proofErr w:type="spellEnd"/>
          </w:p>
        </w:tc>
      </w:tr>
    </w:tbl>
    <w:p w14:paraId="01A6F0E3" w14:textId="64763EE8" w:rsidR="00D261A2" w:rsidRPr="00947EB3" w:rsidRDefault="001448A7" w:rsidP="00E76D26">
      <w:pPr>
        <w:rPr>
          <w:sz w:val="18"/>
        </w:rPr>
      </w:pPr>
      <w:r w:rsidRPr="00947EB3">
        <w:rPr>
          <w:noProof/>
          <w:sz w:val="18"/>
          <w:lang w:eastAsia="pl-PL"/>
        </w:rPr>
        <mc:AlternateContent>
          <mc:Choice Requires="wps">
            <w:drawing>
              <wp:anchor distT="45720" distB="45720" distL="114300" distR="114300" simplePos="0" relativeHeight="251691008" behindDoc="0" locked="0" layoutInCell="1" allowOverlap="1" wp14:anchorId="392DDA74" wp14:editId="2F2275EC">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14:paraId="25C3484C" w14:textId="77777777" w:rsidR="00227C21" w:rsidRDefault="00227C21" w:rsidP="00AB6D25">
                            <w:pPr>
                              <w:rPr>
                                <w:b/>
                              </w:rPr>
                            </w:pPr>
                          </w:p>
                          <w:p w14:paraId="4FB962AD" w14:textId="77777777" w:rsidR="00227C21" w:rsidRPr="00057979" w:rsidRDefault="00227C21" w:rsidP="00AB6D25">
                            <w:pPr>
                              <w:rPr>
                                <w:b/>
                                <w:lang w:val="en-US"/>
                              </w:rPr>
                            </w:pPr>
                            <w:r w:rsidRPr="00057979">
                              <w:rPr>
                                <w:b/>
                                <w:lang w:val="en-US"/>
                              </w:rPr>
                              <w:t>Related information</w:t>
                            </w:r>
                          </w:p>
                          <w:p w14:paraId="160B633D" w14:textId="77777777" w:rsidR="00227C21" w:rsidRPr="00751377" w:rsidRDefault="003758B4" w:rsidP="00AB6D25">
                            <w:pPr>
                              <w:rPr>
                                <w:color w:val="001D77"/>
                                <w:sz w:val="18"/>
                                <w:szCs w:val="18"/>
                                <w:lang w:val="en-US"/>
                              </w:rPr>
                            </w:pPr>
                            <w:hyperlink r:id="rId33" w:history="1">
                              <w:r w:rsidR="00227C21" w:rsidRPr="00751377">
                                <w:rPr>
                                  <w:rStyle w:val="Hipercze"/>
                                  <w:rFonts w:cstheme="minorBidi"/>
                                  <w:color w:val="001D77"/>
                                  <w:sz w:val="18"/>
                                  <w:szCs w:val="18"/>
                                  <w:lang w:val="en-US"/>
                                </w:rPr>
                                <w:t>Yearbook of Foreign Trade Statistics of Poland 2018</w:t>
                              </w:r>
                            </w:hyperlink>
                          </w:p>
                          <w:p w14:paraId="4DEACD36" w14:textId="77777777" w:rsidR="00227C21" w:rsidRPr="00057979" w:rsidRDefault="00227C21" w:rsidP="00AB6D25">
                            <w:pPr>
                              <w:rPr>
                                <w:b/>
                                <w:color w:val="000000" w:themeColor="text1"/>
                                <w:szCs w:val="24"/>
                                <w:lang w:val="en-US"/>
                              </w:rPr>
                            </w:pPr>
                          </w:p>
                          <w:p w14:paraId="43CF7758" w14:textId="77777777" w:rsidR="00227C21" w:rsidRPr="00057979" w:rsidRDefault="00227C21" w:rsidP="00AB6D25">
                            <w:pPr>
                              <w:rPr>
                                <w:b/>
                                <w:color w:val="000000" w:themeColor="text1"/>
                                <w:szCs w:val="24"/>
                                <w:lang w:val="en-US"/>
                              </w:rPr>
                            </w:pPr>
                            <w:r w:rsidRPr="00057979">
                              <w:rPr>
                                <w:b/>
                                <w:color w:val="000000" w:themeColor="text1"/>
                                <w:szCs w:val="24"/>
                                <w:lang w:val="en-US"/>
                              </w:rPr>
                              <w:t>Data available in databases</w:t>
                            </w:r>
                          </w:p>
                          <w:p w14:paraId="092245EF" w14:textId="77777777" w:rsidR="00227C21" w:rsidRPr="00751377" w:rsidRDefault="003758B4" w:rsidP="00673C26">
                            <w:pPr>
                              <w:rPr>
                                <w:rStyle w:val="Hipercze"/>
                                <w:rFonts w:cs="Arial"/>
                                <w:color w:val="001D77"/>
                                <w:sz w:val="18"/>
                                <w:szCs w:val="30"/>
                                <w:shd w:val="clear" w:color="auto" w:fill="F0F0F0"/>
                                <w:lang w:val="en-US"/>
                              </w:rPr>
                            </w:pPr>
                            <w:hyperlink r:id="rId34" w:history="1">
                              <w:r w:rsidR="00227C21" w:rsidRPr="00751377">
                                <w:rPr>
                                  <w:rStyle w:val="Hipercze"/>
                                  <w:rFonts w:cs="Arial"/>
                                  <w:color w:val="001D77"/>
                                  <w:sz w:val="18"/>
                                  <w:szCs w:val="30"/>
                                  <w:shd w:val="clear" w:color="auto" w:fill="F0F0F0"/>
                                  <w:lang w:val="en-US"/>
                                </w:rPr>
                                <w:t>Knowledge Databases Foreign Trade</w:t>
                              </w:r>
                            </w:hyperlink>
                          </w:p>
                          <w:p w14:paraId="02E1A8EF" w14:textId="77777777" w:rsidR="00227C21" w:rsidRPr="00057979" w:rsidRDefault="00227C21" w:rsidP="00AB6D25">
                            <w:pPr>
                              <w:rPr>
                                <w:b/>
                                <w:color w:val="000000" w:themeColor="text1"/>
                                <w:szCs w:val="24"/>
                                <w:lang w:val="en-US"/>
                              </w:rPr>
                            </w:pPr>
                          </w:p>
                          <w:p w14:paraId="261A9AC3" w14:textId="77777777" w:rsidR="00227C21" w:rsidRPr="00057979" w:rsidRDefault="00227C21" w:rsidP="00AB6D25">
                            <w:pPr>
                              <w:rPr>
                                <w:b/>
                                <w:color w:val="000000" w:themeColor="text1"/>
                                <w:szCs w:val="24"/>
                                <w:lang w:val="en-US"/>
                              </w:rPr>
                            </w:pPr>
                            <w:r w:rsidRPr="00057979">
                              <w:rPr>
                                <w:b/>
                                <w:color w:val="000000" w:themeColor="text1"/>
                                <w:szCs w:val="24"/>
                                <w:lang w:val="en-US"/>
                              </w:rPr>
                              <w:t>Terms used in official statistics</w:t>
                            </w:r>
                          </w:p>
                          <w:p w14:paraId="65AFFEAF" w14:textId="77777777" w:rsidR="00227C21" w:rsidRPr="00751377" w:rsidRDefault="003758B4" w:rsidP="00673C26">
                            <w:pPr>
                              <w:rPr>
                                <w:rStyle w:val="Hipercze"/>
                                <w:rFonts w:cs="Arial"/>
                                <w:color w:val="001D77"/>
                                <w:sz w:val="18"/>
                                <w:szCs w:val="30"/>
                                <w:shd w:val="clear" w:color="auto" w:fill="F0F0F0"/>
                                <w:lang w:val="en-US"/>
                              </w:rPr>
                            </w:pPr>
                            <w:hyperlink r:id="rId35" w:history="1">
                              <w:r w:rsidR="00227C21" w:rsidRPr="00751377">
                                <w:rPr>
                                  <w:rStyle w:val="Hipercze"/>
                                  <w:rFonts w:cs="Arial"/>
                                  <w:color w:val="001D77"/>
                                  <w:sz w:val="18"/>
                                  <w:szCs w:val="30"/>
                                  <w:shd w:val="clear" w:color="auto" w:fill="F0F0F0"/>
                                  <w:lang w:val="en-US"/>
                                </w:rPr>
                                <w:t>residents - international trade in services</w:t>
                              </w:r>
                            </w:hyperlink>
                          </w:p>
                          <w:p w14:paraId="2BCA7A3C" w14:textId="77777777" w:rsidR="00227C21" w:rsidRPr="00751377" w:rsidRDefault="003758B4" w:rsidP="00AB6D25">
                            <w:pPr>
                              <w:rPr>
                                <w:color w:val="001D77"/>
                                <w:sz w:val="18"/>
                                <w:szCs w:val="18"/>
                                <w:lang w:val="en-US"/>
                              </w:rPr>
                            </w:pPr>
                            <w:hyperlink r:id="rId36" w:history="1">
                              <w:r w:rsidR="00227C21" w:rsidRPr="00751377">
                                <w:rPr>
                                  <w:rStyle w:val="Hipercze"/>
                                  <w:rFonts w:cstheme="minorBidi"/>
                                  <w:color w:val="001D77"/>
                                  <w:sz w:val="18"/>
                                  <w:szCs w:val="18"/>
                                  <w:lang w:val="en-US"/>
                                </w:rPr>
                                <w:t>international trade in services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DDA74" id="_x0000_s1033" type="#_x0000_t202" style="position:absolute;margin-left:1.5pt;margin-top:33.5pt;width:516.5pt;height:349.8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" fillcolor="#f2f2f2 [3052]" strokecolor="white [3212]">
                <v:textbox>
                  <w:txbxContent>
                    <w:p w14:paraId="25C3484C" w14:textId="77777777" w:rsidR="00227C21" w:rsidRDefault="00227C21" w:rsidP="00AB6D25">
                      <w:pPr>
                        <w:rPr>
                          <w:b/>
                        </w:rPr>
                      </w:pPr>
                    </w:p>
                    <w:p w14:paraId="4FB962AD" w14:textId="77777777" w:rsidR="00227C21" w:rsidRPr="00057979" w:rsidRDefault="00227C21" w:rsidP="00AB6D25">
                      <w:pPr>
                        <w:rPr>
                          <w:b/>
                          <w:lang w:val="en-US"/>
                        </w:rPr>
                      </w:pPr>
                      <w:r w:rsidRPr="00057979">
                        <w:rPr>
                          <w:b/>
                          <w:lang w:val="en-US"/>
                        </w:rPr>
                        <w:t>Related information</w:t>
                      </w:r>
                    </w:p>
                    <w:p w14:paraId="160B633D" w14:textId="77777777" w:rsidR="00227C21" w:rsidRPr="00751377" w:rsidRDefault="00246FE7" w:rsidP="00AB6D25">
                      <w:pPr>
                        <w:rPr>
                          <w:color w:val="001D77"/>
                          <w:sz w:val="18"/>
                          <w:szCs w:val="18"/>
                          <w:lang w:val="en-US"/>
                        </w:rPr>
                      </w:pPr>
                      <w:hyperlink r:id="rId37" w:history="1">
                        <w:r w:rsidR="00227C21" w:rsidRPr="00751377">
                          <w:rPr>
                            <w:rStyle w:val="Hipercze"/>
                            <w:rFonts w:cstheme="minorBidi"/>
                            <w:color w:val="001D77"/>
                            <w:sz w:val="18"/>
                            <w:szCs w:val="18"/>
                            <w:lang w:val="en-US"/>
                          </w:rPr>
                          <w:t>Yearbook of Foreign Trade Statistics of Poland 2018</w:t>
                        </w:r>
                      </w:hyperlink>
                    </w:p>
                    <w:p w14:paraId="4DEACD36" w14:textId="77777777" w:rsidR="00227C21" w:rsidRPr="00057979" w:rsidRDefault="00227C21" w:rsidP="00AB6D25">
                      <w:pPr>
                        <w:rPr>
                          <w:b/>
                          <w:color w:val="000000" w:themeColor="text1"/>
                          <w:szCs w:val="24"/>
                          <w:lang w:val="en-US"/>
                        </w:rPr>
                      </w:pPr>
                    </w:p>
                    <w:p w14:paraId="43CF7758" w14:textId="77777777" w:rsidR="00227C21" w:rsidRPr="00057979" w:rsidRDefault="00227C21" w:rsidP="00AB6D25">
                      <w:pPr>
                        <w:rPr>
                          <w:b/>
                          <w:color w:val="000000" w:themeColor="text1"/>
                          <w:szCs w:val="24"/>
                          <w:lang w:val="en-US"/>
                        </w:rPr>
                      </w:pPr>
                      <w:r w:rsidRPr="00057979">
                        <w:rPr>
                          <w:b/>
                          <w:color w:val="000000" w:themeColor="text1"/>
                          <w:szCs w:val="24"/>
                          <w:lang w:val="en-US"/>
                        </w:rPr>
                        <w:t>Data available in databases</w:t>
                      </w:r>
                    </w:p>
                    <w:p w14:paraId="092245EF" w14:textId="77777777" w:rsidR="00227C21" w:rsidRPr="00751377" w:rsidRDefault="00246FE7" w:rsidP="00673C26">
                      <w:pPr>
                        <w:rPr>
                          <w:rStyle w:val="Hipercze"/>
                          <w:rFonts w:cs="Arial"/>
                          <w:color w:val="001D77"/>
                          <w:sz w:val="18"/>
                          <w:szCs w:val="30"/>
                          <w:shd w:val="clear" w:color="auto" w:fill="F0F0F0"/>
                          <w:lang w:val="en-US"/>
                        </w:rPr>
                      </w:pPr>
                      <w:hyperlink r:id="rId38" w:history="1">
                        <w:r w:rsidR="00227C21" w:rsidRPr="00751377">
                          <w:rPr>
                            <w:rStyle w:val="Hipercze"/>
                            <w:rFonts w:cs="Arial"/>
                            <w:color w:val="001D77"/>
                            <w:sz w:val="18"/>
                            <w:szCs w:val="30"/>
                            <w:shd w:val="clear" w:color="auto" w:fill="F0F0F0"/>
                            <w:lang w:val="en-US"/>
                          </w:rPr>
                          <w:t>Knowledge Databases Foreign Trade</w:t>
                        </w:r>
                      </w:hyperlink>
                    </w:p>
                    <w:p w14:paraId="02E1A8EF" w14:textId="77777777" w:rsidR="00227C21" w:rsidRPr="00057979" w:rsidRDefault="00227C21" w:rsidP="00AB6D25">
                      <w:pPr>
                        <w:rPr>
                          <w:b/>
                          <w:color w:val="000000" w:themeColor="text1"/>
                          <w:szCs w:val="24"/>
                          <w:lang w:val="en-US"/>
                        </w:rPr>
                      </w:pPr>
                    </w:p>
                    <w:p w14:paraId="261A9AC3" w14:textId="77777777" w:rsidR="00227C21" w:rsidRPr="00057979" w:rsidRDefault="00227C21" w:rsidP="00AB6D25">
                      <w:pPr>
                        <w:rPr>
                          <w:b/>
                          <w:color w:val="000000" w:themeColor="text1"/>
                          <w:szCs w:val="24"/>
                          <w:lang w:val="en-US"/>
                        </w:rPr>
                      </w:pPr>
                      <w:r w:rsidRPr="00057979">
                        <w:rPr>
                          <w:b/>
                          <w:color w:val="000000" w:themeColor="text1"/>
                          <w:szCs w:val="24"/>
                          <w:lang w:val="en-US"/>
                        </w:rPr>
                        <w:t>Terms used in official statistics</w:t>
                      </w:r>
                    </w:p>
                    <w:p w14:paraId="65AFFEAF" w14:textId="77777777" w:rsidR="00227C21" w:rsidRPr="00751377" w:rsidRDefault="00246FE7" w:rsidP="00673C26">
                      <w:pPr>
                        <w:rPr>
                          <w:rStyle w:val="Hipercze"/>
                          <w:rFonts w:cs="Arial"/>
                          <w:color w:val="001D77"/>
                          <w:sz w:val="18"/>
                          <w:szCs w:val="30"/>
                          <w:shd w:val="clear" w:color="auto" w:fill="F0F0F0"/>
                          <w:lang w:val="en-US"/>
                        </w:rPr>
                      </w:pPr>
                      <w:hyperlink r:id="rId39" w:history="1">
                        <w:r w:rsidR="00227C21" w:rsidRPr="00751377">
                          <w:rPr>
                            <w:rStyle w:val="Hipercze"/>
                            <w:rFonts w:cs="Arial"/>
                            <w:color w:val="001D77"/>
                            <w:sz w:val="18"/>
                            <w:szCs w:val="30"/>
                            <w:shd w:val="clear" w:color="auto" w:fill="F0F0F0"/>
                            <w:lang w:val="en-US"/>
                          </w:rPr>
                          <w:t>residents - international trade in services</w:t>
                        </w:r>
                      </w:hyperlink>
                    </w:p>
                    <w:p w14:paraId="2BCA7A3C" w14:textId="77777777" w:rsidR="00227C21" w:rsidRPr="00751377" w:rsidRDefault="00246FE7" w:rsidP="00AB6D25">
                      <w:pPr>
                        <w:rPr>
                          <w:color w:val="001D77"/>
                          <w:sz w:val="18"/>
                          <w:szCs w:val="18"/>
                          <w:lang w:val="en-US"/>
                        </w:rPr>
                      </w:pPr>
                      <w:hyperlink r:id="rId40" w:history="1">
                        <w:r w:rsidR="00227C21" w:rsidRPr="00751377">
                          <w:rPr>
                            <w:rStyle w:val="Hipercze"/>
                            <w:rFonts w:cstheme="minorBidi"/>
                            <w:color w:val="001D77"/>
                            <w:sz w:val="18"/>
                            <w:szCs w:val="18"/>
                            <w:lang w:val="en-US"/>
                          </w:rPr>
                          <w:t>international trade in services</w:t>
                        </w:r>
                      </w:hyperlink>
                    </w:p>
                  </w:txbxContent>
                </v:textbox>
                <w10:wrap type="square" anchorx="margin"/>
              </v:shape>
            </w:pict>
          </mc:Fallback>
        </mc:AlternateContent>
      </w:r>
      <w:r w:rsidR="00350A0B" w:rsidRPr="00947EB3">
        <w:rPr>
          <w:sz w:val="18"/>
        </w:rPr>
        <w:t xml:space="preserve"> </w:t>
      </w:r>
    </w:p>
    <w:sectPr w:rsidR="00D261A2" w:rsidRPr="00947EB3" w:rsidSect="003B18B6">
      <w:headerReference w:type="default" r:id="rId41"/>
      <w:footerReference w:type="default" r:id="rId4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8E79E" w14:textId="77777777" w:rsidR="003758B4" w:rsidRDefault="003758B4" w:rsidP="000662E2">
      <w:pPr>
        <w:spacing w:after="0" w:line="240" w:lineRule="auto"/>
      </w:pPr>
      <w:r>
        <w:separator/>
      </w:r>
    </w:p>
  </w:endnote>
  <w:endnote w:type="continuationSeparator" w:id="0">
    <w:p w14:paraId="1D64F623" w14:textId="77777777" w:rsidR="003758B4" w:rsidRDefault="003758B4"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31560"/>
      <w:docPartObj>
        <w:docPartGallery w:val="Page Numbers (Bottom of Page)"/>
        <w:docPartUnique/>
      </w:docPartObj>
    </w:sdtPr>
    <w:sdtEndPr/>
    <w:sdtContent>
      <w:p w14:paraId="1C7BDCA9" w14:textId="77777777" w:rsidR="00227C21" w:rsidRDefault="00227C21" w:rsidP="003B18B6">
        <w:pPr>
          <w:pStyle w:val="Stopka"/>
          <w:jc w:val="center"/>
        </w:pPr>
        <w:r>
          <w:fldChar w:fldCharType="begin"/>
        </w:r>
        <w:r>
          <w:instrText>PAGE   \* MERGEFORMAT</w:instrText>
        </w:r>
        <w:r>
          <w:fldChar w:fldCharType="separate"/>
        </w:r>
        <w:r w:rsidR="00C14AE2">
          <w:rPr>
            <w:noProof/>
          </w:rPr>
          <w:t>11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427604"/>
      <w:docPartObj>
        <w:docPartGallery w:val="Page Numbers (Bottom of Page)"/>
        <w:docPartUnique/>
      </w:docPartObj>
    </w:sdtPr>
    <w:sdtEndPr/>
    <w:sdtContent>
      <w:p w14:paraId="697784D9" w14:textId="77777777" w:rsidR="00227C21" w:rsidRDefault="00227C21" w:rsidP="003B18B6">
        <w:pPr>
          <w:pStyle w:val="Stopka"/>
          <w:jc w:val="center"/>
        </w:pPr>
        <w:r>
          <w:fldChar w:fldCharType="begin"/>
        </w:r>
        <w:r>
          <w:instrText>PAGE   \* MERGEFORMAT</w:instrText>
        </w:r>
        <w:r>
          <w:fldChar w:fldCharType="separate"/>
        </w:r>
        <w:r w:rsidR="00C14AE2">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049CA3E5" w14:textId="77777777" w:rsidR="00227C21" w:rsidRDefault="00227C21" w:rsidP="003B18B6">
        <w:pPr>
          <w:pStyle w:val="Stopka"/>
          <w:jc w:val="center"/>
        </w:pPr>
        <w:r>
          <w:fldChar w:fldCharType="begin"/>
        </w:r>
        <w:r>
          <w:instrText>PAGE   \* MERGEFORMAT</w:instrText>
        </w:r>
        <w:r>
          <w:fldChar w:fldCharType="separate"/>
        </w:r>
        <w:r w:rsidR="00C14AE2">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84F36" w14:textId="77777777" w:rsidR="003758B4" w:rsidRDefault="003758B4" w:rsidP="000662E2">
      <w:pPr>
        <w:spacing w:after="0" w:line="240" w:lineRule="auto"/>
      </w:pPr>
      <w:r>
        <w:separator/>
      </w:r>
    </w:p>
  </w:footnote>
  <w:footnote w:type="continuationSeparator" w:id="0">
    <w:p w14:paraId="2DC32409" w14:textId="77777777" w:rsidR="003758B4" w:rsidRDefault="003758B4" w:rsidP="000662E2">
      <w:pPr>
        <w:spacing w:after="0" w:line="240" w:lineRule="auto"/>
      </w:pPr>
      <w:r>
        <w:continuationSeparator/>
      </w:r>
    </w:p>
  </w:footnote>
  <w:footnote w:id="1">
    <w:p w14:paraId="64A1EAB4" w14:textId="15A2609F" w:rsidR="001269D6" w:rsidRPr="002E1FEA" w:rsidRDefault="001269D6">
      <w:pPr>
        <w:pStyle w:val="Tekstprzypisudolnego"/>
        <w:rPr>
          <w:sz w:val="16"/>
          <w:szCs w:val="16"/>
          <w:lang w:val="en-GB"/>
        </w:rPr>
      </w:pPr>
      <w:r>
        <w:rPr>
          <w:rStyle w:val="Odwoanieprzypisudolnego"/>
        </w:rPr>
        <w:footnoteRef/>
      </w:r>
      <w:r w:rsidRPr="002E1FEA">
        <w:rPr>
          <w:lang w:val="en-GB"/>
        </w:rPr>
        <w:t xml:space="preserve"> </w:t>
      </w:r>
      <w:r w:rsidRPr="002E1FEA">
        <w:rPr>
          <w:sz w:val="16"/>
          <w:szCs w:val="16"/>
          <w:lang w:val="en-GB"/>
        </w:rPr>
        <w:t>See Methodological note page 11</w:t>
      </w:r>
      <w:r w:rsidR="00632121" w:rsidRPr="002E1FEA">
        <w:rPr>
          <w:sz w:val="16"/>
          <w:szCs w:val="16"/>
          <w:lang w:val="en-GB"/>
        </w:rPr>
        <w:t>.</w:t>
      </w:r>
    </w:p>
  </w:footnote>
  <w:footnote w:id="2">
    <w:p w14:paraId="2857790E" w14:textId="45241E12" w:rsidR="00227C21" w:rsidRPr="00D41848" w:rsidRDefault="00227C21">
      <w:pPr>
        <w:pStyle w:val="Tekstprzypisudolnego"/>
        <w:rPr>
          <w:sz w:val="16"/>
          <w:szCs w:val="16"/>
          <w:lang w:val="en-US"/>
        </w:rPr>
      </w:pPr>
      <w:r w:rsidRPr="00D41848">
        <w:rPr>
          <w:rStyle w:val="Odwoanieprzypisudolnego"/>
          <w:sz w:val="16"/>
          <w:szCs w:val="16"/>
        </w:rPr>
        <w:footnoteRef/>
      </w:r>
      <w:r w:rsidRPr="00D41848">
        <w:rPr>
          <w:sz w:val="16"/>
          <w:szCs w:val="16"/>
          <w:lang w:val="en-US"/>
        </w:rPr>
        <w:t xml:space="preserve"> Applies to entities conducting activities classified according to </w:t>
      </w:r>
      <w:r w:rsidR="000C2419">
        <w:rPr>
          <w:sz w:val="16"/>
          <w:szCs w:val="16"/>
          <w:lang w:val="en-US"/>
        </w:rPr>
        <w:t>NACE Rev. 2.0</w:t>
      </w:r>
      <w:r w:rsidRPr="00D41848">
        <w:rPr>
          <w:sz w:val="16"/>
          <w:szCs w:val="16"/>
          <w:lang w:val="en-US"/>
        </w:rPr>
        <w:t xml:space="preserve"> to Sections from B “Mining and quarrying” to N “Administrative and support service activities” and Division 95 “Repair of computers and personal and household goods” from Section S “Other service activities”, excluding Section K “Financial and insurance activities” (regardless of the number of persons empl</w:t>
      </w:r>
      <w:r w:rsidR="0065199C">
        <w:rPr>
          <w:sz w:val="16"/>
          <w:szCs w:val="16"/>
          <w:lang w:val="en-US"/>
        </w:rPr>
        <w:t>oyed)</w:t>
      </w:r>
      <w:r w:rsidR="00632121">
        <w:rPr>
          <w:sz w:val="16"/>
          <w:szCs w:val="16"/>
          <w:lang w:val="en-US"/>
        </w:rPr>
        <w:t>.</w:t>
      </w:r>
    </w:p>
  </w:footnote>
  <w:footnote w:id="3">
    <w:p w14:paraId="3ECBE3BB" w14:textId="620DC3F9" w:rsidR="00227C21" w:rsidRPr="00D41848" w:rsidRDefault="00227C21">
      <w:pPr>
        <w:pStyle w:val="Tekstprzypisudolnego"/>
        <w:rPr>
          <w:sz w:val="16"/>
          <w:szCs w:val="16"/>
          <w:lang w:val="en-US"/>
        </w:rPr>
      </w:pPr>
      <w:r w:rsidRPr="00D41848">
        <w:rPr>
          <w:rStyle w:val="Odwoanieprzypisudolnego"/>
          <w:sz w:val="16"/>
          <w:szCs w:val="16"/>
        </w:rPr>
        <w:footnoteRef/>
      </w:r>
      <w:r w:rsidRPr="00D41848">
        <w:rPr>
          <w:sz w:val="16"/>
          <w:szCs w:val="16"/>
          <w:lang w:val="en-US"/>
        </w:rPr>
        <w:t xml:space="preserve"> Names of activities groupings according to Statistical Classification of Economic Activities in the European Comm</w:t>
      </w:r>
      <w:r>
        <w:rPr>
          <w:sz w:val="16"/>
          <w:szCs w:val="16"/>
          <w:lang w:val="en-US"/>
        </w:rPr>
        <w:t>unity (NACE Rev. 2) – see page</w:t>
      </w:r>
      <w:r w:rsidR="0028151D">
        <w:rPr>
          <w:sz w:val="16"/>
          <w:szCs w:val="16"/>
          <w:lang w:val="en-US"/>
        </w:rPr>
        <w:t xml:space="preserve"> 11</w:t>
      </w:r>
      <w:r w:rsidR="00632121">
        <w:rPr>
          <w:sz w:val="16"/>
          <w:szCs w:val="16"/>
          <w:lang w:val="en-US"/>
        </w:rPr>
        <w:t>.</w:t>
      </w:r>
    </w:p>
  </w:footnote>
  <w:footnote w:id="4">
    <w:p w14:paraId="2EC958D2" w14:textId="77777777" w:rsidR="001269D6" w:rsidRPr="002E1FEA" w:rsidRDefault="001269D6" w:rsidP="001269D6">
      <w:pPr>
        <w:pStyle w:val="Tekstprzypisudolnego"/>
        <w:spacing w:before="0"/>
        <w:rPr>
          <w:sz w:val="16"/>
          <w:szCs w:val="16"/>
          <w:lang w:val="en-GB"/>
        </w:rPr>
      </w:pPr>
      <w:r>
        <w:rPr>
          <w:rStyle w:val="Odwoanieprzypisudolnego"/>
        </w:rPr>
        <w:footnoteRef/>
      </w:r>
      <w:r w:rsidRPr="002E1FEA">
        <w:rPr>
          <w:lang w:val="en-GB"/>
        </w:rPr>
        <w:t xml:space="preserve"> </w:t>
      </w:r>
      <w:r w:rsidRPr="002E1FEA">
        <w:rPr>
          <w:sz w:val="16"/>
          <w:szCs w:val="16"/>
          <w:lang w:val="en-GB"/>
        </w:rPr>
        <w:t>Pursuant to the Act of 27 July 2002, The Foreign Exchange Law, non-residents are:</w:t>
      </w:r>
    </w:p>
    <w:p w14:paraId="7D614704" w14:textId="58A2E854" w:rsidR="001269D6" w:rsidRPr="002E1FEA" w:rsidRDefault="001269D6" w:rsidP="00D31063">
      <w:pPr>
        <w:pStyle w:val="Tekstprzypisudolnego"/>
        <w:numPr>
          <w:ilvl w:val="0"/>
          <w:numId w:val="8"/>
        </w:numPr>
        <w:spacing w:before="0"/>
        <w:ind w:left="426" w:hanging="284"/>
        <w:rPr>
          <w:sz w:val="16"/>
          <w:szCs w:val="16"/>
          <w:lang w:val="en-GB"/>
        </w:rPr>
      </w:pPr>
      <w:r w:rsidRPr="002E1FEA">
        <w:rPr>
          <w:sz w:val="16"/>
          <w:szCs w:val="16"/>
          <w:lang w:val="en-GB"/>
        </w:rPr>
        <w:t>natural persons having their place of residence abroad and legal persons having their seat abroad, as well as other entities having their seat abroad which have the capacity to incur obligations and acquire rights in their own name; non-residents shall also be branches, agencies and enterprises es</w:t>
      </w:r>
      <w:r w:rsidR="00D31063" w:rsidRPr="002E1FEA">
        <w:rPr>
          <w:sz w:val="16"/>
          <w:szCs w:val="16"/>
          <w:lang w:val="en-GB"/>
        </w:rPr>
        <w:t>tablished by resi-dents abroad,</w:t>
      </w:r>
    </w:p>
    <w:p w14:paraId="62376A3C" w14:textId="7D5286E4" w:rsidR="001269D6" w:rsidRPr="002E1FEA" w:rsidRDefault="001269D6" w:rsidP="00D31063">
      <w:pPr>
        <w:pStyle w:val="Tekstprzypisudolnego"/>
        <w:numPr>
          <w:ilvl w:val="0"/>
          <w:numId w:val="8"/>
        </w:numPr>
        <w:spacing w:before="0"/>
        <w:ind w:left="426" w:hanging="284"/>
        <w:rPr>
          <w:sz w:val="16"/>
          <w:szCs w:val="16"/>
          <w:lang w:val="en-GB"/>
        </w:rPr>
      </w:pPr>
      <w:r w:rsidRPr="002E1FEA">
        <w:rPr>
          <w:sz w:val="16"/>
          <w:szCs w:val="16"/>
          <w:lang w:val="en-GB"/>
        </w:rPr>
        <w:t>foreign diplomatic representation offices, consular offices and other foreign representation offices and spe-cial missions which enjoy diplomatic or con</w:t>
      </w:r>
      <w:r w:rsidR="00632121" w:rsidRPr="002E1FEA">
        <w:rPr>
          <w:sz w:val="16"/>
          <w:szCs w:val="16"/>
          <w:lang w:val="en-GB"/>
        </w:rPr>
        <w:t>sular immunities and privileges.</w:t>
      </w:r>
    </w:p>
  </w:footnote>
  <w:footnote w:id="5">
    <w:p w14:paraId="2EEC4803" w14:textId="138A282C" w:rsidR="00227C21" w:rsidRPr="00D41848" w:rsidRDefault="00227C21" w:rsidP="00FD7D48">
      <w:pPr>
        <w:pStyle w:val="Tekstprzypisudolnego"/>
        <w:rPr>
          <w:sz w:val="16"/>
          <w:szCs w:val="16"/>
          <w:lang w:val="en-US"/>
        </w:rPr>
      </w:pPr>
      <w:r w:rsidRPr="00D41848">
        <w:rPr>
          <w:rStyle w:val="Odwoanieprzypisudolnego"/>
          <w:sz w:val="16"/>
          <w:szCs w:val="16"/>
        </w:rPr>
        <w:footnoteRef/>
      </w:r>
      <w:r w:rsidRPr="00D41848">
        <w:rPr>
          <w:sz w:val="16"/>
          <w:szCs w:val="16"/>
          <w:lang w:val="en-US"/>
        </w:rPr>
        <w:t xml:space="preserve">  Applies to entities conducting the following activities: software publishing (group 58.2), computer programming, consultancy and related activities (division 62) and data processing, hosting and related activ</w:t>
      </w:r>
      <w:r w:rsidR="00632121">
        <w:rPr>
          <w:sz w:val="16"/>
          <w:szCs w:val="16"/>
          <w:lang w:val="en-US"/>
        </w:rPr>
        <w:t>ities; web portals (group 63.1).</w:t>
      </w:r>
    </w:p>
  </w:footnote>
  <w:footnote w:id="6">
    <w:p w14:paraId="39937514" w14:textId="390BC4D0" w:rsidR="00227C21" w:rsidRPr="00D41848" w:rsidRDefault="00227C21" w:rsidP="00FD7D48">
      <w:pPr>
        <w:pStyle w:val="Tekstprzypisudolnego"/>
        <w:rPr>
          <w:sz w:val="16"/>
          <w:szCs w:val="16"/>
          <w:lang w:val="en-US"/>
        </w:rPr>
      </w:pPr>
      <w:r w:rsidRPr="00D41848">
        <w:rPr>
          <w:rStyle w:val="Odwoanieprzypisudolnego"/>
          <w:sz w:val="16"/>
          <w:szCs w:val="16"/>
        </w:rPr>
        <w:footnoteRef/>
      </w:r>
      <w:r w:rsidRPr="00D41848">
        <w:rPr>
          <w:sz w:val="16"/>
          <w:szCs w:val="16"/>
          <w:lang w:val="en-US"/>
        </w:rPr>
        <w:t xml:space="preserve"> Relation of gross financial result </w:t>
      </w:r>
      <w:r w:rsidR="00632121">
        <w:rPr>
          <w:sz w:val="16"/>
          <w:szCs w:val="16"/>
          <w:lang w:val="en-US"/>
        </w:rPr>
        <w:t>to revenues from total activity.</w:t>
      </w:r>
    </w:p>
  </w:footnote>
  <w:footnote w:id="7">
    <w:p w14:paraId="68FF5FDF" w14:textId="77777777" w:rsidR="00227C21" w:rsidRPr="00D41848" w:rsidRDefault="00227C21" w:rsidP="00FD7D48">
      <w:pPr>
        <w:pStyle w:val="Tekstprzypisudolnego"/>
        <w:rPr>
          <w:sz w:val="16"/>
          <w:szCs w:val="16"/>
          <w:lang w:val="en-US"/>
        </w:rPr>
      </w:pPr>
      <w:r w:rsidRPr="00D41848">
        <w:rPr>
          <w:rStyle w:val="Odwoanieprzypisudolnego"/>
          <w:sz w:val="16"/>
          <w:szCs w:val="16"/>
        </w:rPr>
        <w:footnoteRef/>
      </w:r>
      <w:r w:rsidRPr="00D41848">
        <w:rPr>
          <w:sz w:val="16"/>
          <w:szCs w:val="16"/>
          <w:lang w:val="en-US"/>
        </w:rPr>
        <w:t xml:space="preserve"> Relation of net financial result to revenues from total activity.</w:t>
      </w:r>
    </w:p>
  </w:footnote>
  <w:footnote w:id="8">
    <w:p w14:paraId="280DE586" w14:textId="77777777" w:rsidR="00227C21" w:rsidRPr="0087055C" w:rsidRDefault="00227C21" w:rsidP="00FD7D48">
      <w:pPr>
        <w:pStyle w:val="Tekstprzypisudolnego"/>
        <w:rPr>
          <w:color w:val="BFBFBF" w:themeColor="background1" w:themeShade="BF"/>
          <w:sz w:val="16"/>
          <w:szCs w:val="16"/>
          <w:lang w:val="en-US"/>
        </w:rPr>
      </w:pPr>
      <w:r w:rsidRPr="00D41848">
        <w:rPr>
          <w:rStyle w:val="Odwoanieprzypisudolnego"/>
          <w:sz w:val="16"/>
          <w:szCs w:val="16"/>
        </w:rPr>
        <w:footnoteRef/>
      </w:r>
      <w:r w:rsidRPr="00D41848">
        <w:rPr>
          <w:sz w:val="16"/>
          <w:szCs w:val="16"/>
          <w:lang w:val="en-US"/>
        </w:rPr>
        <w:t xml:space="preserve"> Relation of the costs of obtaining revenues from total activity to revenues from total activity.</w:t>
      </w:r>
    </w:p>
  </w:footnote>
  <w:footnote w:id="9">
    <w:p w14:paraId="780A53CB" w14:textId="77777777" w:rsidR="00227C21" w:rsidRPr="00911796" w:rsidRDefault="00227C21" w:rsidP="00FD7D48">
      <w:pPr>
        <w:pStyle w:val="Tekstprzypisudolnego"/>
        <w:rPr>
          <w:sz w:val="16"/>
          <w:szCs w:val="16"/>
          <w:lang w:val="en-US"/>
        </w:rPr>
      </w:pPr>
      <w:r w:rsidRPr="00911796">
        <w:rPr>
          <w:rStyle w:val="Odwoanieprzypisudolnego"/>
          <w:sz w:val="16"/>
          <w:szCs w:val="16"/>
        </w:rPr>
        <w:footnoteRef/>
      </w:r>
      <w:r w:rsidRPr="00911796">
        <w:rPr>
          <w:sz w:val="16"/>
          <w:szCs w:val="16"/>
          <w:lang w:val="en-US"/>
        </w:rPr>
        <w:t xml:space="preserve"> Applies to entities conducting the following activities: legal and accounting activities (69) and management consultancy activities (70.2).</w:t>
      </w:r>
    </w:p>
  </w:footnote>
  <w:footnote w:id="10">
    <w:p w14:paraId="3F3D90DA" w14:textId="77777777" w:rsidR="00227C21" w:rsidRPr="0087055C" w:rsidRDefault="00227C21" w:rsidP="00FD7D48">
      <w:pPr>
        <w:pStyle w:val="Tekstprzypisudolnego"/>
        <w:rPr>
          <w:color w:val="BFBFBF" w:themeColor="background1" w:themeShade="BF"/>
          <w:sz w:val="16"/>
          <w:szCs w:val="16"/>
          <w:lang w:val="en-US"/>
        </w:rPr>
      </w:pPr>
      <w:r w:rsidRPr="005331AC">
        <w:rPr>
          <w:rStyle w:val="Odwoanieprzypisudolnego"/>
          <w:sz w:val="16"/>
          <w:szCs w:val="16"/>
        </w:rPr>
        <w:footnoteRef/>
      </w:r>
      <w:r w:rsidRPr="005331AC">
        <w:rPr>
          <w:sz w:val="16"/>
          <w:szCs w:val="16"/>
          <w:lang w:val="en-US"/>
        </w:rPr>
        <w:t xml:space="preserve"> Due to the statistical confidentiality, data are not disseminated.</w:t>
      </w:r>
    </w:p>
  </w:footnote>
  <w:footnote w:id="11">
    <w:p w14:paraId="37EAC9A5" w14:textId="77777777" w:rsidR="00227C21" w:rsidRPr="00911796" w:rsidRDefault="00227C21">
      <w:pPr>
        <w:pStyle w:val="Tekstprzypisudolnego"/>
        <w:rPr>
          <w:sz w:val="16"/>
          <w:szCs w:val="16"/>
          <w:lang w:val="en-US"/>
        </w:rPr>
      </w:pPr>
      <w:r w:rsidRPr="00911796">
        <w:rPr>
          <w:rStyle w:val="Odwoanieprzypisudolnego"/>
          <w:sz w:val="16"/>
          <w:szCs w:val="16"/>
        </w:rPr>
        <w:footnoteRef/>
      </w:r>
      <w:r w:rsidRPr="00911796">
        <w:rPr>
          <w:sz w:val="16"/>
          <w:szCs w:val="16"/>
          <w:lang w:val="en-US"/>
        </w:rPr>
        <w:t xml:space="preserve"> Applies to entities conducting the following activities: architectural and engineering activities and related technical consultancy (71.1) and technical testing and analysis (71.2).</w:t>
      </w:r>
    </w:p>
  </w:footnote>
  <w:footnote w:id="12">
    <w:p w14:paraId="45469F99" w14:textId="77777777" w:rsidR="00227C21" w:rsidRPr="00354A25" w:rsidRDefault="00227C21">
      <w:pPr>
        <w:pStyle w:val="Tekstprzypisudolnego"/>
        <w:rPr>
          <w:sz w:val="16"/>
          <w:szCs w:val="16"/>
          <w:lang w:val="en-US"/>
        </w:rPr>
      </w:pPr>
      <w:r w:rsidRPr="00354A25">
        <w:rPr>
          <w:rStyle w:val="Odwoanieprzypisudolnego"/>
          <w:sz w:val="16"/>
          <w:szCs w:val="16"/>
        </w:rPr>
        <w:footnoteRef/>
      </w:r>
      <w:r w:rsidRPr="00354A25">
        <w:rPr>
          <w:sz w:val="16"/>
          <w:szCs w:val="16"/>
          <w:lang w:val="en-US"/>
        </w:rPr>
        <w:t xml:space="preserve"> Applies to entities conducting the following activities: advertising (73.1) and market research and public opinion polling (73.2).</w:t>
      </w:r>
    </w:p>
  </w:footnote>
  <w:footnote w:id="13">
    <w:p w14:paraId="4165968F" w14:textId="77777777" w:rsidR="00227C21" w:rsidRPr="00354A25" w:rsidRDefault="00227C21">
      <w:pPr>
        <w:pStyle w:val="Tekstprzypisudolnego"/>
        <w:rPr>
          <w:sz w:val="16"/>
          <w:szCs w:val="16"/>
          <w:lang w:val="en-US"/>
        </w:rPr>
      </w:pPr>
      <w:r w:rsidRPr="00354A25">
        <w:rPr>
          <w:rStyle w:val="Odwoanieprzypisudolnego"/>
          <w:sz w:val="16"/>
          <w:szCs w:val="16"/>
        </w:rPr>
        <w:footnoteRef/>
      </w:r>
      <w:r w:rsidRPr="00354A25">
        <w:rPr>
          <w:sz w:val="16"/>
          <w:szCs w:val="16"/>
          <w:lang w:val="en-US"/>
        </w:rPr>
        <w:t xml:space="preserve"> Applies to entities conducting the following activities: employment activities (78).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850D7" w14:textId="77777777" w:rsidR="00227C21" w:rsidRDefault="00227C21">
    <w:pPr>
      <w:pStyle w:val="Nagwek"/>
    </w:pPr>
    <w:r>
      <w:rPr>
        <w:noProof/>
        <w:lang w:eastAsia="pl-PL"/>
      </w:rPr>
      <mc:AlternateContent>
        <mc:Choice Requires="wps">
          <w:drawing>
            <wp:anchor distT="0" distB="0" distL="114300" distR="114300" simplePos="0" relativeHeight="251662336" behindDoc="1" locked="0" layoutInCell="1" allowOverlap="1" wp14:anchorId="5306E3FA" wp14:editId="4A64D8AB">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2DA52"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42E2349A" w14:textId="77777777" w:rsidR="00227C21" w:rsidRDefault="00227C2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19DE5" w14:textId="7BDC1A46" w:rsidR="00227C21" w:rsidRDefault="00227C21">
    <w:pPr>
      <w:pStyle w:val="Nagwek"/>
      <w:rPr>
        <w:noProof/>
        <w:lang w:eastAsia="pl-PL"/>
      </w:rPr>
    </w:pPr>
    <w:r>
      <w:rPr>
        <w:noProof/>
        <w:lang w:eastAsia="pl-PL"/>
      </w:rPr>
      <w:drawing>
        <wp:inline distT="0" distB="0" distL="0" distR="0" wp14:anchorId="45E8DEEC" wp14:editId="11BCE85E">
          <wp:extent cx="1866900" cy="704850"/>
          <wp:effectExtent l="0" t="0" r="0" b="0"/>
          <wp:docPr id="34" name="Obraz 34" descr="logog-02"/>
          <wp:cNvGraphicFramePr/>
          <a:graphic xmlns:a="http://schemas.openxmlformats.org/drawingml/2006/main">
            <a:graphicData uri="http://schemas.openxmlformats.org/drawingml/2006/picture">
              <pic:pic xmlns:pic="http://schemas.openxmlformats.org/drawingml/2006/picture">
                <pic:nvPicPr>
                  <pic:cNvPr id="4" name="Obraz 4" descr="logog-0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704850"/>
                  </a:xfrm>
                  <a:prstGeom prst="rect">
                    <a:avLst/>
                  </a:prstGeom>
                  <a:noFill/>
                  <a:ln>
                    <a:noFill/>
                  </a:ln>
                </pic:spPr>
              </pic:pic>
            </a:graphicData>
          </a:graphic>
        </wp:inline>
      </w:drawing>
    </w:r>
    <w:r w:rsidRPr="00F37172">
      <w:rPr>
        <w:noProof/>
        <w:lang w:eastAsia="pl-PL"/>
      </w:rPr>
      <mc:AlternateContent>
        <mc:Choice Requires="wps">
          <w:drawing>
            <wp:anchor distT="0" distB="0" distL="114300" distR="114300" simplePos="0" relativeHeight="251668480" behindDoc="0" locked="0" layoutInCell="1" allowOverlap="1" wp14:anchorId="19D8F2B6" wp14:editId="126A4D77">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F16FDB" w14:textId="77777777" w:rsidR="00227C21" w:rsidRPr="003C6C8D" w:rsidRDefault="00227C21"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8F2B6" id="Schemat blokowy: opóźnienie 6" o:spid="_x0000_s1034"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3F16FDB" w14:textId="77777777" w:rsidR="00227C21" w:rsidRPr="003C6C8D" w:rsidRDefault="00227C21"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6F1747ED" wp14:editId="6B2F476E">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40D43"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p>
  <w:p w14:paraId="26230188" w14:textId="77777777" w:rsidR="00227C21" w:rsidRDefault="00227C21">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5EC7BE77" wp14:editId="2FE2BC1D">
              <wp:simplePos x="0" y="0"/>
              <wp:positionH relativeFrom="column">
                <wp:posOffset>5219700</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5CCEA73F" w14:textId="7FE0A669" w:rsidR="00227C21" w:rsidRPr="00C97596" w:rsidRDefault="00227C21" w:rsidP="00F37172">
                          <w:pPr>
                            <w:jc w:val="both"/>
                            <w:rPr>
                              <w:rFonts w:ascii="Fira Sans SemiBold" w:hAnsi="Fira Sans SemiBold"/>
                              <w:color w:val="001D77"/>
                            </w:rPr>
                          </w:pPr>
                          <w:r>
                            <w:rPr>
                              <w:rFonts w:ascii="Fira Sans SemiBold" w:hAnsi="Fira Sans SemiBold"/>
                              <w:color w:val="001D77"/>
                            </w:rPr>
                            <w:t>15.09.2020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C7BE77" id="_x0000_t202" coordsize="21600,21600" o:spt="202" path="m,l,21600r21600,l21600,xe">
              <v:stroke joinstyle="miter"/>
              <v:path gradientshapeok="t" o:connecttype="rect"/>
            </v:shapetype>
            <v:shape id="_x0000_s1035" type="#_x0000_t202"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BBGbvN&#10;EAIAAP4DAAAOAAAAAAAAAAAAAAAAAC4CAABkcnMvZTJvRG9jLnhtbFBLAQItABQABgAIAAAAIQBr&#10;Z3Ed3gAAAAoBAAAPAAAAAAAAAAAAAAAAAGoEAABkcnMvZG93bnJldi54bWxQSwUGAAAAAAQABADz&#10;AAAAdQUAAAAA&#10;" filled="f" stroked="f">
              <v:textbox>
                <w:txbxContent>
                  <w:p w14:paraId="5CCEA73F" w14:textId="7FE0A669" w:rsidR="00227C21" w:rsidRPr="00C97596" w:rsidRDefault="00227C21" w:rsidP="00F37172">
                    <w:pPr>
                      <w:jc w:val="both"/>
                      <w:rPr>
                        <w:rFonts w:ascii="Fira Sans SemiBold" w:hAnsi="Fira Sans SemiBold"/>
                        <w:color w:val="001D77"/>
                      </w:rPr>
                    </w:pPr>
                    <w:r>
                      <w:rPr>
                        <w:rFonts w:ascii="Fira Sans SemiBold" w:hAnsi="Fira Sans SemiBold"/>
                        <w:color w:val="001D77"/>
                      </w:rPr>
                      <w:t>15.09.2020</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9FA87" w14:textId="77777777" w:rsidR="00227C21" w:rsidRDefault="00227C21">
    <w:pPr>
      <w:pStyle w:val="Nagwek"/>
    </w:pPr>
  </w:p>
  <w:p w14:paraId="4E5CD978" w14:textId="77777777" w:rsidR="00227C21" w:rsidRDefault="00227C2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3.8pt;height:124.9pt;visibility:visible" o:bullet="t">
        <v:imagedata r:id="rId1" o:title=""/>
      </v:shape>
    </w:pict>
  </w:numPicBullet>
  <w:numPicBullet w:numPicBulletId="1">
    <w:pict>
      <v:shape id="_x0000_i1033" type="#_x0000_t75" style="width:124.35pt;height:124.9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5CB7616"/>
    <w:multiLevelType w:val="hybridMultilevel"/>
    <w:tmpl w:val="82C06D1C"/>
    <w:lvl w:ilvl="0" w:tplc="EB329EB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5E9B2A7F"/>
    <w:multiLevelType w:val="hybridMultilevel"/>
    <w:tmpl w:val="D198400A"/>
    <w:lvl w:ilvl="0" w:tplc="AC8C1638">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5F9F2368"/>
    <w:multiLevelType w:val="hybridMultilevel"/>
    <w:tmpl w:val="1F822A6C"/>
    <w:lvl w:ilvl="0" w:tplc="917E05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E9D5F0F"/>
    <w:multiLevelType w:val="hybridMultilevel"/>
    <w:tmpl w:val="A9CA5B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23E00BD"/>
    <w:multiLevelType w:val="hybridMultilevel"/>
    <w:tmpl w:val="B4329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5923032"/>
    <w:multiLevelType w:val="hybridMultilevel"/>
    <w:tmpl w:val="EC121C9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7"/>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21"/>
    <w:rsid w:val="00001C5B"/>
    <w:rsid w:val="00001C81"/>
    <w:rsid w:val="000028F0"/>
    <w:rsid w:val="00003437"/>
    <w:rsid w:val="0000709F"/>
    <w:rsid w:val="000108B8"/>
    <w:rsid w:val="000152F5"/>
    <w:rsid w:val="00032E57"/>
    <w:rsid w:val="0003303B"/>
    <w:rsid w:val="000334DF"/>
    <w:rsid w:val="00043622"/>
    <w:rsid w:val="0004582E"/>
    <w:rsid w:val="000470AA"/>
    <w:rsid w:val="000519EC"/>
    <w:rsid w:val="00057979"/>
    <w:rsid w:val="00057CA1"/>
    <w:rsid w:val="000662E2"/>
    <w:rsid w:val="00066883"/>
    <w:rsid w:val="0007064A"/>
    <w:rsid w:val="00074DD8"/>
    <w:rsid w:val="000777F1"/>
    <w:rsid w:val="000806F7"/>
    <w:rsid w:val="00090060"/>
    <w:rsid w:val="00097B62"/>
    <w:rsid w:val="000A7698"/>
    <w:rsid w:val="000B0727"/>
    <w:rsid w:val="000B2E43"/>
    <w:rsid w:val="000B3AB9"/>
    <w:rsid w:val="000C0DD6"/>
    <w:rsid w:val="000C135D"/>
    <w:rsid w:val="000C2419"/>
    <w:rsid w:val="000D052B"/>
    <w:rsid w:val="000D1D43"/>
    <w:rsid w:val="000D225C"/>
    <w:rsid w:val="000D2A5C"/>
    <w:rsid w:val="000D2DB4"/>
    <w:rsid w:val="000D7AC1"/>
    <w:rsid w:val="000E0918"/>
    <w:rsid w:val="000E7562"/>
    <w:rsid w:val="000F0900"/>
    <w:rsid w:val="000F2D40"/>
    <w:rsid w:val="000F52D3"/>
    <w:rsid w:val="000F5536"/>
    <w:rsid w:val="001011C3"/>
    <w:rsid w:val="00103CCD"/>
    <w:rsid w:val="001073EF"/>
    <w:rsid w:val="00110D87"/>
    <w:rsid w:val="00114DB9"/>
    <w:rsid w:val="00116087"/>
    <w:rsid w:val="001200AA"/>
    <w:rsid w:val="00123F1B"/>
    <w:rsid w:val="0012528F"/>
    <w:rsid w:val="001266A5"/>
    <w:rsid w:val="001269D6"/>
    <w:rsid w:val="00126A91"/>
    <w:rsid w:val="00130296"/>
    <w:rsid w:val="001318BB"/>
    <w:rsid w:val="00132CB8"/>
    <w:rsid w:val="0013444E"/>
    <w:rsid w:val="0013692F"/>
    <w:rsid w:val="0014000D"/>
    <w:rsid w:val="001423B6"/>
    <w:rsid w:val="001448A7"/>
    <w:rsid w:val="00146621"/>
    <w:rsid w:val="0015515E"/>
    <w:rsid w:val="00157377"/>
    <w:rsid w:val="00162325"/>
    <w:rsid w:val="00173795"/>
    <w:rsid w:val="001817F1"/>
    <w:rsid w:val="00183C81"/>
    <w:rsid w:val="0018647A"/>
    <w:rsid w:val="00192ADD"/>
    <w:rsid w:val="001951DA"/>
    <w:rsid w:val="00195481"/>
    <w:rsid w:val="00197E62"/>
    <w:rsid w:val="001A6219"/>
    <w:rsid w:val="001C3269"/>
    <w:rsid w:val="001D1056"/>
    <w:rsid w:val="001D1DB4"/>
    <w:rsid w:val="001D2736"/>
    <w:rsid w:val="001F25F3"/>
    <w:rsid w:val="001F2BC7"/>
    <w:rsid w:val="001F6454"/>
    <w:rsid w:val="002100A4"/>
    <w:rsid w:val="00223CE0"/>
    <w:rsid w:val="00223E4F"/>
    <w:rsid w:val="002272D2"/>
    <w:rsid w:val="00227C21"/>
    <w:rsid w:val="0024168A"/>
    <w:rsid w:val="00241824"/>
    <w:rsid w:val="00246FE7"/>
    <w:rsid w:val="002474B3"/>
    <w:rsid w:val="00251784"/>
    <w:rsid w:val="00255D0E"/>
    <w:rsid w:val="002574F9"/>
    <w:rsid w:val="00262B61"/>
    <w:rsid w:val="00276811"/>
    <w:rsid w:val="0028151D"/>
    <w:rsid w:val="00282699"/>
    <w:rsid w:val="00287DD3"/>
    <w:rsid w:val="002926DF"/>
    <w:rsid w:val="002946C9"/>
    <w:rsid w:val="00296697"/>
    <w:rsid w:val="0029724C"/>
    <w:rsid w:val="002A18AD"/>
    <w:rsid w:val="002A3AAE"/>
    <w:rsid w:val="002A4BFC"/>
    <w:rsid w:val="002B0472"/>
    <w:rsid w:val="002B6B12"/>
    <w:rsid w:val="002C49AC"/>
    <w:rsid w:val="002C681A"/>
    <w:rsid w:val="002D07DD"/>
    <w:rsid w:val="002D0DCE"/>
    <w:rsid w:val="002D3C20"/>
    <w:rsid w:val="002D4DAA"/>
    <w:rsid w:val="002E1FEA"/>
    <w:rsid w:val="002E6140"/>
    <w:rsid w:val="002E6985"/>
    <w:rsid w:val="002E71B6"/>
    <w:rsid w:val="002F77C8"/>
    <w:rsid w:val="00304EB7"/>
    <w:rsid w:val="00304F22"/>
    <w:rsid w:val="00306949"/>
    <w:rsid w:val="00306C7C"/>
    <w:rsid w:val="00307DCC"/>
    <w:rsid w:val="00307EC7"/>
    <w:rsid w:val="003152C2"/>
    <w:rsid w:val="00321FF1"/>
    <w:rsid w:val="00322EDD"/>
    <w:rsid w:val="00332320"/>
    <w:rsid w:val="00340AF2"/>
    <w:rsid w:val="00347D72"/>
    <w:rsid w:val="00350A0B"/>
    <w:rsid w:val="00354A25"/>
    <w:rsid w:val="00357611"/>
    <w:rsid w:val="00361A73"/>
    <w:rsid w:val="00364895"/>
    <w:rsid w:val="00364998"/>
    <w:rsid w:val="00367237"/>
    <w:rsid w:val="0037077F"/>
    <w:rsid w:val="00372411"/>
    <w:rsid w:val="00373109"/>
    <w:rsid w:val="00373882"/>
    <w:rsid w:val="003758B4"/>
    <w:rsid w:val="003767D9"/>
    <w:rsid w:val="003843DB"/>
    <w:rsid w:val="003915A5"/>
    <w:rsid w:val="00393761"/>
    <w:rsid w:val="00395D42"/>
    <w:rsid w:val="00396396"/>
    <w:rsid w:val="00397D18"/>
    <w:rsid w:val="003A1B36"/>
    <w:rsid w:val="003A5836"/>
    <w:rsid w:val="003B1454"/>
    <w:rsid w:val="003B18B6"/>
    <w:rsid w:val="003B236A"/>
    <w:rsid w:val="003C0B9D"/>
    <w:rsid w:val="003C59E0"/>
    <w:rsid w:val="003C6C8D"/>
    <w:rsid w:val="003D4F95"/>
    <w:rsid w:val="003D5F42"/>
    <w:rsid w:val="003D60A9"/>
    <w:rsid w:val="003F4C97"/>
    <w:rsid w:val="003F7FE6"/>
    <w:rsid w:val="00400193"/>
    <w:rsid w:val="00406B58"/>
    <w:rsid w:val="0041388E"/>
    <w:rsid w:val="004212E7"/>
    <w:rsid w:val="004216F6"/>
    <w:rsid w:val="0042446D"/>
    <w:rsid w:val="00427BF8"/>
    <w:rsid w:val="00431C02"/>
    <w:rsid w:val="00431DF5"/>
    <w:rsid w:val="00437395"/>
    <w:rsid w:val="00437678"/>
    <w:rsid w:val="00441AF6"/>
    <w:rsid w:val="00442436"/>
    <w:rsid w:val="00442B9E"/>
    <w:rsid w:val="00445047"/>
    <w:rsid w:val="0045229D"/>
    <w:rsid w:val="0045444B"/>
    <w:rsid w:val="00454E96"/>
    <w:rsid w:val="00463E39"/>
    <w:rsid w:val="004657FC"/>
    <w:rsid w:val="00470E23"/>
    <w:rsid w:val="004733F6"/>
    <w:rsid w:val="004741A3"/>
    <w:rsid w:val="00474E69"/>
    <w:rsid w:val="00480D9F"/>
    <w:rsid w:val="0048440B"/>
    <w:rsid w:val="0049621B"/>
    <w:rsid w:val="004A1C5A"/>
    <w:rsid w:val="004B008B"/>
    <w:rsid w:val="004B42BC"/>
    <w:rsid w:val="004B5388"/>
    <w:rsid w:val="004C092D"/>
    <w:rsid w:val="004C1895"/>
    <w:rsid w:val="004C6D40"/>
    <w:rsid w:val="004D4E6B"/>
    <w:rsid w:val="004D6B80"/>
    <w:rsid w:val="004D7D1A"/>
    <w:rsid w:val="004E030D"/>
    <w:rsid w:val="004E3058"/>
    <w:rsid w:val="004F0C3C"/>
    <w:rsid w:val="004F14DE"/>
    <w:rsid w:val="004F4414"/>
    <w:rsid w:val="004F63FC"/>
    <w:rsid w:val="00505A92"/>
    <w:rsid w:val="005203F1"/>
    <w:rsid w:val="00521BC3"/>
    <w:rsid w:val="005331AC"/>
    <w:rsid w:val="00533632"/>
    <w:rsid w:val="005361EE"/>
    <w:rsid w:val="005365DB"/>
    <w:rsid w:val="00541E6E"/>
    <w:rsid w:val="0054246E"/>
    <w:rsid w:val="0054251F"/>
    <w:rsid w:val="005457D1"/>
    <w:rsid w:val="005520D8"/>
    <w:rsid w:val="00556CF1"/>
    <w:rsid w:val="00560953"/>
    <w:rsid w:val="00561DC0"/>
    <w:rsid w:val="0056798B"/>
    <w:rsid w:val="00571DE7"/>
    <w:rsid w:val="005762A7"/>
    <w:rsid w:val="00584E94"/>
    <w:rsid w:val="00590043"/>
    <w:rsid w:val="005905CF"/>
    <w:rsid w:val="005916D7"/>
    <w:rsid w:val="00592AA6"/>
    <w:rsid w:val="005A0EAB"/>
    <w:rsid w:val="005A4253"/>
    <w:rsid w:val="005A698C"/>
    <w:rsid w:val="005B2C4E"/>
    <w:rsid w:val="005C21DE"/>
    <w:rsid w:val="005C4596"/>
    <w:rsid w:val="005D2DA0"/>
    <w:rsid w:val="005E0799"/>
    <w:rsid w:val="005E1C1A"/>
    <w:rsid w:val="005F05DF"/>
    <w:rsid w:val="005F5A80"/>
    <w:rsid w:val="006012ED"/>
    <w:rsid w:val="006044FF"/>
    <w:rsid w:val="00607CC5"/>
    <w:rsid w:val="00625CF8"/>
    <w:rsid w:val="00632121"/>
    <w:rsid w:val="00633014"/>
    <w:rsid w:val="0063437B"/>
    <w:rsid w:val="0064647C"/>
    <w:rsid w:val="0065199C"/>
    <w:rsid w:val="00651F95"/>
    <w:rsid w:val="00655365"/>
    <w:rsid w:val="00662F71"/>
    <w:rsid w:val="00664C25"/>
    <w:rsid w:val="006673CA"/>
    <w:rsid w:val="00673C26"/>
    <w:rsid w:val="006812AF"/>
    <w:rsid w:val="0068327D"/>
    <w:rsid w:val="006865A1"/>
    <w:rsid w:val="00686B95"/>
    <w:rsid w:val="00694AF0"/>
    <w:rsid w:val="006A4686"/>
    <w:rsid w:val="006A7E17"/>
    <w:rsid w:val="006B0E9E"/>
    <w:rsid w:val="006B5AE4"/>
    <w:rsid w:val="006B7DCF"/>
    <w:rsid w:val="006C0776"/>
    <w:rsid w:val="006C2598"/>
    <w:rsid w:val="006C7CFA"/>
    <w:rsid w:val="006D1507"/>
    <w:rsid w:val="006D4054"/>
    <w:rsid w:val="006E02EC"/>
    <w:rsid w:val="006E2EBC"/>
    <w:rsid w:val="006F559F"/>
    <w:rsid w:val="00701D7A"/>
    <w:rsid w:val="00707DB7"/>
    <w:rsid w:val="007112F2"/>
    <w:rsid w:val="0071561E"/>
    <w:rsid w:val="007211B1"/>
    <w:rsid w:val="007229CF"/>
    <w:rsid w:val="00725384"/>
    <w:rsid w:val="00730A25"/>
    <w:rsid w:val="0073123A"/>
    <w:rsid w:val="00732230"/>
    <w:rsid w:val="0073223E"/>
    <w:rsid w:val="00746187"/>
    <w:rsid w:val="0074724B"/>
    <w:rsid w:val="00750B39"/>
    <w:rsid w:val="00751377"/>
    <w:rsid w:val="00761E3B"/>
    <w:rsid w:val="0076254F"/>
    <w:rsid w:val="0076688D"/>
    <w:rsid w:val="0077193F"/>
    <w:rsid w:val="007801F5"/>
    <w:rsid w:val="00783CA4"/>
    <w:rsid w:val="007842FB"/>
    <w:rsid w:val="00786124"/>
    <w:rsid w:val="00793B70"/>
    <w:rsid w:val="007946C2"/>
    <w:rsid w:val="0079514B"/>
    <w:rsid w:val="007976EA"/>
    <w:rsid w:val="007A2DC1"/>
    <w:rsid w:val="007A7EF7"/>
    <w:rsid w:val="007B0C84"/>
    <w:rsid w:val="007B5C65"/>
    <w:rsid w:val="007D3319"/>
    <w:rsid w:val="007D335D"/>
    <w:rsid w:val="007D578E"/>
    <w:rsid w:val="007E3314"/>
    <w:rsid w:val="007E4B03"/>
    <w:rsid w:val="007F324B"/>
    <w:rsid w:val="007F4E45"/>
    <w:rsid w:val="008016ED"/>
    <w:rsid w:val="0080553C"/>
    <w:rsid w:val="00805B46"/>
    <w:rsid w:val="00807CD4"/>
    <w:rsid w:val="00811E2F"/>
    <w:rsid w:val="0082106C"/>
    <w:rsid w:val="00821DE0"/>
    <w:rsid w:val="008240C8"/>
    <w:rsid w:val="00825DC2"/>
    <w:rsid w:val="00832B89"/>
    <w:rsid w:val="00834AD3"/>
    <w:rsid w:val="008362D5"/>
    <w:rsid w:val="00837A19"/>
    <w:rsid w:val="008408D9"/>
    <w:rsid w:val="00840FDA"/>
    <w:rsid w:val="00843795"/>
    <w:rsid w:val="00847F0F"/>
    <w:rsid w:val="00852448"/>
    <w:rsid w:val="008554EF"/>
    <w:rsid w:val="008670C6"/>
    <w:rsid w:val="0087055C"/>
    <w:rsid w:val="0088258A"/>
    <w:rsid w:val="00883182"/>
    <w:rsid w:val="00886332"/>
    <w:rsid w:val="008A26D9"/>
    <w:rsid w:val="008A75DA"/>
    <w:rsid w:val="008C0C29"/>
    <w:rsid w:val="008C4C9B"/>
    <w:rsid w:val="008D26AB"/>
    <w:rsid w:val="008D5FB9"/>
    <w:rsid w:val="008F1527"/>
    <w:rsid w:val="008F2B82"/>
    <w:rsid w:val="008F3638"/>
    <w:rsid w:val="008F4441"/>
    <w:rsid w:val="008F6F31"/>
    <w:rsid w:val="008F74DF"/>
    <w:rsid w:val="00911796"/>
    <w:rsid w:val="009119C5"/>
    <w:rsid w:val="009127BA"/>
    <w:rsid w:val="00915AA6"/>
    <w:rsid w:val="00916F0A"/>
    <w:rsid w:val="00922608"/>
    <w:rsid w:val="009227A6"/>
    <w:rsid w:val="00933EC1"/>
    <w:rsid w:val="00934871"/>
    <w:rsid w:val="009402C8"/>
    <w:rsid w:val="00943058"/>
    <w:rsid w:val="00947EB3"/>
    <w:rsid w:val="009530DB"/>
    <w:rsid w:val="00953676"/>
    <w:rsid w:val="00954686"/>
    <w:rsid w:val="0095512A"/>
    <w:rsid w:val="00956120"/>
    <w:rsid w:val="00963181"/>
    <w:rsid w:val="00967CDA"/>
    <w:rsid w:val="00967CE1"/>
    <w:rsid w:val="009705EE"/>
    <w:rsid w:val="00970BD0"/>
    <w:rsid w:val="00977927"/>
    <w:rsid w:val="0098135C"/>
    <w:rsid w:val="0098156A"/>
    <w:rsid w:val="009832AB"/>
    <w:rsid w:val="009846EC"/>
    <w:rsid w:val="00991BAC"/>
    <w:rsid w:val="009A6EA0"/>
    <w:rsid w:val="009B6D78"/>
    <w:rsid w:val="009C1335"/>
    <w:rsid w:val="009C1AB2"/>
    <w:rsid w:val="009C3F8E"/>
    <w:rsid w:val="009C69C0"/>
    <w:rsid w:val="009C7251"/>
    <w:rsid w:val="009D0AA4"/>
    <w:rsid w:val="009D7C82"/>
    <w:rsid w:val="009E0B69"/>
    <w:rsid w:val="009E2DC5"/>
    <w:rsid w:val="009E2E91"/>
    <w:rsid w:val="00A01963"/>
    <w:rsid w:val="00A139F5"/>
    <w:rsid w:val="00A16F5F"/>
    <w:rsid w:val="00A21ED2"/>
    <w:rsid w:val="00A23818"/>
    <w:rsid w:val="00A310E4"/>
    <w:rsid w:val="00A365F4"/>
    <w:rsid w:val="00A46852"/>
    <w:rsid w:val="00A47D80"/>
    <w:rsid w:val="00A53132"/>
    <w:rsid w:val="00A53939"/>
    <w:rsid w:val="00A563F2"/>
    <w:rsid w:val="00A566E8"/>
    <w:rsid w:val="00A72612"/>
    <w:rsid w:val="00A72AD3"/>
    <w:rsid w:val="00A750AB"/>
    <w:rsid w:val="00A756BE"/>
    <w:rsid w:val="00A810F9"/>
    <w:rsid w:val="00A81B09"/>
    <w:rsid w:val="00A86ECC"/>
    <w:rsid w:val="00A86FCC"/>
    <w:rsid w:val="00A970D6"/>
    <w:rsid w:val="00A9750D"/>
    <w:rsid w:val="00AA323F"/>
    <w:rsid w:val="00AA710D"/>
    <w:rsid w:val="00AB5DFF"/>
    <w:rsid w:val="00AB6D25"/>
    <w:rsid w:val="00AC3FCE"/>
    <w:rsid w:val="00AC538A"/>
    <w:rsid w:val="00AD1CC7"/>
    <w:rsid w:val="00AE05DD"/>
    <w:rsid w:val="00AE2D4B"/>
    <w:rsid w:val="00AE4F99"/>
    <w:rsid w:val="00AF186C"/>
    <w:rsid w:val="00AF3B75"/>
    <w:rsid w:val="00B11C8C"/>
    <w:rsid w:val="00B1321E"/>
    <w:rsid w:val="00B14952"/>
    <w:rsid w:val="00B1662D"/>
    <w:rsid w:val="00B214A0"/>
    <w:rsid w:val="00B21817"/>
    <w:rsid w:val="00B31E5A"/>
    <w:rsid w:val="00B326FF"/>
    <w:rsid w:val="00B330B1"/>
    <w:rsid w:val="00B34E9D"/>
    <w:rsid w:val="00B370C3"/>
    <w:rsid w:val="00B4092D"/>
    <w:rsid w:val="00B53D4D"/>
    <w:rsid w:val="00B6427B"/>
    <w:rsid w:val="00B653AB"/>
    <w:rsid w:val="00B65F9E"/>
    <w:rsid w:val="00B66B19"/>
    <w:rsid w:val="00B8108B"/>
    <w:rsid w:val="00B85A25"/>
    <w:rsid w:val="00B91368"/>
    <w:rsid w:val="00B914E9"/>
    <w:rsid w:val="00B956EE"/>
    <w:rsid w:val="00B969FE"/>
    <w:rsid w:val="00BA1005"/>
    <w:rsid w:val="00BA1E13"/>
    <w:rsid w:val="00BA2937"/>
    <w:rsid w:val="00BA2BA1"/>
    <w:rsid w:val="00BA61CA"/>
    <w:rsid w:val="00BB1308"/>
    <w:rsid w:val="00BB1DAE"/>
    <w:rsid w:val="00BB20E1"/>
    <w:rsid w:val="00BB4F09"/>
    <w:rsid w:val="00BB7328"/>
    <w:rsid w:val="00BC3110"/>
    <w:rsid w:val="00BD4E33"/>
    <w:rsid w:val="00BD6B30"/>
    <w:rsid w:val="00BD7A4E"/>
    <w:rsid w:val="00BF404D"/>
    <w:rsid w:val="00C030DE"/>
    <w:rsid w:val="00C03A89"/>
    <w:rsid w:val="00C04F65"/>
    <w:rsid w:val="00C07287"/>
    <w:rsid w:val="00C0788C"/>
    <w:rsid w:val="00C1202E"/>
    <w:rsid w:val="00C14AE2"/>
    <w:rsid w:val="00C22105"/>
    <w:rsid w:val="00C244B6"/>
    <w:rsid w:val="00C27F58"/>
    <w:rsid w:val="00C3702F"/>
    <w:rsid w:val="00C41597"/>
    <w:rsid w:val="00C47E47"/>
    <w:rsid w:val="00C64A37"/>
    <w:rsid w:val="00C665CC"/>
    <w:rsid w:val="00C7158E"/>
    <w:rsid w:val="00C7250B"/>
    <w:rsid w:val="00C72BA1"/>
    <w:rsid w:val="00C7346B"/>
    <w:rsid w:val="00C766E5"/>
    <w:rsid w:val="00C77C0E"/>
    <w:rsid w:val="00C80B0F"/>
    <w:rsid w:val="00C91687"/>
    <w:rsid w:val="00C924A8"/>
    <w:rsid w:val="00C945FE"/>
    <w:rsid w:val="00C96FAA"/>
    <w:rsid w:val="00C97A04"/>
    <w:rsid w:val="00CA107B"/>
    <w:rsid w:val="00CA1CF9"/>
    <w:rsid w:val="00CA484D"/>
    <w:rsid w:val="00CA4FB6"/>
    <w:rsid w:val="00CB0BA3"/>
    <w:rsid w:val="00CB41A7"/>
    <w:rsid w:val="00CC1B5D"/>
    <w:rsid w:val="00CC739E"/>
    <w:rsid w:val="00CD213D"/>
    <w:rsid w:val="00CD48C6"/>
    <w:rsid w:val="00CD58B7"/>
    <w:rsid w:val="00CE3C94"/>
    <w:rsid w:val="00CF4099"/>
    <w:rsid w:val="00CF468E"/>
    <w:rsid w:val="00D00796"/>
    <w:rsid w:val="00D10869"/>
    <w:rsid w:val="00D14F1B"/>
    <w:rsid w:val="00D228F2"/>
    <w:rsid w:val="00D25084"/>
    <w:rsid w:val="00D259F6"/>
    <w:rsid w:val="00D25D28"/>
    <w:rsid w:val="00D261A2"/>
    <w:rsid w:val="00D31063"/>
    <w:rsid w:val="00D32316"/>
    <w:rsid w:val="00D34063"/>
    <w:rsid w:val="00D41848"/>
    <w:rsid w:val="00D44097"/>
    <w:rsid w:val="00D616D2"/>
    <w:rsid w:val="00D62209"/>
    <w:rsid w:val="00D63B5F"/>
    <w:rsid w:val="00D64203"/>
    <w:rsid w:val="00D70EF7"/>
    <w:rsid w:val="00D71151"/>
    <w:rsid w:val="00D742AA"/>
    <w:rsid w:val="00D82E55"/>
    <w:rsid w:val="00D8397C"/>
    <w:rsid w:val="00D94EED"/>
    <w:rsid w:val="00D96026"/>
    <w:rsid w:val="00DA7C1C"/>
    <w:rsid w:val="00DB147A"/>
    <w:rsid w:val="00DB1B7A"/>
    <w:rsid w:val="00DC2B07"/>
    <w:rsid w:val="00DC6708"/>
    <w:rsid w:val="00E01436"/>
    <w:rsid w:val="00E045BD"/>
    <w:rsid w:val="00E17359"/>
    <w:rsid w:val="00E17B77"/>
    <w:rsid w:val="00E23337"/>
    <w:rsid w:val="00E259EA"/>
    <w:rsid w:val="00E32061"/>
    <w:rsid w:val="00E42FF9"/>
    <w:rsid w:val="00E4510A"/>
    <w:rsid w:val="00E4714C"/>
    <w:rsid w:val="00E51AEB"/>
    <w:rsid w:val="00E522A7"/>
    <w:rsid w:val="00E54452"/>
    <w:rsid w:val="00E664C5"/>
    <w:rsid w:val="00E671A2"/>
    <w:rsid w:val="00E76D26"/>
    <w:rsid w:val="00E847DE"/>
    <w:rsid w:val="00E91828"/>
    <w:rsid w:val="00E929EB"/>
    <w:rsid w:val="00EA0BEA"/>
    <w:rsid w:val="00EB1390"/>
    <w:rsid w:val="00EB2C71"/>
    <w:rsid w:val="00EB4340"/>
    <w:rsid w:val="00EB556D"/>
    <w:rsid w:val="00EB5A7D"/>
    <w:rsid w:val="00EB7C41"/>
    <w:rsid w:val="00ED55C0"/>
    <w:rsid w:val="00ED682B"/>
    <w:rsid w:val="00EE41D5"/>
    <w:rsid w:val="00EF4979"/>
    <w:rsid w:val="00F0185B"/>
    <w:rsid w:val="00F037A4"/>
    <w:rsid w:val="00F070D5"/>
    <w:rsid w:val="00F13362"/>
    <w:rsid w:val="00F20735"/>
    <w:rsid w:val="00F20A03"/>
    <w:rsid w:val="00F20D80"/>
    <w:rsid w:val="00F27C8F"/>
    <w:rsid w:val="00F32749"/>
    <w:rsid w:val="00F37172"/>
    <w:rsid w:val="00F422EB"/>
    <w:rsid w:val="00F4477E"/>
    <w:rsid w:val="00F670E8"/>
    <w:rsid w:val="00F67D8F"/>
    <w:rsid w:val="00F70D6C"/>
    <w:rsid w:val="00F802BE"/>
    <w:rsid w:val="00F82661"/>
    <w:rsid w:val="00F836B7"/>
    <w:rsid w:val="00F86024"/>
    <w:rsid w:val="00F8611A"/>
    <w:rsid w:val="00F93EE8"/>
    <w:rsid w:val="00FA368B"/>
    <w:rsid w:val="00FA3E57"/>
    <w:rsid w:val="00FA466E"/>
    <w:rsid w:val="00FA5128"/>
    <w:rsid w:val="00FA6CAD"/>
    <w:rsid w:val="00FB42D4"/>
    <w:rsid w:val="00FB5906"/>
    <w:rsid w:val="00FB6ADE"/>
    <w:rsid w:val="00FB762F"/>
    <w:rsid w:val="00FC2AED"/>
    <w:rsid w:val="00FD5EA7"/>
    <w:rsid w:val="00FD7D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BEAEC"/>
  <w15:chartTrackingRefBased/>
  <w15:docId w15:val="{39666624-30C7-40E8-A174-5C8341DB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2D07DD"/>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Odwoaniedokomentarza">
    <w:name w:val="annotation reference"/>
    <w:basedOn w:val="Domylnaczcionkaakapitu"/>
    <w:uiPriority w:val="99"/>
    <w:semiHidden/>
    <w:unhideWhenUsed/>
    <w:rsid w:val="00FA368B"/>
    <w:rPr>
      <w:sz w:val="16"/>
      <w:szCs w:val="16"/>
    </w:rPr>
  </w:style>
  <w:style w:type="paragraph" w:styleId="Tekstkomentarza">
    <w:name w:val="annotation text"/>
    <w:basedOn w:val="Normalny"/>
    <w:link w:val="TekstkomentarzaZnak"/>
    <w:uiPriority w:val="99"/>
    <w:semiHidden/>
    <w:unhideWhenUsed/>
    <w:rsid w:val="00FA368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A368B"/>
    <w:rPr>
      <w:rFonts w:ascii="Fira Sans" w:hAnsi="Fira Sans"/>
      <w:sz w:val="20"/>
      <w:szCs w:val="20"/>
    </w:rPr>
  </w:style>
  <w:style w:type="character" w:styleId="UyteHipercze">
    <w:name w:val="FollowedHyperlink"/>
    <w:basedOn w:val="Domylnaczcionkaakapitu"/>
    <w:uiPriority w:val="99"/>
    <w:semiHidden/>
    <w:unhideWhenUsed/>
    <w:rsid w:val="009402C8"/>
    <w:rPr>
      <w:color w:val="954F72" w:themeColor="followedHyperlink"/>
      <w:u w:val="single"/>
    </w:rPr>
  </w:style>
  <w:style w:type="paragraph" w:styleId="Tematkomentarza">
    <w:name w:val="annotation subject"/>
    <w:basedOn w:val="Tekstkomentarza"/>
    <w:next w:val="Tekstkomentarza"/>
    <w:link w:val="TematkomentarzaZnak"/>
    <w:uiPriority w:val="99"/>
    <w:semiHidden/>
    <w:unhideWhenUsed/>
    <w:rsid w:val="00D742AA"/>
    <w:rPr>
      <w:b/>
      <w:bCs/>
    </w:rPr>
  </w:style>
  <w:style w:type="character" w:customStyle="1" w:styleId="TematkomentarzaZnak">
    <w:name w:val="Temat komentarza Znak"/>
    <w:basedOn w:val="TekstkomentarzaZnak"/>
    <w:link w:val="Tematkomentarza"/>
    <w:uiPriority w:val="99"/>
    <w:semiHidden/>
    <w:rsid w:val="00D742AA"/>
    <w:rPr>
      <w:rFonts w:ascii="Fira Sans" w:hAnsi="Fir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oter" Target="footer1.xml"/><Relationship Id="rId39" Type="http://schemas.openxmlformats.org/officeDocument/2006/relationships/hyperlink" Target="http://stat.gov.pl/en/metainformations/glossary/terms-used-in-official-statistics/3180,term.html" TargetMode="External"/><Relationship Id="rId21" Type="http://schemas.openxmlformats.org/officeDocument/2006/relationships/chart" Target="charts/chart11.xml"/><Relationship Id="rId34" Type="http://schemas.openxmlformats.org/officeDocument/2006/relationships/hyperlink" Target="http://swaid.stat.gov.pl/en/SitePagesDBW/HandelZagraniczny.aspx" TargetMode="External"/><Relationship Id="rId42"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hyperlink" Target="mailto:obslugaprasowa@stat.gov.pl"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image" Target="media/image6.png"/><Relationship Id="rId37" Type="http://schemas.openxmlformats.org/officeDocument/2006/relationships/hyperlink" Target="https://stat.gov.pl/en/topics/statistical-yearbooks/statistical-yearbooks/yearbook-of-foreign-trade-statistics-of-poland-2018,9,12.html" TargetMode="External"/><Relationship Id="rId40" Type="http://schemas.openxmlformats.org/officeDocument/2006/relationships/hyperlink" Target="http://stat.gov.pl/en/metainformations/glossary/terms-used-in-official-statistics/3179,term.html" TargetMode="External"/><Relationship Id="rId5" Type="http://schemas.openxmlformats.org/officeDocument/2006/relationships/styles" Target="style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footer" Target="footer2.xml"/><Relationship Id="rId36" Type="http://schemas.openxmlformats.org/officeDocument/2006/relationships/hyperlink" Target="http://stat.gov.pl/en/metainformations/glossary/terms-used-in-official-statistics/3179,term.html" TargetMode="External"/><Relationship Id="rId10" Type="http://schemas.openxmlformats.org/officeDocument/2006/relationships/image" Target="media/image2.emf"/><Relationship Id="rId19" Type="http://schemas.openxmlformats.org/officeDocument/2006/relationships/chart" Target="charts/chart9.xml"/><Relationship Id="rId31" Type="http://schemas.openxmlformats.org/officeDocument/2006/relationships/image" Target="media/image5.png"/><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header" Target="header2.xml"/><Relationship Id="rId30" Type="http://schemas.openxmlformats.org/officeDocument/2006/relationships/image" Target="media/image4.png"/><Relationship Id="rId35" Type="http://schemas.openxmlformats.org/officeDocument/2006/relationships/hyperlink" Target="http://stat.gov.pl/en/metainformations/glossary/terms-used-in-official-statistics/3180,term.html"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eader" Target="header1.xml"/><Relationship Id="rId33" Type="http://schemas.openxmlformats.org/officeDocument/2006/relationships/hyperlink" Target="https://stat.gov.pl/en/topics/statistical-yearbooks/statistical-yearbooks/yearbook-of-foreign-trade-statistics-of-poland-2018,9,12.html" TargetMode="External"/><Relationship Id="rId38" Type="http://schemas.openxmlformats.org/officeDocument/2006/relationships/hyperlink" Target="http://swaid.stat.gov.pl/en/SitePagesDBW/HandelZagraniczny.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Arkusz_programu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Arkusz_programu_Microsoft_Excel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Arkusz_programu_Microsoft_Excel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Arkusz_programu_Microsoft_Excel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Arkusz_programu_Microsoft_Excel13.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Arkusz_programu_Microsoft_Excel14.xlsx"/><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package" Target="../embeddings/Arkusz_programu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Arkusz_programu_Microsoft_Excel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Arkusz_programu_Microsoft_Excel4.xlsx"/></Relationships>
</file>

<file path=word/charts/_rels/chart5.xml.rels><?xml version="1.0" encoding="UTF-8" standalone="yes"?>
<Relationships xmlns="http://schemas.openxmlformats.org/package/2006/relationships"><Relationship Id="rId3" Type="http://schemas.openxmlformats.org/officeDocument/2006/relationships/package" Target="../embeddings/Arkusz_programu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Arkusz_programu_Microsoft_Excel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Arkusz_programu_Microsoft_Excel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Arkusz_programu_Microsoft_Excel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Arkusz_programu_Microsoft_Excel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82870370370369"/>
          <c:y val="3.4004286676336509E-2"/>
          <c:w val="0.77662037037037035"/>
          <c:h val="0.87571779164939911"/>
        </c:manualLayout>
      </c:layout>
      <c:barChart>
        <c:barDir val="bar"/>
        <c:grouping val="clustered"/>
        <c:varyColors val="0"/>
        <c:ser>
          <c:idx val="0"/>
          <c:order val="0"/>
          <c:tx>
            <c:strRef>
              <c:f>Arkusz1!$B$1</c:f>
              <c:strCache>
                <c:ptCount val="1"/>
                <c:pt idx="0">
                  <c:v>udział</c:v>
                </c:pt>
              </c:strCache>
            </c:strRef>
          </c:tx>
          <c:spPr>
            <a:solidFill>
              <a:srgbClr val="001D77"/>
            </a:solidFill>
            <a:ln w="19050">
              <a:solidFill>
                <a:schemeClr val="lt1"/>
              </a:solidFill>
            </a:ln>
            <a:effectLst/>
          </c:spPr>
          <c:invertIfNegative val="0"/>
          <c:dPt>
            <c:idx val="0"/>
            <c:invertIfNegative val="0"/>
            <c:bubble3D val="0"/>
            <c:spPr>
              <a:solidFill>
                <a:srgbClr val="001D77"/>
              </a:solidFill>
              <a:ln w="19050">
                <a:solidFill>
                  <a:schemeClr val="lt1"/>
                </a:solidFill>
              </a:ln>
              <a:effectLst/>
            </c:spPr>
          </c:dPt>
          <c:dPt>
            <c:idx val="1"/>
            <c:invertIfNegative val="0"/>
            <c:bubble3D val="0"/>
            <c:spPr>
              <a:solidFill>
                <a:srgbClr val="001D77"/>
              </a:solidFill>
              <a:ln w="19050">
                <a:solidFill>
                  <a:schemeClr val="lt1"/>
                </a:solidFill>
              </a:ln>
              <a:effectLst/>
            </c:spPr>
          </c:dPt>
          <c:dPt>
            <c:idx val="2"/>
            <c:invertIfNegative val="0"/>
            <c:bubble3D val="0"/>
            <c:spPr>
              <a:solidFill>
                <a:srgbClr val="001D77"/>
              </a:solidFill>
              <a:ln w="19050">
                <a:solidFill>
                  <a:schemeClr val="lt1"/>
                </a:solidFill>
              </a:ln>
              <a:effectLst/>
            </c:spPr>
          </c:dPt>
          <c:dPt>
            <c:idx val="3"/>
            <c:invertIfNegative val="0"/>
            <c:bubble3D val="0"/>
            <c:spPr>
              <a:solidFill>
                <a:srgbClr val="001D77"/>
              </a:solidFill>
              <a:ln w="19050">
                <a:solidFill>
                  <a:schemeClr val="lt1"/>
                </a:solidFill>
              </a:ln>
              <a:effectLst/>
            </c:spPr>
          </c:dPt>
          <c:dPt>
            <c:idx val="4"/>
            <c:invertIfNegative val="0"/>
            <c:bubble3D val="0"/>
            <c:spPr>
              <a:solidFill>
                <a:srgbClr val="001D77"/>
              </a:solidFill>
              <a:ln w="19050">
                <a:solidFill>
                  <a:schemeClr val="lt1"/>
                </a:solidFill>
              </a:ln>
              <a:effectLst/>
            </c:spPr>
          </c:dPt>
          <c:dPt>
            <c:idx val="5"/>
            <c:invertIfNegative val="0"/>
            <c:bubble3D val="0"/>
            <c:spPr>
              <a:solidFill>
                <a:srgbClr val="001D77"/>
              </a:solidFill>
              <a:ln w="19050">
                <a:solidFill>
                  <a:schemeClr val="lt1"/>
                </a:solidFill>
              </a:ln>
              <a:effectLst/>
            </c:spPr>
          </c:dPt>
          <c:dPt>
            <c:idx val="6"/>
            <c:invertIfNegative val="0"/>
            <c:bubble3D val="0"/>
            <c:spPr>
              <a:solidFill>
                <a:srgbClr val="001D77"/>
              </a:solidFill>
              <a:ln w="19050">
                <a:solidFill>
                  <a:schemeClr val="lt1"/>
                </a:solidFill>
              </a:ln>
              <a:effectLst/>
            </c:spPr>
          </c:dPt>
          <c:dPt>
            <c:idx val="7"/>
            <c:invertIfNegative val="0"/>
            <c:bubble3D val="0"/>
            <c:spPr>
              <a:solidFill>
                <a:srgbClr val="001D77"/>
              </a:solidFill>
              <a:ln w="19050">
                <a:solidFill>
                  <a:schemeClr val="lt1"/>
                </a:solidFill>
              </a:ln>
              <a:effectLst/>
            </c:spPr>
          </c:dPt>
          <c:dPt>
            <c:idx val="8"/>
            <c:invertIfNegative val="0"/>
            <c:bubble3D val="0"/>
            <c:spPr>
              <a:solidFill>
                <a:srgbClr val="001D77"/>
              </a:solidFill>
              <a:ln w="19050">
                <a:solidFill>
                  <a:schemeClr val="lt1"/>
                </a:solidFill>
              </a:ln>
              <a:effectLst/>
            </c:spPr>
          </c:dPt>
          <c:dPt>
            <c:idx val="9"/>
            <c:invertIfNegative val="0"/>
            <c:bubble3D val="0"/>
            <c:spPr>
              <a:solidFill>
                <a:srgbClr val="001D77"/>
              </a:solidFill>
              <a:ln w="19050">
                <a:solidFill>
                  <a:schemeClr val="lt1"/>
                </a:solidFill>
              </a:ln>
              <a:effectLst/>
            </c:spPr>
          </c:dPt>
          <c:dPt>
            <c:idx val="10"/>
            <c:invertIfNegative val="0"/>
            <c:bubble3D val="0"/>
            <c:spPr>
              <a:solidFill>
                <a:srgbClr val="001D77"/>
              </a:solidFill>
              <a:ln w="19050">
                <a:solidFill>
                  <a:schemeClr val="lt1"/>
                </a:solidFill>
              </a:ln>
              <a:effectLst/>
            </c:spPr>
          </c:dPt>
          <c:dPt>
            <c:idx val="11"/>
            <c:invertIfNegative val="0"/>
            <c:bubble3D val="0"/>
            <c:spPr>
              <a:solidFill>
                <a:srgbClr val="001D77"/>
              </a:solidFill>
              <a:ln w="19050">
                <a:solidFill>
                  <a:schemeClr val="lt1"/>
                </a:solidFill>
              </a:ln>
              <a:effectLst/>
            </c:spPr>
          </c:dPt>
          <c:dPt>
            <c:idx val="12"/>
            <c:invertIfNegative val="0"/>
            <c:bubble3D val="0"/>
            <c:spPr>
              <a:solidFill>
                <a:srgbClr val="001D77"/>
              </a:solidFill>
              <a:ln w="19050">
                <a:solidFill>
                  <a:schemeClr val="lt1"/>
                </a:solidFill>
              </a:ln>
              <a:effectLst/>
            </c:spPr>
          </c:dPt>
          <c:dLbls>
            <c:dLbl>
              <c:idx val="0"/>
              <c:tx>
                <c:rich>
                  <a:bodyPr/>
                  <a:lstStyle/>
                  <a:p>
                    <a:r>
                      <a:rPr lang="en-US"/>
                      <a:t>22.3%</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16.9%</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9.2%</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9.0%</a:t>
                    </a:r>
                  </a:p>
                </c:rich>
              </c:tx>
              <c:dLblPos val="outEnd"/>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8.4%</a:t>
                    </a:r>
                  </a:p>
                </c:rich>
              </c:tx>
              <c:dLblPos val="outEnd"/>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en-US"/>
                      <a:t>7.9%</a:t>
                    </a:r>
                  </a:p>
                </c:rich>
              </c:tx>
              <c:dLblPos val="outEnd"/>
              <c:showLegendKey val="0"/>
              <c:showVal val="1"/>
              <c:showCatName val="0"/>
              <c:showSerName val="0"/>
              <c:showPercent val="0"/>
              <c:showBubbleSize val="0"/>
              <c:extLst>
                <c:ext xmlns:c15="http://schemas.microsoft.com/office/drawing/2012/chart" uri="{CE6537A1-D6FC-4f65-9D91-7224C49458BB}"/>
              </c:extLst>
            </c:dLbl>
            <c:dLbl>
              <c:idx val="6"/>
              <c:tx>
                <c:rich>
                  <a:bodyPr/>
                  <a:lstStyle/>
                  <a:p>
                    <a:r>
                      <a:rPr lang="en-US"/>
                      <a:t>5.3%</a:t>
                    </a:r>
                  </a:p>
                </c:rich>
              </c:tx>
              <c:dLblPos val="outEnd"/>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a:t>4.5%</a:t>
                    </a:r>
                  </a:p>
                </c:rich>
              </c:tx>
              <c:dLblPos val="outEnd"/>
              <c:showLegendKey val="0"/>
              <c:showVal val="1"/>
              <c:showCatName val="0"/>
              <c:showSerName val="0"/>
              <c:showPercent val="0"/>
              <c:showBubbleSize val="0"/>
              <c:extLst>
                <c:ext xmlns:c15="http://schemas.microsoft.com/office/drawing/2012/chart" uri="{CE6537A1-D6FC-4f65-9D91-7224C49458BB}"/>
              </c:extLst>
            </c:dLbl>
            <c:dLbl>
              <c:idx val="8"/>
              <c:tx>
                <c:rich>
                  <a:bodyPr/>
                  <a:lstStyle/>
                  <a:p>
                    <a:r>
                      <a:rPr lang="en-US"/>
                      <a:t>3.9%</a:t>
                    </a:r>
                  </a:p>
                </c:rich>
              </c:tx>
              <c:dLblPos val="outEnd"/>
              <c:showLegendKey val="0"/>
              <c:showVal val="1"/>
              <c:showCatName val="0"/>
              <c:showSerName val="0"/>
              <c:showPercent val="0"/>
              <c:showBubbleSize val="0"/>
              <c:extLst>
                <c:ext xmlns:c15="http://schemas.microsoft.com/office/drawing/2012/chart" uri="{CE6537A1-D6FC-4f65-9D91-7224C49458BB}"/>
              </c:extLst>
            </c:dLbl>
            <c:dLbl>
              <c:idx val="9"/>
              <c:tx>
                <c:rich>
                  <a:bodyPr/>
                  <a:lstStyle/>
                  <a:p>
                    <a:r>
                      <a:rPr lang="en-US"/>
                      <a:t>3.2%</a:t>
                    </a:r>
                  </a:p>
                </c:rich>
              </c:tx>
              <c:dLblPos val="outEnd"/>
              <c:showLegendKey val="0"/>
              <c:showVal val="1"/>
              <c:showCatName val="0"/>
              <c:showSerName val="0"/>
              <c:showPercent val="0"/>
              <c:showBubbleSize val="0"/>
              <c:extLst>
                <c:ext xmlns:c15="http://schemas.microsoft.com/office/drawing/2012/chart" uri="{CE6537A1-D6FC-4f65-9D91-7224C49458BB}"/>
              </c:extLst>
            </c:dLbl>
            <c:dLbl>
              <c:idx val="10"/>
              <c:tx>
                <c:rich>
                  <a:bodyPr/>
                  <a:lstStyle/>
                  <a:p>
                    <a:r>
                      <a:rPr lang="en-US"/>
                      <a:t>3.2%</a:t>
                    </a:r>
                  </a:p>
                </c:rich>
              </c:tx>
              <c:dLblPos val="outEnd"/>
              <c:showLegendKey val="0"/>
              <c:showVal val="1"/>
              <c:showCatName val="0"/>
              <c:showSerName val="0"/>
              <c:showPercent val="0"/>
              <c:showBubbleSize val="0"/>
              <c:extLst>
                <c:ext xmlns:c15="http://schemas.microsoft.com/office/drawing/2012/chart" uri="{CE6537A1-D6FC-4f65-9D91-7224C49458BB}"/>
              </c:extLst>
            </c:dLbl>
            <c:dLbl>
              <c:idx val="11"/>
              <c:tx>
                <c:rich>
                  <a:bodyPr/>
                  <a:lstStyle/>
                  <a:p>
                    <a:r>
                      <a:rPr lang="en-US"/>
                      <a:t>3.1%</a:t>
                    </a:r>
                  </a:p>
                </c:rich>
              </c:tx>
              <c:dLblPos val="outEnd"/>
              <c:showLegendKey val="0"/>
              <c:showVal val="1"/>
              <c:showCatName val="0"/>
              <c:showSerName val="0"/>
              <c:showPercent val="0"/>
              <c:showBubbleSize val="0"/>
              <c:extLst>
                <c:ext xmlns:c15="http://schemas.microsoft.com/office/drawing/2012/chart" uri="{CE6537A1-D6FC-4f65-9D91-7224C49458BB}"/>
              </c:extLst>
            </c:dLbl>
            <c:dLbl>
              <c:idx val="12"/>
              <c:tx>
                <c:rich>
                  <a:bodyPr/>
                  <a:lstStyle/>
                  <a:p>
                    <a:r>
                      <a:rPr lang="en-US"/>
                      <a:t>3.1%</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Arkusz1!$A$2:$A$14</c:f>
              <c:strCache>
                <c:ptCount val="13"/>
                <c:pt idx="0">
                  <c:v>Division 68</c:v>
                </c:pt>
                <c:pt idx="1">
                  <c:v>Division 62</c:v>
                </c:pt>
                <c:pt idx="2">
                  <c:v>Division 73</c:v>
                </c:pt>
                <c:pt idx="3">
                  <c:v>Group 70.2</c:v>
                </c:pt>
                <c:pt idx="4">
                  <c:v>Division 69</c:v>
                </c:pt>
                <c:pt idx="5">
                  <c:v>Division 71</c:v>
                </c:pt>
                <c:pt idx="6">
                  <c:v>Division 78</c:v>
                </c:pt>
                <c:pt idx="7">
                  <c:v>Division 82</c:v>
                </c:pt>
                <c:pt idx="8">
                  <c:v>Division 81</c:v>
                </c:pt>
                <c:pt idx="9">
                  <c:v>Division 58</c:v>
                </c:pt>
                <c:pt idx="10">
                  <c:v>Division 80</c:v>
                </c:pt>
                <c:pt idx="11">
                  <c:v>Group 63.1</c:v>
                </c:pt>
                <c:pt idx="12">
                  <c:v>Division 74</c:v>
                </c:pt>
              </c:strCache>
            </c:strRef>
          </c:cat>
          <c:val>
            <c:numRef>
              <c:f>Arkusz1!$B$2:$B$14</c:f>
              <c:numCache>
                <c:formatCode>0.0%</c:formatCode>
                <c:ptCount val="13"/>
                <c:pt idx="0">
                  <c:v>0.223</c:v>
                </c:pt>
                <c:pt idx="1">
                  <c:v>0.16900000000000001</c:v>
                </c:pt>
                <c:pt idx="2">
                  <c:v>9.1999999999999998E-2</c:v>
                </c:pt>
                <c:pt idx="3">
                  <c:v>0.09</c:v>
                </c:pt>
                <c:pt idx="4">
                  <c:v>8.4000000000000005E-2</c:v>
                </c:pt>
                <c:pt idx="5">
                  <c:v>7.9000000000000001E-2</c:v>
                </c:pt>
                <c:pt idx="6">
                  <c:v>5.2999999999999999E-2</c:v>
                </c:pt>
                <c:pt idx="7">
                  <c:v>4.4999999999999998E-2</c:v>
                </c:pt>
                <c:pt idx="8">
                  <c:v>3.9E-2</c:v>
                </c:pt>
                <c:pt idx="9">
                  <c:v>3.2000000000000001E-2</c:v>
                </c:pt>
                <c:pt idx="10">
                  <c:v>3.2000000000000001E-2</c:v>
                </c:pt>
                <c:pt idx="11">
                  <c:v>3.1E-2</c:v>
                </c:pt>
                <c:pt idx="12">
                  <c:v>3.1E-2</c:v>
                </c:pt>
              </c:numCache>
            </c:numRef>
          </c:val>
        </c:ser>
        <c:dLbls>
          <c:dLblPos val="outEnd"/>
          <c:showLegendKey val="0"/>
          <c:showVal val="1"/>
          <c:showCatName val="0"/>
          <c:showSerName val="0"/>
          <c:showPercent val="0"/>
          <c:showBubbleSize val="0"/>
        </c:dLbls>
        <c:gapWidth val="100"/>
        <c:axId val="2105106736"/>
        <c:axId val="2105108368"/>
      </c:barChart>
      <c:valAx>
        <c:axId val="210510836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2105106736"/>
        <c:crosses val="autoZero"/>
        <c:crossBetween val="between"/>
      </c:valAx>
      <c:catAx>
        <c:axId val="210510673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2105108368"/>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Arkusz1!$A$2:$A$6</c:f>
              <c:strCache>
                <c:ptCount val="5"/>
                <c:pt idx="0">
                  <c:v>architectural 
and engineering 
services</c:v>
                </c:pt>
                <c:pt idx="1">
                  <c:v>legal, accounting 
and management 
consulting services</c:v>
                </c:pt>
                <c:pt idx="2">
                  <c:v>other business services</c:v>
                </c:pt>
                <c:pt idx="3">
                  <c:v>computer services</c:v>
                </c:pt>
                <c:pt idx="4">
                  <c:v>other</c:v>
                </c:pt>
              </c:strCache>
            </c:strRef>
          </c:cat>
          <c:val>
            <c:numRef>
              <c:f>Arkusz1!$B$2:$B$6</c:f>
              <c:numCache>
                <c:formatCode>0.00%</c:formatCode>
                <c:ptCount val="5"/>
                <c:pt idx="0">
                  <c:v>0.33300000000000002</c:v>
                </c:pt>
                <c:pt idx="1">
                  <c:v>0.26700000000000002</c:v>
                </c:pt>
                <c:pt idx="2">
                  <c:v>7.0000000000000007E-2</c:v>
                </c:pt>
                <c:pt idx="3">
                  <c:v>0.112</c:v>
                </c:pt>
                <c:pt idx="4">
                  <c:v>0.218</c:v>
                </c:pt>
              </c:numCache>
            </c:numRef>
          </c:val>
        </c:ser>
        <c:ser>
          <c:idx val="1"/>
          <c:order val="1"/>
          <c:tx>
            <c:strRef>
              <c:f>Arkusz1!$C$1</c:f>
              <c:strCache>
                <c:ptCount val="1"/>
                <c:pt idx="0">
                  <c:v>provided services</c:v>
                </c:pt>
              </c:strCache>
            </c:strRef>
          </c:tx>
          <c:spPr>
            <a:solidFill>
              <a:srgbClr val="CCD2E4"/>
            </a:solidFill>
            <a:ln>
              <a:noFill/>
            </a:ln>
            <a:effectLst/>
          </c:spPr>
          <c:invertIfNegative val="0"/>
          <c:cat>
            <c:strRef>
              <c:f>Arkusz1!$A$2:$A$6</c:f>
              <c:strCache>
                <c:ptCount val="5"/>
                <c:pt idx="0">
                  <c:v>architectural 
and engineering 
services</c:v>
                </c:pt>
                <c:pt idx="1">
                  <c:v>legal, accounting 
and management 
consulting services</c:v>
                </c:pt>
                <c:pt idx="2">
                  <c:v>other business services</c:v>
                </c:pt>
                <c:pt idx="3">
                  <c:v>computer services</c:v>
                </c:pt>
                <c:pt idx="4">
                  <c:v>other</c:v>
                </c:pt>
              </c:strCache>
            </c:strRef>
          </c:cat>
          <c:val>
            <c:numRef>
              <c:f>Arkusz1!$C$2:$C$6</c:f>
              <c:numCache>
                <c:formatCode>0.00%</c:formatCode>
                <c:ptCount val="5"/>
                <c:pt idx="0">
                  <c:v>0.75800000000000001</c:v>
                </c:pt>
                <c:pt idx="1">
                  <c:v>7.0000000000000007E-2</c:v>
                </c:pt>
                <c:pt idx="2">
                  <c:v>5.2999999999999999E-2</c:v>
                </c:pt>
                <c:pt idx="3">
                  <c:v>4.2999999999999997E-2</c:v>
                </c:pt>
                <c:pt idx="4">
                  <c:v>7.5999999999999998E-2</c:v>
                </c:pt>
              </c:numCache>
            </c:numRef>
          </c:val>
        </c:ser>
        <c:dLbls>
          <c:showLegendKey val="0"/>
          <c:showVal val="0"/>
          <c:showCatName val="0"/>
          <c:showSerName val="0"/>
          <c:showPercent val="0"/>
          <c:showBubbleSize val="0"/>
        </c:dLbls>
        <c:gapWidth val="182"/>
        <c:axId val="2009927456"/>
        <c:axId val="2009928544"/>
      </c:barChart>
      <c:catAx>
        <c:axId val="2009927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2009928544"/>
        <c:crosses val="autoZero"/>
        <c:auto val="1"/>
        <c:lblAlgn val="ctr"/>
        <c:lblOffset val="100"/>
        <c:noMultiLvlLbl val="0"/>
      </c:catAx>
      <c:valAx>
        <c:axId val="2009928544"/>
        <c:scaling>
          <c:orientation val="minMax"/>
          <c:max val="0.8"/>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2009927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Arkusz1!$A$2:$A$11</c:f>
              <c:strCache>
                <c:ptCount val="10"/>
                <c:pt idx="0">
                  <c:v>other</c:v>
                </c:pt>
                <c:pt idx="1">
                  <c:v>Switzerland</c:v>
                </c:pt>
                <c:pt idx="2">
                  <c:v>Ireland</c:v>
                </c:pt>
                <c:pt idx="3">
                  <c:v>Belgium</c:v>
                </c:pt>
                <c:pt idx="4">
                  <c:v>Netherlands</c:v>
                </c:pt>
                <c:pt idx="5">
                  <c:v>Germany</c:v>
                </c:pt>
                <c:pt idx="6">
                  <c:v>United 
Kingdom</c:v>
                </c:pt>
                <c:pt idx="7">
                  <c:v>United 
States</c:v>
                </c:pt>
                <c:pt idx="8">
                  <c:v>Hungary</c:v>
                </c:pt>
                <c:pt idx="9">
                  <c:v>Austria</c:v>
                </c:pt>
              </c:strCache>
            </c:strRef>
          </c:cat>
          <c:val>
            <c:numRef>
              <c:f>Arkusz1!$B$2:$B$11</c:f>
              <c:numCache>
                <c:formatCode>0.0%</c:formatCode>
                <c:ptCount val="10"/>
                <c:pt idx="0">
                  <c:v>0.158</c:v>
                </c:pt>
                <c:pt idx="1">
                  <c:v>0.04</c:v>
                </c:pt>
                <c:pt idx="2">
                  <c:v>0.45</c:v>
                </c:pt>
                <c:pt idx="3">
                  <c:v>4.0000000000000001E-3</c:v>
                </c:pt>
                <c:pt idx="4">
                  <c:v>4.7E-2</c:v>
                </c:pt>
                <c:pt idx="5">
                  <c:v>4.4999999999999998E-2</c:v>
                </c:pt>
                <c:pt idx="6">
                  <c:v>0.14099999999999999</c:v>
                </c:pt>
                <c:pt idx="7">
                  <c:v>9.9000000000000005E-2</c:v>
                </c:pt>
                <c:pt idx="8">
                  <c:v>0.01</c:v>
                </c:pt>
                <c:pt idx="9">
                  <c:v>6.0000000000000001E-3</c:v>
                </c:pt>
              </c:numCache>
            </c:numRef>
          </c:val>
        </c:ser>
        <c:ser>
          <c:idx val="1"/>
          <c:order val="1"/>
          <c:tx>
            <c:strRef>
              <c:f>Arkusz1!$C$1</c:f>
              <c:strCache>
                <c:ptCount val="1"/>
                <c:pt idx="0">
                  <c:v>provided services</c:v>
                </c:pt>
              </c:strCache>
            </c:strRef>
          </c:tx>
          <c:spPr>
            <a:solidFill>
              <a:srgbClr val="CCD2E4"/>
            </a:solidFill>
            <a:ln>
              <a:noFill/>
            </a:ln>
            <a:effectLst/>
          </c:spPr>
          <c:invertIfNegative val="0"/>
          <c:cat>
            <c:strRef>
              <c:f>Arkusz1!$A$2:$A$11</c:f>
              <c:strCache>
                <c:ptCount val="10"/>
                <c:pt idx="0">
                  <c:v>other</c:v>
                </c:pt>
                <c:pt idx="1">
                  <c:v>Switzerland</c:v>
                </c:pt>
                <c:pt idx="2">
                  <c:v>Ireland</c:v>
                </c:pt>
                <c:pt idx="3">
                  <c:v>Belgium</c:v>
                </c:pt>
                <c:pt idx="4">
                  <c:v>Netherlands</c:v>
                </c:pt>
                <c:pt idx="5">
                  <c:v>Germany</c:v>
                </c:pt>
                <c:pt idx="6">
                  <c:v>United 
Kingdom</c:v>
                </c:pt>
                <c:pt idx="7">
                  <c:v>United 
States</c:v>
                </c:pt>
                <c:pt idx="8">
                  <c:v>Hungary</c:v>
                </c:pt>
                <c:pt idx="9">
                  <c:v>Austria</c:v>
                </c:pt>
              </c:strCache>
            </c:strRef>
          </c:cat>
          <c:val>
            <c:numRef>
              <c:f>Arkusz1!$C$2:$C$11</c:f>
              <c:numCache>
                <c:formatCode>0.0%</c:formatCode>
                <c:ptCount val="10"/>
                <c:pt idx="0">
                  <c:v>0.193</c:v>
                </c:pt>
                <c:pt idx="1">
                  <c:v>0.20499999999999999</c:v>
                </c:pt>
                <c:pt idx="2">
                  <c:v>0.156</c:v>
                </c:pt>
                <c:pt idx="3">
                  <c:v>0.08</c:v>
                </c:pt>
                <c:pt idx="4">
                  <c:v>7.5999999999999998E-2</c:v>
                </c:pt>
                <c:pt idx="5">
                  <c:v>7.4999999999999997E-2</c:v>
                </c:pt>
                <c:pt idx="6">
                  <c:v>7.2999999999999995E-2</c:v>
                </c:pt>
                <c:pt idx="7">
                  <c:v>7.0000000000000007E-2</c:v>
                </c:pt>
                <c:pt idx="8">
                  <c:v>0.04</c:v>
                </c:pt>
                <c:pt idx="9">
                  <c:v>3.2000000000000001E-2</c:v>
                </c:pt>
              </c:numCache>
            </c:numRef>
          </c:val>
        </c:ser>
        <c:dLbls>
          <c:showLegendKey val="0"/>
          <c:showVal val="0"/>
          <c:showCatName val="0"/>
          <c:showSerName val="0"/>
          <c:showPercent val="0"/>
          <c:showBubbleSize val="0"/>
        </c:dLbls>
        <c:gapWidth val="182"/>
        <c:axId val="2009928000"/>
        <c:axId val="2009922016"/>
      </c:barChart>
      <c:catAx>
        <c:axId val="20099280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2009922016"/>
        <c:crosses val="autoZero"/>
        <c:auto val="1"/>
        <c:lblAlgn val="ctr"/>
        <c:lblOffset val="100"/>
        <c:noMultiLvlLbl val="0"/>
      </c:catAx>
      <c:valAx>
        <c:axId val="2009922016"/>
        <c:scaling>
          <c:orientation val="minMax"/>
          <c:max val="0.5"/>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2009928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900" baseline="0">
          <a:solidFill>
            <a:sysClr val="windowText" lastClr="000000"/>
          </a:solidFill>
          <a:latin typeface="Fira Sans" panose="020B0503050000020004" pitchFamily="34" charset="0"/>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Arkusz1!$A$2:$A$6</c:f>
              <c:strCache>
                <c:ptCount val="5"/>
                <c:pt idx="0">
                  <c:v>advertising services</c:v>
                </c:pt>
                <c:pt idx="1">
                  <c:v>research and 
development services</c:v>
                </c:pt>
                <c:pt idx="2">
                  <c:v>legal, accounting 
and management 
consulting services</c:v>
                </c:pt>
                <c:pt idx="3">
                  <c:v>computer services</c:v>
                </c:pt>
                <c:pt idx="4">
                  <c:v>other</c:v>
                </c:pt>
              </c:strCache>
            </c:strRef>
          </c:cat>
          <c:val>
            <c:numRef>
              <c:f>Arkusz1!$B$2:$B$6</c:f>
              <c:numCache>
                <c:formatCode>0.0%</c:formatCode>
                <c:ptCount val="5"/>
                <c:pt idx="0">
                  <c:v>0.70599999999999996</c:v>
                </c:pt>
                <c:pt idx="1">
                  <c:v>0</c:v>
                </c:pt>
                <c:pt idx="2">
                  <c:v>5.8999999999999997E-2</c:v>
                </c:pt>
                <c:pt idx="3">
                  <c:v>0.14599999999999999</c:v>
                </c:pt>
                <c:pt idx="4">
                  <c:v>8.8999999999999996E-2</c:v>
                </c:pt>
              </c:numCache>
            </c:numRef>
          </c:val>
        </c:ser>
        <c:ser>
          <c:idx val="1"/>
          <c:order val="1"/>
          <c:tx>
            <c:strRef>
              <c:f>Arkusz1!$C$1</c:f>
              <c:strCache>
                <c:ptCount val="1"/>
                <c:pt idx="0">
                  <c:v>provided services</c:v>
                </c:pt>
              </c:strCache>
            </c:strRef>
          </c:tx>
          <c:spPr>
            <a:solidFill>
              <a:srgbClr val="CCD2E4"/>
            </a:solidFill>
            <a:ln>
              <a:noFill/>
            </a:ln>
            <a:effectLst/>
          </c:spPr>
          <c:invertIfNegative val="0"/>
          <c:cat>
            <c:strRef>
              <c:f>Arkusz1!$A$2:$A$6</c:f>
              <c:strCache>
                <c:ptCount val="5"/>
                <c:pt idx="0">
                  <c:v>advertising services</c:v>
                </c:pt>
                <c:pt idx="1">
                  <c:v>research and 
development services</c:v>
                </c:pt>
                <c:pt idx="2">
                  <c:v>legal, accounting 
and management 
consulting services</c:v>
                </c:pt>
                <c:pt idx="3">
                  <c:v>computer services</c:v>
                </c:pt>
                <c:pt idx="4">
                  <c:v>other</c:v>
                </c:pt>
              </c:strCache>
            </c:strRef>
          </c:cat>
          <c:val>
            <c:numRef>
              <c:f>Arkusz1!$C$2:$C$6</c:f>
              <c:numCache>
                <c:formatCode>0.0%</c:formatCode>
                <c:ptCount val="5"/>
                <c:pt idx="0">
                  <c:v>0.78700000000000003</c:v>
                </c:pt>
                <c:pt idx="1">
                  <c:v>7.2999999999999995E-2</c:v>
                </c:pt>
                <c:pt idx="2">
                  <c:v>6.5000000000000002E-2</c:v>
                </c:pt>
                <c:pt idx="3">
                  <c:v>2.8000000000000001E-2</c:v>
                </c:pt>
                <c:pt idx="4">
                  <c:v>4.7E-2</c:v>
                </c:pt>
              </c:numCache>
            </c:numRef>
          </c:val>
        </c:ser>
        <c:dLbls>
          <c:showLegendKey val="0"/>
          <c:showVal val="0"/>
          <c:showCatName val="0"/>
          <c:showSerName val="0"/>
          <c:showPercent val="0"/>
          <c:showBubbleSize val="0"/>
        </c:dLbls>
        <c:gapWidth val="182"/>
        <c:axId val="2108912384"/>
        <c:axId val="2108912928"/>
      </c:barChart>
      <c:catAx>
        <c:axId val="21089123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2108912928"/>
        <c:crosses val="autoZero"/>
        <c:auto val="1"/>
        <c:lblAlgn val="ctr"/>
        <c:lblOffset val="100"/>
        <c:noMultiLvlLbl val="0"/>
      </c:catAx>
      <c:valAx>
        <c:axId val="2108912928"/>
        <c:scaling>
          <c:orientation val="minMax"/>
          <c:max val="0.8"/>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2108912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900" baseline="0">
          <a:solidFill>
            <a:sysClr val="windowText" lastClr="000000"/>
          </a:solidFill>
          <a:latin typeface="Fira Sans" panose="020B0503050000020004" pitchFamily="34" charset="0"/>
        </a:defRPr>
      </a:pPr>
      <a:endParaRPr lang="pl-P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Arkusz1!$A$2:$A$11</c:f>
              <c:strCache>
                <c:ptCount val="10"/>
                <c:pt idx="0">
                  <c:v>Germany</c:v>
                </c:pt>
                <c:pt idx="1">
                  <c:v>Netherlands</c:v>
                </c:pt>
                <c:pt idx="2">
                  <c:v>Norway</c:v>
                </c:pt>
                <c:pt idx="3">
                  <c:v>Belgium</c:v>
                </c:pt>
                <c:pt idx="4">
                  <c:v>Sweden</c:v>
                </c:pt>
                <c:pt idx="5">
                  <c:v>United 
Kingdom</c:v>
                </c:pt>
                <c:pt idx="6">
                  <c:v>France</c:v>
                </c:pt>
                <c:pt idx="7">
                  <c:v>Denmark</c:v>
                </c:pt>
                <c:pt idx="8">
                  <c:v>Czechia</c:v>
                </c:pt>
                <c:pt idx="9">
                  <c:v>other</c:v>
                </c:pt>
              </c:strCache>
            </c:strRef>
          </c:cat>
          <c:val>
            <c:numRef>
              <c:f>Arkusz1!$B$2:$B$11</c:f>
              <c:numCache>
                <c:formatCode>0.0%</c:formatCode>
                <c:ptCount val="10"/>
                <c:pt idx="0">
                  <c:v>0.22900000000000001</c:v>
                </c:pt>
                <c:pt idx="1">
                  <c:v>0.16</c:v>
                </c:pt>
                <c:pt idx="2">
                  <c:v>3.6999999999999998E-2</c:v>
                </c:pt>
                <c:pt idx="3">
                  <c:v>1.9E-2</c:v>
                </c:pt>
                <c:pt idx="4">
                  <c:v>0.01</c:v>
                </c:pt>
                <c:pt idx="5">
                  <c:v>0.182</c:v>
                </c:pt>
                <c:pt idx="6">
                  <c:v>2.1000000000000001E-2</c:v>
                </c:pt>
                <c:pt idx="7">
                  <c:v>1.0999999999999999E-2</c:v>
                </c:pt>
                <c:pt idx="8">
                  <c:v>1.2999999999999999E-2</c:v>
                </c:pt>
                <c:pt idx="9">
                  <c:v>0.318</c:v>
                </c:pt>
              </c:numCache>
            </c:numRef>
          </c:val>
        </c:ser>
        <c:ser>
          <c:idx val="1"/>
          <c:order val="1"/>
          <c:tx>
            <c:strRef>
              <c:f>Arkusz1!$C$1</c:f>
              <c:strCache>
                <c:ptCount val="1"/>
                <c:pt idx="0">
                  <c:v>provided services</c:v>
                </c:pt>
              </c:strCache>
            </c:strRef>
          </c:tx>
          <c:spPr>
            <a:solidFill>
              <a:srgbClr val="CCD2E4"/>
            </a:solidFill>
            <a:ln>
              <a:noFill/>
            </a:ln>
            <a:effectLst/>
          </c:spPr>
          <c:invertIfNegative val="0"/>
          <c:cat>
            <c:strRef>
              <c:f>Arkusz1!$A$2:$A$11</c:f>
              <c:strCache>
                <c:ptCount val="10"/>
                <c:pt idx="0">
                  <c:v>Germany</c:v>
                </c:pt>
                <c:pt idx="1">
                  <c:v>Netherlands</c:v>
                </c:pt>
                <c:pt idx="2">
                  <c:v>Norway</c:v>
                </c:pt>
                <c:pt idx="3">
                  <c:v>Belgium</c:v>
                </c:pt>
                <c:pt idx="4">
                  <c:v>Sweden</c:v>
                </c:pt>
                <c:pt idx="5">
                  <c:v>United 
Kingdom</c:v>
                </c:pt>
                <c:pt idx="6">
                  <c:v>France</c:v>
                </c:pt>
                <c:pt idx="7">
                  <c:v>Denmark</c:v>
                </c:pt>
                <c:pt idx="8">
                  <c:v>Czechia</c:v>
                </c:pt>
                <c:pt idx="9">
                  <c:v>other</c:v>
                </c:pt>
              </c:strCache>
            </c:strRef>
          </c:cat>
          <c:val>
            <c:numRef>
              <c:f>Arkusz1!$C$2:$C$11</c:f>
              <c:numCache>
                <c:formatCode>0.0%</c:formatCode>
                <c:ptCount val="10"/>
                <c:pt idx="0">
                  <c:v>0.40300000000000002</c:v>
                </c:pt>
                <c:pt idx="1">
                  <c:v>0.13900000000000001</c:v>
                </c:pt>
                <c:pt idx="2">
                  <c:v>9.7000000000000003E-2</c:v>
                </c:pt>
                <c:pt idx="3">
                  <c:v>6.4000000000000001E-2</c:v>
                </c:pt>
                <c:pt idx="4">
                  <c:v>5.8000000000000003E-2</c:v>
                </c:pt>
                <c:pt idx="5">
                  <c:v>5.3999999999999999E-2</c:v>
                </c:pt>
                <c:pt idx="6">
                  <c:v>4.4999999999999998E-2</c:v>
                </c:pt>
                <c:pt idx="7">
                  <c:v>4.2999999999999997E-2</c:v>
                </c:pt>
                <c:pt idx="8">
                  <c:v>1.7000000000000001E-2</c:v>
                </c:pt>
                <c:pt idx="9">
                  <c:v>0.08</c:v>
                </c:pt>
              </c:numCache>
            </c:numRef>
          </c:val>
        </c:ser>
        <c:dLbls>
          <c:showLegendKey val="0"/>
          <c:showVal val="0"/>
          <c:showCatName val="0"/>
          <c:showSerName val="0"/>
          <c:showPercent val="0"/>
          <c:showBubbleSize val="0"/>
        </c:dLbls>
        <c:gapWidth val="182"/>
        <c:axId val="2108915104"/>
        <c:axId val="2108920000"/>
      </c:barChart>
      <c:catAx>
        <c:axId val="2108915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2108920000"/>
        <c:crosses val="autoZero"/>
        <c:auto val="1"/>
        <c:lblAlgn val="ctr"/>
        <c:lblOffset val="100"/>
        <c:noMultiLvlLbl val="0"/>
      </c:catAx>
      <c:valAx>
        <c:axId val="2108920000"/>
        <c:scaling>
          <c:orientation val="minMax"/>
          <c:max val="0.45"/>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2108915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900" baseline="0">
          <a:solidFill>
            <a:sysClr val="windowText" lastClr="000000"/>
          </a:solidFill>
          <a:latin typeface="Fira Sans" panose="020B0503050000020004" pitchFamily="34" charset="0"/>
        </a:defRPr>
      </a:pPr>
      <a:endParaRPr lang="pl-P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Arkusz1!$A$2:$A$6</c:f>
              <c:strCache>
                <c:ptCount val="5"/>
                <c:pt idx="0">
                  <c:v>employment 
services</c:v>
                </c:pt>
                <c:pt idx="1">
                  <c:v>cultural services</c:v>
                </c:pt>
                <c:pt idx="2">
                  <c:v>computer services</c:v>
                </c:pt>
                <c:pt idx="3">
                  <c:v>other 
business services</c:v>
                </c:pt>
                <c:pt idx="4">
                  <c:v>other</c:v>
                </c:pt>
              </c:strCache>
            </c:strRef>
          </c:cat>
          <c:val>
            <c:numRef>
              <c:f>Arkusz1!$B$2:$B$6</c:f>
              <c:numCache>
                <c:formatCode>0.0%</c:formatCode>
                <c:ptCount val="5"/>
                <c:pt idx="0">
                  <c:v>0.31</c:v>
                </c:pt>
                <c:pt idx="1">
                  <c:v>2.9000000000000001E-2</c:v>
                </c:pt>
                <c:pt idx="2">
                  <c:v>8.1000000000000003E-2</c:v>
                </c:pt>
                <c:pt idx="3">
                  <c:v>9.6000000000000002E-2</c:v>
                </c:pt>
                <c:pt idx="4">
                  <c:v>0.48399999999999999</c:v>
                </c:pt>
              </c:numCache>
            </c:numRef>
          </c:val>
        </c:ser>
        <c:ser>
          <c:idx val="1"/>
          <c:order val="1"/>
          <c:tx>
            <c:strRef>
              <c:f>Arkusz1!$C$1</c:f>
              <c:strCache>
                <c:ptCount val="1"/>
                <c:pt idx="0">
                  <c:v>provided services</c:v>
                </c:pt>
              </c:strCache>
            </c:strRef>
          </c:tx>
          <c:spPr>
            <a:solidFill>
              <a:srgbClr val="CCD2E4"/>
            </a:solidFill>
            <a:ln>
              <a:noFill/>
            </a:ln>
            <a:effectLst/>
          </c:spPr>
          <c:invertIfNegative val="0"/>
          <c:cat>
            <c:strRef>
              <c:f>Arkusz1!$A$2:$A$6</c:f>
              <c:strCache>
                <c:ptCount val="5"/>
                <c:pt idx="0">
                  <c:v>employment 
services</c:v>
                </c:pt>
                <c:pt idx="1">
                  <c:v>cultural services</c:v>
                </c:pt>
                <c:pt idx="2">
                  <c:v>computer services</c:v>
                </c:pt>
                <c:pt idx="3">
                  <c:v>other 
business services</c:v>
                </c:pt>
                <c:pt idx="4">
                  <c:v>other</c:v>
                </c:pt>
              </c:strCache>
            </c:strRef>
          </c:cat>
          <c:val>
            <c:numRef>
              <c:f>Arkusz1!$C$2:$C$6</c:f>
              <c:numCache>
                <c:formatCode>0.0%</c:formatCode>
                <c:ptCount val="5"/>
                <c:pt idx="0">
                  <c:v>0.63900000000000001</c:v>
                </c:pt>
                <c:pt idx="1">
                  <c:v>0.111</c:v>
                </c:pt>
                <c:pt idx="2">
                  <c:v>7.5999999999999998E-2</c:v>
                </c:pt>
                <c:pt idx="3">
                  <c:v>7.4999999999999997E-2</c:v>
                </c:pt>
                <c:pt idx="4">
                  <c:v>9.9000000000000005E-2</c:v>
                </c:pt>
              </c:numCache>
            </c:numRef>
          </c:val>
        </c:ser>
        <c:dLbls>
          <c:showLegendKey val="0"/>
          <c:showVal val="0"/>
          <c:showCatName val="0"/>
          <c:showSerName val="0"/>
          <c:showPercent val="0"/>
          <c:showBubbleSize val="0"/>
        </c:dLbls>
        <c:gapWidth val="182"/>
        <c:axId val="2108916192"/>
        <c:axId val="2108919456"/>
      </c:barChart>
      <c:catAx>
        <c:axId val="21089161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2108919456"/>
        <c:crosses val="autoZero"/>
        <c:auto val="1"/>
        <c:lblAlgn val="ctr"/>
        <c:lblOffset val="100"/>
        <c:noMultiLvlLbl val="0"/>
      </c:catAx>
      <c:valAx>
        <c:axId val="2108919456"/>
        <c:scaling>
          <c:orientation val="minMax"/>
          <c:max val="0.65000000000000013"/>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2108916192"/>
        <c:crosses val="autoZero"/>
        <c:crossBetween val="between"/>
        <c:majorUnit val="5.000000000000001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900" baseline="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Arkusz1!$B$1</c:f>
              <c:strCache>
                <c:ptCount val="1"/>
                <c:pt idx="0">
                  <c:v>Enterprises with the number of persons employed 9 and less</c:v>
                </c:pt>
              </c:strCache>
            </c:strRef>
          </c:tx>
          <c:spPr>
            <a:solidFill>
              <a:srgbClr val="CCD2E4"/>
            </a:solidFill>
            <a:ln>
              <a:noFill/>
            </a:ln>
            <a:effectLst/>
          </c:spPr>
          <c:invertIfNegative val="0"/>
          <c:dLbls>
            <c:dLbl>
              <c:idx val="0"/>
              <c:tx>
                <c:rich>
                  <a:bodyPr/>
                  <a:lstStyle/>
                  <a:p>
                    <a:r>
                      <a:rPr lang="en-US"/>
                      <a:t>97.5%</a:t>
                    </a:r>
                  </a:p>
                </c:rich>
              </c:tx>
              <c:dLblPos val="ctr"/>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45.5%</a:t>
                    </a:r>
                  </a:p>
                </c:rich>
              </c:tx>
              <c:dLblPos val="ctr"/>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46.8%</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number of enterprises</c:v>
                </c:pt>
                <c:pt idx="1">
                  <c:v>number of persons employed</c:v>
                </c:pt>
                <c:pt idx="2">
                  <c:v>turnover</c:v>
                </c:pt>
              </c:strCache>
            </c:strRef>
          </c:cat>
          <c:val>
            <c:numRef>
              <c:f>Arkusz1!$B$2:$B$4</c:f>
              <c:numCache>
                <c:formatCode>0.0</c:formatCode>
                <c:ptCount val="3"/>
                <c:pt idx="0">
                  <c:v>97.5</c:v>
                </c:pt>
                <c:pt idx="1">
                  <c:v>45.5</c:v>
                </c:pt>
                <c:pt idx="2">
                  <c:v>46.8</c:v>
                </c:pt>
              </c:numCache>
            </c:numRef>
          </c:val>
        </c:ser>
        <c:ser>
          <c:idx val="1"/>
          <c:order val="1"/>
          <c:tx>
            <c:strRef>
              <c:f>Arkusz1!$C$1</c:f>
              <c:strCache>
                <c:ptCount val="1"/>
                <c:pt idx="0">
                  <c:v>Enterprises with the number of persons employed from 10 to 49</c:v>
                </c:pt>
              </c:strCache>
            </c:strRef>
          </c:tx>
          <c:spPr>
            <a:solidFill>
              <a:srgbClr val="6677AD"/>
            </a:solidFill>
            <a:ln>
              <a:noFill/>
            </a:ln>
            <a:effectLst/>
          </c:spPr>
          <c:invertIfNegative val="0"/>
          <c:dLbls>
            <c:dLbl>
              <c:idx val="0"/>
              <c:layout>
                <c:manualLayout>
                  <c:x val="-4.5562938461688754E-2"/>
                  <c:y val="7.0709901419802837E-2"/>
                </c:manualLayout>
              </c:layout>
              <c:tx>
                <c:rich>
                  <a:bodyPr/>
                  <a:lstStyle/>
                  <a:p>
                    <a:r>
                      <a:rPr lang="en-US"/>
                      <a:t>2.0%</a:t>
                    </a:r>
                  </a:p>
                </c:rich>
              </c:tx>
              <c:dLblPos val="ctr"/>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12.5%</a:t>
                    </a:r>
                  </a:p>
                </c:rich>
              </c:tx>
              <c:dLblPos val="ctr"/>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15.3%</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number of enterprises</c:v>
                </c:pt>
                <c:pt idx="1">
                  <c:v>number of persons employed</c:v>
                </c:pt>
                <c:pt idx="2">
                  <c:v>turnover</c:v>
                </c:pt>
              </c:strCache>
            </c:strRef>
          </c:cat>
          <c:val>
            <c:numRef>
              <c:f>Arkusz1!$C$2:$C$4</c:f>
              <c:numCache>
                <c:formatCode>0.0</c:formatCode>
                <c:ptCount val="3"/>
                <c:pt idx="0">
                  <c:v>2</c:v>
                </c:pt>
                <c:pt idx="1">
                  <c:v>12.5</c:v>
                </c:pt>
                <c:pt idx="2">
                  <c:v>15.3</c:v>
                </c:pt>
              </c:numCache>
            </c:numRef>
          </c:val>
        </c:ser>
        <c:ser>
          <c:idx val="2"/>
          <c:order val="2"/>
          <c:tx>
            <c:strRef>
              <c:f>Arkusz1!$D$1</c:f>
              <c:strCache>
                <c:ptCount val="1"/>
                <c:pt idx="0">
                  <c:v>Enterprises with the number of persons employed 50 and more</c:v>
                </c:pt>
              </c:strCache>
            </c:strRef>
          </c:tx>
          <c:spPr>
            <a:solidFill>
              <a:srgbClr val="001D77"/>
            </a:solidFill>
            <a:ln>
              <a:noFill/>
            </a:ln>
            <a:effectLst/>
          </c:spPr>
          <c:invertIfNegative val="0"/>
          <c:dLbls>
            <c:dLbl>
              <c:idx val="0"/>
              <c:layout>
                <c:manualLayout>
                  <c:x val="2.1248967064101051E-2"/>
                  <c:y val="-8.7027468044601625E-2"/>
                </c:manualLayout>
              </c:layout>
              <c:tx>
                <c:rich>
                  <a:bodyPr/>
                  <a:lstStyle/>
                  <a:p>
                    <a:r>
                      <a:rPr lang="en-US"/>
                      <a:t>0.5%</a:t>
                    </a:r>
                  </a:p>
                </c:rich>
              </c:tx>
              <c:dLblPos val="ctr"/>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42.0%</a:t>
                    </a:r>
                  </a:p>
                </c:rich>
              </c:tx>
              <c:dLblPos val="ctr"/>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37.9%</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number of enterprises</c:v>
                </c:pt>
                <c:pt idx="1">
                  <c:v>number of persons employed</c:v>
                </c:pt>
                <c:pt idx="2">
                  <c:v>turnover</c:v>
                </c:pt>
              </c:strCache>
            </c:strRef>
          </c:cat>
          <c:val>
            <c:numRef>
              <c:f>Arkusz1!$D$2:$D$4</c:f>
              <c:numCache>
                <c:formatCode>0.0</c:formatCode>
                <c:ptCount val="3"/>
                <c:pt idx="0">
                  <c:v>0.5</c:v>
                </c:pt>
                <c:pt idx="1">
                  <c:v>42</c:v>
                </c:pt>
                <c:pt idx="2">
                  <c:v>37.9</c:v>
                </c:pt>
              </c:numCache>
            </c:numRef>
          </c:val>
        </c:ser>
        <c:dLbls>
          <c:dLblPos val="ctr"/>
          <c:showLegendKey val="0"/>
          <c:showVal val="1"/>
          <c:showCatName val="0"/>
          <c:showSerName val="0"/>
          <c:showPercent val="0"/>
          <c:showBubbleSize val="0"/>
        </c:dLbls>
        <c:gapWidth val="150"/>
        <c:overlap val="100"/>
        <c:axId val="2105111632"/>
        <c:axId val="2105112720"/>
      </c:barChart>
      <c:catAx>
        <c:axId val="2105111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2105112720"/>
        <c:crosses val="autoZero"/>
        <c:auto val="1"/>
        <c:lblAlgn val="ctr"/>
        <c:lblOffset val="100"/>
        <c:noMultiLvlLbl val="0"/>
      </c:catAx>
      <c:valAx>
        <c:axId val="2105112720"/>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2105111632"/>
        <c:crosses val="autoZero"/>
        <c:crossBetween val="between"/>
        <c:dispUnits>
          <c:builtInUnit val="hundreds"/>
        </c:dispUnits>
      </c:valAx>
      <c:spPr>
        <a:noFill/>
        <a:ln>
          <a:noFill/>
        </a:ln>
        <a:effectLst/>
      </c:spPr>
    </c:plotArea>
    <c:legend>
      <c:legendPos val="b"/>
      <c:layout>
        <c:manualLayout>
          <c:xMode val="edge"/>
          <c:yMode val="edge"/>
          <c:x val="0.17748037073219702"/>
          <c:y val="0.73034590420554246"/>
          <c:w val="0.69462018168517514"/>
          <c:h val="0.1935050612554311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145687518226888"/>
          <c:y val="4.3650793650793648E-2"/>
          <c:w val="0.77720053222513852"/>
          <c:h val="0.76698545949762165"/>
        </c:manualLayout>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Arkusz1!$A$2:$A$10</c:f>
              <c:strCache>
                <c:ptCount val="9"/>
                <c:pt idx="0">
                  <c:v>other</c:v>
                </c:pt>
                <c:pt idx="1">
                  <c:v>Germany</c:v>
                </c:pt>
                <c:pt idx="2">
                  <c:v> United States</c:v>
                </c:pt>
                <c:pt idx="3">
                  <c:v>United Kingdom    </c:v>
                </c:pt>
                <c:pt idx="4">
                  <c:v>Switzerland</c:v>
                </c:pt>
                <c:pt idx="5">
                  <c:v>Ireland</c:v>
                </c:pt>
                <c:pt idx="6">
                  <c:v>France</c:v>
                </c:pt>
                <c:pt idx="7">
                  <c:v>Belgium</c:v>
                </c:pt>
                <c:pt idx="8">
                  <c:v>Denmark</c:v>
                </c:pt>
              </c:strCache>
            </c:strRef>
          </c:cat>
          <c:val>
            <c:numRef>
              <c:f>Arkusz1!$B$2:$B$10</c:f>
              <c:numCache>
                <c:formatCode>0.0%</c:formatCode>
                <c:ptCount val="9"/>
                <c:pt idx="0">
                  <c:v>0.248</c:v>
                </c:pt>
                <c:pt idx="1">
                  <c:v>0.123</c:v>
                </c:pt>
                <c:pt idx="2">
                  <c:v>0.127</c:v>
                </c:pt>
                <c:pt idx="3">
                  <c:v>0.14499999999999999</c:v>
                </c:pt>
                <c:pt idx="4">
                  <c:v>3.9E-2</c:v>
                </c:pt>
                <c:pt idx="5">
                  <c:v>0.16700000000000001</c:v>
                </c:pt>
                <c:pt idx="6">
                  <c:v>3.7999999999999999E-2</c:v>
                </c:pt>
                <c:pt idx="7">
                  <c:v>0.01</c:v>
                </c:pt>
                <c:pt idx="8">
                  <c:v>1.9E-2</c:v>
                </c:pt>
              </c:numCache>
            </c:numRef>
          </c:val>
        </c:ser>
        <c:ser>
          <c:idx val="1"/>
          <c:order val="1"/>
          <c:tx>
            <c:strRef>
              <c:f>Arkusz1!$C$1</c:f>
              <c:strCache>
                <c:ptCount val="1"/>
                <c:pt idx="0">
                  <c:v>provided services</c:v>
                </c:pt>
              </c:strCache>
            </c:strRef>
          </c:tx>
          <c:spPr>
            <a:solidFill>
              <a:srgbClr val="CCD2E4"/>
            </a:solidFill>
            <a:ln>
              <a:noFill/>
            </a:ln>
            <a:effectLst/>
          </c:spPr>
          <c:invertIfNegative val="0"/>
          <c:cat>
            <c:strRef>
              <c:f>Arkusz1!$A$2:$A$10</c:f>
              <c:strCache>
                <c:ptCount val="9"/>
                <c:pt idx="0">
                  <c:v>other</c:v>
                </c:pt>
                <c:pt idx="1">
                  <c:v>Germany</c:v>
                </c:pt>
                <c:pt idx="2">
                  <c:v> United States</c:v>
                </c:pt>
                <c:pt idx="3">
                  <c:v>United Kingdom    </c:v>
                </c:pt>
                <c:pt idx="4">
                  <c:v>Switzerland</c:v>
                </c:pt>
                <c:pt idx="5">
                  <c:v>Ireland</c:v>
                </c:pt>
                <c:pt idx="6">
                  <c:v>France</c:v>
                </c:pt>
                <c:pt idx="7">
                  <c:v>Belgium</c:v>
                </c:pt>
                <c:pt idx="8">
                  <c:v>Denmark</c:v>
                </c:pt>
              </c:strCache>
            </c:strRef>
          </c:cat>
          <c:val>
            <c:numRef>
              <c:f>Arkusz1!$C$2:$C$10</c:f>
              <c:numCache>
                <c:formatCode>0.0%</c:formatCode>
                <c:ptCount val="9"/>
                <c:pt idx="0">
                  <c:v>0.223</c:v>
                </c:pt>
                <c:pt idx="1">
                  <c:v>0.14799999999999999</c:v>
                </c:pt>
                <c:pt idx="2">
                  <c:v>0.14699999999999999</c:v>
                </c:pt>
                <c:pt idx="3">
                  <c:v>0.14199999999999999</c:v>
                </c:pt>
                <c:pt idx="4">
                  <c:v>0.115</c:v>
                </c:pt>
                <c:pt idx="5">
                  <c:v>6.2E-2</c:v>
                </c:pt>
                <c:pt idx="6">
                  <c:v>3.3000000000000002E-2</c:v>
                </c:pt>
                <c:pt idx="7">
                  <c:v>2.7E-2</c:v>
                </c:pt>
                <c:pt idx="8">
                  <c:v>2.4E-2</c:v>
                </c:pt>
              </c:numCache>
            </c:numRef>
          </c:val>
        </c:ser>
        <c:dLbls>
          <c:showLegendKey val="0"/>
          <c:showVal val="0"/>
          <c:showCatName val="0"/>
          <c:showSerName val="0"/>
          <c:showPercent val="0"/>
          <c:showBubbleSize val="0"/>
        </c:dLbls>
        <c:gapWidth val="182"/>
        <c:axId val="2105110000"/>
        <c:axId val="2105099664"/>
      </c:barChart>
      <c:catAx>
        <c:axId val="21051100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2105099664"/>
        <c:crosses val="autoZero"/>
        <c:auto val="1"/>
        <c:lblAlgn val="ctr"/>
        <c:lblOffset val="100"/>
        <c:noMultiLvlLbl val="0"/>
      </c:catAx>
      <c:valAx>
        <c:axId val="2105099664"/>
        <c:scaling>
          <c:orientation val="minMax"/>
          <c:max val="0.25"/>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2105110000"/>
        <c:crosses val="autoZero"/>
        <c:crossBetween val="between"/>
        <c:majorUnit val="5.000000000000001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Arkusz1!$A$2:$A$7</c:f>
              <c:strCache>
                <c:ptCount val="6"/>
                <c:pt idx="0">
                  <c:v>computer services</c:v>
                </c:pt>
                <c:pt idx="1">
                  <c:v>legal, accounting 
and management 
consulting services</c:v>
                </c:pt>
                <c:pt idx="2">
                  <c:v>advertising services</c:v>
                </c:pt>
                <c:pt idx="3">
                  <c:v>architectural 
and engineering 
services</c:v>
                </c:pt>
                <c:pt idx="4">
                  <c:v>other business services</c:v>
                </c:pt>
                <c:pt idx="5">
                  <c:v>other</c:v>
                </c:pt>
              </c:strCache>
            </c:strRef>
          </c:cat>
          <c:val>
            <c:numRef>
              <c:f>Arkusz1!$B$2:$B$7</c:f>
              <c:numCache>
                <c:formatCode>0.0%</c:formatCode>
                <c:ptCount val="6"/>
                <c:pt idx="0">
                  <c:v>0.33</c:v>
                </c:pt>
                <c:pt idx="1">
                  <c:v>0.186</c:v>
                </c:pt>
                <c:pt idx="2">
                  <c:v>0.193</c:v>
                </c:pt>
                <c:pt idx="3">
                  <c:v>2.8000000000000001E-2</c:v>
                </c:pt>
                <c:pt idx="4">
                  <c:v>4.9000000000000002E-2</c:v>
                </c:pt>
                <c:pt idx="5">
                  <c:v>0.214</c:v>
                </c:pt>
              </c:numCache>
            </c:numRef>
          </c:val>
        </c:ser>
        <c:ser>
          <c:idx val="1"/>
          <c:order val="1"/>
          <c:tx>
            <c:strRef>
              <c:f>Arkusz1!$C$1</c:f>
              <c:strCache>
                <c:ptCount val="1"/>
                <c:pt idx="0">
                  <c:v>provided services</c:v>
                </c:pt>
              </c:strCache>
            </c:strRef>
          </c:tx>
          <c:spPr>
            <a:solidFill>
              <a:srgbClr val="CCD2E4"/>
            </a:solidFill>
            <a:ln>
              <a:noFill/>
            </a:ln>
            <a:effectLst/>
          </c:spPr>
          <c:invertIfNegative val="0"/>
          <c:cat>
            <c:strRef>
              <c:f>Arkusz1!$A$2:$A$7</c:f>
              <c:strCache>
                <c:ptCount val="6"/>
                <c:pt idx="0">
                  <c:v>computer services</c:v>
                </c:pt>
                <c:pt idx="1">
                  <c:v>legal, accounting 
and management 
consulting services</c:v>
                </c:pt>
                <c:pt idx="2">
                  <c:v>advertising services</c:v>
                </c:pt>
                <c:pt idx="3">
                  <c:v>architectural 
and engineering 
services</c:v>
                </c:pt>
                <c:pt idx="4">
                  <c:v>other business services</c:v>
                </c:pt>
                <c:pt idx="5">
                  <c:v>other</c:v>
                </c:pt>
              </c:strCache>
            </c:strRef>
          </c:cat>
          <c:val>
            <c:numRef>
              <c:f>Arkusz1!$C$2:$C$7</c:f>
              <c:numCache>
                <c:formatCode>0.0%</c:formatCode>
                <c:ptCount val="6"/>
                <c:pt idx="0">
                  <c:v>0.36</c:v>
                </c:pt>
                <c:pt idx="1">
                  <c:v>0.23799999999999999</c:v>
                </c:pt>
                <c:pt idx="2">
                  <c:v>0.11899999999999999</c:v>
                </c:pt>
                <c:pt idx="3">
                  <c:v>5.6000000000000001E-2</c:v>
                </c:pt>
                <c:pt idx="4">
                  <c:v>4.5999999999999999E-2</c:v>
                </c:pt>
                <c:pt idx="5">
                  <c:v>0.18099999999999999</c:v>
                </c:pt>
              </c:numCache>
            </c:numRef>
          </c:val>
        </c:ser>
        <c:dLbls>
          <c:showLegendKey val="0"/>
          <c:showVal val="0"/>
          <c:showCatName val="0"/>
          <c:showSerName val="0"/>
          <c:showPercent val="0"/>
          <c:showBubbleSize val="0"/>
        </c:dLbls>
        <c:gapWidth val="182"/>
        <c:axId val="2105101296"/>
        <c:axId val="1868273152"/>
      </c:barChart>
      <c:catAx>
        <c:axId val="2105101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1868273152"/>
        <c:crosses val="autoZero"/>
        <c:auto val="1"/>
        <c:lblAlgn val="ctr"/>
        <c:lblOffset val="100"/>
        <c:noMultiLvlLbl val="0"/>
      </c:catAx>
      <c:valAx>
        <c:axId val="18682731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2105101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45687518226888"/>
          <c:y val="4.3650793650793648E-2"/>
          <c:w val="0.77720053222513852"/>
          <c:h val="0.76698545949762165"/>
        </c:manualLayout>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Arkusz1!$A$2:$A$11</c:f>
              <c:strCache>
                <c:ptCount val="10"/>
                <c:pt idx="0">
                  <c:v>other</c:v>
                </c:pt>
                <c:pt idx="1">
                  <c:v> United States</c:v>
                </c:pt>
                <c:pt idx="2">
                  <c:v>Germany</c:v>
                </c:pt>
                <c:pt idx="3">
                  <c:v>United Kingdom</c:v>
                </c:pt>
                <c:pt idx="4">
                  <c:v>Switzerland</c:v>
                </c:pt>
                <c:pt idx="5">
                  <c:v>Ireland</c:v>
                </c:pt>
                <c:pt idx="6">
                  <c:v>Netherlands</c:v>
                </c:pt>
                <c:pt idx="7">
                  <c:v>France</c:v>
                </c:pt>
                <c:pt idx="8">
                  <c:v>Sweden</c:v>
                </c:pt>
                <c:pt idx="9">
                  <c:v>Denmark</c:v>
                </c:pt>
              </c:strCache>
            </c:strRef>
          </c:cat>
          <c:val>
            <c:numRef>
              <c:f>Arkusz1!$B$2:$B$11</c:f>
              <c:numCache>
                <c:formatCode>0.0%</c:formatCode>
                <c:ptCount val="10"/>
                <c:pt idx="0">
                  <c:v>0.23100000000000001</c:v>
                </c:pt>
                <c:pt idx="1">
                  <c:v>0.161</c:v>
                </c:pt>
                <c:pt idx="2">
                  <c:v>0.14099999999999999</c:v>
                </c:pt>
                <c:pt idx="3">
                  <c:v>0.104</c:v>
                </c:pt>
                <c:pt idx="4">
                  <c:v>3.3000000000000002E-2</c:v>
                </c:pt>
                <c:pt idx="5">
                  <c:v>0.16600000000000001</c:v>
                </c:pt>
                <c:pt idx="6">
                  <c:v>9.7000000000000003E-2</c:v>
                </c:pt>
                <c:pt idx="7">
                  <c:v>4.4999999999999998E-2</c:v>
                </c:pt>
                <c:pt idx="8">
                  <c:v>1.4E-2</c:v>
                </c:pt>
                <c:pt idx="9">
                  <c:v>8.0000000000000002E-3</c:v>
                </c:pt>
              </c:numCache>
            </c:numRef>
          </c:val>
        </c:ser>
        <c:ser>
          <c:idx val="1"/>
          <c:order val="1"/>
          <c:tx>
            <c:strRef>
              <c:f>Arkusz1!$C$1</c:f>
              <c:strCache>
                <c:ptCount val="1"/>
                <c:pt idx="0">
                  <c:v>provided services</c:v>
                </c:pt>
              </c:strCache>
            </c:strRef>
          </c:tx>
          <c:spPr>
            <a:solidFill>
              <a:srgbClr val="CCD2E4"/>
            </a:solidFill>
            <a:ln>
              <a:noFill/>
            </a:ln>
            <a:effectLst/>
          </c:spPr>
          <c:invertIfNegative val="0"/>
          <c:cat>
            <c:strRef>
              <c:f>Arkusz1!$A$2:$A$11</c:f>
              <c:strCache>
                <c:ptCount val="10"/>
                <c:pt idx="0">
                  <c:v>other</c:v>
                </c:pt>
                <c:pt idx="1">
                  <c:v> United States</c:v>
                </c:pt>
                <c:pt idx="2">
                  <c:v>Germany</c:v>
                </c:pt>
                <c:pt idx="3">
                  <c:v>United Kingdom</c:v>
                </c:pt>
                <c:pt idx="4">
                  <c:v>Switzerland</c:v>
                </c:pt>
                <c:pt idx="5">
                  <c:v>Ireland</c:v>
                </c:pt>
                <c:pt idx="6">
                  <c:v>Netherlands</c:v>
                </c:pt>
                <c:pt idx="7">
                  <c:v>France</c:v>
                </c:pt>
                <c:pt idx="8">
                  <c:v>Sweden</c:v>
                </c:pt>
                <c:pt idx="9">
                  <c:v>Denmark</c:v>
                </c:pt>
              </c:strCache>
            </c:strRef>
          </c:cat>
          <c:val>
            <c:numRef>
              <c:f>Arkusz1!$C$2:$C$11</c:f>
              <c:numCache>
                <c:formatCode>0.0%</c:formatCode>
                <c:ptCount val="10"/>
                <c:pt idx="0">
                  <c:v>0.182</c:v>
                </c:pt>
                <c:pt idx="1">
                  <c:v>0.19700000000000001</c:v>
                </c:pt>
                <c:pt idx="2">
                  <c:v>0.154</c:v>
                </c:pt>
                <c:pt idx="3">
                  <c:v>0.15</c:v>
                </c:pt>
                <c:pt idx="4">
                  <c:v>8.3000000000000004E-2</c:v>
                </c:pt>
                <c:pt idx="5">
                  <c:v>8.2000000000000003E-2</c:v>
                </c:pt>
                <c:pt idx="6">
                  <c:v>6.9000000000000006E-2</c:v>
                </c:pt>
                <c:pt idx="7">
                  <c:v>3.5999999999999997E-2</c:v>
                </c:pt>
                <c:pt idx="8">
                  <c:v>2.4E-2</c:v>
                </c:pt>
                <c:pt idx="9">
                  <c:v>2.3E-2</c:v>
                </c:pt>
              </c:numCache>
            </c:numRef>
          </c:val>
        </c:ser>
        <c:dLbls>
          <c:showLegendKey val="0"/>
          <c:showVal val="0"/>
          <c:showCatName val="0"/>
          <c:showSerName val="0"/>
          <c:showPercent val="0"/>
          <c:showBubbleSize val="0"/>
        </c:dLbls>
        <c:gapWidth val="182"/>
        <c:axId val="2009926368"/>
        <c:axId val="2009923648"/>
      </c:barChart>
      <c:catAx>
        <c:axId val="2009926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2009923648"/>
        <c:crosses val="autoZero"/>
        <c:auto val="1"/>
        <c:lblAlgn val="ctr"/>
        <c:lblOffset val="100"/>
        <c:noMultiLvlLbl val="0"/>
      </c:catAx>
      <c:valAx>
        <c:axId val="2009923648"/>
        <c:scaling>
          <c:orientation val="minMax"/>
          <c:max val="0.24000000000000002"/>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2009926368"/>
        <c:crosses val="autoZero"/>
        <c:crossBetween val="between"/>
        <c:majorUnit val="4.0000000000000008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Arkusz1!$A$2:$A$6</c:f>
              <c:strCache>
                <c:ptCount val="5"/>
                <c:pt idx="0">
                  <c:v>computer services</c:v>
                </c:pt>
                <c:pt idx="1">
                  <c:v>legal, accounting 
and management 
consulting services</c:v>
                </c:pt>
                <c:pt idx="2">
                  <c:v>charges for the use 
of intellectual property</c:v>
                </c:pt>
                <c:pt idx="3">
                  <c:v>advertising services</c:v>
                </c:pt>
                <c:pt idx="4">
                  <c:v>other</c:v>
                </c:pt>
              </c:strCache>
            </c:strRef>
          </c:cat>
          <c:val>
            <c:numRef>
              <c:f>Arkusz1!$B$2:$B$6</c:f>
              <c:numCache>
                <c:formatCode>0.00%</c:formatCode>
                <c:ptCount val="5"/>
                <c:pt idx="0">
                  <c:v>0.53600000000000003</c:v>
                </c:pt>
                <c:pt idx="1">
                  <c:v>6.9000000000000006E-2</c:v>
                </c:pt>
                <c:pt idx="2">
                  <c:v>0.14199999999999999</c:v>
                </c:pt>
                <c:pt idx="3">
                  <c:v>0.112</c:v>
                </c:pt>
                <c:pt idx="4">
                  <c:v>0.14099999999999999</c:v>
                </c:pt>
              </c:numCache>
            </c:numRef>
          </c:val>
        </c:ser>
        <c:ser>
          <c:idx val="1"/>
          <c:order val="1"/>
          <c:tx>
            <c:strRef>
              <c:f>Arkusz1!$C$1</c:f>
              <c:strCache>
                <c:ptCount val="1"/>
                <c:pt idx="0">
                  <c:v>provided services</c:v>
                </c:pt>
              </c:strCache>
            </c:strRef>
          </c:tx>
          <c:spPr>
            <a:solidFill>
              <a:srgbClr val="CCD2E4"/>
            </a:solidFill>
            <a:ln>
              <a:noFill/>
            </a:ln>
            <a:effectLst/>
          </c:spPr>
          <c:invertIfNegative val="0"/>
          <c:cat>
            <c:strRef>
              <c:f>Arkusz1!$A$2:$A$6</c:f>
              <c:strCache>
                <c:ptCount val="5"/>
                <c:pt idx="0">
                  <c:v>computer services</c:v>
                </c:pt>
                <c:pt idx="1">
                  <c:v>legal, accounting 
and management 
consulting services</c:v>
                </c:pt>
                <c:pt idx="2">
                  <c:v>charges for the use 
of intellectual property</c:v>
                </c:pt>
                <c:pt idx="3">
                  <c:v>advertising services</c:v>
                </c:pt>
                <c:pt idx="4">
                  <c:v>other</c:v>
                </c:pt>
              </c:strCache>
            </c:strRef>
          </c:cat>
          <c:val>
            <c:numRef>
              <c:f>Arkusz1!$C$2:$C$6</c:f>
              <c:numCache>
                <c:formatCode>0.00%</c:formatCode>
                <c:ptCount val="5"/>
                <c:pt idx="0">
                  <c:v>0.69599999999999995</c:v>
                </c:pt>
                <c:pt idx="1">
                  <c:v>8.5000000000000006E-2</c:v>
                </c:pt>
                <c:pt idx="2">
                  <c:v>5.0999999999999997E-2</c:v>
                </c:pt>
                <c:pt idx="3">
                  <c:v>4.7E-2</c:v>
                </c:pt>
                <c:pt idx="4">
                  <c:v>0.121</c:v>
                </c:pt>
              </c:numCache>
            </c:numRef>
          </c:val>
        </c:ser>
        <c:dLbls>
          <c:showLegendKey val="0"/>
          <c:showVal val="0"/>
          <c:showCatName val="0"/>
          <c:showSerName val="0"/>
          <c:showPercent val="0"/>
          <c:showBubbleSize val="0"/>
        </c:dLbls>
        <c:gapWidth val="182"/>
        <c:axId val="2009924192"/>
        <c:axId val="2009924736"/>
      </c:barChart>
      <c:catAx>
        <c:axId val="20099241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2009924736"/>
        <c:crosses val="autoZero"/>
        <c:auto val="1"/>
        <c:lblAlgn val="ctr"/>
        <c:lblOffset val="100"/>
        <c:noMultiLvlLbl val="0"/>
      </c:catAx>
      <c:valAx>
        <c:axId val="20099247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2009924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18573199183434"/>
          <c:y val="4.3650793650793648E-2"/>
          <c:w val="0.7770191746864975"/>
          <c:h val="0.78332552180977377"/>
        </c:manualLayout>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Arkusz1!$A$2:$A$11</c:f>
              <c:strCache>
                <c:ptCount val="10"/>
                <c:pt idx="0">
                  <c:v>other</c:v>
                </c:pt>
                <c:pt idx="1">
                  <c:v>United Kingdom</c:v>
                </c:pt>
                <c:pt idx="2">
                  <c:v>Switzerland</c:v>
                </c:pt>
                <c:pt idx="3">
                  <c:v>United States</c:v>
                </c:pt>
                <c:pt idx="4">
                  <c:v>Netherlands</c:v>
                </c:pt>
                <c:pt idx="5">
                  <c:v>Germany</c:v>
                </c:pt>
                <c:pt idx="6">
                  <c:v>Denmark</c:v>
                </c:pt>
                <c:pt idx="7">
                  <c:v>Ireland</c:v>
                </c:pt>
                <c:pt idx="8">
                  <c:v>France</c:v>
                </c:pt>
                <c:pt idx="9">
                  <c:v>Belgium</c:v>
                </c:pt>
              </c:strCache>
            </c:strRef>
          </c:cat>
          <c:val>
            <c:numRef>
              <c:f>Arkusz1!$B$2:$B$11</c:f>
              <c:numCache>
                <c:formatCode>0.0%</c:formatCode>
                <c:ptCount val="10"/>
                <c:pt idx="0">
                  <c:v>0.30399999999999999</c:v>
                </c:pt>
                <c:pt idx="1">
                  <c:v>0.20799999999999999</c:v>
                </c:pt>
                <c:pt idx="2">
                  <c:v>5.1999999999999998E-2</c:v>
                </c:pt>
                <c:pt idx="3">
                  <c:v>0.113</c:v>
                </c:pt>
                <c:pt idx="4">
                  <c:v>6.2E-2</c:v>
                </c:pt>
                <c:pt idx="5">
                  <c:v>0.13</c:v>
                </c:pt>
                <c:pt idx="6">
                  <c:v>3.2000000000000001E-2</c:v>
                </c:pt>
                <c:pt idx="7">
                  <c:v>0.04</c:v>
                </c:pt>
                <c:pt idx="8">
                  <c:v>0.04</c:v>
                </c:pt>
                <c:pt idx="9">
                  <c:v>1.9E-2</c:v>
                </c:pt>
              </c:numCache>
            </c:numRef>
          </c:val>
        </c:ser>
        <c:ser>
          <c:idx val="1"/>
          <c:order val="1"/>
          <c:tx>
            <c:strRef>
              <c:f>Arkusz1!$C$1</c:f>
              <c:strCache>
                <c:ptCount val="1"/>
                <c:pt idx="0">
                  <c:v>provided services</c:v>
                </c:pt>
              </c:strCache>
            </c:strRef>
          </c:tx>
          <c:spPr>
            <a:solidFill>
              <a:srgbClr val="CCD2E4"/>
            </a:solidFill>
            <a:ln>
              <a:noFill/>
            </a:ln>
            <a:effectLst/>
          </c:spPr>
          <c:invertIfNegative val="0"/>
          <c:cat>
            <c:strRef>
              <c:f>Arkusz1!$A$2:$A$11</c:f>
              <c:strCache>
                <c:ptCount val="10"/>
                <c:pt idx="0">
                  <c:v>other</c:v>
                </c:pt>
                <c:pt idx="1">
                  <c:v>United Kingdom</c:v>
                </c:pt>
                <c:pt idx="2">
                  <c:v>Switzerland</c:v>
                </c:pt>
                <c:pt idx="3">
                  <c:v>United States</c:v>
                </c:pt>
                <c:pt idx="4">
                  <c:v>Netherlands</c:v>
                </c:pt>
                <c:pt idx="5">
                  <c:v>Germany</c:v>
                </c:pt>
                <c:pt idx="6">
                  <c:v>Denmark</c:v>
                </c:pt>
                <c:pt idx="7">
                  <c:v>Ireland</c:v>
                </c:pt>
                <c:pt idx="8">
                  <c:v>France</c:v>
                </c:pt>
                <c:pt idx="9">
                  <c:v>Belgium</c:v>
                </c:pt>
              </c:strCache>
            </c:strRef>
          </c:cat>
          <c:val>
            <c:numRef>
              <c:f>Arkusz1!$C$2:$C$11</c:f>
              <c:numCache>
                <c:formatCode>0.0%</c:formatCode>
                <c:ptCount val="10"/>
                <c:pt idx="0">
                  <c:v>0.26500000000000001</c:v>
                </c:pt>
                <c:pt idx="1">
                  <c:v>0.16800000000000001</c:v>
                </c:pt>
                <c:pt idx="2">
                  <c:v>0.13800000000000001</c:v>
                </c:pt>
                <c:pt idx="3">
                  <c:v>0.124</c:v>
                </c:pt>
                <c:pt idx="4">
                  <c:v>0.10100000000000001</c:v>
                </c:pt>
                <c:pt idx="5">
                  <c:v>8.7999999999999995E-2</c:v>
                </c:pt>
                <c:pt idx="6">
                  <c:v>3.3000000000000002E-2</c:v>
                </c:pt>
                <c:pt idx="7">
                  <c:v>3.1E-2</c:v>
                </c:pt>
                <c:pt idx="8">
                  <c:v>0.03</c:v>
                </c:pt>
                <c:pt idx="9">
                  <c:v>2.1999999999999999E-2</c:v>
                </c:pt>
              </c:numCache>
            </c:numRef>
          </c:val>
        </c:ser>
        <c:dLbls>
          <c:showLegendKey val="0"/>
          <c:showVal val="0"/>
          <c:showCatName val="0"/>
          <c:showSerName val="0"/>
          <c:showPercent val="0"/>
          <c:showBubbleSize val="0"/>
        </c:dLbls>
        <c:gapWidth val="182"/>
        <c:axId val="2009925280"/>
        <c:axId val="2009926912"/>
      </c:barChart>
      <c:catAx>
        <c:axId val="2009925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2009926912"/>
        <c:crosses val="autoZero"/>
        <c:auto val="1"/>
        <c:lblAlgn val="ctr"/>
        <c:lblOffset val="100"/>
        <c:noMultiLvlLbl val="0"/>
      </c:catAx>
      <c:valAx>
        <c:axId val="2009926912"/>
        <c:scaling>
          <c:orientation val="minMax"/>
          <c:max val="0.4"/>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2009925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900" baseline="0">
          <a:solidFill>
            <a:sysClr val="windowText" lastClr="000000"/>
          </a:solidFill>
          <a:latin typeface="Fira Sans" panose="020B0503050000020004" pitchFamily="34" charset="0"/>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Arkusz1!$A$2:$A$6</c:f>
              <c:strCache>
                <c:ptCount val="5"/>
                <c:pt idx="0">
                  <c:v>legal, accounting 
and management 
consulting services</c:v>
                </c:pt>
                <c:pt idx="1">
                  <c:v>computer services</c:v>
                </c:pt>
                <c:pt idx="2">
                  <c:v>advertising services</c:v>
                </c:pt>
                <c:pt idx="3">
                  <c:v>transport services</c:v>
                </c:pt>
                <c:pt idx="4">
                  <c:v>other</c:v>
                </c:pt>
              </c:strCache>
            </c:strRef>
          </c:cat>
          <c:val>
            <c:numRef>
              <c:f>Arkusz1!$B$2:$B$6</c:f>
              <c:numCache>
                <c:formatCode>0.00%</c:formatCode>
                <c:ptCount val="5"/>
                <c:pt idx="0">
                  <c:v>0.46100000000000002</c:v>
                </c:pt>
                <c:pt idx="1">
                  <c:v>0.27100000000000002</c:v>
                </c:pt>
                <c:pt idx="2">
                  <c:v>6.5000000000000002E-2</c:v>
                </c:pt>
                <c:pt idx="3">
                  <c:v>2.7E-2</c:v>
                </c:pt>
                <c:pt idx="4">
                  <c:v>0.17599999999999999</c:v>
                </c:pt>
              </c:numCache>
            </c:numRef>
          </c:val>
        </c:ser>
        <c:ser>
          <c:idx val="1"/>
          <c:order val="1"/>
          <c:tx>
            <c:strRef>
              <c:f>Arkusz1!$C$1</c:f>
              <c:strCache>
                <c:ptCount val="1"/>
                <c:pt idx="0">
                  <c:v>provided services</c:v>
                </c:pt>
              </c:strCache>
            </c:strRef>
          </c:tx>
          <c:spPr>
            <a:solidFill>
              <a:srgbClr val="CCD2E4"/>
            </a:solidFill>
            <a:ln>
              <a:noFill/>
            </a:ln>
            <a:effectLst/>
          </c:spPr>
          <c:invertIfNegative val="0"/>
          <c:cat>
            <c:strRef>
              <c:f>Arkusz1!$A$2:$A$6</c:f>
              <c:strCache>
                <c:ptCount val="5"/>
                <c:pt idx="0">
                  <c:v>legal, accounting 
and management 
consulting services</c:v>
                </c:pt>
                <c:pt idx="1">
                  <c:v>computer services</c:v>
                </c:pt>
                <c:pt idx="2">
                  <c:v>advertising services</c:v>
                </c:pt>
                <c:pt idx="3">
                  <c:v>transport services</c:v>
                </c:pt>
                <c:pt idx="4">
                  <c:v>other</c:v>
                </c:pt>
              </c:strCache>
            </c:strRef>
          </c:cat>
          <c:val>
            <c:numRef>
              <c:f>Arkusz1!$C$2:$C$6</c:f>
              <c:numCache>
                <c:formatCode>0.00%</c:formatCode>
                <c:ptCount val="5"/>
                <c:pt idx="0">
                  <c:v>0.75800000000000001</c:v>
                </c:pt>
                <c:pt idx="1">
                  <c:v>8.1000000000000003E-2</c:v>
                </c:pt>
                <c:pt idx="2">
                  <c:v>3.5000000000000003E-2</c:v>
                </c:pt>
                <c:pt idx="3">
                  <c:v>2.1999999999999999E-2</c:v>
                </c:pt>
                <c:pt idx="4">
                  <c:v>0.104</c:v>
                </c:pt>
              </c:numCache>
            </c:numRef>
          </c:val>
        </c:ser>
        <c:dLbls>
          <c:showLegendKey val="0"/>
          <c:showVal val="0"/>
          <c:showCatName val="0"/>
          <c:showSerName val="0"/>
          <c:showPercent val="0"/>
          <c:showBubbleSize val="0"/>
        </c:dLbls>
        <c:gapWidth val="182"/>
        <c:axId val="2009921472"/>
        <c:axId val="2009925824"/>
      </c:barChart>
      <c:catAx>
        <c:axId val="2009921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2009925824"/>
        <c:crosses val="autoZero"/>
        <c:auto val="1"/>
        <c:lblAlgn val="ctr"/>
        <c:lblOffset val="100"/>
        <c:noMultiLvlLbl val="0"/>
      </c:catAx>
      <c:valAx>
        <c:axId val="2009925824"/>
        <c:scaling>
          <c:orientation val="minMax"/>
          <c:max val="0.8"/>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2009921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808326042578"/>
          <c:y val="4.3650793650793648E-2"/>
          <c:w val="0.78778306357538641"/>
          <c:h val="0.77538901387326586"/>
        </c:manualLayout>
      </c:layout>
      <c:barChart>
        <c:barDir val="bar"/>
        <c:grouping val="clustered"/>
        <c:varyColors val="0"/>
        <c:ser>
          <c:idx val="0"/>
          <c:order val="0"/>
          <c:tx>
            <c:strRef>
              <c:f>Arkusz1!$B$1</c:f>
              <c:strCache>
                <c:ptCount val="1"/>
                <c:pt idx="0">
                  <c:v>acquired services</c:v>
                </c:pt>
              </c:strCache>
            </c:strRef>
          </c:tx>
          <c:spPr>
            <a:solidFill>
              <a:srgbClr val="001D77"/>
            </a:solidFill>
            <a:ln>
              <a:noFill/>
            </a:ln>
            <a:effectLst/>
          </c:spPr>
          <c:invertIfNegative val="0"/>
          <c:cat>
            <c:strRef>
              <c:f>Arkusz1!$A$2:$A$11</c:f>
              <c:strCache>
                <c:ptCount val="10"/>
                <c:pt idx="0">
                  <c:v>other</c:v>
                </c:pt>
                <c:pt idx="1">
                  <c:v>Germany</c:v>
                </c:pt>
                <c:pt idx="2">
                  <c:v>United States</c:v>
                </c:pt>
                <c:pt idx="3">
                  <c:v>United Kingdom  </c:v>
                </c:pt>
                <c:pt idx="4">
                  <c:v>Belgium</c:v>
                </c:pt>
                <c:pt idx="5">
                  <c:v>Italy</c:v>
                </c:pt>
                <c:pt idx="6">
                  <c:v>France</c:v>
                </c:pt>
                <c:pt idx="7">
                  <c:v>Netherlands</c:v>
                </c:pt>
                <c:pt idx="8">
                  <c:v>Finland</c:v>
                </c:pt>
                <c:pt idx="9">
                  <c:v>Czechia</c:v>
                </c:pt>
              </c:strCache>
            </c:strRef>
          </c:cat>
          <c:val>
            <c:numRef>
              <c:f>Arkusz1!$B$2:$B$11</c:f>
              <c:numCache>
                <c:formatCode>0.0%</c:formatCode>
                <c:ptCount val="10"/>
                <c:pt idx="0">
                  <c:v>0.44400000000000001</c:v>
                </c:pt>
                <c:pt idx="1">
                  <c:v>0.23799999999999999</c:v>
                </c:pt>
                <c:pt idx="2">
                  <c:v>0.05</c:v>
                </c:pt>
                <c:pt idx="3">
                  <c:v>0.10199999999999999</c:v>
                </c:pt>
                <c:pt idx="4">
                  <c:v>5.0000000000000001E-3</c:v>
                </c:pt>
                <c:pt idx="5">
                  <c:v>1.9E-2</c:v>
                </c:pt>
                <c:pt idx="6">
                  <c:v>4.5999999999999999E-2</c:v>
                </c:pt>
                <c:pt idx="7">
                  <c:v>4.3999999999999997E-2</c:v>
                </c:pt>
                <c:pt idx="8">
                  <c:v>1.7000000000000001E-2</c:v>
                </c:pt>
                <c:pt idx="9">
                  <c:v>3.5000000000000003E-2</c:v>
                </c:pt>
              </c:numCache>
            </c:numRef>
          </c:val>
        </c:ser>
        <c:ser>
          <c:idx val="1"/>
          <c:order val="1"/>
          <c:tx>
            <c:strRef>
              <c:f>Arkusz1!$C$1</c:f>
              <c:strCache>
                <c:ptCount val="1"/>
                <c:pt idx="0">
                  <c:v>provided services</c:v>
                </c:pt>
              </c:strCache>
            </c:strRef>
          </c:tx>
          <c:spPr>
            <a:solidFill>
              <a:srgbClr val="CCD2E4"/>
            </a:solidFill>
            <a:ln>
              <a:noFill/>
            </a:ln>
            <a:effectLst/>
          </c:spPr>
          <c:invertIfNegative val="0"/>
          <c:cat>
            <c:strRef>
              <c:f>Arkusz1!$A$2:$A$11</c:f>
              <c:strCache>
                <c:ptCount val="10"/>
                <c:pt idx="0">
                  <c:v>other</c:v>
                </c:pt>
                <c:pt idx="1">
                  <c:v>Germany</c:v>
                </c:pt>
                <c:pt idx="2">
                  <c:v>United States</c:v>
                </c:pt>
                <c:pt idx="3">
                  <c:v>United Kingdom  </c:v>
                </c:pt>
                <c:pt idx="4">
                  <c:v>Belgium</c:v>
                </c:pt>
                <c:pt idx="5">
                  <c:v>Italy</c:v>
                </c:pt>
                <c:pt idx="6">
                  <c:v>France</c:v>
                </c:pt>
                <c:pt idx="7">
                  <c:v>Netherlands</c:v>
                </c:pt>
                <c:pt idx="8">
                  <c:v>Finland</c:v>
                </c:pt>
                <c:pt idx="9">
                  <c:v>Czechia</c:v>
                </c:pt>
              </c:strCache>
            </c:strRef>
          </c:cat>
          <c:val>
            <c:numRef>
              <c:f>Arkusz1!$C$2:$C$11</c:f>
              <c:numCache>
                <c:formatCode>0.0%</c:formatCode>
                <c:ptCount val="10"/>
                <c:pt idx="0">
                  <c:v>0.40699999999999997</c:v>
                </c:pt>
                <c:pt idx="1">
                  <c:v>0.193</c:v>
                </c:pt>
                <c:pt idx="2">
                  <c:v>0.12</c:v>
                </c:pt>
                <c:pt idx="3">
                  <c:v>8.5000000000000006E-2</c:v>
                </c:pt>
                <c:pt idx="4">
                  <c:v>4.2000000000000003E-2</c:v>
                </c:pt>
                <c:pt idx="5">
                  <c:v>3.7999999999999999E-2</c:v>
                </c:pt>
                <c:pt idx="6">
                  <c:v>3.4000000000000002E-2</c:v>
                </c:pt>
                <c:pt idx="7">
                  <c:v>2.7E-2</c:v>
                </c:pt>
                <c:pt idx="8">
                  <c:v>2.7E-2</c:v>
                </c:pt>
                <c:pt idx="9">
                  <c:v>2.7E-2</c:v>
                </c:pt>
              </c:numCache>
            </c:numRef>
          </c:val>
        </c:ser>
        <c:dLbls>
          <c:showLegendKey val="0"/>
          <c:showVal val="0"/>
          <c:showCatName val="0"/>
          <c:showSerName val="0"/>
          <c:showPercent val="0"/>
          <c:showBubbleSize val="0"/>
        </c:dLbls>
        <c:gapWidth val="182"/>
        <c:axId val="2009922560"/>
        <c:axId val="2009923104"/>
      </c:barChart>
      <c:catAx>
        <c:axId val="2009922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2009923104"/>
        <c:crosses val="autoZero"/>
        <c:auto val="1"/>
        <c:lblAlgn val="ctr"/>
        <c:lblOffset val="100"/>
        <c:noMultiLvlLbl val="0"/>
      </c:catAx>
      <c:valAx>
        <c:axId val="2009923104"/>
        <c:scaling>
          <c:orientation val="minMax"/>
          <c:max val="0.45"/>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crossAx val="2009922560"/>
        <c:crosses val="autoZero"/>
        <c:crossBetween val="between"/>
        <c:majorUnit val="5.000000000000001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NazwaPliku xmlns="8C029B3F-2CC4-4A59-AF0D-A90575FA3373">Business services in 2018 - ang.docx</NazwaPliku>
    <_SourceUrl xmlns="http://schemas.microsoft.com/sharepoint/v3" xsi:nil="true"/>
    <Odbiorcy2 xmlns="8C029B3F-2CC4-4A59-AF0D-A90575FA3373" xsi:nil="true"/>
    <xd_ProgID xmlns="http://schemas.microsoft.com/sharepoint/v3" xsi:nil="true"/>
    <Osoba xmlns="8C029B3F-2CC4-4A59-AF0D-A90575FA3373">STAT\KAZMIERCZAKA</Osoba>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7F0AE-452B-48E9-B2B0-D7828BD56CB4}">
  <ds:schemaRefs>
    <ds:schemaRef ds:uri="http://schemas.microsoft.com/office/2006/metadata/properties"/>
    <ds:schemaRef ds:uri="http://schemas.microsoft.com/office/infopath/2007/PartnerControls"/>
    <ds:schemaRef ds:uri="http://schemas.microsoft.com/sharepoint/v3"/>
    <ds:schemaRef ds:uri="8C029B3F-2CC4-4A59-AF0D-A90575FA3373"/>
  </ds:schemaRefs>
</ds:datastoreItem>
</file>

<file path=customXml/itemProps2.xml><?xml version="1.0" encoding="utf-8"?>
<ds:datastoreItem xmlns:ds="http://schemas.openxmlformats.org/officeDocument/2006/customXml" ds:itemID="{8E22B575-B9D8-409B-B1E2-795130E34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C760A-99CC-4CD8-93B6-E0E4E0E1C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1</Pages>
  <Words>2949</Words>
  <Characters>17697</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2020-09-14T07:20:00Z</cp:lastPrinted>
  <dcterms:created xsi:type="dcterms:W3CDTF">2019-09-16T05:44:00Z</dcterms:created>
  <dcterms:modified xsi:type="dcterms:W3CDTF">2020-09-14T07:21:00Z</dcterms:modified>
</cp:coreProperties>
</file>